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ind w:firstLine="643"/>
        <w:jc w:val="center"/>
        <w:rPr>
          <w:rFonts w:hint="default" w:ascii="Times New Roman" w:hAnsi="Times New Roman" w:cs="Times New Roman"/>
          <w:b/>
          <w:color w:val="auto"/>
          <w:sz w:val="32"/>
        </w:rPr>
      </w:pPr>
      <w:r>
        <w:rPr>
          <w:rFonts w:hint="default" w:ascii="Times New Roman" w:hAnsi="Times New Roman" w:cs="Times New Roman"/>
          <w:b/>
          <w:color w:val="auto"/>
          <w:sz w:val="32"/>
        </w:rPr>
        <w:t>《建设项目环境影响报告表》编制说明</w:t>
      </w:r>
    </w:p>
    <w:p>
      <w:pPr>
        <w:rPr>
          <w:rFonts w:hint="default" w:ascii="Times New Roman" w:hAnsi="Times New Roman" w:cs="Times New Roman"/>
          <w:color w:val="auto"/>
        </w:rPr>
      </w:pPr>
    </w:p>
    <w:p>
      <w:pPr>
        <w:rPr>
          <w:rFonts w:hint="default" w:ascii="Times New Roman" w:hAnsi="Times New Roman" w:cs="Times New Roman"/>
          <w:color w:val="auto"/>
        </w:rPr>
      </w:pPr>
    </w:p>
    <w:p>
      <w:pPr>
        <w:spacing w:line="480" w:lineRule="auto"/>
        <w:rPr>
          <w:rFonts w:hint="default" w:ascii="Times New Roman" w:hAnsi="Times New Roman" w:cs="Times New Roman"/>
          <w:color w:val="auto"/>
        </w:rPr>
      </w:pPr>
      <w:r>
        <w:rPr>
          <w:rFonts w:hint="default" w:ascii="Times New Roman" w:hAnsi="Times New Roman" w:cs="Times New Roman"/>
          <w:color w:val="auto"/>
        </w:rPr>
        <w:t>《建设项目环境影响报告表》由具有从事环境影响评价工作资质的单位编制。</w:t>
      </w:r>
    </w:p>
    <w:p>
      <w:pPr>
        <w:spacing w:line="480" w:lineRule="auto"/>
        <w:rPr>
          <w:rFonts w:hint="default" w:ascii="Times New Roman" w:hAnsi="Times New Roman" w:cs="Times New Roman"/>
          <w:color w:val="auto"/>
        </w:rPr>
      </w:pPr>
      <w:r>
        <w:rPr>
          <w:rFonts w:hint="default" w:ascii="Times New Roman" w:hAnsi="Times New Roman" w:cs="Times New Roman"/>
          <w:color w:val="auto"/>
        </w:rPr>
        <w:t>1.项目名称----指项目立项批复时的名称，应不超过30个字（两个英文字段作一个汉字）。</w:t>
      </w:r>
    </w:p>
    <w:p>
      <w:pPr>
        <w:spacing w:line="480" w:lineRule="auto"/>
        <w:rPr>
          <w:rFonts w:hint="default" w:ascii="Times New Roman" w:hAnsi="Times New Roman" w:cs="Times New Roman"/>
          <w:color w:val="auto"/>
        </w:rPr>
      </w:pPr>
      <w:r>
        <w:rPr>
          <w:rFonts w:hint="default" w:ascii="Times New Roman" w:hAnsi="Times New Roman" w:cs="Times New Roman"/>
          <w:color w:val="auto"/>
        </w:rPr>
        <w:t>2.建设地点----指项目所在地详细地址、公路、铁路应填写起止地点。</w:t>
      </w:r>
    </w:p>
    <w:p>
      <w:pPr>
        <w:spacing w:line="480" w:lineRule="auto"/>
        <w:rPr>
          <w:rFonts w:hint="default" w:ascii="Times New Roman" w:hAnsi="Times New Roman" w:cs="Times New Roman"/>
          <w:color w:val="auto"/>
        </w:rPr>
      </w:pPr>
      <w:r>
        <w:rPr>
          <w:rFonts w:hint="default" w:ascii="Times New Roman" w:hAnsi="Times New Roman" w:cs="Times New Roman"/>
          <w:color w:val="auto"/>
        </w:rPr>
        <w:t>3.行业类别----按国标填写。</w:t>
      </w:r>
    </w:p>
    <w:p>
      <w:pPr>
        <w:spacing w:line="480" w:lineRule="auto"/>
        <w:rPr>
          <w:rFonts w:hint="default" w:ascii="Times New Roman" w:hAnsi="Times New Roman" w:cs="Times New Roman"/>
          <w:color w:val="auto"/>
        </w:rPr>
      </w:pPr>
      <w:r>
        <w:rPr>
          <w:rFonts w:hint="default" w:ascii="Times New Roman" w:hAnsi="Times New Roman" w:cs="Times New Roman"/>
          <w:color w:val="auto"/>
        </w:rPr>
        <w:t>4.总投资----指项目投资总额。</w:t>
      </w:r>
    </w:p>
    <w:p>
      <w:pPr>
        <w:spacing w:line="480" w:lineRule="auto"/>
        <w:rPr>
          <w:rFonts w:hint="default" w:ascii="Times New Roman" w:hAnsi="Times New Roman" w:cs="Times New Roman"/>
          <w:color w:val="auto"/>
        </w:rPr>
      </w:pPr>
      <w:r>
        <w:rPr>
          <w:rFonts w:hint="default" w:ascii="Times New Roman" w:hAnsi="Times New Roman" w:cs="Times New Roman"/>
          <w:color w:val="auto"/>
        </w:rPr>
        <w:t>5.主要环境保护目标----指项目区周围一定范围内集中居民住宅、学校、医院、保护文物、风景名胜区、水源地和生态敏感点等，应尽可能给出保护目标、性质、规模和距厂界距离等。</w:t>
      </w:r>
    </w:p>
    <w:p>
      <w:pPr>
        <w:spacing w:line="480" w:lineRule="auto"/>
        <w:rPr>
          <w:rFonts w:hint="default" w:ascii="Times New Roman" w:hAnsi="Times New Roman" w:cs="Times New Roman"/>
          <w:color w:val="auto"/>
        </w:rPr>
      </w:pPr>
      <w:r>
        <w:rPr>
          <w:rFonts w:hint="default" w:ascii="Times New Roman" w:hAnsi="Times New Roman" w:cs="Times New Roman"/>
          <w:color w:val="auto"/>
        </w:rPr>
        <w:t>6.结论与建议----给出本项目清洁生产、达标排放和总量控制的分析结论，确定污染防治措施的有效性，说明本项目对环境造成的影响，给出建设项目环境可行性的明确结论。同时提出减少环境影响的其它建议。</w:t>
      </w:r>
    </w:p>
    <w:p>
      <w:pPr>
        <w:spacing w:line="480" w:lineRule="auto"/>
        <w:rPr>
          <w:rFonts w:hint="default" w:ascii="Times New Roman" w:hAnsi="Times New Roman" w:cs="Times New Roman"/>
          <w:color w:val="auto"/>
        </w:rPr>
      </w:pPr>
      <w:r>
        <w:rPr>
          <w:rFonts w:hint="default" w:ascii="Times New Roman" w:hAnsi="Times New Roman" w:cs="Times New Roman"/>
          <w:color w:val="auto"/>
        </w:rPr>
        <w:t>7.预审意见----由行业主管部门填写答复意见，无主管部门项目，可不填。</w:t>
      </w:r>
    </w:p>
    <w:p>
      <w:pPr>
        <w:spacing w:line="480" w:lineRule="auto"/>
        <w:rPr>
          <w:rFonts w:hint="default" w:ascii="Times New Roman" w:hAnsi="Times New Roman" w:cs="Times New Roman"/>
          <w:color w:val="auto"/>
        </w:rPr>
      </w:pPr>
      <w:r>
        <w:rPr>
          <w:rFonts w:hint="default" w:ascii="Times New Roman" w:hAnsi="Times New Roman" w:cs="Times New Roman"/>
          <w:color w:val="auto"/>
        </w:rPr>
        <w:t>8.审批意见----由负责审批该项目的环境保护行政主管部门批。</w:t>
      </w:r>
    </w:p>
    <w:p>
      <w:pPr>
        <w:spacing w:line="480" w:lineRule="auto"/>
        <w:rPr>
          <w:rFonts w:hint="default" w:ascii="Times New Roman" w:hAnsi="Times New Roman" w:cs="Times New Roman"/>
          <w:color w:val="auto"/>
        </w:rPr>
        <w:sectPr>
          <w:headerReference r:id="rId7" w:type="first"/>
          <w:footerReference r:id="rId10" w:type="first"/>
          <w:headerReference r:id="rId5" w:type="default"/>
          <w:footerReference r:id="rId8" w:type="default"/>
          <w:headerReference r:id="rId6" w:type="even"/>
          <w:footerReference r:id="rId9" w:type="even"/>
          <w:type w:val="oddPage"/>
          <w:pgSz w:w="11906" w:h="16838"/>
          <w:pgMar w:top="1797" w:right="1440" w:bottom="1797" w:left="1440" w:header="1140" w:footer="992" w:gutter="0"/>
          <w:pgNumType w:start="0"/>
          <w:cols w:space="720" w:num="1"/>
          <w:docGrid w:type="lines" w:linePitch="312" w:charSpace="0"/>
        </w:sectPr>
      </w:pPr>
    </w:p>
    <w:p>
      <w:pPr>
        <w:pStyle w:val="3"/>
        <w:numPr>
          <w:ilvl w:val="0"/>
          <w:numId w:val="0"/>
        </w:numPr>
        <w:spacing w:before="163"/>
        <w:ind w:left="420" w:leftChars="0" w:right="326" w:rightChars="136"/>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建设项目基本情况</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1"/>
        <w:gridCol w:w="1759"/>
        <w:gridCol w:w="430"/>
        <w:gridCol w:w="967"/>
        <w:gridCol w:w="24"/>
        <w:gridCol w:w="1067"/>
        <w:gridCol w:w="117"/>
        <w:gridCol w:w="1069"/>
        <w:gridCol w:w="433"/>
        <w:gridCol w:w="1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tcBorders>
              <w:top w:val="single" w:color="000000" w:sz="8" w:space="0"/>
              <w:lef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项目名称</w:t>
            </w:r>
          </w:p>
        </w:tc>
        <w:tc>
          <w:tcPr>
            <w:tcW w:w="7231" w:type="dxa"/>
            <w:gridSpan w:val="9"/>
            <w:tcBorders>
              <w:top w:val="single" w:color="000000" w:sz="8" w:space="0"/>
              <w:righ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纸制品制造项目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tcBorders>
              <w:lef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建设单位</w:t>
            </w:r>
          </w:p>
        </w:tc>
        <w:tc>
          <w:tcPr>
            <w:tcW w:w="7231" w:type="dxa"/>
            <w:gridSpan w:val="9"/>
            <w:tcBorders>
              <w:righ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sz w:val="24"/>
                <w:szCs w:val="24"/>
                <w:lang w:eastAsia="zh-CN"/>
              </w:rPr>
            </w:pPr>
            <w:bookmarkStart w:id="2" w:name="_GoBack"/>
            <w:r>
              <w:rPr>
                <w:rFonts w:hint="default" w:ascii="Times New Roman" w:hAnsi="Times New Roman" w:eastAsia="宋体" w:cs="Times New Roman"/>
                <w:b w:val="0"/>
                <w:bCs/>
                <w:color w:val="auto"/>
                <w:sz w:val="24"/>
                <w:szCs w:val="24"/>
                <w:lang w:eastAsia="zh-CN"/>
              </w:rPr>
              <w:t>陕西凯乐包装设计制作有限责任公司</w:t>
            </w:r>
            <w:bookmarkEnd w:id="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tcBorders>
              <w:lef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法人代表</w:t>
            </w:r>
          </w:p>
        </w:tc>
        <w:tc>
          <w:tcPr>
            <w:tcW w:w="3156" w:type="dxa"/>
            <w:gridSpan w:val="3"/>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b w:val="0"/>
                <w:bCs/>
                <w:color w:val="auto"/>
                <w:kern w:val="2"/>
                <w:szCs w:val="24"/>
                <w:lang w:eastAsia="zh-CN"/>
              </w:rPr>
            </w:pPr>
            <w:r>
              <w:rPr>
                <w:rFonts w:hint="default" w:ascii="Times New Roman" w:hAnsi="Times New Roman" w:eastAsia="宋体" w:cs="Times New Roman"/>
                <w:b w:val="0"/>
                <w:bCs/>
                <w:color w:val="auto"/>
                <w:kern w:val="2"/>
                <w:szCs w:val="24"/>
                <w:lang w:eastAsia="zh-CN"/>
              </w:rPr>
              <w:t>贠秋芳</w:t>
            </w:r>
          </w:p>
        </w:tc>
        <w:tc>
          <w:tcPr>
            <w:tcW w:w="1091" w:type="dxa"/>
            <w:gridSpan w:val="2"/>
            <w:tcBorders>
              <w:left w:val="single" w:color="auto" w:sz="4" w:space="0"/>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联系人</w:t>
            </w:r>
          </w:p>
        </w:tc>
        <w:tc>
          <w:tcPr>
            <w:tcW w:w="2984" w:type="dxa"/>
            <w:gridSpan w:val="4"/>
            <w:tcBorders>
              <w:left w:val="single" w:color="auto" w:sz="4" w:space="0"/>
              <w:righ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赵海娟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tcBorders>
              <w:lef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通讯地址</w:t>
            </w:r>
          </w:p>
        </w:tc>
        <w:tc>
          <w:tcPr>
            <w:tcW w:w="7231" w:type="dxa"/>
            <w:gridSpan w:val="9"/>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b w:val="0"/>
                <w:bCs/>
                <w:color w:val="auto"/>
                <w:szCs w:val="24"/>
                <w:lang w:val="en-US" w:eastAsia="zh-CN"/>
              </w:rPr>
            </w:pPr>
            <w:r>
              <w:rPr>
                <w:rFonts w:hint="default" w:ascii="Times New Roman" w:hAnsi="Times New Roman" w:eastAsia="宋体" w:cs="Times New Roman"/>
                <w:b w:val="0"/>
                <w:bCs/>
                <w:color w:val="auto"/>
                <w:szCs w:val="24"/>
                <w:lang w:eastAsia="zh-CN"/>
              </w:rPr>
              <w:t>陕西省西安市灞桥区红旗街道办赵庄村</w:t>
            </w:r>
            <w:r>
              <w:rPr>
                <w:rFonts w:hint="default" w:ascii="Times New Roman" w:hAnsi="Times New Roman" w:eastAsia="宋体" w:cs="Times New Roman"/>
                <w:b w:val="0"/>
                <w:bCs/>
                <w:color w:val="auto"/>
                <w:szCs w:val="24"/>
                <w:lang w:val="en-US" w:eastAsia="zh-CN"/>
              </w:rPr>
              <w:t>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tcBorders>
              <w:lef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联系电话</w:t>
            </w:r>
          </w:p>
        </w:tc>
        <w:tc>
          <w:tcPr>
            <w:tcW w:w="2189" w:type="dxa"/>
            <w:gridSpan w:val="2"/>
            <w:tcBorders>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b w:val="0"/>
                <w:bCs/>
                <w:color w:val="auto"/>
                <w:sz w:val="24"/>
                <w:lang w:val="en-US" w:eastAsia="zh-CN"/>
              </w:rPr>
              <w:t>153</w:t>
            </w:r>
            <w:r>
              <w:rPr>
                <w:rFonts w:hint="eastAsia" w:cs="Times New Roman"/>
                <w:b w:val="0"/>
                <w:bCs/>
                <w:color w:val="auto"/>
                <w:sz w:val="24"/>
                <w:lang w:val="en-US" w:eastAsia="zh-CN"/>
              </w:rPr>
              <w:t>xxxx</w:t>
            </w:r>
            <w:r>
              <w:rPr>
                <w:rFonts w:hint="default" w:ascii="Times New Roman" w:hAnsi="Times New Roman" w:cs="Times New Roman"/>
                <w:b w:val="0"/>
                <w:bCs/>
                <w:color w:val="auto"/>
                <w:sz w:val="24"/>
                <w:lang w:val="en-US" w:eastAsia="zh-CN"/>
              </w:rPr>
              <w:t>4102</w:t>
            </w:r>
          </w:p>
        </w:tc>
        <w:tc>
          <w:tcPr>
            <w:tcW w:w="967" w:type="dxa"/>
            <w:tcBorders>
              <w:left w:val="single" w:color="auto" w:sz="4" w:space="0"/>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传真</w:t>
            </w:r>
          </w:p>
        </w:tc>
        <w:tc>
          <w:tcPr>
            <w:tcW w:w="1208" w:type="dxa"/>
            <w:gridSpan w:val="3"/>
            <w:tcBorders>
              <w:left w:val="single" w:color="auto" w:sz="4" w:space="0"/>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rPr>
              <w:t>/</w:t>
            </w:r>
          </w:p>
        </w:tc>
        <w:tc>
          <w:tcPr>
            <w:tcW w:w="1069" w:type="dxa"/>
            <w:tcBorders>
              <w:left w:val="single" w:color="auto" w:sz="4" w:space="0"/>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邮政编码</w:t>
            </w:r>
          </w:p>
        </w:tc>
        <w:tc>
          <w:tcPr>
            <w:tcW w:w="1798" w:type="dxa"/>
            <w:gridSpan w:val="2"/>
            <w:tcBorders>
              <w:left w:val="single" w:color="auto" w:sz="4" w:space="0"/>
              <w:righ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713700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tcBorders>
              <w:lef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建设地点</w:t>
            </w:r>
          </w:p>
        </w:tc>
        <w:tc>
          <w:tcPr>
            <w:tcW w:w="7231" w:type="dxa"/>
            <w:gridSpan w:val="9"/>
            <w:tcBorders>
              <w:righ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eastAsia="宋体" w:cs="Times New Roman"/>
                <w:b w:val="0"/>
                <w:bCs/>
                <w:color w:val="auto"/>
                <w:sz w:val="24"/>
                <w:szCs w:val="32"/>
                <w:lang w:eastAsia="zh-CN"/>
              </w:rPr>
              <w:t>陕西省西安市灞桥区红旗街道办赵庄村</w:t>
            </w:r>
            <w:r>
              <w:rPr>
                <w:rFonts w:hint="default" w:ascii="Times New Roman" w:hAnsi="Times New Roman" w:eastAsia="宋体" w:cs="Times New Roman"/>
                <w:b w:val="0"/>
                <w:bCs/>
                <w:color w:val="auto"/>
                <w:sz w:val="24"/>
                <w:szCs w:val="32"/>
                <w:lang w:val="en-US" w:eastAsia="zh-CN"/>
              </w:rPr>
              <w:t>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tcBorders>
              <w:lef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立项审批部门</w:t>
            </w:r>
          </w:p>
        </w:tc>
        <w:tc>
          <w:tcPr>
            <w:tcW w:w="3180" w:type="dxa"/>
            <w:gridSpan w:val="4"/>
            <w:tcBorders>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cs="Times New Roman"/>
                <w:b w:val="0"/>
                <w:bCs/>
                <w:color w:val="auto"/>
                <w:sz w:val="24"/>
                <w:szCs w:val="24"/>
                <w:lang w:val="en-US" w:eastAsia="zh-CN"/>
              </w:rPr>
              <w:t>/</w:t>
            </w:r>
          </w:p>
        </w:tc>
        <w:tc>
          <w:tcPr>
            <w:tcW w:w="1184" w:type="dxa"/>
            <w:gridSpan w:val="2"/>
            <w:tcBorders>
              <w:left w:val="single" w:color="auto" w:sz="4" w:space="0"/>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批准文号</w:t>
            </w:r>
          </w:p>
        </w:tc>
        <w:tc>
          <w:tcPr>
            <w:tcW w:w="2867" w:type="dxa"/>
            <w:gridSpan w:val="3"/>
            <w:tcBorders>
              <w:left w:val="single" w:color="auto" w:sz="4" w:space="0"/>
              <w:righ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tcBorders>
              <w:lef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建设性质</w:t>
            </w:r>
          </w:p>
        </w:tc>
        <w:tc>
          <w:tcPr>
            <w:tcW w:w="3180" w:type="dxa"/>
            <w:gridSpan w:val="4"/>
            <w:tcBorders>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新建</w:t>
            </w:r>
            <w:r>
              <w:rPr>
                <w:rFonts w:hint="default" w:ascii="Times New Roman" w:hAnsi="Times New Roman" w:cs="Times New Roman"/>
                <w:b w:val="0"/>
                <w:bCs/>
                <w:color w:val="auto"/>
                <w:sz w:val="24"/>
                <w:szCs w:val="24"/>
              </w:rPr>
              <w:sym w:font="Wingdings 2" w:char="0052"/>
            </w:r>
            <w:r>
              <w:rPr>
                <w:rFonts w:hint="default" w:ascii="Times New Roman" w:hAnsi="Times New Roman" w:cs="Times New Roman"/>
                <w:b w:val="0"/>
                <w:bCs/>
                <w:color w:val="auto"/>
                <w:sz w:val="24"/>
                <w:szCs w:val="24"/>
              </w:rPr>
              <w:t>改扩建</w:t>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eq \o\ac(□)</w:instrText>
            </w:r>
            <w:r>
              <w:rPr>
                <w:rFonts w:hint="default" w:ascii="Times New Roman" w:hAnsi="Times New Roman" w:cs="Times New Roman"/>
                <w:b w:val="0"/>
                <w:bCs/>
                <w:color w:val="auto"/>
                <w:sz w:val="24"/>
                <w:szCs w:val="24"/>
              </w:rPr>
              <w:fldChar w:fldCharType="end"/>
            </w:r>
            <w:r>
              <w:rPr>
                <w:rFonts w:hint="default" w:ascii="Times New Roman" w:hAnsi="Times New Roman" w:cs="Times New Roman"/>
                <w:b w:val="0"/>
                <w:bCs/>
                <w:color w:val="auto"/>
                <w:sz w:val="24"/>
                <w:szCs w:val="24"/>
              </w:rPr>
              <w:t>技改□</w:t>
            </w:r>
          </w:p>
        </w:tc>
        <w:tc>
          <w:tcPr>
            <w:tcW w:w="1184" w:type="dxa"/>
            <w:gridSpan w:val="2"/>
            <w:tcBorders>
              <w:left w:val="single" w:color="auto" w:sz="4" w:space="0"/>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行业类别及代码</w:t>
            </w:r>
          </w:p>
        </w:tc>
        <w:tc>
          <w:tcPr>
            <w:tcW w:w="2867" w:type="dxa"/>
            <w:gridSpan w:val="3"/>
            <w:tcBorders>
              <w:left w:val="single" w:color="auto" w:sz="4" w:space="0"/>
              <w:righ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rPr>
              <w:t>C</w:t>
            </w:r>
            <w:r>
              <w:rPr>
                <w:rFonts w:hint="default" w:ascii="Times New Roman" w:hAnsi="Times New Roman" w:cs="Times New Roman"/>
                <w:b w:val="0"/>
                <w:bCs/>
                <w:color w:val="auto"/>
                <w:sz w:val="24"/>
                <w:szCs w:val="24"/>
                <w:lang w:val="en-US" w:eastAsia="zh-CN"/>
              </w:rPr>
              <w:t>2231 纸和纸板容器制造</w:t>
            </w:r>
          </w:p>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C2319 包装装潢及其他印刷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tcBorders>
              <w:lef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占地面积</w:t>
            </w:r>
          </w:p>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(平方米)</w:t>
            </w:r>
          </w:p>
        </w:tc>
        <w:tc>
          <w:tcPr>
            <w:tcW w:w="3180" w:type="dxa"/>
            <w:gridSpan w:val="4"/>
            <w:tcBorders>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1200</w:t>
            </w:r>
          </w:p>
        </w:tc>
        <w:tc>
          <w:tcPr>
            <w:tcW w:w="1184" w:type="dxa"/>
            <w:gridSpan w:val="2"/>
            <w:tcBorders>
              <w:left w:val="single" w:color="auto" w:sz="4" w:space="0"/>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绿化面积</w:t>
            </w:r>
          </w:p>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(平方米)</w:t>
            </w:r>
          </w:p>
        </w:tc>
        <w:tc>
          <w:tcPr>
            <w:tcW w:w="2867" w:type="dxa"/>
            <w:gridSpan w:val="3"/>
            <w:tcBorders>
              <w:left w:val="single" w:color="auto" w:sz="4" w:space="0"/>
              <w:righ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tcBorders>
              <w:lef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总投资</w:t>
            </w:r>
          </w:p>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(万元)</w:t>
            </w:r>
          </w:p>
        </w:tc>
        <w:tc>
          <w:tcPr>
            <w:tcW w:w="1759" w:type="dxa"/>
            <w:tcBorders>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1000</w:t>
            </w:r>
          </w:p>
        </w:tc>
        <w:tc>
          <w:tcPr>
            <w:tcW w:w="1421" w:type="dxa"/>
            <w:gridSpan w:val="3"/>
            <w:tcBorders>
              <w:left w:val="single" w:color="auto" w:sz="4" w:space="0"/>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其中：环保投资(万元)</w:t>
            </w:r>
          </w:p>
        </w:tc>
        <w:tc>
          <w:tcPr>
            <w:tcW w:w="1184" w:type="dxa"/>
            <w:gridSpan w:val="2"/>
            <w:tcBorders>
              <w:left w:val="single" w:color="auto" w:sz="4" w:space="0"/>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10</w:t>
            </w:r>
          </w:p>
        </w:tc>
        <w:tc>
          <w:tcPr>
            <w:tcW w:w="1502" w:type="dxa"/>
            <w:gridSpan w:val="2"/>
            <w:tcBorders>
              <w:left w:val="single" w:color="auto" w:sz="4" w:space="0"/>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环保投资占总投资比例</w:t>
            </w:r>
          </w:p>
        </w:tc>
        <w:tc>
          <w:tcPr>
            <w:tcW w:w="1365" w:type="dxa"/>
            <w:tcBorders>
              <w:left w:val="single" w:color="auto" w:sz="4" w:space="0"/>
              <w:right w:val="single" w:color="000000" w:sz="8" w:space="0"/>
            </w:tcBorders>
            <w:noWrap w:val="0"/>
            <w:vAlign w:val="center"/>
          </w:tcPr>
          <w:p>
            <w:pPr>
              <w:pStyle w:val="9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1</w:t>
            </w:r>
            <w:r>
              <w:rPr>
                <w:rFonts w:hint="default" w:ascii="Times New Roman" w:hAnsi="Times New Roman" w:cs="Times New Roman"/>
                <w:b w:val="0"/>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1" w:type="dxa"/>
            <w:tcBorders>
              <w:lef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评价经费</w:t>
            </w:r>
          </w:p>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(万元)</w:t>
            </w:r>
          </w:p>
        </w:tc>
        <w:tc>
          <w:tcPr>
            <w:tcW w:w="3180" w:type="dxa"/>
            <w:gridSpan w:val="4"/>
            <w:tcBorders>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w:t>
            </w:r>
          </w:p>
        </w:tc>
        <w:tc>
          <w:tcPr>
            <w:tcW w:w="1184" w:type="dxa"/>
            <w:gridSpan w:val="2"/>
            <w:tcBorders>
              <w:left w:val="single" w:color="auto" w:sz="4" w:space="0"/>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预期投产</w:t>
            </w:r>
          </w:p>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日  期</w:t>
            </w:r>
          </w:p>
        </w:tc>
        <w:tc>
          <w:tcPr>
            <w:tcW w:w="2867" w:type="dxa"/>
            <w:gridSpan w:val="3"/>
            <w:tcBorders>
              <w:left w:val="single" w:color="auto" w:sz="4" w:space="0"/>
              <w:right w:val="single" w:color="000000" w:sz="8"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2019年</w:t>
            </w:r>
            <w:r>
              <w:rPr>
                <w:rFonts w:hint="default" w:ascii="Times New Roman" w:hAnsi="Times New Roman" w:cs="Times New Roman"/>
                <w:b w:val="0"/>
                <w:bCs/>
                <w:color w:val="auto"/>
                <w:sz w:val="24"/>
                <w:szCs w:val="24"/>
                <w:lang w:val="en-US" w:eastAsia="zh-CN"/>
              </w:rPr>
              <w:t>8</w:t>
            </w:r>
            <w:r>
              <w:rPr>
                <w:rFonts w:hint="default" w:ascii="Times New Roman" w:hAnsi="Times New Roman" w:cs="Times New Roman"/>
                <w:b w:val="0"/>
                <w:bCs/>
                <w:color w:val="auto"/>
                <w:sz w:val="24"/>
                <w:szCs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2" w:type="dxa"/>
            <w:gridSpan w:val="10"/>
            <w:tcBorders>
              <w:left w:val="single" w:color="000000" w:sz="8" w:space="0"/>
              <w:right w:val="single" w:color="000000" w:sz="8" w:space="0"/>
            </w:tcBorders>
            <w:noWrap w:val="0"/>
            <w:vAlign w:val="center"/>
          </w:tcPr>
          <w:p>
            <w:pPr>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工程内容及规模：</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1、项目由来</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包装盒是一种十分优良的包装材料，随着全社会环境保护意识的加强，大量商品都将使用纸箱、纸盒做包装，包装行业的服务对象也进一步扩大，其应用领域也越来越广。为了顺应市场发展，</w:t>
            </w:r>
            <w:r>
              <w:rPr>
                <w:rFonts w:hint="default" w:ascii="Times New Roman" w:hAnsi="Times New Roman" w:eastAsia="宋体" w:cs="Times New Roman"/>
                <w:color w:val="auto"/>
                <w:sz w:val="24"/>
                <w:szCs w:val="24"/>
                <w:lang w:eastAsia="zh-CN"/>
              </w:rPr>
              <w:t>陕西凯乐包装设计制作有限责任公司拟投资</w:t>
            </w:r>
            <w:r>
              <w:rPr>
                <w:rFonts w:hint="default" w:ascii="Times New Roman" w:hAnsi="Times New Roman" w:eastAsia="宋体" w:cs="Times New Roman"/>
                <w:color w:val="auto"/>
                <w:sz w:val="24"/>
                <w:szCs w:val="24"/>
                <w:lang w:val="en-US" w:eastAsia="zh-CN"/>
              </w:rPr>
              <w:t>1000万元在</w:t>
            </w:r>
            <w:r>
              <w:rPr>
                <w:rFonts w:hint="default" w:ascii="Times New Roman" w:hAnsi="Times New Roman" w:eastAsia="宋体" w:cs="Times New Roman"/>
                <w:color w:val="auto"/>
                <w:szCs w:val="24"/>
                <w:lang w:eastAsia="zh-CN"/>
              </w:rPr>
              <w:t>陕西省西安市灞桥区红旗街道办赵庄村</w:t>
            </w:r>
            <w:r>
              <w:rPr>
                <w:rFonts w:hint="default" w:ascii="Times New Roman" w:hAnsi="Times New Roman" w:eastAsia="宋体" w:cs="Times New Roman"/>
                <w:color w:val="auto"/>
                <w:szCs w:val="24"/>
                <w:lang w:val="en-US" w:eastAsia="zh-CN"/>
              </w:rPr>
              <w:t>1号建设纸制品加工项目，项目建成后年加工纸制品产品</w:t>
            </w:r>
            <w:r>
              <w:rPr>
                <w:rFonts w:hint="default" w:ascii="Times New Roman" w:hAnsi="Times New Roman" w:eastAsia="宋体" w:cs="Times New Roman"/>
                <w:color w:val="auto"/>
                <w:szCs w:val="24"/>
                <w:highlight w:val="none"/>
                <w:lang w:val="en-US" w:eastAsia="zh-CN"/>
              </w:rPr>
              <w:t>800万个</w:t>
            </w:r>
            <w:r>
              <w:rPr>
                <w:rFonts w:hint="default" w:ascii="Times New Roman" w:hAnsi="Times New Roman" w:eastAsia="宋体" w:cs="Times New Roman"/>
                <w:color w:val="auto"/>
                <w:szCs w:val="24"/>
                <w:lang w:val="en-US" w:eastAsia="zh-CN"/>
              </w:rPr>
              <w:t>。</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根据《中华人民共和国环境保护法》、《中华人民共和国环境影响评价法》和《建设项目环境保护管理条例》以及省市有关环境保护规定要求，</w:t>
            </w:r>
            <w:r>
              <w:rPr>
                <w:rFonts w:hint="default" w:ascii="Times New Roman" w:hAnsi="Times New Roman" w:cs="Times New Roman"/>
                <w:color w:val="auto"/>
                <w:lang w:eastAsia="zh-CN"/>
              </w:rPr>
              <w:t>本</w:t>
            </w:r>
            <w:r>
              <w:rPr>
                <w:rFonts w:hint="default" w:ascii="Times New Roman" w:hAnsi="Times New Roman" w:cs="Times New Roman"/>
                <w:color w:val="auto"/>
              </w:rPr>
              <w:t>项目应进行环境影响评价工作。同时项目属于《建设项目环境影响评价分类管理名录》（2018版）中</w:t>
            </w:r>
            <w:r>
              <w:rPr>
                <w:rFonts w:hint="eastAsia" w:ascii="宋体" w:hAnsi="宋体" w:eastAsia="宋体" w:cs="宋体"/>
                <w:color w:val="auto"/>
              </w:rPr>
              <w:t>“</w:t>
            </w:r>
            <w:r>
              <w:rPr>
                <w:rFonts w:hint="eastAsia" w:ascii="宋体" w:hAnsi="宋体" w:eastAsia="宋体" w:cs="宋体"/>
                <w:color w:val="auto"/>
                <w:lang w:eastAsia="zh-CN"/>
              </w:rPr>
              <w:t>十一、造纸和纸制品业</w:t>
            </w:r>
            <w:r>
              <w:rPr>
                <w:rFonts w:hint="eastAsia" w:ascii="宋体" w:hAnsi="宋体" w:eastAsia="宋体" w:cs="宋体"/>
                <w:color w:val="auto"/>
              </w:rPr>
              <w:t>”</w:t>
            </w:r>
            <w:r>
              <w:rPr>
                <w:rFonts w:hint="eastAsia" w:ascii="宋体" w:hAnsi="宋体" w:eastAsia="宋体" w:cs="宋体"/>
                <w:color w:val="auto"/>
                <w:lang w:eastAsia="zh-CN"/>
              </w:rPr>
              <w:t>中的“</w:t>
            </w:r>
            <w:r>
              <w:rPr>
                <w:rFonts w:hint="default" w:ascii="Times New Roman" w:hAnsi="Times New Roman" w:eastAsia="宋体" w:cs="Times New Roman"/>
                <w:color w:val="auto"/>
                <w:lang w:val="en-US" w:eastAsia="zh-CN"/>
              </w:rPr>
              <w:t>29、纸制品制造</w:t>
            </w:r>
            <w:r>
              <w:rPr>
                <w:rFonts w:hint="eastAsia" w:ascii="宋体" w:hAnsi="宋体" w:eastAsia="宋体" w:cs="宋体"/>
                <w:color w:val="auto"/>
                <w:lang w:eastAsia="zh-CN"/>
              </w:rPr>
              <w:t>”</w:t>
            </w:r>
            <w:r>
              <w:rPr>
                <w:rFonts w:hint="default" w:ascii="Times New Roman" w:hAnsi="Times New Roman" w:cs="Times New Roman"/>
                <w:color w:val="auto"/>
              </w:rPr>
              <w:t>，</w:t>
            </w:r>
            <w:r>
              <w:rPr>
                <w:rFonts w:hint="default" w:ascii="Times New Roman" w:hAnsi="Times New Roman" w:cs="Times New Roman"/>
                <w:color w:val="auto"/>
                <w:lang w:eastAsia="zh-CN"/>
              </w:rPr>
              <w:t>项目生产过程中涉及印刷工序，</w:t>
            </w:r>
            <w:r>
              <w:rPr>
                <w:rFonts w:hint="eastAsia" w:ascii="宋体" w:hAnsi="宋体" w:eastAsia="宋体" w:cs="宋体"/>
                <w:color w:val="auto"/>
                <w:lang w:eastAsia="zh-CN"/>
              </w:rPr>
              <w:t>考虑到环评按照最不利影响分析，本项目还属于“十二、印刷和记录媒介复制业”中的“</w:t>
            </w:r>
            <w:r>
              <w:rPr>
                <w:rFonts w:hint="default" w:ascii="Times New Roman" w:hAnsi="Times New Roman" w:cs="Times New Roman"/>
                <w:color w:val="auto"/>
                <w:lang w:val="en-US" w:eastAsia="zh-CN"/>
              </w:rPr>
              <w:t>30、印刷厂；磁材料制品（全部）</w:t>
            </w:r>
            <w:r>
              <w:rPr>
                <w:rFonts w:hint="eastAsia" w:ascii="宋体" w:hAnsi="宋体" w:eastAsia="宋体" w:cs="宋体"/>
                <w:color w:val="auto"/>
                <w:lang w:eastAsia="zh-CN"/>
              </w:rPr>
              <w:t>”</w:t>
            </w:r>
            <w:r>
              <w:rPr>
                <w:rFonts w:hint="default" w:ascii="Times New Roman" w:hAnsi="Times New Roman" w:cs="Times New Roman"/>
                <w:color w:val="auto"/>
                <w:lang w:eastAsia="zh-CN"/>
              </w:rPr>
              <w:t>，</w:t>
            </w:r>
            <w:r>
              <w:rPr>
                <w:rFonts w:hint="default" w:ascii="Times New Roman" w:hAnsi="Times New Roman" w:cs="Times New Roman"/>
                <w:color w:val="auto"/>
              </w:rPr>
              <w:t>应当编制</w:t>
            </w:r>
            <w:r>
              <w:rPr>
                <w:rFonts w:hint="default" w:ascii="Times New Roman" w:hAnsi="Times New Roman" w:cs="Times New Roman"/>
                <w:color w:val="auto"/>
                <w:lang w:eastAsia="zh-CN"/>
              </w:rPr>
              <w:t>环境影响</w:t>
            </w:r>
            <w:r>
              <w:rPr>
                <w:rFonts w:hint="default" w:ascii="Times New Roman" w:hAnsi="Times New Roman" w:cs="Times New Roman"/>
                <w:color w:val="auto"/>
              </w:rPr>
              <w:t>报告表。故</w:t>
            </w:r>
            <w:r>
              <w:rPr>
                <w:rFonts w:hint="default" w:ascii="Times New Roman" w:hAnsi="Times New Roman" w:cs="Times New Roman"/>
                <w:color w:val="auto"/>
                <w:lang w:eastAsia="zh-CN"/>
              </w:rPr>
              <w:t>陕西凯乐包装设计制作有限责任公司</w:t>
            </w:r>
            <w:r>
              <w:rPr>
                <w:rFonts w:hint="default" w:ascii="Times New Roman" w:hAnsi="Times New Roman" w:cs="Times New Roman"/>
                <w:color w:val="auto"/>
              </w:rPr>
              <w:t>委托我公司对</w:t>
            </w:r>
            <w:r>
              <w:rPr>
                <w:rFonts w:hint="eastAsia" w:ascii="宋体" w:hAnsi="宋体" w:eastAsia="宋体" w:cs="宋体"/>
                <w:color w:val="auto"/>
              </w:rPr>
              <w:t>“</w:t>
            </w:r>
            <w:r>
              <w:rPr>
                <w:rFonts w:hint="eastAsia" w:ascii="宋体" w:hAnsi="宋体" w:eastAsia="宋体" w:cs="宋体"/>
                <w:color w:val="auto"/>
                <w:lang w:eastAsia="zh-CN"/>
              </w:rPr>
              <w:t>纸制品制造项目</w:t>
            </w:r>
            <w:r>
              <w:rPr>
                <w:rFonts w:hint="eastAsia" w:ascii="宋体" w:hAnsi="宋体" w:eastAsia="宋体" w:cs="宋体"/>
                <w:color w:val="auto"/>
              </w:rPr>
              <w:t>”进</w:t>
            </w:r>
            <w:r>
              <w:rPr>
                <w:rFonts w:hint="default" w:ascii="Times New Roman" w:hAnsi="Times New Roman" w:cs="Times New Roman"/>
                <w:color w:val="auto"/>
              </w:rPr>
              <w:t>行环境影响评价工作，接</w:t>
            </w:r>
            <w:r>
              <w:rPr>
                <w:rFonts w:hint="default" w:ascii="Times New Roman" w:hAnsi="Times New Roman" w:cs="Times New Roman"/>
                <w:color w:val="auto"/>
                <w:lang w:eastAsia="zh-CN"/>
              </w:rPr>
              <w:t>受</w:t>
            </w:r>
            <w:r>
              <w:rPr>
                <w:rFonts w:hint="default" w:ascii="Times New Roman" w:hAnsi="Times New Roman" w:cs="Times New Roman"/>
                <w:color w:val="auto"/>
              </w:rPr>
              <w:t>委托后，</w:t>
            </w:r>
            <w:r>
              <w:rPr>
                <w:rFonts w:hint="default" w:ascii="Times New Roman" w:hAnsi="Times New Roman" w:cs="Times New Roman"/>
                <w:color w:val="auto"/>
                <w:lang w:eastAsia="zh-CN"/>
              </w:rPr>
              <w:t>我单位</w:t>
            </w:r>
            <w:r>
              <w:rPr>
                <w:rFonts w:hint="default" w:ascii="Times New Roman" w:hAnsi="Times New Roman" w:cs="Times New Roman"/>
                <w:color w:val="auto"/>
              </w:rPr>
              <w:t>立即组织相关技术人员，进行现场踏勘、收集资料，针对本项目可能涉及的污染问题，从工程角度和环境角度进行了分析，并对工程中的污染及存在的环境问题提出了相应的防治对策和管理措施，在此基础上，编制完成了《</w:t>
            </w:r>
            <w:r>
              <w:rPr>
                <w:rFonts w:hint="default" w:ascii="Times New Roman" w:hAnsi="Times New Roman" w:cs="Times New Roman"/>
                <w:color w:val="auto"/>
                <w:lang w:eastAsia="zh-CN"/>
              </w:rPr>
              <w:t>纸制品制造项目</w:t>
            </w:r>
            <w:r>
              <w:rPr>
                <w:rFonts w:hint="default" w:ascii="Times New Roman" w:hAnsi="Times New Roman" w:cs="Times New Roman"/>
                <w:color w:val="auto"/>
              </w:rPr>
              <w:t>环境影响报告表》，为环境管理和设计提供科学的依据。</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2、分析判定相关情况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（1）产业政策符合性分析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根据《产业结构调整指导目录（2011年本）》（2013年修正），本项目不属于鼓励类、限制类和淘汰类，因此视为允许类项目；本项目未列入《</w:t>
            </w:r>
            <w:r>
              <w:rPr>
                <w:rFonts w:hint="default" w:ascii="Times New Roman" w:hAnsi="Times New Roman" w:cs="Times New Roman"/>
                <w:color w:val="auto"/>
                <w:lang w:eastAsia="zh-CN"/>
              </w:rPr>
              <w:t>市场准入负面清单</w:t>
            </w:r>
            <w:r>
              <w:rPr>
                <w:rFonts w:hint="default" w:ascii="Times New Roman" w:hAnsi="Times New Roman" w:cs="Times New Roman"/>
                <w:color w:val="auto"/>
              </w:rPr>
              <w:t>》（2018年</w:t>
            </w:r>
            <w:r>
              <w:rPr>
                <w:rFonts w:hint="default" w:ascii="Times New Roman" w:hAnsi="Times New Roman" w:cs="Times New Roman"/>
                <w:color w:val="auto"/>
                <w:lang w:eastAsia="zh-CN"/>
              </w:rPr>
              <w:t>版</w:t>
            </w:r>
            <w:r>
              <w:rPr>
                <w:rFonts w:hint="default" w:ascii="Times New Roman" w:hAnsi="Times New Roman" w:cs="Times New Roman"/>
                <w:color w:val="auto"/>
              </w:rPr>
              <w:t>）限制类、禁止类中，属于允许类；另外，本项目不在《陕西省限制投资类产业指导目录》（陕发改产业[2007]97号）之内，故本项目符合国家现行的有关产业政策。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）选址</w:t>
            </w:r>
            <w:r>
              <w:rPr>
                <w:rFonts w:hint="default" w:ascii="Times New Roman" w:hAnsi="Times New Roman" w:cs="Times New Roman"/>
                <w:color w:val="auto"/>
                <w:lang w:eastAsia="zh-CN"/>
              </w:rPr>
              <w:t>合理性</w:t>
            </w:r>
            <w:r>
              <w:rPr>
                <w:rFonts w:hint="default" w:ascii="Times New Roman" w:hAnsi="Times New Roman" w:cs="Times New Roman"/>
                <w:color w:val="auto"/>
              </w:rPr>
              <w:t>分析</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本项目选址位于</w:t>
            </w:r>
            <w:r>
              <w:rPr>
                <w:rFonts w:hint="default" w:ascii="Times New Roman" w:hAnsi="Times New Roman" w:eastAsia="宋体" w:cs="Times New Roman"/>
                <w:color w:val="auto"/>
                <w:szCs w:val="24"/>
                <w:lang w:eastAsia="zh-CN"/>
              </w:rPr>
              <w:t>陕西省西安市灞桥区红旗街道办赵庄村</w:t>
            </w:r>
            <w:r>
              <w:rPr>
                <w:rFonts w:hint="default" w:ascii="Times New Roman" w:hAnsi="Times New Roman" w:eastAsia="宋体" w:cs="Times New Roman"/>
                <w:color w:val="auto"/>
                <w:szCs w:val="24"/>
                <w:lang w:val="en-US" w:eastAsia="zh-CN"/>
              </w:rPr>
              <w:t>1号</w:t>
            </w:r>
            <w:r>
              <w:rPr>
                <w:rFonts w:hint="default" w:ascii="Times New Roman" w:hAnsi="Times New Roman" w:cs="Times New Roman"/>
                <w:color w:val="auto"/>
              </w:rPr>
              <w:t>。项目东</w:t>
            </w:r>
            <w:r>
              <w:rPr>
                <w:rFonts w:hint="default" w:ascii="Times New Roman" w:hAnsi="Times New Roman" w:cs="Times New Roman"/>
                <w:color w:val="auto"/>
                <w:lang w:eastAsia="zh-CN"/>
              </w:rPr>
              <w:t>、西两</w:t>
            </w:r>
            <w:r>
              <w:rPr>
                <w:rFonts w:hint="default" w:ascii="Times New Roman" w:hAnsi="Times New Roman" w:cs="Times New Roman"/>
                <w:color w:val="auto"/>
              </w:rPr>
              <w:t>侧</w:t>
            </w:r>
            <w:r>
              <w:rPr>
                <w:rFonts w:hint="default" w:ascii="Times New Roman" w:hAnsi="Times New Roman" w:cs="Times New Roman"/>
                <w:color w:val="auto"/>
                <w:lang w:eastAsia="zh-CN"/>
              </w:rPr>
              <w:t>均</w:t>
            </w:r>
            <w:r>
              <w:rPr>
                <w:rFonts w:hint="default" w:ascii="Times New Roman" w:hAnsi="Times New Roman" w:cs="Times New Roman"/>
                <w:color w:val="auto"/>
              </w:rPr>
              <w:t>为</w:t>
            </w:r>
            <w:r>
              <w:rPr>
                <w:rFonts w:hint="default" w:ascii="Times New Roman" w:hAnsi="Times New Roman" w:cs="Times New Roman"/>
                <w:color w:val="auto"/>
                <w:lang w:eastAsia="zh-CN"/>
              </w:rPr>
              <w:t>空地</w:t>
            </w:r>
            <w:r>
              <w:rPr>
                <w:rFonts w:hint="default" w:ascii="Times New Roman" w:hAnsi="Times New Roman" w:cs="Times New Roman"/>
                <w:color w:val="auto"/>
              </w:rPr>
              <w:t>；南侧为</w:t>
            </w:r>
            <w:r>
              <w:rPr>
                <w:rFonts w:hint="default" w:ascii="Times New Roman" w:hAnsi="Times New Roman" w:cs="Times New Roman"/>
                <w:color w:val="auto"/>
                <w:lang w:eastAsia="zh-CN"/>
              </w:rPr>
              <w:t>通村道路，隔路为赵庄村居民</w:t>
            </w:r>
            <w:r>
              <w:rPr>
                <w:rFonts w:hint="default" w:ascii="Times New Roman" w:hAnsi="Times New Roman" w:cs="Times New Roman"/>
                <w:color w:val="auto"/>
              </w:rPr>
              <w:t>；</w:t>
            </w:r>
            <w:r>
              <w:rPr>
                <w:rFonts w:hint="default" w:ascii="Times New Roman" w:hAnsi="Times New Roman" w:cs="Times New Roman"/>
                <w:color w:val="auto"/>
                <w:lang w:eastAsia="zh-CN"/>
              </w:rPr>
              <w:t>北</w:t>
            </w:r>
            <w:r>
              <w:rPr>
                <w:rFonts w:hint="default" w:ascii="Times New Roman" w:hAnsi="Times New Roman" w:cs="Times New Roman"/>
                <w:color w:val="auto"/>
              </w:rPr>
              <w:t>侧为</w:t>
            </w:r>
            <w:r>
              <w:rPr>
                <w:rFonts w:hint="default" w:ascii="Times New Roman" w:hAnsi="Times New Roman" w:cs="Times New Roman"/>
                <w:color w:val="auto"/>
                <w:lang w:eastAsia="zh-CN"/>
              </w:rPr>
              <w:t>废弃厂房</w:t>
            </w:r>
            <w:r>
              <w:rPr>
                <w:rFonts w:hint="default" w:ascii="Times New Roman" w:hAnsi="Times New Roman" w:cs="Times New Roman"/>
                <w:color w:val="auto"/>
              </w:rPr>
              <w:t>。评价区范围内无风景名胜区、文物保护区等敏感点。本项目所产生的</w:t>
            </w:r>
            <w:r>
              <w:rPr>
                <w:rFonts w:hint="default" w:ascii="Times New Roman" w:hAnsi="Times New Roman" w:eastAsia="宋体" w:cs="Times New Roman"/>
                <w:color w:val="auto"/>
              </w:rPr>
              <w:t>“三废”</w:t>
            </w:r>
            <w:r>
              <w:rPr>
                <w:rFonts w:hint="default" w:ascii="Times New Roman" w:hAnsi="Times New Roman" w:cs="Times New Roman"/>
                <w:color w:val="auto"/>
              </w:rPr>
              <w:t>产生量及排放量较小，能做到有效的处理，三废能够达标排放，对区域环境影响较小，项目选址合理。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w:t>
            </w:r>
            <w:r>
              <w:rPr>
                <w:rFonts w:hint="default" w:ascii="Times New Roman" w:hAnsi="Times New Roman" w:cs="Times New Roman"/>
                <w:color w:val="auto"/>
                <w:lang w:eastAsia="zh-CN"/>
              </w:rPr>
              <w:t>本项目</w:t>
            </w:r>
            <w:r>
              <w:rPr>
                <w:rFonts w:hint="default" w:ascii="Times New Roman" w:hAnsi="Times New Roman" w:cs="Times New Roman"/>
                <w:color w:val="auto"/>
              </w:rPr>
              <w:t>与</w:t>
            </w:r>
            <w:r>
              <w:rPr>
                <w:rFonts w:hint="default" w:ascii="Times New Roman" w:hAnsi="Times New Roman" w:cs="Times New Roman"/>
                <w:color w:val="auto"/>
                <w:lang w:eastAsia="zh-CN"/>
              </w:rPr>
              <w:t>《</w:t>
            </w:r>
            <w:r>
              <w:rPr>
                <w:rFonts w:hint="eastAsia" w:ascii="宋体" w:hAnsi="宋体" w:eastAsia="宋体" w:cs="宋体"/>
                <w:color w:val="auto"/>
              </w:rPr>
              <w:t>“十三五”</w:t>
            </w:r>
            <w:r>
              <w:rPr>
                <w:rFonts w:hint="default" w:ascii="Times New Roman" w:hAnsi="Times New Roman" w:cs="Times New Roman"/>
                <w:color w:val="auto"/>
              </w:rPr>
              <w:t>挥发性有机物污染防治工作方案</w:t>
            </w:r>
            <w:r>
              <w:rPr>
                <w:rFonts w:hint="default" w:ascii="Times New Roman" w:hAnsi="Times New Roman" w:cs="Times New Roman"/>
                <w:color w:val="auto"/>
                <w:lang w:eastAsia="zh-CN"/>
              </w:rPr>
              <w:t>》、</w:t>
            </w:r>
            <w:r>
              <w:rPr>
                <w:rFonts w:hint="default" w:ascii="Times New Roman" w:hAnsi="Times New Roman" w:cs="Times New Roman"/>
                <w:color w:val="auto"/>
              </w:rPr>
              <w:t>《挥发性有机物（VOCs）污染防治技术政策》</w:t>
            </w:r>
            <w:r>
              <w:rPr>
                <w:rFonts w:hint="default" w:ascii="Times New Roman" w:hAnsi="Times New Roman" w:cs="Times New Roman"/>
                <w:color w:val="auto"/>
                <w:lang w:eastAsia="zh-CN"/>
              </w:rPr>
              <w:t>、</w:t>
            </w:r>
            <w:r>
              <w:rPr>
                <w:rFonts w:hint="default" w:ascii="Times New Roman" w:hAnsi="Times New Roman" w:cs="Times New Roman"/>
                <w:color w:val="auto"/>
              </w:rPr>
              <w:t>《</w:t>
            </w:r>
            <w:r>
              <w:rPr>
                <w:rFonts w:hint="default" w:ascii="Times New Roman" w:hAnsi="Times New Roman" w:cs="Times New Roman"/>
                <w:color w:val="auto"/>
                <w:lang w:eastAsia="zh-CN"/>
              </w:rPr>
              <w:t>陕西省铁腕治霾打赢蓝天保卫战三年行动方案（</w:t>
            </w:r>
            <w:r>
              <w:rPr>
                <w:rFonts w:hint="default" w:ascii="Times New Roman" w:hAnsi="Times New Roman" w:cs="Times New Roman"/>
                <w:color w:val="auto"/>
                <w:lang w:val="en-US" w:eastAsia="zh-CN"/>
              </w:rPr>
              <w:t>2018-2020</w:t>
            </w:r>
            <w:r>
              <w:rPr>
                <w:rFonts w:hint="default" w:ascii="Times New Roman" w:hAnsi="Times New Roman" w:cs="Times New Roman"/>
                <w:color w:val="auto"/>
                <w:lang w:eastAsia="zh-CN"/>
              </w:rPr>
              <w:t>）</w:t>
            </w:r>
            <w:r>
              <w:rPr>
                <w:rFonts w:hint="default" w:ascii="Times New Roman" w:hAnsi="Times New Roman" w:cs="Times New Roman"/>
                <w:color w:val="auto"/>
              </w:rPr>
              <w:t>》</w:t>
            </w:r>
            <w:r>
              <w:rPr>
                <w:rFonts w:hint="default" w:ascii="Times New Roman" w:hAnsi="Times New Roman" w:cs="Times New Roman"/>
                <w:color w:val="auto"/>
                <w:lang w:eastAsia="zh-CN"/>
              </w:rPr>
              <w:t>（修订版）、《重点行业挥发性有机物综合治理方案》（</w:t>
            </w:r>
            <w:r>
              <w:rPr>
                <w:rFonts w:hint="default" w:ascii="Times New Roman" w:hAnsi="Times New Roman" w:cs="Times New Roman"/>
                <w:color w:val="auto"/>
                <w:lang w:val="en-US" w:eastAsia="zh-CN"/>
              </w:rPr>
              <w:t>2019年6月26日</w:t>
            </w:r>
            <w:r>
              <w:rPr>
                <w:rFonts w:hint="default" w:ascii="Times New Roman" w:hAnsi="Times New Roman" w:cs="Times New Roman"/>
                <w:color w:val="auto"/>
                <w:lang w:eastAsia="zh-CN"/>
              </w:rPr>
              <w:t>）符合性</w:t>
            </w:r>
            <w:r>
              <w:rPr>
                <w:rFonts w:hint="default" w:ascii="Times New Roman" w:hAnsi="Times New Roman" w:cs="Times New Roman"/>
                <w:color w:val="auto"/>
              </w:rPr>
              <w:t>分析</w:t>
            </w:r>
          </w:p>
          <w:p>
            <w:pPr>
              <w:pStyle w:val="9"/>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表1- </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与环保要求符合性分析</w:t>
            </w:r>
          </w:p>
          <w:tbl>
            <w:tblPr>
              <w:tblStyle w:val="2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9"/>
              <w:gridCol w:w="895"/>
              <w:gridCol w:w="3785"/>
              <w:gridCol w:w="2529"/>
              <w:gridCol w:w="6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96" w:type="dxa"/>
                  <w:gridSpan w:val="5"/>
                  <w:noWrap w:val="0"/>
                  <w:vAlign w:val="center"/>
                </w:tcPr>
                <w:p>
                  <w:pPr>
                    <w:pStyle w:val="79"/>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“十三五”</w:t>
                  </w:r>
                  <w:r>
                    <w:rPr>
                      <w:rFonts w:hint="default" w:ascii="Times New Roman" w:hAnsi="Times New Roman" w:cs="Times New Roman"/>
                      <w:color w:val="auto"/>
                      <w:sz w:val="21"/>
                      <w:szCs w:val="21"/>
                    </w:rPr>
                    <w:t>挥发性有机物污染防治工作方案</w:t>
                  </w:r>
                  <w:r>
                    <w:rPr>
                      <w:rFonts w:hint="default" w:ascii="Times New Roman" w:hAnsi="Times New Roman" w:cs="Times New Roman"/>
                      <w:color w:val="auto"/>
                      <w:sz w:val="21"/>
                      <w:szCs w:val="21"/>
                      <w:lang w:eastAsia="zh-CN"/>
                    </w:rPr>
                    <w:t>》符合性分析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19" w:type="dxa"/>
                  <w:gridSpan w:val="3"/>
                  <w:noWrap w:val="0"/>
                  <w:vAlign w:val="center"/>
                </w:tcPr>
                <w:p>
                  <w:pPr>
                    <w:pStyle w:val="7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政策要求</w:t>
                  </w:r>
                </w:p>
              </w:tc>
              <w:tc>
                <w:tcPr>
                  <w:tcW w:w="2529" w:type="dxa"/>
                  <w:noWrap w:val="0"/>
                  <w:vAlign w:val="center"/>
                </w:tcPr>
                <w:p>
                  <w:pPr>
                    <w:pStyle w:val="7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项目情况</w:t>
                  </w:r>
                </w:p>
              </w:tc>
              <w:tc>
                <w:tcPr>
                  <w:tcW w:w="648" w:type="dxa"/>
                  <w:noWrap w:val="0"/>
                  <w:vAlign w:val="center"/>
                </w:tcPr>
                <w:p>
                  <w:pPr>
                    <w:pStyle w:val="7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对照结果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19" w:type="dxa"/>
                  <w:gridSpan w:val="3"/>
                  <w:noWrap w:val="0"/>
                  <w:vAlign w:val="center"/>
                </w:tcPr>
                <w:p>
                  <w:pPr>
                    <w:pStyle w:val="7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深入推进包装印刷行业</w:t>
                  </w:r>
                  <w:r>
                    <w:rPr>
                      <w:rFonts w:hint="default" w:ascii="Times New Roman" w:hAnsi="Times New Roman" w:cs="Times New Roman"/>
                      <w:b w:val="0"/>
                      <w:bCs/>
                      <w:color w:val="auto"/>
                      <w:sz w:val="21"/>
                      <w:szCs w:val="21"/>
                      <w:lang w:val="en-US" w:eastAsia="zh-CN"/>
                    </w:rPr>
                    <w:t>VOCs综合治理。推广使用低（无）VOCs含量的绿色原辅材料和先进生产工艺、设备，加强无组织废气收集，优先烘干技术，配套建设末端治理措施，实现包装印刷行业VOCs全过程控制。加强废气收集与处理。对油墨、胶粘剂等有机原辅材料调配和使用等，要安装高效集气装置等措施，有机废气收集率达到70%以上。</w:t>
                  </w:r>
                </w:p>
              </w:tc>
              <w:tc>
                <w:tcPr>
                  <w:tcW w:w="2529" w:type="dxa"/>
                  <w:noWrap w:val="0"/>
                  <w:vAlign w:val="center"/>
                </w:tcPr>
                <w:p>
                  <w:pPr>
                    <w:pStyle w:val="7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本项目印刷采用大豆环保油墨，印刷</w:t>
                  </w:r>
                  <w:r>
                    <w:rPr>
                      <w:rFonts w:hint="eastAsia" w:ascii="Times New Roman" w:hAnsi="Times New Roman" w:cs="Times New Roman"/>
                      <w:b w:val="0"/>
                      <w:bCs/>
                      <w:color w:val="auto"/>
                      <w:sz w:val="21"/>
                      <w:szCs w:val="21"/>
                      <w:lang w:eastAsia="zh-CN"/>
                    </w:rPr>
                    <w:t>产生的</w:t>
                  </w:r>
                  <w:r>
                    <w:rPr>
                      <w:rFonts w:hint="default" w:ascii="Times New Roman" w:hAnsi="Times New Roman" w:cs="Times New Roman"/>
                      <w:b w:val="0"/>
                      <w:bCs/>
                      <w:color w:val="auto"/>
                      <w:sz w:val="21"/>
                      <w:szCs w:val="21"/>
                      <w:lang w:eastAsia="zh-CN"/>
                    </w:rPr>
                    <w:t>有机废气</w:t>
                  </w:r>
                  <w:r>
                    <w:rPr>
                      <w:rFonts w:hint="eastAsia" w:ascii="Times New Roman" w:hAnsi="Times New Roman" w:cs="Times New Roman"/>
                      <w:b w:val="0"/>
                      <w:bCs/>
                      <w:color w:val="auto"/>
                      <w:sz w:val="21"/>
                      <w:szCs w:val="21"/>
                      <w:lang w:eastAsia="zh-CN"/>
                    </w:rPr>
                    <w:t>经集气罩收集后</w:t>
                  </w:r>
                  <w:r>
                    <w:rPr>
                      <w:rFonts w:hint="default" w:ascii="Times New Roman" w:hAnsi="Times New Roman" w:cs="Times New Roman"/>
                      <w:b w:val="0"/>
                      <w:bCs/>
                      <w:color w:val="auto"/>
                      <w:sz w:val="21"/>
                      <w:szCs w:val="21"/>
                      <w:lang w:eastAsia="zh-CN"/>
                    </w:rPr>
                    <w:t>和</w:t>
                  </w:r>
                  <w:r>
                    <w:rPr>
                      <w:rFonts w:hint="eastAsia" w:cs="Times New Roman"/>
                      <w:b w:val="0"/>
                      <w:bCs/>
                      <w:color w:val="auto"/>
                      <w:sz w:val="21"/>
                      <w:szCs w:val="21"/>
                      <w:lang w:eastAsia="zh-CN"/>
                    </w:rPr>
                    <w:t>手工粘合</w:t>
                  </w:r>
                  <w:r>
                    <w:rPr>
                      <w:rFonts w:hint="default" w:ascii="Times New Roman" w:hAnsi="Times New Roman" w:cs="Times New Roman"/>
                      <w:b w:val="0"/>
                      <w:bCs/>
                      <w:color w:val="auto"/>
                      <w:sz w:val="21"/>
                      <w:szCs w:val="21"/>
                      <w:lang w:eastAsia="zh-CN"/>
                    </w:rPr>
                    <w:t>环节产生的有机废气经</w:t>
                  </w:r>
                  <w:r>
                    <w:rPr>
                      <w:rFonts w:hint="eastAsia" w:ascii="Times New Roman" w:hAnsi="Times New Roman" w:cs="Times New Roman"/>
                      <w:b w:val="0"/>
                      <w:bCs/>
                      <w:color w:val="auto"/>
                      <w:sz w:val="21"/>
                      <w:szCs w:val="21"/>
                      <w:lang w:eastAsia="zh-CN"/>
                    </w:rPr>
                    <w:t>密闭厂房抽风系统收集，最终一起经</w:t>
                  </w:r>
                  <w:r>
                    <w:rPr>
                      <w:rFonts w:hint="default" w:ascii="Times New Roman" w:hAnsi="Times New Roman" w:cs="Times New Roman"/>
                      <w:b w:val="0"/>
                      <w:bCs/>
                      <w:color w:val="auto"/>
                      <w:sz w:val="21"/>
                      <w:szCs w:val="21"/>
                      <w:lang w:val="en-US" w:eastAsia="zh-CN"/>
                    </w:rPr>
                    <w:t>活性炭吸附后通过15m排气筒</w:t>
                  </w:r>
                  <w:r>
                    <w:rPr>
                      <w:rFonts w:hint="default" w:ascii="Times New Roman" w:hAnsi="Times New Roman" w:cs="Times New Roman"/>
                      <w:b w:val="0"/>
                      <w:bCs/>
                      <w:color w:val="auto"/>
                      <w:sz w:val="21"/>
                      <w:szCs w:val="21"/>
                      <w:lang w:eastAsia="zh-CN"/>
                    </w:rPr>
                    <w:t>达标排放，集气收集效率为</w:t>
                  </w:r>
                  <w:r>
                    <w:rPr>
                      <w:rFonts w:hint="default" w:ascii="Times New Roman" w:hAnsi="Times New Roman" w:cs="Times New Roman"/>
                      <w:b w:val="0"/>
                      <w:bCs/>
                      <w:color w:val="auto"/>
                      <w:sz w:val="21"/>
                      <w:szCs w:val="21"/>
                      <w:lang w:val="en-US" w:eastAsia="zh-CN"/>
                    </w:rPr>
                    <w:t>90%，处理效率为80%</w:t>
                  </w:r>
                  <w:r>
                    <w:rPr>
                      <w:rFonts w:hint="eastAsia" w:ascii="Times New Roman" w:hAnsi="Times New Roman" w:cs="Times New Roman"/>
                      <w:b w:val="0"/>
                      <w:bCs/>
                      <w:color w:val="auto"/>
                      <w:sz w:val="21"/>
                      <w:szCs w:val="21"/>
                      <w:lang w:val="en-US" w:eastAsia="zh-CN"/>
                    </w:rPr>
                    <w:t>。</w:t>
                  </w:r>
                </w:p>
              </w:tc>
              <w:tc>
                <w:tcPr>
                  <w:tcW w:w="648" w:type="dxa"/>
                  <w:noWrap w:val="0"/>
                  <w:vAlign w:val="center"/>
                </w:tcPr>
                <w:p>
                  <w:pPr>
                    <w:pStyle w:val="7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96" w:type="dxa"/>
                  <w:gridSpan w:val="5"/>
                  <w:noWrap w:val="0"/>
                  <w:vAlign w:val="center"/>
                </w:tcPr>
                <w:p>
                  <w:pPr>
                    <w:pStyle w:val="79"/>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《挥发性有机物（VOCs）污染防治技术政策》</w:t>
                  </w:r>
                  <w:r>
                    <w:rPr>
                      <w:rFonts w:hint="default" w:ascii="Times New Roman" w:hAnsi="Times New Roman" w:cs="Times New Roman"/>
                      <w:color w:val="auto"/>
                      <w:sz w:val="21"/>
                      <w:szCs w:val="21"/>
                      <w:lang w:eastAsia="zh-CN"/>
                    </w:rPr>
                    <w:t>符合性分析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noWrap w:val="0"/>
                  <w:vAlign w:val="center"/>
                </w:tcPr>
                <w:p>
                  <w:pPr>
                    <w:pStyle w:val="7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编号</w:t>
                  </w:r>
                </w:p>
              </w:tc>
              <w:tc>
                <w:tcPr>
                  <w:tcW w:w="4680" w:type="dxa"/>
                  <w:gridSpan w:val="2"/>
                  <w:noWrap w:val="0"/>
                  <w:vAlign w:val="center"/>
                </w:tcPr>
                <w:p>
                  <w:pPr>
                    <w:pStyle w:val="7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政策要求</w:t>
                  </w:r>
                </w:p>
              </w:tc>
              <w:tc>
                <w:tcPr>
                  <w:tcW w:w="2529" w:type="dxa"/>
                  <w:noWrap w:val="0"/>
                  <w:vAlign w:val="center"/>
                </w:tcPr>
                <w:p>
                  <w:pPr>
                    <w:pStyle w:val="7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项目情况</w:t>
                  </w:r>
                </w:p>
              </w:tc>
              <w:tc>
                <w:tcPr>
                  <w:tcW w:w="648" w:type="dxa"/>
                  <w:noWrap w:val="0"/>
                  <w:vAlign w:val="center"/>
                </w:tcPr>
                <w:p>
                  <w:pPr>
                    <w:pStyle w:val="7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对照结果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noWrap w:val="0"/>
                  <w:vAlign w:val="center"/>
                </w:tcPr>
                <w:p>
                  <w:pPr>
                    <w:pStyle w:val="7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w:t>
                  </w:r>
                </w:p>
              </w:tc>
              <w:tc>
                <w:tcPr>
                  <w:tcW w:w="895" w:type="dxa"/>
                  <w:tcBorders>
                    <w:righ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二、源头和过程控制</w:t>
                  </w:r>
                </w:p>
              </w:tc>
              <w:tc>
                <w:tcPr>
                  <w:tcW w:w="3785" w:type="dxa"/>
                  <w:tcBorders>
                    <w:left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（十）在涂料、印刷、粘合、工业清洗等含VOCs产品的使用过程中的VOCs污染防治技术措施包括：</w:t>
                  </w:r>
                </w:p>
                <w:p>
                  <w:pPr>
                    <w:pStyle w:val="79"/>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6.</w:t>
                  </w:r>
                  <w:r>
                    <w:rPr>
                      <w:rFonts w:hint="default" w:ascii="Times New Roman" w:hAnsi="Times New Roman" w:cs="Times New Roman"/>
                      <w:b w:val="0"/>
                      <w:bCs/>
                      <w:color w:val="auto"/>
                      <w:sz w:val="21"/>
                      <w:szCs w:val="21"/>
                    </w:rPr>
                    <w:t>含 VOCs 产品的使用过程中，应采取废气收集措施，提高废气收集效率，减少废气的无组织排放与逸散</w:t>
                  </w:r>
                  <w:r>
                    <w:rPr>
                      <w:rFonts w:hint="default" w:ascii="Times New Roman" w:hAnsi="Times New Roman" w:cs="Times New Roman"/>
                      <w:b w:val="0"/>
                      <w:bCs/>
                      <w:color w:val="auto"/>
                      <w:sz w:val="21"/>
                      <w:szCs w:val="21"/>
                      <w:lang w:eastAsia="zh-CN"/>
                    </w:rPr>
                    <w:t>，</w:t>
                  </w:r>
                  <w:r>
                    <w:rPr>
                      <w:rFonts w:hint="default" w:ascii="Times New Roman" w:hAnsi="Times New Roman" w:cs="Times New Roman"/>
                      <w:b w:val="0"/>
                      <w:bCs/>
                      <w:color w:val="auto"/>
                      <w:sz w:val="21"/>
                      <w:szCs w:val="21"/>
                    </w:rPr>
                    <w:t>并对收集后的废气进行回</w:t>
                  </w:r>
                  <w:r>
                    <w:rPr>
                      <w:rFonts w:hint="default" w:ascii="Times New Roman" w:hAnsi="Times New Roman" w:cs="Times New Roman"/>
                      <w:b w:val="0"/>
                      <w:bCs/>
                      <w:color w:val="auto"/>
                      <w:sz w:val="21"/>
                      <w:szCs w:val="21"/>
                      <w:lang w:eastAsia="zh-CN"/>
                    </w:rPr>
                    <w:t>收或处理后达标排放。</w:t>
                  </w:r>
                </w:p>
              </w:tc>
              <w:tc>
                <w:tcPr>
                  <w:tcW w:w="2529" w:type="dxa"/>
                  <w:vMerge w:val="restart"/>
                  <w:noWrap w:val="0"/>
                  <w:vAlign w:val="center"/>
                </w:tcPr>
                <w:p>
                  <w:pPr>
                    <w:pStyle w:val="79"/>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本项目印刷采用大豆环保油墨，印刷</w:t>
                  </w:r>
                  <w:r>
                    <w:rPr>
                      <w:rFonts w:hint="eastAsia" w:ascii="Times New Roman" w:hAnsi="Times New Roman" w:cs="Times New Roman"/>
                      <w:b w:val="0"/>
                      <w:bCs/>
                      <w:color w:val="auto"/>
                      <w:sz w:val="21"/>
                      <w:szCs w:val="21"/>
                      <w:lang w:eastAsia="zh-CN"/>
                    </w:rPr>
                    <w:t>产生的</w:t>
                  </w:r>
                  <w:r>
                    <w:rPr>
                      <w:rFonts w:hint="default" w:ascii="Times New Roman" w:hAnsi="Times New Roman" w:cs="Times New Roman"/>
                      <w:b w:val="0"/>
                      <w:bCs/>
                      <w:color w:val="auto"/>
                      <w:sz w:val="21"/>
                      <w:szCs w:val="21"/>
                      <w:lang w:eastAsia="zh-CN"/>
                    </w:rPr>
                    <w:t>有机废气</w:t>
                  </w:r>
                  <w:r>
                    <w:rPr>
                      <w:rFonts w:hint="eastAsia" w:ascii="Times New Roman" w:hAnsi="Times New Roman" w:cs="Times New Roman"/>
                      <w:b w:val="0"/>
                      <w:bCs/>
                      <w:color w:val="auto"/>
                      <w:sz w:val="21"/>
                      <w:szCs w:val="21"/>
                      <w:lang w:eastAsia="zh-CN"/>
                    </w:rPr>
                    <w:t>经集气罩收集后</w:t>
                  </w:r>
                  <w:r>
                    <w:rPr>
                      <w:rFonts w:hint="default" w:ascii="Times New Roman" w:hAnsi="Times New Roman" w:cs="Times New Roman"/>
                      <w:b w:val="0"/>
                      <w:bCs/>
                      <w:color w:val="auto"/>
                      <w:sz w:val="21"/>
                      <w:szCs w:val="21"/>
                      <w:lang w:eastAsia="zh-CN"/>
                    </w:rPr>
                    <w:t>和</w:t>
                  </w:r>
                  <w:r>
                    <w:rPr>
                      <w:rFonts w:hint="eastAsia" w:cs="Times New Roman"/>
                      <w:b w:val="0"/>
                      <w:bCs/>
                      <w:color w:val="auto"/>
                      <w:sz w:val="21"/>
                      <w:szCs w:val="21"/>
                      <w:lang w:eastAsia="zh-CN"/>
                    </w:rPr>
                    <w:t>手工粘合</w:t>
                  </w:r>
                  <w:r>
                    <w:rPr>
                      <w:rFonts w:hint="default" w:ascii="Times New Roman" w:hAnsi="Times New Roman" w:cs="Times New Roman"/>
                      <w:b w:val="0"/>
                      <w:bCs/>
                      <w:color w:val="auto"/>
                      <w:sz w:val="21"/>
                      <w:szCs w:val="21"/>
                      <w:lang w:eastAsia="zh-CN"/>
                    </w:rPr>
                    <w:t>环节产生的有机废气经</w:t>
                  </w:r>
                  <w:r>
                    <w:rPr>
                      <w:rFonts w:hint="eastAsia" w:ascii="Times New Roman" w:hAnsi="Times New Roman" w:cs="Times New Roman"/>
                      <w:b w:val="0"/>
                      <w:bCs/>
                      <w:color w:val="auto"/>
                      <w:sz w:val="21"/>
                      <w:szCs w:val="21"/>
                      <w:lang w:eastAsia="zh-CN"/>
                    </w:rPr>
                    <w:t>密闭厂房抽风系统收集，最终一起经</w:t>
                  </w:r>
                  <w:r>
                    <w:rPr>
                      <w:rFonts w:hint="default" w:ascii="Times New Roman" w:hAnsi="Times New Roman" w:cs="Times New Roman"/>
                      <w:b w:val="0"/>
                      <w:bCs/>
                      <w:color w:val="auto"/>
                      <w:sz w:val="21"/>
                      <w:szCs w:val="21"/>
                      <w:lang w:val="en-US" w:eastAsia="zh-CN"/>
                    </w:rPr>
                    <w:t>活性炭吸附后通过15m排气筒</w:t>
                  </w:r>
                  <w:r>
                    <w:rPr>
                      <w:rFonts w:hint="default" w:ascii="Times New Roman" w:hAnsi="Times New Roman" w:cs="Times New Roman"/>
                      <w:b w:val="0"/>
                      <w:bCs/>
                      <w:color w:val="auto"/>
                      <w:sz w:val="21"/>
                      <w:szCs w:val="21"/>
                      <w:lang w:eastAsia="zh-CN"/>
                    </w:rPr>
                    <w:t>达标排放，集气收集效率为</w:t>
                  </w:r>
                  <w:r>
                    <w:rPr>
                      <w:rFonts w:hint="default" w:ascii="Times New Roman" w:hAnsi="Times New Roman" w:cs="Times New Roman"/>
                      <w:b w:val="0"/>
                      <w:bCs/>
                      <w:color w:val="auto"/>
                      <w:sz w:val="21"/>
                      <w:szCs w:val="21"/>
                      <w:lang w:val="en-US" w:eastAsia="zh-CN"/>
                    </w:rPr>
                    <w:t>90%，处理效率为80%</w:t>
                  </w:r>
                  <w:r>
                    <w:rPr>
                      <w:rFonts w:hint="eastAsia" w:cs="Times New Roman"/>
                      <w:b w:val="0"/>
                      <w:bCs/>
                      <w:color w:val="auto"/>
                      <w:sz w:val="21"/>
                      <w:szCs w:val="21"/>
                      <w:lang w:val="en-US" w:eastAsia="zh-CN"/>
                    </w:rPr>
                    <w:t>。</w:t>
                  </w:r>
                </w:p>
              </w:tc>
              <w:tc>
                <w:tcPr>
                  <w:tcW w:w="648" w:type="dxa"/>
                  <w:vMerge w:val="restart"/>
                  <w:noWrap w:val="0"/>
                  <w:vAlign w:val="center"/>
                </w:tcPr>
                <w:p>
                  <w:pPr>
                    <w:pStyle w:val="7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noWrap w:val="0"/>
                  <w:vAlign w:val="center"/>
                </w:tcPr>
                <w:p>
                  <w:pPr>
                    <w:pStyle w:val="7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895" w:type="dxa"/>
                  <w:tcBorders>
                    <w:right w:val="single" w:color="auto" w:sz="4" w:space="0"/>
                  </w:tcBorders>
                  <w:noWrap w:val="0"/>
                  <w:vAlign w:val="center"/>
                </w:tcPr>
                <w:p>
                  <w:pPr>
                    <w:pStyle w:val="9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三、末端治理与综合利用</w:t>
                  </w:r>
                </w:p>
              </w:tc>
              <w:tc>
                <w:tcPr>
                  <w:tcW w:w="3785" w:type="dxa"/>
                  <w:tcBorders>
                    <w:left w:val="single" w:color="auto" w:sz="4" w:space="0"/>
                  </w:tcBorders>
                  <w:noWrap w:val="0"/>
                  <w:vAlign w:val="center"/>
                </w:tcPr>
                <w:p>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十五）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529" w:type="dxa"/>
                  <w:vMerge w:val="continue"/>
                  <w:noWrap w:val="0"/>
                  <w:vAlign w:val="center"/>
                </w:tcPr>
                <w:p>
                  <w:pPr>
                    <w:pStyle w:val="7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rPr>
                  </w:pPr>
                </w:p>
              </w:tc>
              <w:tc>
                <w:tcPr>
                  <w:tcW w:w="648" w:type="dxa"/>
                  <w:vMerge w:val="continue"/>
                  <w:noWrap w:val="0"/>
                  <w:vAlign w:val="center"/>
                </w:tcPr>
                <w:p>
                  <w:pPr>
                    <w:pStyle w:val="7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noWrap w:val="0"/>
                  <w:vAlign w:val="center"/>
                </w:tcPr>
                <w:p>
                  <w:pPr>
                    <w:pStyle w:val="7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895" w:type="dxa"/>
                  <w:tcBorders>
                    <w:right w:val="single" w:color="auto" w:sz="4" w:space="0"/>
                  </w:tcBorders>
                  <w:noWrap w:val="0"/>
                  <w:vAlign w:val="center"/>
                </w:tcPr>
                <w:p>
                  <w:pPr>
                    <w:pStyle w:val="97"/>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五、运行与监测</w:t>
                  </w:r>
                </w:p>
              </w:tc>
              <w:tc>
                <w:tcPr>
                  <w:tcW w:w="3785" w:type="dxa"/>
                  <w:tcBorders>
                    <w:left w:val="single" w:color="auto" w:sz="4" w:space="0"/>
                  </w:tcBorders>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（二十五）鼓励企业自行开展VOCs监测，并及时主动向当地环保行政主管部门报送监测结果。</w:t>
                  </w:r>
                </w:p>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（二十六）企业应建立健全VOCs治理设施的运行维护规程和台帐等日常管理制度，并根据工艺要求定期对各类设备、电气、自控仪表等进行检修维护，确保设施的稳定运行。</w:t>
                  </w:r>
                </w:p>
                <w:p>
                  <w:pPr>
                    <w:pStyle w:val="97"/>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（二十七）当采用吸附回收（浓缩）、催化燃烧、热力焚烧、等离子体等方法进行末端治理时，应编制本单位事故火灾、爆炸等应急救援预案，配备应急救援人员和器材，并开展应急演练。</w:t>
                  </w:r>
                </w:p>
              </w:tc>
              <w:tc>
                <w:tcPr>
                  <w:tcW w:w="2529" w:type="dxa"/>
                  <w:noWrap w:val="0"/>
                  <w:vAlign w:val="center"/>
                </w:tcPr>
                <w:p>
                  <w:pPr>
                    <w:pStyle w:val="7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项目建立健全VOCs治理设施的运行维护规程和台帐等日常管理制度</w:t>
                  </w:r>
                  <w:r>
                    <w:rPr>
                      <w:rFonts w:hint="default" w:ascii="Times New Roman" w:hAnsi="Times New Roman" w:cs="Times New Roman"/>
                      <w:b w:val="0"/>
                      <w:bCs/>
                      <w:color w:val="auto"/>
                      <w:sz w:val="21"/>
                      <w:szCs w:val="21"/>
                      <w:lang w:eastAsia="zh-CN"/>
                    </w:rPr>
                    <w:t>；本项目印刷采用大豆环保油墨，印刷</w:t>
                  </w:r>
                  <w:r>
                    <w:rPr>
                      <w:rFonts w:hint="eastAsia" w:ascii="Times New Roman" w:hAnsi="Times New Roman" w:cs="Times New Roman"/>
                      <w:b w:val="0"/>
                      <w:bCs/>
                      <w:color w:val="auto"/>
                      <w:sz w:val="21"/>
                      <w:szCs w:val="21"/>
                      <w:lang w:eastAsia="zh-CN"/>
                    </w:rPr>
                    <w:t>产生的</w:t>
                  </w:r>
                  <w:r>
                    <w:rPr>
                      <w:rFonts w:hint="default" w:ascii="Times New Roman" w:hAnsi="Times New Roman" w:cs="Times New Roman"/>
                      <w:b w:val="0"/>
                      <w:bCs/>
                      <w:color w:val="auto"/>
                      <w:sz w:val="21"/>
                      <w:szCs w:val="21"/>
                      <w:lang w:eastAsia="zh-CN"/>
                    </w:rPr>
                    <w:t>有机废气</w:t>
                  </w:r>
                  <w:r>
                    <w:rPr>
                      <w:rFonts w:hint="eastAsia" w:ascii="Times New Roman" w:hAnsi="Times New Roman" w:cs="Times New Roman"/>
                      <w:b w:val="0"/>
                      <w:bCs/>
                      <w:color w:val="auto"/>
                      <w:sz w:val="21"/>
                      <w:szCs w:val="21"/>
                      <w:lang w:eastAsia="zh-CN"/>
                    </w:rPr>
                    <w:t>经集气罩收集后</w:t>
                  </w:r>
                  <w:r>
                    <w:rPr>
                      <w:rFonts w:hint="default" w:ascii="Times New Roman" w:hAnsi="Times New Roman" w:cs="Times New Roman"/>
                      <w:b w:val="0"/>
                      <w:bCs/>
                      <w:color w:val="auto"/>
                      <w:sz w:val="21"/>
                      <w:szCs w:val="21"/>
                      <w:lang w:eastAsia="zh-CN"/>
                    </w:rPr>
                    <w:t>和手工粘</w:t>
                  </w:r>
                  <w:r>
                    <w:rPr>
                      <w:rFonts w:hint="eastAsia" w:cs="Times New Roman"/>
                      <w:b w:val="0"/>
                      <w:bCs/>
                      <w:color w:val="auto"/>
                      <w:sz w:val="21"/>
                      <w:szCs w:val="21"/>
                      <w:lang w:eastAsia="zh-CN"/>
                    </w:rPr>
                    <w:t>合</w:t>
                  </w:r>
                  <w:r>
                    <w:rPr>
                      <w:rFonts w:hint="default" w:ascii="Times New Roman" w:hAnsi="Times New Roman" w:cs="Times New Roman"/>
                      <w:b w:val="0"/>
                      <w:bCs/>
                      <w:color w:val="auto"/>
                      <w:sz w:val="21"/>
                      <w:szCs w:val="21"/>
                      <w:lang w:eastAsia="zh-CN"/>
                    </w:rPr>
                    <w:t>环节产生的有机废气经</w:t>
                  </w:r>
                  <w:r>
                    <w:rPr>
                      <w:rFonts w:hint="eastAsia" w:ascii="Times New Roman" w:hAnsi="Times New Roman" w:cs="Times New Roman"/>
                      <w:b w:val="0"/>
                      <w:bCs/>
                      <w:color w:val="auto"/>
                      <w:sz w:val="21"/>
                      <w:szCs w:val="21"/>
                      <w:lang w:eastAsia="zh-CN"/>
                    </w:rPr>
                    <w:t>密闭厂房抽风系统收集，最终一起经</w:t>
                  </w:r>
                  <w:r>
                    <w:rPr>
                      <w:rFonts w:hint="default" w:ascii="Times New Roman" w:hAnsi="Times New Roman" w:cs="Times New Roman"/>
                      <w:b w:val="0"/>
                      <w:bCs/>
                      <w:color w:val="auto"/>
                      <w:sz w:val="21"/>
                      <w:szCs w:val="21"/>
                      <w:lang w:val="en-US" w:eastAsia="zh-CN"/>
                    </w:rPr>
                    <w:t>活性炭吸附后通过15m排气筒</w:t>
                  </w:r>
                  <w:r>
                    <w:rPr>
                      <w:rFonts w:hint="default" w:ascii="Times New Roman" w:hAnsi="Times New Roman" w:cs="Times New Roman"/>
                      <w:b w:val="0"/>
                      <w:bCs/>
                      <w:color w:val="auto"/>
                      <w:sz w:val="21"/>
                      <w:szCs w:val="21"/>
                      <w:lang w:eastAsia="zh-CN"/>
                    </w:rPr>
                    <w:t>达标排放</w:t>
                  </w:r>
                </w:p>
              </w:tc>
              <w:tc>
                <w:tcPr>
                  <w:tcW w:w="648" w:type="dxa"/>
                  <w:noWrap w:val="0"/>
                  <w:vAlign w:val="center"/>
                </w:tcPr>
                <w:p>
                  <w:pPr>
                    <w:pStyle w:val="7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96" w:type="dxa"/>
                  <w:gridSpan w:val="5"/>
                  <w:noWrap w:val="0"/>
                  <w:vAlign w:val="center"/>
                </w:tcPr>
                <w:p>
                  <w:pPr>
                    <w:pStyle w:val="7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陕西省铁腕治霾打赢蓝天保卫战三年行动方案（</w:t>
                  </w:r>
                  <w:r>
                    <w:rPr>
                      <w:rFonts w:hint="default" w:ascii="Times New Roman" w:hAnsi="Times New Roman" w:cs="Times New Roman"/>
                      <w:color w:val="auto"/>
                      <w:sz w:val="21"/>
                      <w:szCs w:val="21"/>
                      <w:lang w:val="en-US" w:eastAsia="zh-CN"/>
                    </w:rPr>
                    <w:t>2018-2020</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（修订版）符合性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noWrap w:val="0"/>
                  <w:vAlign w:val="center"/>
                </w:tcPr>
                <w:p>
                  <w:pPr>
                    <w:pStyle w:val="7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w:t>
                  </w:r>
                </w:p>
              </w:tc>
              <w:tc>
                <w:tcPr>
                  <w:tcW w:w="4680" w:type="dxa"/>
                  <w:gridSpan w:val="2"/>
                  <w:noWrap w:val="0"/>
                  <w:vAlign w:val="center"/>
                </w:tcPr>
                <w:p>
                  <w:pPr>
                    <w:pStyle w:val="7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eastAsia="zh-CN"/>
                    </w:rPr>
                    <w:t>实施</w:t>
                  </w:r>
                  <w:r>
                    <w:rPr>
                      <w:rFonts w:hint="default" w:ascii="Times New Roman" w:hAnsi="Times New Roman" w:cs="Times New Roman"/>
                      <w:b w:val="0"/>
                      <w:bCs/>
                      <w:color w:val="auto"/>
                      <w:sz w:val="21"/>
                      <w:szCs w:val="21"/>
                    </w:rPr>
                    <w:t>VOCs</w:t>
                  </w:r>
                  <w:r>
                    <w:rPr>
                      <w:rFonts w:hint="default" w:ascii="Times New Roman" w:hAnsi="Times New Roman" w:cs="Times New Roman"/>
                      <w:b w:val="0"/>
                      <w:bCs/>
                      <w:color w:val="auto"/>
                      <w:sz w:val="21"/>
                      <w:szCs w:val="21"/>
                      <w:lang w:eastAsia="zh-CN"/>
                    </w:rPr>
                    <w:t>专项整治方案。各市制订石化、化工、工业涂装、包装印刷、家具、电子制造、工程机械制造等</w:t>
                  </w:r>
                  <w:r>
                    <w:rPr>
                      <w:rFonts w:hint="default" w:ascii="Times New Roman" w:hAnsi="Times New Roman" w:cs="Times New Roman"/>
                      <w:b w:val="0"/>
                      <w:bCs/>
                      <w:color w:val="auto"/>
                      <w:sz w:val="21"/>
                      <w:szCs w:val="21"/>
                      <w:lang w:val="en-US" w:eastAsia="zh-CN"/>
                    </w:rPr>
                    <w:t>VOCs排放重点行业挥发性有机物整治方案。关中地区禁止建设生产和使用高VOCs含量的溶剂型涂料、油墨、胶粘剂等项目，开展VOCs整治专项执法行动，严厉打击违法排污行为，对治理效果差、技术服务能力弱、运营管理水平低的治理单位，公布名单，实行联合惩戒，扶持培育VOCs治理和服务专业化规模化龙头企业。2020年，VOCs排放总量达到国家污染物总量减排任务要求。</w:t>
                  </w:r>
                  <w:r>
                    <w:rPr>
                      <w:rFonts w:hint="default" w:ascii="Times New Roman" w:hAnsi="Times New Roman" w:cs="Times New Roman"/>
                      <w:b w:val="0"/>
                      <w:bCs/>
                      <w:color w:val="auto"/>
                      <w:sz w:val="21"/>
                      <w:szCs w:val="21"/>
                    </w:rPr>
                    <w:t>重点推动加油站、油品储运销设施三次油气回收治理。加强挥发性有机物监督性监测能力建设，重点企业安装在线监测系统，挥发性有机物排放重点工业园区建设挥发性有机物空气质量自动监测站。加大餐饮油烟治理力度。排放油烟的饮食业单位全部安装油烟净化装置并实现达标排放，凡达不到《饮食业油烟排放标准（GB18483-2001）》排放限值的，一律停业整改。全面规范治理露天烧烤污染，严防有烟烧烤</w:t>
                  </w:r>
                  <w:r>
                    <w:rPr>
                      <w:rFonts w:hint="default" w:ascii="Times New Roman" w:hAnsi="Times New Roman" w:eastAsia="宋体" w:cs="Times New Roman"/>
                      <w:b w:val="0"/>
                      <w:bCs/>
                      <w:color w:val="auto"/>
                      <w:sz w:val="21"/>
                      <w:szCs w:val="21"/>
                    </w:rPr>
                    <w:t>“死灰复燃”。</w:t>
                  </w:r>
                </w:p>
              </w:tc>
              <w:tc>
                <w:tcPr>
                  <w:tcW w:w="2529" w:type="dxa"/>
                  <w:noWrap w:val="0"/>
                  <w:vAlign w:val="center"/>
                </w:tcPr>
                <w:p>
                  <w:pPr>
                    <w:pStyle w:val="7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eastAsia="zh-CN"/>
                    </w:rPr>
                    <w:t>本项目印刷采用大豆环保油墨，不属于高</w:t>
                  </w:r>
                  <w:r>
                    <w:rPr>
                      <w:rFonts w:hint="default" w:ascii="Times New Roman" w:hAnsi="Times New Roman" w:cs="Times New Roman"/>
                      <w:b w:val="0"/>
                      <w:bCs/>
                      <w:color w:val="auto"/>
                      <w:sz w:val="21"/>
                      <w:szCs w:val="21"/>
                      <w:lang w:val="en-US" w:eastAsia="zh-CN"/>
                    </w:rPr>
                    <w:t>VOCs含量物料。</w:t>
                  </w:r>
                  <w:r>
                    <w:rPr>
                      <w:rFonts w:hint="default" w:ascii="Times New Roman" w:hAnsi="Times New Roman" w:cs="Times New Roman"/>
                      <w:b w:val="0"/>
                      <w:bCs/>
                      <w:color w:val="auto"/>
                      <w:sz w:val="21"/>
                      <w:szCs w:val="21"/>
                      <w:lang w:eastAsia="zh-CN"/>
                    </w:rPr>
                    <w:t>本项目印刷采用大豆环保油墨，印刷</w:t>
                  </w:r>
                  <w:r>
                    <w:rPr>
                      <w:rFonts w:hint="eastAsia" w:ascii="Times New Roman" w:hAnsi="Times New Roman" w:cs="Times New Roman"/>
                      <w:b w:val="0"/>
                      <w:bCs/>
                      <w:color w:val="auto"/>
                      <w:sz w:val="21"/>
                      <w:szCs w:val="21"/>
                      <w:lang w:eastAsia="zh-CN"/>
                    </w:rPr>
                    <w:t>产生的</w:t>
                  </w:r>
                  <w:r>
                    <w:rPr>
                      <w:rFonts w:hint="default" w:ascii="Times New Roman" w:hAnsi="Times New Roman" w:cs="Times New Roman"/>
                      <w:b w:val="0"/>
                      <w:bCs/>
                      <w:color w:val="auto"/>
                      <w:sz w:val="21"/>
                      <w:szCs w:val="21"/>
                      <w:lang w:eastAsia="zh-CN"/>
                    </w:rPr>
                    <w:t>有机废气</w:t>
                  </w:r>
                  <w:r>
                    <w:rPr>
                      <w:rFonts w:hint="eastAsia" w:ascii="Times New Roman" w:hAnsi="Times New Roman" w:cs="Times New Roman"/>
                      <w:b w:val="0"/>
                      <w:bCs/>
                      <w:color w:val="auto"/>
                      <w:sz w:val="21"/>
                      <w:szCs w:val="21"/>
                      <w:lang w:eastAsia="zh-CN"/>
                    </w:rPr>
                    <w:t>经集气罩收集后</w:t>
                  </w:r>
                  <w:r>
                    <w:rPr>
                      <w:rFonts w:hint="default" w:ascii="Times New Roman" w:hAnsi="Times New Roman" w:cs="Times New Roman"/>
                      <w:b w:val="0"/>
                      <w:bCs/>
                      <w:color w:val="auto"/>
                      <w:sz w:val="21"/>
                      <w:szCs w:val="21"/>
                      <w:lang w:eastAsia="zh-CN"/>
                    </w:rPr>
                    <w:t>和手工粘</w:t>
                  </w:r>
                  <w:r>
                    <w:rPr>
                      <w:rFonts w:hint="eastAsia" w:cs="Times New Roman"/>
                      <w:b w:val="0"/>
                      <w:bCs/>
                      <w:color w:val="auto"/>
                      <w:sz w:val="21"/>
                      <w:szCs w:val="21"/>
                      <w:lang w:eastAsia="zh-CN"/>
                    </w:rPr>
                    <w:t>合</w:t>
                  </w:r>
                  <w:r>
                    <w:rPr>
                      <w:rFonts w:hint="default" w:ascii="Times New Roman" w:hAnsi="Times New Roman" w:cs="Times New Roman"/>
                      <w:b w:val="0"/>
                      <w:bCs/>
                      <w:color w:val="auto"/>
                      <w:sz w:val="21"/>
                      <w:szCs w:val="21"/>
                      <w:lang w:eastAsia="zh-CN"/>
                    </w:rPr>
                    <w:t>环节产生的有机废气经</w:t>
                  </w:r>
                  <w:r>
                    <w:rPr>
                      <w:rFonts w:hint="eastAsia" w:ascii="Times New Roman" w:hAnsi="Times New Roman" w:cs="Times New Roman"/>
                      <w:b w:val="0"/>
                      <w:bCs/>
                      <w:color w:val="auto"/>
                      <w:sz w:val="21"/>
                      <w:szCs w:val="21"/>
                      <w:lang w:eastAsia="zh-CN"/>
                    </w:rPr>
                    <w:t>密闭厂房抽风系统收集，最终一起经</w:t>
                  </w:r>
                  <w:r>
                    <w:rPr>
                      <w:rFonts w:hint="default" w:ascii="Times New Roman" w:hAnsi="Times New Roman" w:cs="Times New Roman"/>
                      <w:b w:val="0"/>
                      <w:bCs/>
                      <w:color w:val="auto"/>
                      <w:sz w:val="21"/>
                      <w:szCs w:val="21"/>
                      <w:lang w:val="en-US" w:eastAsia="zh-CN"/>
                    </w:rPr>
                    <w:t>活性炭吸附后通过15m排气筒</w:t>
                  </w:r>
                  <w:r>
                    <w:rPr>
                      <w:rFonts w:hint="default" w:ascii="Times New Roman" w:hAnsi="Times New Roman" w:cs="Times New Roman"/>
                      <w:b w:val="0"/>
                      <w:bCs/>
                      <w:color w:val="auto"/>
                      <w:sz w:val="21"/>
                      <w:szCs w:val="21"/>
                      <w:lang w:eastAsia="zh-CN"/>
                    </w:rPr>
                    <w:t>达标排放，</w:t>
                  </w:r>
                  <w:r>
                    <w:rPr>
                      <w:rFonts w:hint="default" w:ascii="Times New Roman" w:hAnsi="Times New Roman" w:cs="Times New Roman"/>
                      <w:b w:val="0"/>
                      <w:bCs/>
                      <w:color w:val="auto"/>
                      <w:sz w:val="21"/>
                      <w:szCs w:val="21"/>
                    </w:rPr>
                    <w:t>废气排放满足</w:t>
                  </w:r>
                  <w:r>
                    <w:rPr>
                      <w:rFonts w:hint="default" w:ascii="Times New Roman" w:hAnsi="Times New Roman" w:cs="Times New Roman"/>
                      <w:b w:val="0"/>
                      <w:bCs/>
                      <w:color w:val="auto"/>
                      <w:sz w:val="21"/>
                      <w:szCs w:val="21"/>
                      <w:lang w:eastAsia="zh-CN"/>
                    </w:rPr>
                    <w:t>《挥发性有机物排放控制标准》（</w:t>
                  </w:r>
                  <w:r>
                    <w:rPr>
                      <w:rFonts w:hint="default" w:ascii="Times New Roman" w:hAnsi="Times New Roman" w:cs="Times New Roman"/>
                      <w:b w:val="0"/>
                      <w:bCs/>
                      <w:color w:val="auto"/>
                      <w:sz w:val="21"/>
                      <w:szCs w:val="21"/>
                      <w:lang w:val="en-US" w:eastAsia="zh-CN"/>
                    </w:rPr>
                    <w:t>DB61/T 1061-2017</w:t>
                  </w:r>
                  <w:r>
                    <w:rPr>
                      <w:rFonts w:hint="default" w:ascii="Times New Roman" w:hAnsi="Times New Roman" w:cs="Times New Roman"/>
                      <w:b w:val="0"/>
                      <w:bCs/>
                      <w:color w:val="auto"/>
                      <w:sz w:val="21"/>
                      <w:szCs w:val="21"/>
                      <w:lang w:eastAsia="zh-CN"/>
                    </w:rPr>
                    <w:t>）</w:t>
                  </w:r>
                  <w:r>
                    <w:rPr>
                      <w:rFonts w:hint="default" w:ascii="Times New Roman" w:hAnsi="Times New Roman" w:cs="Times New Roman"/>
                      <w:b w:val="0"/>
                      <w:bCs/>
                      <w:color w:val="auto"/>
                      <w:sz w:val="21"/>
                      <w:szCs w:val="21"/>
                      <w:lang w:val="en-US" w:eastAsia="zh-CN"/>
                    </w:rPr>
                    <w:t>要求；</w:t>
                  </w:r>
                  <w:r>
                    <w:rPr>
                      <w:rFonts w:hint="default" w:ascii="Times New Roman" w:hAnsi="Times New Roman" w:cs="Times New Roman"/>
                      <w:b w:val="0"/>
                      <w:bCs/>
                      <w:color w:val="auto"/>
                      <w:sz w:val="21"/>
                      <w:szCs w:val="21"/>
                    </w:rPr>
                    <w:t>本项目餐饮油烟经油烟净化设备处理后高空排放</w:t>
                  </w:r>
                </w:p>
              </w:tc>
              <w:tc>
                <w:tcPr>
                  <w:tcW w:w="648" w:type="dxa"/>
                  <w:noWrap w:val="0"/>
                  <w:vAlign w:val="center"/>
                </w:tcPr>
                <w:p>
                  <w:pPr>
                    <w:pStyle w:val="7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96" w:type="dxa"/>
                  <w:gridSpan w:val="5"/>
                  <w:noWrap w:val="0"/>
                  <w:vAlign w:val="center"/>
                </w:tcPr>
                <w:p>
                  <w:pPr>
                    <w:pStyle w:val="79"/>
                    <w:rPr>
                      <w:rFonts w:hint="default" w:ascii="Times New Roman" w:hAnsi="Times New Roman" w:cs="Times New Roman"/>
                      <w:b w:val="0"/>
                      <w:bCs/>
                      <w:color w:val="auto"/>
                      <w:sz w:val="21"/>
                      <w:szCs w:val="21"/>
                    </w:rPr>
                  </w:pPr>
                  <w:r>
                    <w:rPr>
                      <w:rFonts w:hint="default" w:ascii="Times New Roman" w:hAnsi="Times New Roman" w:cs="Times New Roman"/>
                      <w:color w:val="auto"/>
                      <w:lang w:eastAsia="zh-CN"/>
                    </w:rPr>
                    <w:t>《重点行业挥发性有机物综合治理方案》（</w:t>
                  </w:r>
                  <w:r>
                    <w:rPr>
                      <w:rFonts w:hint="default" w:ascii="Times New Roman" w:hAnsi="Times New Roman" w:cs="Times New Roman"/>
                      <w:color w:val="auto"/>
                      <w:lang w:val="en-US" w:eastAsia="zh-CN"/>
                    </w:rPr>
                    <w:t>2019年6月26日</w:t>
                  </w:r>
                  <w:r>
                    <w:rPr>
                      <w:rFonts w:hint="default" w:ascii="Times New Roman" w:hAnsi="Times New Roman" w:cs="Times New Roman"/>
                      <w:color w:val="auto"/>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noWrap w:val="0"/>
                  <w:vAlign w:val="center"/>
                </w:tcPr>
                <w:p>
                  <w:pPr>
                    <w:pStyle w:val="7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w:t>
                  </w:r>
                </w:p>
              </w:tc>
              <w:tc>
                <w:tcPr>
                  <w:tcW w:w="4680" w:type="dxa"/>
                  <w:gridSpan w:val="2"/>
                  <w:noWrap w:val="0"/>
                  <w:vAlign w:val="center"/>
                </w:tcPr>
                <w:p>
                  <w:pPr>
                    <w:pStyle w:val="7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重点区域逐步开展出版物印刷</w:t>
                  </w:r>
                  <w:r>
                    <w:rPr>
                      <w:rFonts w:hint="default" w:ascii="Times New Roman" w:hAnsi="Times New Roman" w:cs="Times New Roman"/>
                      <w:b w:val="0"/>
                      <w:bCs/>
                      <w:color w:val="auto"/>
                      <w:sz w:val="21"/>
                      <w:szCs w:val="21"/>
                      <w:lang w:val="en-US" w:eastAsia="zh-CN"/>
                    </w:rPr>
                    <w:t>VOCs治理工作，推广使用植物油基、辐射固化油墨、低（无）VOCs含量原辅材料和无水印刷、橡皮布自动清洗等技术，实现污染减排。加强无组织排放控制。含VOCs物料储存和输送过程应保持密封。调配应在密闭装置或空间内进行并有效收集，非即用状态应加盖密封。涂布、印刷、覆膜、复合、上光、清洗等含VOCs物料使用过程应采用密闭设备或在密闭空间内操作；无法密闭的，应采取局部气体收集措施，废气排至VOCs废气收集系统。</w:t>
                  </w:r>
                </w:p>
              </w:tc>
              <w:tc>
                <w:tcPr>
                  <w:tcW w:w="2529" w:type="dxa"/>
                  <w:noWrap w:val="0"/>
                  <w:vAlign w:val="center"/>
                </w:tcPr>
                <w:p>
                  <w:pPr>
                    <w:pStyle w:val="7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本项目印刷环节采用低</w:t>
                  </w:r>
                  <w:r>
                    <w:rPr>
                      <w:rFonts w:hint="default" w:ascii="Times New Roman" w:hAnsi="Times New Roman" w:cs="Times New Roman"/>
                      <w:b w:val="0"/>
                      <w:bCs/>
                      <w:color w:val="auto"/>
                      <w:sz w:val="21"/>
                      <w:szCs w:val="21"/>
                      <w:lang w:val="en-US" w:eastAsia="zh-CN"/>
                    </w:rPr>
                    <w:t>VOCs的大豆环保油墨，从源头上控制了有机废气排放。大豆环保油墨在储存及运输过程中都保持封闭，非即用状态都加盖密封。</w:t>
                  </w:r>
                  <w:r>
                    <w:rPr>
                      <w:rFonts w:hint="default" w:ascii="Times New Roman" w:hAnsi="Times New Roman" w:cs="Times New Roman"/>
                      <w:b w:val="0"/>
                      <w:bCs/>
                      <w:color w:val="auto"/>
                      <w:sz w:val="21"/>
                      <w:szCs w:val="21"/>
                      <w:lang w:eastAsia="zh-CN"/>
                    </w:rPr>
                    <w:t>项目印刷</w:t>
                  </w:r>
                  <w:r>
                    <w:rPr>
                      <w:rFonts w:hint="eastAsia" w:ascii="Times New Roman" w:hAnsi="Times New Roman" w:cs="Times New Roman"/>
                      <w:b w:val="0"/>
                      <w:bCs/>
                      <w:color w:val="auto"/>
                      <w:sz w:val="21"/>
                      <w:szCs w:val="21"/>
                      <w:lang w:eastAsia="zh-CN"/>
                    </w:rPr>
                    <w:t>产生的</w:t>
                  </w:r>
                  <w:r>
                    <w:rPr>
                      <w:rFonts w:hint="default" w:ascii="Times New Roman" w:hAnsi="Times New Roman" w:cs="Times New Roman"/>
                      <w:b w:val="0"/>
                      <w:bCs/>
                      <w:color w:val="auto"/>
                      <w:sz w:val="21"/>
                      <w:szCs w:val="21"/>
                      <w:lang w:eastAsia="zh-CN"/>
                    </w:rPr>
                    <w:t>有机废气</w:t>
                  </w:r>
                  <w:r>
                    <w:rPr>
                      <w:rFonts w:hint="eastAsia" w:ascii="Times New Roman" w:hAnsi="Times New Roman" w:cs="Times New Roman"/>
                      <w:b w:val="0"/>
                      <w:bCs/>
                      <w:color w:val="auto"/>
                      <w:sz w:val="21"/>
                      <w:szCs w:val="21"/>
                      <w:lang w:eastAsia="zh-CN"/>
                    </w:rPr>
                    <w:t>经集气罩收集后</w:t>
                  </w:r>
                  <w:r>
                    <w:rPr>
                      <w:rFonts w:hint="default" w:ascii="Times New Roman" w:hAnsi="Times New Roman" w:cs="Times New Roman"/>
                      <w:b w:val="0"/>
                      <w:bCs/>
                      <w:color w:val="auto"/>
                      <w:sz w:val="21"/>
                      <w:szCs w:val="21"/>
                      <w:lang w:eastAsia="zh-CN"/>
                    </w:rPr>
                    <w:t>和手工粘</w:t>
                  </w:r>
                  <w:r>
                    <w:rPr>
                      <w:rFonts w:hint="eastAsia" w:cs="Times New Roman"/>
                      <w:b w:val="0"/>
                      <w:bCs/>
                      <w:color w:val="auto"/>
                      <w:sz w:val="21"/>
                      <w:szCs w:val="21"/>
                      <w:lang w:eastAsia="zh-CN"/>
                    </w:rPr>
                    <w:t>合</w:t>
                  </w:r>
                  <w:r>
                    <w:rPr>
                      <w:rFonts w:hint="default" w:ascii="Times New Roman" w:hAnsi="Times New Roman" w:cs="Times New Roman"/>
                      <w:b w:val="0"/>
                      <w:bCs/>
                      <w:color w:val="auto"/>
                      <w:sz w:val="21"/>
                      <w:szCs w:val="21"/>
                      <w:lang w:eastAsia="zh-CN"/>
                    </w:rPr>
                    <w:t>环节产生的有机废气经</w:t>
                  </w:r>
                  <w:r>
                    <w:rPr>
                      <w:rFonts w:hint="eastAsia" w:ascii="Times New Roman" w:hAnsi="Times New Roman" w:cs="Times New Roman"/>
                      <w:b w:val="0"/>
                      <w:bCs/>
                      <w:color w:val="auto"/>
                      <w:sz w:val="21"/>
                      <w:szCs w:val="21"/>
                      <w:lang w:eastAsia="zh-CN"/>
                    </w:rPr>
                    <w:t>密闭厂房抽风系统收集，最终一起经</w:t>
                  </w:r>
                  <w:r>
                    <w:rPr>
                      <w:rFonts w:hint="default" w:ascii="Times New Roman" w:hAnsi="Times New Roman" w:cs="Times New Roman"/>
                      <w:b w:val="0"/>
                      <w:bCs/>
                      <w:color w:val="auto"/>
                      <w:sz w:val="21"/>
                      <w:szCs w:val="21"/>
                      <w:lang w:val="en-US" w:eastAsia="zh-CN"/>
                    </w:rPr>
                    <w:t>活性炭吸附后通过15m排气筒</w:t>
                  </w:r>
                  <w:r>
                    <w:rPr>
                      <w:rFonts w:hint="default" w:ascii="Times New Roman" w:hAnsi="Times New Roman" w:cs="Times New Roman"/>
                      <w:b w:val="0"/>
                      <w:bCs/>
                      <w:color w:val="auto"/>
                      <w:sz w:val="21"/>
                      <w:szCs w:val="21"/>
                      <w:lang w:eastAsia="zh-CN"/>
                    </w:rPr>
                    <w:t>达标排放</w:t>
                  </w:r>
                  <w:r>
                    <w:rPr>
                      <w:rFonts w:hint="eastAsia" w:cs="Times New Roman"/>
                      <w:b w:val="0"/>
                      <w:bCs/>
                      <w:color w:val="auto"/>
                      <w:sz w:val="21"/>
                      <w:szCs w:val="21"/>
                      <w:lang w:eastAsia="zh-CN"/>
                    </w:rPr>
                    <w:t>。</w:t>
                  </w:r>
                </w:p>
              </w:tc>
              <w:tc>
                <w:tcPr>
                  <w:tcW w:w="648" w:type="dxa"/>
                  <w:noWrap w:val="0"/>
                  <w:vAlign w:val="center"/>
                </w:tcPr>
                <w:p>
                  <w:pPr>
                    <w:pStyle w:val="79"/>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9" w:type="dxa"/>
                  <w:noWrap w:val="0"/>
                  <w:vAlign w:val="center"/>
                </w:tcPr>
                <w:p>
                  <w:pPr>
                    <w:pStyle w:val="7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w:t>
                  </w:r>
                </w:p>
              </w:tc>
              <w:tc>
                <w:tcPr>
                  <w:tcW w:w="4680" w:type="dxa"/>
                  <w:gridSpan w:val="2"/>
                  <w:noWrap w:val="0"/>
                  <w:vAlign w:val="center"/>
                </w:tcPr>
                <w:p>
                  <w:pPr>
                    <w:pStyle w:val="7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实行重点排放源排放浓度与去除效率双重控制。车间或生产设施收集排放的废气，</w:t>
                  </w:r>
                  <w:r>
                    <w:rPr>
                      <w:rFonts w:hint="default" w:ascii="Times New Roman" w:hAnsi="Times New Roman" w:cs="Times New Roman"/>
                      <w:b w:val="0"/>
                      <w:bCs/>
                      <w:color w:val="auto"/>
                      <w:sz w:val="21"/>
                      <w:szCs w:val="21"/>
                      <w:lang w:val="en-US" w:eastAsia="zh-CN"/>
                    </w:rPr>
                    <w:t>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2529" w:type="dxa"/>
                  <w:noWrap w:val="0"/>
                  <w:vAlign w:val="center"/>
                </w:tcPr>
                <w:p>
                  <w:pPr>
                    <w:pStyle w:val="7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本项目位于重点区域，有机废气初始排放速率小于</w:t>
                  </w:r>
                  <w:r>
                    <w:rPr>
                      <w:rFonts w:hint="default" w:ascii="Times New Roman" w:hAnsi="Times New Roman" w:cs="Times New Roman"/>
                      <w:b w:val="0"/>
                      <w:bCs/>
                      <w:color w:val="auto"/>
                      <w:sz w:val="21"/>
                      <w:szCs w:val="21"/>
                      <w:lang w:val="en-US" w:eastAsia="zh-CN"/>
                    </w:rPr>
                    <w:t>2千克/小时，本项目经收集+活性炭吸附装置处理后经15m高排气筒排放，能够达到双重控制的要求，排放浓度能够满足相关标准，去除效率为80%，满足去除效率不低于80%的要求</w:t>
                  </w:r>
                </w:p>
              </w:tc>
              <w:tc>
                <w:tcPr>
                  <w:tcW w:w="648" w:type="dxa"/>
                  <w:noWrap w:val="0"/>
                  <w:vAlign w:val="center"/>
                </w:tcPr>
                <w:p>
                  <w:pPr>
                    <w:pStyle w:val="79"/>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符合</w:t>
                  </w:r>
                </w:p>
              </w:tc>
            </w:tr>
          </w:tbl>
          <w:p>
            <w:pPr>
              <w:spacing w:line="360" w:lineRule="auto"/>
              <w:ind w:firstLine="600" w:firstLineChars="249"/>
              <w:jc w:val="left"/>
              <w:rPr>
                <w:rFonts w:eastAsia="宋体"/>
                <w:b/>
                <w:color w:val="auto"/>
                <w:sz w:val="24"/>
              </w:rPr>
            </w:pPr>
            <w:r>
              <w:rPr>
                <w:rFonts w:hint="eastAsia" w:ascii="Times New Roman" w:hAnsi="Times New Roman" w:cs="Times New Roman"/>
                <w:b/>
                <w:bCs/>
                <w:color w:val="auto"/>
                <w:lang w:val="en-US" w:eastAsia="zh-CN"/>
              </w:rPr>
              <w:t>（4）</w:t>
            </w:r>
            <w:r>
              <w:rPr>
                <w:rFonts w:eastAsia="宋体"/>
                <w:b/>
                <w:color w:val="auto"/>
                <w:sz w:val="24"/>
              </w:rPr>
              <w:t>与“三线一单”符合性分析</w:t>
            </w:r>
          </w:p>
          <w:p>
            <w:pPr>
              <w:spacing w:line="360" w:lineRule="auto"/>
              <w:ind w:firstLine="480" w:firstLineChars="200"/>
              <w:jc w:val="left"/>
              <w:rPr>
                <w:rFonts w:eastAsia="宋体"/>
                <w:color w:val="auto"/>
                <w:sz w:val="24"/>
              </w:rPr>
            </w:pPr>
            <w:r>
              <w:rPr>
                <w:rFonts w:eastAsia="宋体"/>
                <w:color w:val="auto"/>
                <w:sz w:val="24"/>
              </w:rPr>
              <w:t>根据《关于以改善环境质量为核心加强环境影响评价管理的通知》（环环评〔2016〕150号），要求切实加强环评管理，落实</w:t>
            </w:r>
            <w:r>
              <w:rPr>
                <w:rFonts w:hint="eastAsia" w:ascii="宋体" w:hAnsi="宋体" w:eastAsia="宋体" w:cs="宋体"/>
                <w:color w:val="auto"/>
                <w:sz w:val="24"/>
              </w:rPr>
              <w:t>“生态保护红线、环境质量底线、资源利用上线和环境准入负面清单”(简称“三线一单”)约束，</w:t>
            </w:r>
            <w:r>
              <w:rPr>
                <w:rFonts w:eastAsia="宋体"/>
                <w:color w:val="auto"/>
                <w:sz w:val="24"/>
              </w:rPr>
              <w:t>建立项目环评审批与规划环评、现有项目环境管理、区域环境质量联动机制，更好地发挥环评制度从源头防范环境污染和生态破坏的作用，加快推进改善环境质量。本项目与“三线一单”的符合性分析见表</w:t>
            </w:r>
            <w:r>
              <w:rPr>
                <w:rFonts w:hint="eastAsia" w:eastAsia="宋体"/>
                <w:color w:val="auto"/>
                <w:sz w:val="24"/>
                <w:lang w:val="en-US" w:eastAsia="zh-CN"/>
              </w:rPr>
              <w:t>1-</w:t>
            </w:r>
            <w:r>
              <w:rPr>
                <w:rFonts w:eastAsia="宋体"/>
                <w:color w:val="auto"/>
                <w:sz w:val="24"/>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sz w:val="21"/>
                <w:szCs w:val="18"/>
              </w:rPr>
            </w:pPr>
            <w:r>
              <w:rPr>
                <w:rFonts w:eastAsia="宋体"/>
                <w:b/>
                <w:color w:val="auto"/>
                <w:sz w:val="21"/>
                <w:szCs w:val="18"/>
              </w:rPr>
              <w:t>表</w:t>
            </w:r>
            <w:r>
              <w:rPr>
                <w:rFonts w:hint="eastAsia" w:eastAsia="宋体"/>
                <w:b/>
                <w:color w:val="auto"/>
                <w:sz w:val="21"/>
                <w:szCs w:val="18"/>
                <w:lang w:val="en-US" w:eastAsia="zh-CN"/>
              </w:rPr>
              <w:t>1-</w:t>
            </w:r>
            <w:r>
              <w:rPr>
                <w:rFonts w:eastAsia="宋体"/>
                <w:b/>
                <w:color w:val="auto"/>
                <w:sz w:val="21"/>
                <w:szCs w:val="18"/>
              </w:rPr>
              <w:t>2   本项目与“三线一单”的符合性分析表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5587"/>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“三线一单”</w:t>
                  </w:r>
                </w:p>
              </w:tc>
              <w:tc>
                <w:tcPr>
                  <w:tcW w:w="336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本项目</w:t>
                  </w:r>
                </w:p>
              </w:tc>
              <w:tc>
                <w:tcPr>
                  <w:tcW w:w="54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w:t>
                  </w:r>
                </w:p>
              </w:tc>
              <w:tc>
                <w:tcPr>
                  <w:tcW w:w="336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default" w:ascii="Times New Roman" w:hAnsi="Times New Roman" w:eastAsia="宋体" w:cs="Times New Roman"/>
                      <w:color w:val="auto"/>
                      <w:sz w:val="21"/>
                      <w:szCs w:val="21"/>
                      <w:lang w:eastAsia="zh-CN"/>
                    </w:rPr>
                    <w:t>西安市灞桥区红旗街道办赵庄村</w:t>
                  </w:r>
                  <w:r>
                    <w:rPr>
                      <w:rFonts w:hint="default" w:ascii="Times New Roman" w:hAnsi="Times New Roman" w:eastAsia="宋体" w:cs="Times New Roman"/>
                      <w:color w:val="auto"/>
                      <w:sz w:val="21"/>
                      <w:szCs w:val="21"/>
                      <w:lang w:val="en-US" w:eastAsia="zh-CN"/>
                    </w:rPr>
                    <w:t>1号</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本</w:t>
                  </w:r>
                  <w:r>
                    <w:rPr>
                      <w:rFonts w:hint="default" w:ascii="Times New Roman" w:hAnsi="Times New Roman" w:eastAsia="宋体" w:cs="Times New Roman"/>
                      <w:color w:val="auto"/>
                      <w:sz w:val="21"/>
                      <w:szCs w:val="21"/>
                    </w:rPr>
                    <w:t>项目不在自然保护区、水源保护区等生态敏感区内，与生态保护红线不冲突</w:t>
                  </w:r>
                </w:p>
              </w:tc>
              <w:tc>
                <w:tcPr>
                  <w:tcW w:w="54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环境质量底线</w:t>
                  </w:r>
                </w:p>
              </w:tc>
              <w:tc>
                <w:tcPr>
                  <w:tcW w:w="3367" w:type="pct"/>
                  <w:noWrap w:val="0"/>
                  <w:vAlign w:val="center"/>
                </w:tcPr>
                <w:p>
                  <w:pPr>
                    <w:keepNext w:val="0"/>
                    <w:keepLines w:val="0"/>
                    <w:pageBreakBefore w:val="0"/>
                    <w:widowControl w:val="0"/>
                    <w:kinsoku/>
                    <w:wordWrap/>
                    <w:overflowPunct/>
                    <w:topLinePunct w:val="0"/>
                    <w:bidi w:val="0"/>
                    <w:adjustRightInd w:val="0"/>
                    <w:snapToGrid w:val="0"/>
                    <w:spacing w:line="240" w:lineRule="auto"/>
                    <w:ind w:right="0" w:rightChars="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环境空气：项目区域属不达标区；</w:t>
                  </w:r>
                  <w:r>
                    <w:rPr>
                      <w:rFonts w:hint="eastAsia" w:ascii="Times New Roman" w:hAnsi="Times New Roman" w:eastAsia="宋体" w:cs="Times New Roman"/>
                      <w:color w:val="auto"/>
                      <w:sz w:val="21"/>
                      <w:szCs w:val="21"/>
                      <w:lang w:eastAsia="zh-CN"/>
                    </w:rPr>
                    <w:t>本</w:t>
                  </w:r>
                  <w:r>
                    <w:rPr>
                      <w:rFonts w:hint="default" w:ascii="Times New Roman" w:hAnsi="Times New Roman" w:eastAsia="宋体" w:cs="Times New Roman"/>
                      <w:color w:val="auto"/>
                      <w:sz w:val="21"/>
                      <w:szCs w:val="21"/>
                    </w:rPr>
                    <w:t>项目污染物排放量小，根据大气导则要求，一级评价项目需开展大气环境质量限期达标规划分析，本项目为</w:t>
                  </w:r>
                  <w:r>
                    <w:rPr>
                      <w:rFonts w:hint="eastAsia" w:ascii="Times New Roman" w:hAnsi="Times New Roman" w:eastAsia="宋体" w:cs="Times New Roman"/>
                      <w:color w:val="auto"/>
                      <w:sz w:val="21"/>
                      <w:szCs w:val="21"/>
                      <w:lang w:eastAsia="zh-CN"/>
                    </w:rPr>
                    <w:t>二</w:t>
                  </w:r>
                  <w:r>
                    <w:rPr>
                      <w:rFonts w:hint="default" w:ascii="Times New Roman" w:hAnsi="Times New Roman" w:eastAsia="宋体" w:cs="Times New Roman"/>
                      <w:color w:val="auto"/>
                      <w:sz w:val="21"/>
                      <w:szCs w:val="21"/>
                    </w:rPr>
                    <w:t>级评价项目，对区域环境空气质量总体影响较小，贡献率低；</w:t>
                  </w:r>
                </w:p>
                <w:p>
                  <w:pPr>
                    <w:keepNext w:val="0"/>
                    <w:keepLines w:val="0"/>
                    <w:pageBreakBefore w:val="0"/>
                    <w:widowControl w:val="0"/>
                    <w:kinsoku/>
                    <w:wordWrap/>
                    <w:overflowPunct/>
                    <w:topLinePunct w:val="0"/>
                    <w:bidi w:val="0"/>
                    <w:adjustRightInd w:val="0"/>
                    <w:snapToGrid w:val="0"/>
                    <w:spacing w:line="240" w:lineRule="auto"/>
                    <w:ind w:right="0" w:rightChars="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地表水：项目</w:t>
                  </w:r>
                  <w:r>
                    <w:rPr>
                      <w:rFonts w:hint="eastAsia" w:ascii="Times New Roman" w:hAnsi="Times New Roman" w:eastAsia="宋体" w:cs="Times New Roman"/>
                      <w:color w:val="auto"/>
                      <w:sz w:val="21"/>
                      <w:szCs w:val="21"/>
                      <w:lang w:eastAsia="zh-CN"/>
                    </w:rPr>
                    <w:t>无</w:t>
                  </w:r>
                  <w:r>
                    <w:rPr>
                      <w:rFonts w:hint="default" w:ascii="Times New Roman" w:hAnsi="Times New Roman" w:eastAsia="宋体" w:cs="Times New Roman"/>
                      <w:color w:val="auto"/>
                      <w:sz w:val="21"/>
                      <w:szCs w:val="21"/>
                    </w:rPr>
                    <w:t>生产废水</w:t>
                  </w:r>
                  <w:r>
                    <w:rPr>
                      <w:rFonts w:hint="eastAsia" w:ascii="Times New Roman" w:hAnsi="Times New Roman" w:eastAsia="宋体" w:cs="Times New Roman"/>
                      <w:color w:val="auto"/>
                      <w:sz w:val="21"/>
                      <w:szCs w:val="21"/>
                      <w:lang w:eastAsia="zh-CN"/>
                    </w:rPr>
                    <w:t>产生；</w:t>
                  </w:r>
                  <w:r>
                    <w:rPr>
                      <w:rFonts w:hint="default" w:ascii="Times New Roman" w:hAnsi="Times New Roman" w:eastAsia="宋体" w:cs="Times New Roman"/>
                      <w:color w:val="auto"/>
                      <w:sz w:val="21"/>
                      <w:szCs w:val="21"/>
                    </w:rPr>
                    <w:t>生活污水</w:t>
                  </w:r>
                  <w:r>
                    <w:rPr>
                      <w:rFonts w:hint="eastAsia" w:ascii="Times New Roman" w:hAnsi="Times New Roman" w:eastAsia="宋体" w:cs="Times New Roman"/>
                      <w:color w:val="auto"/>
                      <w:sz w:val="21"/>
                      <w:szCs w:val="21"/>
                      <w:lang w:eastAsia="zh-CN"/>
                    </w:rPr>
                    <w:t>通过污水管网排放至高桥村污水处理厂，对水环境影响较小</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bidi w:val="0"/>
                    <w:adjustRightInd w:val="0"/>
                    <w:snapToGrid w:val="0"/>
                    <w:spacing w:line="240" w:lineRule="auto"/>
                    <w:ind w:right="0" w:rightChars="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声环境：项目厂区的昼间、夜间噪声值均满足《工业企业厂界噪声排放标准》（3096-2008）中</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类标准限值要求</w:t>
                  </w:r>
                </w:p>
              </w:tc>
              <w:tc>
                <w:tcPr>
                  <w:tcW w:w="54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资源利用上线</w:t>
                  </w:r>
                </w:p>
              </w:tc>
              <w:tc>
                <w:tcPr>
                  <w:tcW w:w="336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项目原辅材料主要是</w:t>
                  </w:r>
                  <w:r>
                    <w:rPr>
                      <w:rFonts w:hint="eastAsia" w:ascii="Times New Roman" w:hAnsi="Times New Roman" w:eastAsia="宋体" w:cs="Times New Roman"/>
                      <w:color w:val="auto"/>
                      <w:sz w:val="21"/>
                      <w:szCs w:val="21"/>
                      <w:lang w:eastAsia="zh-CN"/>
                    </w:rPr>
                    <w:t>纸张、大豆油墨、</w:t>
                  </w:r>
                  <w:r>
                    <w:rPr>
                      <w:rFonts w:hint="default" w:ascii="Times New Roman" w:hAnsi="Times New Roman" w:eastAsia="宋体" w:cs="Times New Roman"/>
                      <w:color w:val="auto"/>
                      <w:sz w:val="21"/>
                      <w:szCs w:val="21"/>
                    </w:rPr>
                    <w:t>水、电等，不涉及资源利用上线相关要求</w:t>
                  </w:r>
                </w:p>
              </w:tc>
              <w:tc>
                <w:tcPr>
                  <w:tcW w:w="54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8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环境准入负面清单</w:t>
                  </w:r>
                </w:p>
              </w:tc>
              <w:tc>
                <w:tcPr>
                  <w:tcW w:w="336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ascii="Times New Roman" w:hAnsi="Times New Roman" w:eastAsia="宋体" w:cs="Times New Roman"/>
                      <w:color w:val="auto"/>
                      <w:sz w:val="21"/>
                      <w:szCs w:val="21"/>
                      <w:lang w:eastAsia="zh-CN"/>
                    </w:rPr>
                    <w:t>灞桥区</w:t>
                  </w:r>
                  <w:r>
                    <w:rPr>
                      <w:rFonts w:hint="default" w:ascii="Times New Roman" w:hAnsi="Times New Roman" w:eastAsia="宋体" w:cs="Times New Roman"/>
                      <w:color w:val="auto"/>
                      <w:sz w:val="21"/>
                      <w:szCs w:val="21"/>
                    </w:rPr>
                    <w:t>，不在《陕西省国家重点生态功能区产业准入负面清单(试行)》和《西安市企业投资负面清单》（市政办发〔2018〕20号）范围内</w:t>
                  </w:r>
                </w:p>
              </w:tc>
              <w:tc>
                <w:tcPr>
                  <w:tcW w:w="54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3、项目概况</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项目名称：</w:t>
            </w:r>
            <w:r>
              <w:rPr>
                <w:rFonts w:hint="default" w:ascii="Times New Roman" w:hAnsi="Times New Roman" w:cs="Times New Roman"/>
                <w:color w:val="auto"/>
                <w:lang w:eastAsia="zh-CN"/>
              </w:rPr>
              <w:t>纸制品制造项目</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建设单位：</w:t>
            </w:r>
            <w:r>
              <w:rPr>
                <w:rFonts w:hint="default" w:ascii="Times New Roman" w:hAnsi="Times New Roman" w:cs="Times New Roman"/>
                <w:color w:val="auto"/>
                <w:lang w:eastAsia="zh-CN"/>
              </w:rPr>
              <w:t>陕西凯乐包装设计制作有限责任公司</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建设性质：</w:t>
            </w:r>
            <w:r>
              <w:rPr>
                <w:rFonts w:hint="default" w:ascii="Times New Roman" w:hAnsi="Times New Roman" w:cs="Times New Roman"/>
                <w:color w:val="auto"/>
                <w:lang w:eastAsia="zh-CN"/>
              </w:rPr>
              <w:t>新</w:t>
            </w:r>
            <w:r>
              <w:rPr>
                <w:rFonts w:hint="default" w:ascii="Times New Roman" w:hAnsi="Times New Roman" w:cs="Times New Roman"/>
                <w:color w:val="auto"/>
              </w:rPr>
              <w:t>建</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cs="Times New Roman"/>
                <w:color w:val="auto"/>
                <w:lang w:eastAsia="zh-CN"/>
              </w:rPr>
            </w:pPr>
            <w:r>
              <w:rPr>
                <w:rFonts w:hint="default" w:ascii="Times New Roman" w:hAnsi="Times New Roman" w:cs="Times New Roman"/>
                <w:color w:val="auto"/>
              </w:rPr>
              <w:t>建设规模：</w:t>
            </w:r>
            <w:r>
              <w:rPr>
                <w:rFonts w:hint="default" w:ascii="Times New Roman" w:hAnsi="Times New Roman" w:cs="Times New Roman"/>
                <w:color w:val="auto"/>
                <w:lang w:eastAsia="zh-CN"/>
              </w:rPr>
              <w:t>购置切纸机、裱纸机、印刷机等相关配套设备。</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项目投资：</w:t>
            </w:r>
            <w:r>
              <w:rPr>
                <w:rFonts w:hint="default" w:ascii="Times New Roman" w:hAnsi="Times New Roman" w:cs="Times New Roman"/>
                <w:color w:val="auto"/>
                <w:lang w:val="en-US" w:eastAsia="zh-CN"/>
              </w:rPr>
              <w:t>1000</w:t>
            </w:r>
            <w:r>
              <w:rPr>
                <w:rFonts w:hint="default" w:ascii="Times New Roman" w:hAnsi="Times New Roman" w:cs="Times New Roman"/>
                <w:color w:val="auto"/>
              </w:rPr>
              <w:t>万元</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建设地点：</w:t>
            </w:r>
            <w:r>
              <w:rPr>
                <w:rFonts w:hint="default" w:ascii="Times New Roman" w:hAnsi="Times New Roman" w:eastAsia="宋体" w:cs="Times New Roman"/>
                <w:color w:val="auto"/>
                <w:szCs w:val="24"/>
                <w:lang w:eastAsia="zh-CN"/>
              </w:rPr>
              <w:t>陕西省西安市灞桥区红旗街道办赵庄村</w:t>
            </w:r>
            <w:r>
              <w:rPr>
                <w:rFonts w:hint="default" w:ascii="Times New Roman" w:hAnsi="Times New Roman" w:eastAsia="宋体" w:cs="Times New Roman"/>
                <w:color w:val="auto"/>
                <w:szCs w:val="24"/>
                <w:lang w:val="en-US" w:eastAsia="zh-CN"/>
              </w:rPr>
              <w:t>1号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4、项目地理位置及与周边外环境关系</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项目位于</w:t>
            </w:r>
            <w:r>
              <w:rPr>
                <w:rFonts w:hint="default" w:ascii="Times New Roman" w:hAnsi="Times New Roman" w:eastAsia="宋体" w:cs="Times New Roman"/>
                <w:color w:val="auto"/>
                <w:szCs w:val="24"/>
                <w:lang w:eastAsia="zh-CN"/>
              </w:rPr>
              <w:t>陕西省西安市灞桥区红旗街道办赵庄村</w:t>
            </w:r>
            <w:r>
              <w:rPr>
                <w:rFonts w:hint="default" w:ascii="Times New Roman" w:hAnsi="Times New Roman" w:eastAsia="宋体" w:cs="Times New Roman"/>
                <w:color w:val="auto"/>
                <w:szCs w:val="24"/>
                <w:lang w:val="en-US" w:eastAsia="zh-CN"/>
              </w:rPr>
              <w:t>1号</w:t>
            </w:r>
            <w:r>
              <w:rPr>
                <w:rFonts w:hint="default" w:ascii="Times New Roman" w:hAnsi="Times New Roman" w:cs="Times New Roman"/>
                <w:color w:val="auto"/>
              </w:rPr>
              <w:t>，地理位置坐标经度109°03'39.31"，纬度34°11'14.65"；</w:t>
            </w:r>
            <w:r>
              <w:rPr>
                <w:rFonts w:hint="default" w:ascii="Times New Roman" w:hAnsi="Times New Roman" w:cs="Times New Roman"/>
                <w:color w:val="auto"/>
                <w:lang w:eastAsia="zh-CN"/>
              </w:rPr>
              <w:t>项目</w:t>
            </w:r>
            <w:r>
              <w:rPr>
                <w:rFonts w:hint="default" w:ascii="Times New Roman" w:hAnsi="Times New Roman" w:cs="Times New Roman"/>
                <w:color w:val="auto"/>
              </w:rPr>
              <w:t>地理位置图见附图</w:t>
            </w:r>
            <w:r>
              <w:rPr>
                <w:rFonts w:hint="default" w:ascii="Times New Roman" w:hAnsi="Times New Roman" w:cs="Times New Roman"/>
                <w:color w:val="auto"/>
                <w:lang w:eastAsia="zh-CN"/>
              </w:rPr>
              <w:t>一</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rPr>
              <w:t>根据现场踏勘可知，项目东</w:t>
            </w:r>
            <w:r>
              <w:rPr>
                <w:rFonts w:hint="default" w:ascii="Times New Roman" w:hAnsi="Times New Roman" w:cs="Times New Roman"/>
                <w:color w:val="auto"/>
                <w:lang w:eastAsia="zh-CN"/>
              </w:rPr>
              <w:t>、西两</w:t>
            </w:r>
            <w:r>
              <w:rPr>
                <w:rFonts w:hint="default" w:ascii="Times New Roman" w:hAnsi="Times New Roman" w:cs="Times New Roman"/>
                <w:color w:val="auto"/>
              </w:rPr>
              <w:t>侧</w:t>
            </w:r>
            <w:r>
              <w:rPr>
                <w:rFonts w:hint="default" w:ascii="Times New Roman" w:hAnsi="Times New Roman" w:cs="Times New Roman"/>
                <w:color w:val="auto"/>
                <w:lang w:eastAsia="zh-CN"/>
              </w:rPr>
              <w:t>均</w:t>
            </w:r>
            <w:r>
              <w:rPr>
                <w:rFonts w:hint="default" w:ascii="Times New Roman" w:hAnsi="Times New Roman" w:cs="Times New Roman"/>
                <w:color w:val="auto"/>
              </w:rPr>
              <w:t>为</w:t>
            </w:r>
            <w:r>
              <w:rPr>
                <w:rFonts w:hint="default" w:ascii="Times New Roman" w:hAnsi="Times New Roman" w:cs="Times New Roman"/>
                <w:color w:val="auto"/>
                <w:lang w:eastAsia="zh-CN"/>
              </w:rPr>
              <w:t>空地</w:t>
            </w:r>
            <w:r>
              <w:rPr>
                <w:rFonts w:hint="default" w:ascii="Times New Roman" w:hAnsi="Times New Roman" w:cs="Times New Roman"/>
                <w:color w:val="auto"/>
              </w:rPr>
              <w:t>；南侧为</w:t>
            </w:r>
            <w:r>
              <w:rPr>
                <w:rFonts w:hint="default" w:ascii="Times New Roman" w:hAnsi="Times New Roman" w:cs="Times New Roman"/>
                <w:color w:val="auto"/>
                <w:lang w:eastAsia="zh-CN"/>
              </w:rPr>
              <w:t>通村道路，隔路为赵庄村居民</w:t>
            </w:r>
            <w:r>
              <w:rPr>
                <w:rFonts w:hint="default" w:ascii="Times New Roman" w:hAnsi="Times New Roman" w:cs="Times New Roman"/>
                <w:color w:val="auto"/>
              </w:rPr>
              <w:t>；</w:t>
            </w:r>
            <w:r>
              <w:rPr>
                <w:rFonts w:hint="default" w:ascii="Times New Roman" w:hAnsi="Times New Roman" w:cs="Times New Roman"/>
                <w:color w:val="auto"/>
                <w:lang w:eastAsia="zh-CN"/>
              </w:rPr>
              <w:t>北</w:t>
            </w:r>
            <w:r>
              <w:rPr>
                <w:rFonts w:hint="default" w:ascii="Times New Roman" w:hAnsi="Times New Roman" w:cs="Times New Roman"/>
                <w:color w:val="auto"/>
              </w:rPr>
              <w:t>侧为</w:t>
            </w:r>
            <w:r>
              <w:rPr>
                <w:rFonts w:hint="default" w:ascii="Times New Roman" w:hAnsi="Times New Roman" w:cs="Times New Roman"/>
                <w:color w:val="auto"/>
                <w:lang w:eastAsia="zh-CN"/>
              </w:rPr>
              <w:t>废弃厂房</w:t>
            </w:r>
            <w:r>
              <w:rPr>
                <w:rFonts w:hint="default" w:ascii="Times New Roman" w:hAnsi="Times New Roman" w:cs="Times New Roman"/>
                <w:color w:val="auto"/>
              </w:rPr>
              <w:t>。项目四邻关系图</w:t>
            </w:r>
            <w:r>
              <w:rPr>
                <w:rFonts w:hint="default" w:ascii="Times New Roman" w:hAnsi="Times New Roman" w:cs="Times New Roman"/>
                <w:color w:val="auto"/>
                <w:lang w:eastAsia="zh-CN"/>
              </w:rPr>
              <w:t>详</w:t>
            </w:r>
            <w:r>
              <w:rPr>
                <w:rFonts w:hint="default" w:ascii="Times New Roman" w:hAnsi="Times New Roman" w:cs="Times New Roman"/>
                <w:color w:val="auto"/>
              </w:rPr>
              <w:t>见附图</w:t>
            </w:r>
            <w:r>
              <w:rPr>
                <w:rFonts w:hint="default" w:ascii="Times New Roman" w:hAnsi="Times New Roman" w:cs="Times New Roman"/>
                <w:color w:val="auto"/>
                <w:lang w:eastAsia="zh-CN"/>
              </w:rPr>
              <w:t>二，</w:t>
            </w:r>
            <w:r>
              <w:rPr>
                <w:rFonts w:hint="default" w:ascii="Times New Roman" w:hAnsi="Times New Roman" w:cs="Times New Roman"/>
                <w:color w:val="auto"/>
              </w:rPr>
              <w:t>项目平面布置图详见附图</w:t>
            </w:r>
            <w:r>
              <w:rPr>
                <w:rFonts w:hint="default" w:ascii="Times New Roman" w:hAnsi="Times New Roman" w:cs="Times New Roman"/>
                <w:color w:val="auto"/>
                <w:lang w:eastAsia="zh-CN"/>
              </w:rPr>
              <w:t>三</w:t>
            </w:r>
            <w:r>
              <w:rPr>
                <w:rFonts w:hint="default" w:ascii="Times New Roman" w:hAnsi="Times New Roman" w:cs="Times New Roman"/>
                <w:color w:val="auto"/>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Lines="0" w:line="360" w:lineRule="auto"/>
              <w:ind w:firstLine="482" w:firstLineChars="200"/>
              <w:textAlignment w:val="auto"/>
              <w:rPr>
                <w:rFonts w:hint="default" w:ascii="Times New Roman" w:hAnsi="Times New Roman" w:cs="Times New Roman"/>
                <w:color w:val="auto"/>
              </w:rPr>
            </w:pPr>
            <w:r>
              <w:rPr>
                <w:rFonts w:hint="default" w:ascii="Times New Roman" w:hAnsi="Times New Roman" w:cs="Times New Roman"/>
                <w:color w:val="auto"/>
              </w:rPr>
              <w:t>5、项目工程组成</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cs="Times New Roman"/>
                <w:color w:val="auto"/>
              </w:rPr>
            </w:pPr>
            <w:r>
              <w:rPr>
                <w:rFonts w:hint="default" w:ascii="Times New Roman" w:hAnsi="Times New Roman" w:cs="Times New Roman"/>
                <w:color w:val="auto"/>
                <w:lang w:eastAsia="zh-CN"/>
              </w:rPr>
              <w:t>陕西凯乐包装设计制作有限责任公司</w:t>
            </w:r>
            <w:r>
              <w:rPr>
                <w:rFonts w:hint="default" w:ascii="Times New Roman" w:hAnsi="Times New Roman" w:cs="Times New Roman"/>
                <w:color w:val="auto"/>
              </w:rPr>
              <w:t>位于</w:t>
            </w:r>
            <w:r>
              <w:rPr>
                <w:rFonts w:hint="default" w:ascii="Times New Roman" w:hAnsi="Times New Roman" w:eastAsia="宋体" w:cs="Times New Roman"/>
                <w:color w:val="auto"/>
                <w:szCs w:val="24"/>
                <w:lang w:eastAsia="zh-CN"/>
              </w:rPr>
              <w:t>陕西省西安市灞桥区红旗街道办赵庄村</w:t>
            </w:r>
            <w:r>
              <w:rPr>
                <w:rFonts w:hint="default" w:ascii="Times New Roman" w:hAnsi="Times New Roman" w:eastAsia="宋体" w:cs="Times New Roman"/>
                <w:color w:val="auto"/>
                <w:szCs w:val="24"/>
                <w:lang w:val="en-US" w:eastAsia="zh-CN"/>
              </w:rPr>
              <w:t>1号</w:t>
            </w:r>
            <w:r>
              <w:rPr>
                <w:rFonts w:hint="default" w:ascii="Times New Roman" w:hAnsi="Times New Roman" w:cs="Times New Roman"/>
                <w:color w:val="auto"/>
              </w:rPr>
              <w:t>。项目工程组成见表1-</w:t>
            </w:r>
            <w:r>
              <w:rPr>
                <w:rFonts w:hint="eastAsia" w:ascii="Times New Roman" w:hAnsi="Times New Roman" w:cs="Times New Roman"/>
                <w:color w:val="auto"/>
                <w:lang w:val="en-US" w:eastAsia="zh-CN"/>
              </w:rPr>
              <w:t>3</w:t>
            </w:r>
            <w:r>
              <w:rPr>
                <w:rFonts w:hint="default" w:ascii="Times New Roman" w:hAnsi="Times New Roman" w:cs="Times New Roman"/>
                <w:color w:val="auto"/>
              </w:rPr>
              <w:t>。</w:t>
            </w:r>
          </w:p>
          <w:p>
            <w:pPr>
              <w:pStyle w:val="9"/>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表1- </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项目工程组成一览表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5"/>
              <w:gridCol w:w="1647"/>
              <w:gridCol w:w="4159"/>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类别</w:t>
                  </w:r>
                </w:p>
              </w:tc>
              <w:tc>
                <w:tcPr>
                  <w:tcW w:w="1647"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项目组成</w:t>
                  </w:r>
                </w:p>
              </w:tc>
              <w:tc>
                <w:tcPr>
                  <w:tcW w:w="4159"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工程内容</w:t>
                  </w:r>
                </w:p>
              </w:tc>
              <w:tc>
                <w:tcPr>
                  <w:tcW w:w="1965"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主体工程</w:t>
                  </w:r>
                </w:p>
              </w:tc>
              <w:tc>
                <w:tcPr>
                  <w:tcW w:w="1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生产车间</w:t>
                  </w:r>
                </w:p>
              </w:tc>
              <w:tc>
                <w:tcPr>
                  <w:tcW w:w="41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共一层，混凝土结构，内设切纸机、裱纸机、烫金机、模切机、贴窗机、糊盒机、风机等相关设备</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新增打印机及配套设备，未安装；其余设备均安装到位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辅助工程</w:t>
                  </w:r>
                </w:p>
              </w:tc>
              <w:tc>
                <w:tcPr>
                  <w:tcW w:w="1647"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办公</w:t>
                  </w:r>
                  <w:r>
                    <w:rPr>
                      <w:rFonts w:hint="default" w:ascii="Times New Roman" w:hAnsi="Times New Roman" w:cs="Times New Roman"/>
                      <w:b w:val="0"/>
                      <w:bCs/>
                      <w:color w:val="auto"/>
                      <w:sz w:val="21"/>
                      <w:szCs w:val="21"/>
                      <w:lang w:eastAsia="zh-CN"/>
                    </w:rPr>
                    <w:t>生活区</w:t>
                  </w:r>
                </w:p>
              </w:tc>
              <w:tc>
                <w:tcPr>
                  <w:tcW w:w="4159"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eastAsia="zh-CN"/>
                    </w:rPr>
                    <w:t>共两层，用于</w:t>
                  </w:r>
                  <w:r>
                    <w:rPr>
                      <w:rFonts w:hint="default" w:ascii="Times New Roman" w:hAnsi="Times New Roman" w:cs="Times New Roman"/>
                      <w:b w:val="0"/>
                      <w:bCs/>
                      <w:color w:val="auto"/>
                      <w:sz w:val="21"/>
                      <w:szCs w:val="21"/>
                    </w:rPr>
                    <w:t>员工</w:t>
                  </w:r>
                  <w:r>
                    <w:rPr>
                      <w:rFonts w:hint="default" w:ascii="Times New Roman" w:hAnsi="Times New Roman" w:cs="Times New Roman"/>
                      <w:b w:val="0"/>
                      <w:bCs/>
                      <w:color w:val="auto"/>
                      <w:sz w:val="21"/>
                      <w:szCs w:val="21"/>
                      <w:lang w:eastAsia="zh-CN"/>
                    </w:rPr>
                    <w:t>日常</w:t>
                  </w:r>
                  <w:r>
                    <w:rPr>
                      <w:rFonts w:hint="default" w:ascii="Times New Roman" w:hAnsi="Times New Roman" w:cs="Times New Roman"/>
                      <w:b w:val="0"/>
                      <w:bCs/>
                      <w:color w:val="auto"/>
                      <w:sz w:val="21"/>
                      <w:szCs w:val="21"/>
                    </w:rPr>
                    <w:t>办公</w:t>
                  </w:r>
                </w:p>
              </w:tc>
              <w:tc>
                <w:tcPr>
                  <w:tcW w:w="1965"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储运工程</w:t>
                  </w:r>
                </w:p>
              </w:tc>
              <w:tc>
                <w:tcPr>
                  <w:tcW w:w="1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 xml:space="preserve"> </w:t>
                  </w:r>
                  <w:r>
                    <w:rPr>
                      <w:rFonts w:hint="default" w:ascii="Times New Roman" w:hAnsi="Times New Roman" w:cs="Times New Roman"/>
                      <w:b w:val="0"/>
                      <w:bCs/>
                      <w:color w:val="auto"/>
                      <w:sz w:val="21"/>
                      <w:szCs w:val="21"/>
                      <w:lang w:eastAsia="zh-CN"/>
                    </w:rPr>
                    <w:t>原料及成品库</w:t>
                  </w:r>
                </w:p>
              </w:tc>
              <w:tc>
                <w:tcPr>
                  <w:tcW w:w="41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用于存放成品、半成品、原材料</w:t>
                  </w:r>
                </w:p>
              </w:tc>
              <w:tc>
                <w:tcPr>
                  <w:tcW w:w="1965"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dxa"/>
                  <w:vMerge w:val="restart"/>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公用工程</w:t>
                  </w:r>
                </w:p>
              </w:tc>
              <w:tc>
                <w:tcPr>
                  <w:tcW w:w="1647"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给水</w:t>
                  </w:r>
                </w:p>
              </w:tc>
              <w:tc>
                <w:tcPr>
                  <w:tcW w:w="4159"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依托赵庄村自来水</w:t>
                  </w:r>
                </w:p>
              </w:tc>
              <w:tc>
                <w:tcPr>
                  <w:tcW w:w="1965"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dxa"/>
                  <w:vMerge w:val="continue"/>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p>
              </w:tc>
              <w:tc>
                <w:tcPr>
                  <w:tcW w:w="1647"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排水</w:t>
                  </w:r>
                </w:p>
              </w:tc>
              <w:tc>
                <w:tcPr>
                  <w:tcW w:w="4159"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420" w:firstLineChars="20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本项目雨污分流。</w:t>
                  </w:r>
                  <w:r>
                    <w:rPr>
                      <w:rFonts w:hint="default" w:ascii="Times New Roman" w:hAnsi="Times New Roman" w:cs="Times New Roman"/>
                      <w:b w:val="0"/>
                      <w:bCs/>
                      <w:color w:val="auto"/>
                      <w:sz w:val="21"/>
                      <w:szCs w:val="21"/>
                      <w:lang w:eastAsia="zh-CN"/>
                    </w:rPr>
                    <w:t>餐饮废水经隔油池后与生活污水</w:t>
                  </w:r>
                  <w:r>
                    <w:rPr>
                      <w:rFonts w:hint="default" w:ascii="Times New Roman" w:hAnsi="Times New Roman" w:cs="Times New Roman"/>
                      <w:b w:val="0"/>
                      <w:bCs/>
                      <w:color w:val="auto"/>
                      <w:sz w:val="21"/>
                      <w:szCs w:val="21"/>
                    </w:rPr>
                    <w:t>经化粪池后通过污水管网排入</w:t>
                  </w:r>
                  <w:r>
                    <w:rPr>
                      <w:rFonts w:hint="default" w:ascii="Times New Roman" w:hAnsi="Times New Roman" w:cs="Times New Roman"/>
                      <w:b w:val="0"/>
                      <w:bCs/>
                      <w:color w:val="auto"/>
                      <w:sz w:val="21"/>
                      <w:szCs w:val="21"/>
                      <w:lang w:eastAsia="zh-CN"/>
                    </w:rPr>
                    <w:t>高桥村</w:t>
                  </w:r>
                  <w:r>
                    <w:rPr>
                      <w:rFonts w:hint="default" w:ascii="Times New Roman" w:hAnsi="Times New Roman" w:cs="Times New Roman"/>
                      <w:b w:val="0"/>
                      <w:bCs/>
                      <w:color w:val="auto"/>
                      <w:sz w:val="21"/>
                      <w:szCs w:val="21"/>
                    </w:rPr>
                    <w:t>污水处理厂</w:t>
                  </w:r>
                </w:p>
              </w:tc>
              <w:tc>
                <w:tcPr>
                  <w:tcW w:w="1965"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dxa"/>
                  <w:vMerge w:val="continue"/>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p>
              </w:tc>
              <w:tc>
                <w:tcPr>
                  <w:tcW w:w="1647"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供电</w:t>
                  </w:r>
                </w:p>
              </w:tc>
              <w:tc>
                <w:tcPr>
                  <w:tcW w:w="4159"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eastAsia="zh-CN"/>
                    </w:rPr>
                    <w:t>依托赵庄村</w:t>
                  </w:r>
                  <w:r>
                    <w:rPr>
                      <w:rFonts w:hint="default" w:ascii="Times New Roman" w:hAnsi="Times New Roman" w:cs="Times New Roman"/>
                      <w:b w:val="0"/>
                      <w:bCs/>
                      <w:color w:val="auto"/>
                      <w:sz w:val="21"/>
                      <w:szCs w:val="21"/>
                    </w:rPr>
                    <w:t>供电管网供给</w:t>
                  </w:r>
                </w:p>
              </w:tc>
              <w:tc>
                <w:tcPr>
                  <w:tcW w:w="1965"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dxa"/>
                  <w:vMerge w:val="continue"/>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p>
              </w:tc>
              <w:tc>
                <w:tcPr>
                  <w:tcW w:w="1647"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采暖、制冷</w:t>
                  </w:r>
                </w:p>
              </w:tc>
              <w:tc>
                <w:tcPr>
                  <w:tcW w:w="4159"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420" w:firstLineChars="20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rPr>
                    <w:t>项目生产厂房不供暖制冷，办公区采用分体式空调供暖制冷</w:t>
                  </w:r>
                </w:p>
              </w:tc>
              <w:tc>
                <w:tcPr>
                  <w:tcW w:w="1965"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dxa"/>
                  <w:vMerge w:val="restart"/>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环保工程</w:t>
                  </w:r>
                </w:p>
              </w:tc>
              <w:tc>
                <w:tcPr>
                  <w:tcW w:w="1647"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废气</w:t>
                  </w:r>
                </w:p>
              </w:tc>
              <w:tc>
                <w:tcPr>
                  <w:tcW w:w="4159"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420" w:firstLineChars="200"/>
                    <w:jc w:val="both"/>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本项目印刷采用大豆环保油墨，印刷</w:t>
                  </w:r>
                  <w:r>
                    <w:rPr>
                      <w:rFonts w:hint="eastAsia" w:ascii="Times New Roman" w:hAnsi="Times New Roman" w:cs="Times New Roman"/>
                      <w:b w:val="0"/>
                      <w:bCs/>
                      <w:color w:val="auto"/>
                      <w:sz w:val="21"/>
                      <w:szCs w:val="21"/>
                      <w:lang w:eastAsia="zh-CN"/>
                    </w:rPr>
                    <w:t>产生的</w:t>
                  </w:r>
                  <w:r>
                    <w:rPr>
                      <w:rFonts w:hint="default" w:ascii="Times New Roman" w:hAnsi="Times New Roman" w:cs="Times New Roman"/>
                      <w:b w:val="0"/>
                      <w:bCs/>
                      <w:color w:val="auto"/>
                      <w:sz w:val="21"/>
                      <w:szCs w:val="21"/>
                      <w:lang w:eastAsia="zh-CN"/>
                    </w:rPr>
                    <w:t>有机废气</w:t>
                  </w:r>
                  <w:r>
                    <w:rPr>
                      <w:rFonts w:hint="eastAsia" w:ascii="Times New Roman" w:hAnsi="Times New Roman" w:cs="Times New Roman"/>
                      <w:b w:val="0"/>
                      <w:bCs/>
                      <w:color w:val="auto"/>
                      <w:sz w:val="21"/>
                      <w:szCs w:val="21"/>
                      <w:lang w:eastAsia="zh-CN"/>
                    </w:rPr>
                    <w:t>经集气罩收集后</w:t>
                  </w:r>
                  <w:r>
                    <w:rPr>
                      <w:rFonts w:hint="default" w:ascii="Times New Roman" w:hAnsi="Times New Roman" w:cs="Times New Roman"/>
                      <w:b w:val="0"/>
                      <w:bCs/>
                      <w:color w:val="auto"/>
                      <w:sz w:val="21"/>
                      <w:szCs w:val="21"/>
                      <w:lang w:eastAsia="zh-CN"/>
                    </w:rPr>
                    <w:t>和手工粘</w:t>
                  </w:r>
                  <w:r>
                    <w:rPr>
                      <w:rFonts w:hint="eastAsia" w:cs="Times New Roman"/>
                      <w:b w:val="0"/>
                      <w:bCs/>
                      <w:color w:val="auto"/>
                      <w:sz w:val="21"/>
                      <w:szCs w:val="21"/>
                      <w:lang w:eastAsia="zh-CN"/>
                    </w:rPr>
                    <w:t>合</w:t>
                  </w:r>
                  <w:r>
                    <w:rPr>
                      <w:rFonts w:hint="default" w:ascii="Times New Roman" w:hAnsi="Times New Roman" w:cs="Times New Roman"/>
                      <w:b w:val="0"/>
                      <w:bCs/>
                      <w:color w:val="auto"/>
                      <w:sz w:val="21"/>
                      <w:szCs w:val="21"/>
                      <w:lang w:eastAsia="zh-CN"/>
                    </w:rPr>
                    <w:t>环节产生的有机废气经</w:t>
                  </w:r>
                  <w:r>
                    <w:rPr>
                      <w:rFonts w:hint="eastAsia" w:ascii="Times New Roman" w:hAnsi="Times New Roman" w:cs="Times New Roman"/>
                      <w:b w:val="0"/>
                      <w:bCs/>
                      <w:color w:val="auto"/>
                      <w:sz w:val="21"/>
                      <w:szCs w:val="21"/>
                      <w:lang w:eastAsia="zh-CN"/>
                    </w:rPr>
                    <w:t>密闭厂房抽风系统收集，最终一起经</w:t>
                  </w:r>
                  <w:r>
                    <w:rPr>
                      <w:rFonts w:hint="default" w:ascii="Times New Roman" w:hAnsi="Times New Roman" w:cs="Times New Roman"/>
                      <w:b w:val="0"/>
                      <w:bCs/>
                      <w:color w:val="auto"/>
                      <w:sz w:val="21"/>
                      <w:szCs w:val="21"/>
                      <w:lang w:val="en-US" w:eastAsia="zh-CN"/>
                    </w:rPr>
                    <w:t>活性炭吸附后通过15m排气筒</w:t>
                  </w:r>
                  <w:r>
                    <w:rPr>
                      <w:rFonts w:hint="default" w:ascii="Times New Roman" w:hAnsi="Times New Roman" w:cs="Times New Roman"/>
                      <w:b w:val="0"/>
                      <w:bCs/>
                      <w:color w:val="auto"/>
                      <w:sz w:val="21"/>
                      <w:szCs w:val="21"/>
                      <w:lang w:eastAsia="zh-CN"/>
                    </w:rPr>
                    <w:t>达标排放，集气罩收集效率为</w:t>
                  </w:r>
                  <w:r>
                    <w:rPr>
                      <w:rFonts w:hint="default" w:ascii="Times New Roman" w:hAnsi="Times New Roman" w:cs="Times New Roman"/>
                      <w:b w:val="0"/>
                      <w:bCs/>
                      <w:color w:val="auto"/>
                      <w:sz w:val="21"/>
                      <w:szCs w:val="21"/>
                      <w:lang w:val="en-US" w:eastAsia="zh-CN"/>
                    </w:rPr>
                    <w:t>90%，处理效率为80%</w:t>
                  </w:r>
                </w:p>
              </w:tc>
              <w:tc>
                <w:tcPr>
                  <w:tcW w:w="1965"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dxa"/>
                  <w:vMerge w:val="continue"/>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p>
              </w:tc>
              <w:tc>
                <w:tcPr>
                  <w:tcW w:w="1647"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废水</w:t>
                  </w:r>
                </w:p>
              </w:tc>
              <w:tc>
                <w:tcPr>
                  <w:tcW w:w="4159"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420" w:firstLineChars="200"/>
                    <w:jc w:val="both"/>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本项目雨污分流。</w:t>
                  </w:r>
                  <w:r>
                    <w:rPr>
                      <w:rFonts w:hint="default" w:ascii="Times New Roman" w:hAnsi="Times New Roman" w:cs="Times New Roman"/>
                      <w:b w:val="0"/>
                      <w:bCs/>
                      <w:color w:val="auto"/>
                      <w:sz w:val="21"/>
                      <w:szCs w:val="21"/>
                      <w:lang w:eastAsia="zh-CN"/>
                    </w:rPr>
                    <w:t>餐饮废水经隔油池后与生活污水</w:t>
                  </w:r>
                  <w:r>
                    <w:rPr>
                      <w:rFonts w:hint="default" w:ascii="Times New Roman" w:hAnsi="Times New Roman" w:cs="Times New Roman"/>
                      <w:b w:val="0"/>
                      <w:bCs/>
                      <w:color w:val="auto"/>
                      <w:sz w:val="21"/>
                      <w:szCs w:val="21"/>
                    </w:rPr>
                    <w:t>经化粪池后通过污水管网排入</w:t>
                  </w:r>
                  <w:r>
                    <w:rPr>
                      <w:rFonts w:hint="default" w:ascii="Times New Roman" w:hAnsi="Times New Roman" w:cs="Times New Roman"/>
                      <w:b w:val="0"/>
                      <w:bCs/>
                      <w:color w:val="auto"/>
                      <w:sz w:val="21"/>
                      <w:szCs w:val="21"/>
                      <w:lang w:eastAsia="zh-CN"/>
                    </w:rPr>
                    <w:t>高桥村</w:t>
                  </w:r>
                  <w:r>
                    <w:rPr>
                      <w:rFonts w:hint="default" w:ascii="Times New Roman" w:hAnsi="Times New Roman" w:cs="Times New Roman"/>
                      <w:b w:val="0"/>
                      <w:bCs/>
                      <w:color w:val="auto"/>
                      <w:sz w:val="21"/>
                      <w:szCs w:val="21"/>
                    </w:rPr>
                    <w:t>污水处理厂</w:t>
                  </w:r>
                </w:p>
              </w:tc>
              <w:tc>
                <w:tcPr>
                  <w:tcW w:w="1965"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dxa"/>
                  <w:vMerge w:val="continue"/>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p>
              </w:tc>
              <w:tc>
                <w:tcPr>
                  <w:tcW w:w="1647"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噪声</w:t>
                  </w:r>
                </w:p>
              </w:tc>
              <w:tc>
                <w:tcPr>
                  <w:tcW w:w="4159"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选择低噪声设备；采取基础减振、厂房隔声</w:t>
                  </w:r>
                </w:p>
              </w:tc>
              <w:tc>
                <w:tcPr>
                  <w:tcW w:w="1965"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5" w:type="dxa"/>
                  <w:vMerge w:val="continue"/>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p>
              </w:tc>
              <w:tc>
                <w:tcPr>
                  <w:tcW w:w="1647"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固体废弃物</w:t>
                  </w:r>
                </w:p>
              </w:tc>
              <w:tc>
                <w:tcPr>
                  <w:tcW w:w="41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eastAsia="zh-CN"/>
                    </w:rPr>
                    <w:t>运营期产生的生活垃圾分类收集，由环卫部分定期清运；产品制造过程中的边角废料及不合格产品集中收集，定期外售废品收购站；餐厨垃圾与生活垃圾一同交由环卫部门定期清运；废油脂委托有资质单位处理；废油墨桶、废擦机布、废机油和废活性炭分类收集，暂存于危废暂存间，定期交有资质单位处置</w:t>
                  </w:r>
                </w:p>
              </w:tc>
              <w:tc>
                <w:tcPr>
                  <w:tcW w:w="1965"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ind w:firstLine="0" w:firstLineChars="0"/>
                    <w:jc w:val="both"/>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危废暂存间依托</w:t>
                  </w:r>
                  <w:r>
                    <w:rPr>
                      <w:rFonts w:hint="default" w:ascii="Times New Roman" w:hAnsi="Times New Roman" w:cs="Times New Roman"/>
                      <w:b w:val="0"/>
                      <w:bCs/>
                      <w:color w:val="auto"/>
                      <w:sz w:val="21"/>
                      <w:szCs w:val="21"/>
                      <w:lang w:eastAsia="zh-CN"/>
                    </w:rPr>
                    <w:t>现有工程</w:t>
                  </w:r>
                </w:p>
              </w:tc>
            </w:tr>
          </w:tbl>
          <w:p>
            <w:pPr>
              <w:pStyle w:val="5"/>
              <w:numPr>
                <w:ilvl w:val="0"/>
                <w:numId w:val="0"/>
              </w:numPr>
              <w:spacing w:afterLines="0"/>
              <w:ind w:firstLine="482" w:firstLineChars="200"/>
              <w:rPr>
                <w:rFonts w:hint="default" w:ascii="Times New Roman" w:hAnsi="Times New Roman" w:cs="Times New Roman"/>
                <w:color w:val="auto"/>
              </w:rPr>
            </w:pPr>
            <w:r>
              <w:rPr>
                <w:rFonts w:hint="default" w:ascii="Times New Roman" w:hAnsi="Times New Roman" w:cs="Times New Roman"/>
                <w:color w:val="auto"/>
              </w:rPr>
              <w:t>6、产品方案</w:t>
            </w:r>
          </w:p>
          <w:p>
            <w:pPr>
              <w:rPr>
                <w:rFonts w:hint="default" w:ascii="Times New Roman" w:hAnsi="Times New Roman" w:cs="Times New Roman"/>
                <w:color w:val="auto"/>
              </w:rPr>
            </w:pPr>
            <w:r>
              <w:rPr>
                <w:rFonts w:hint="default" w:ascii="Times New Roman" w:hAnsi="Times New Roman" w:cs="Times New Roman"/>
                <w:color w:val="auto"/>
              </w:rPr>
              <w:t>具体产品方案详见表1-</w:t>
            </w:r>
            <w:r>
              <w:rPr>
                <w:rFonts w:hint="eastAsia" w:ascii="Times New Roman" w:hAnsi="Times New Roman" w:cs="Times New Roman"/>
                <w:color w:val="auto"/>
                <w:lang w:val="en-US" w:eastAsia="zh-CN"/>
              </w:rPr>
              <w:t>4</w:t>
            </w:r>
            <w:r>
              <w:rPr>
                <w:rFonts w:hint="default" w:ascii="Times New Roman" w:hAnsi="Times New Roman" w:cs="Times New Roman"/>
                <w:color w:val="auto"/>
              </w:rPr>
              <w:t>。</w:t>
            </w:r>
          </w:p>
          <w:p>
            <w:pPr>
              <w:pStyle w:val="9"/>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表1- </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建设项目产品方案</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2917"/>
              <w:gridCol w:w="2385"/>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 号</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产品名称</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规格</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年产量（单位）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4寸蛋糕盒</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160*160*130</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320000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6寸蛋糕盒</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240*240*145</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695000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8寸蛋糕盒</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260*260*165</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1367000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10寸蛋糕盒</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310*310*190</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1156000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12寸蛋糕盒</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360*360*200</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734000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14寸蛋糕盒</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410*410*190</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443000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16寸蛋糕盒（圆）</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470*210</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322000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18寸蛋糕盒（圆）</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530*290</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151000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20寸蛋糕盒（圆）</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640*390</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31000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一粒西点盒</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110*80*90</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两粒西点盒</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150*110*110</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生日帽</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6寸手提袋</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295*260*175</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r>
                    <w:rPr>
                      <w:rFonts w:hint="default" w:ascii="Times New Roman" w:hAnsi="Times New Roman" w:cs="Times New Roman"/>
                      <w:color w:val="auto"/>
                      <w:sz w:val="21"/>
                      <w:szCs w:val="21"/>
                      <w:lang w:val="en-US" w:eastAsia="zh-CN"/>
                    </w:rPr>
                    <w:t>00</w:t>
                  </w:r>
                  <w:r>
                    <w:rPr>
                      <w:rFonts w:hint="default" w:ascii="Times New Roman" w:hAnsi="Times New Roman" w:cs="Times New Roman"/>
                      <w:color w:val="auto"/>
                      <w:sz w:val="21"/>
                      <w:szCs w:val="21"/>
                    </w:rPr>
                    <w:t>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8寸手提袋</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315*280*190</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10寸手提袋</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340*340*250</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12寸手提袋</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415*380*190</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托</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2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其它</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合计</w:t>
                  </w:r>
                </w:p>
              </w:tc>
              <w:tc>
                <w:tcPr>
                  <w:tcW w:w="2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800万个</w:t>
                  </w:r>
                </w:p>
              </w:tc>
            </w:tr>
          </w:tbl>
          <w:p>
            <w:pPr>
              <w:pStyle w:val="5"/>
              <w:numPr>
                <w:ilvl w:val="0"/>
                <w:numId w:val="0"/>
              </w:numPr>
              <w:spacing w:afterLines="0"/>
              <w:ind w:firstLine="482" w:firstLineChars="200"/>
              <w:rPr>
                <w:rFonts w:hint="default" w:ascii="Times New Roman" w:hAnsi="Times New Roman" w:cs="Times New Roman"/>
                <w:color w:val="auto"/>
              </w:rPr>
            </w:pPr>
            <w:r>
              <w:rPr>
                <w:rFonts w:hint="default" w:ascii="Times New Roman" w:hAnsi="Times New Roman" w:cs="Times New Roman"/>
                <w:color w:val="auto"/>
              </w:rPr>
              <w:t>7、项目原辅材料消耗</w:t>
            </w:r>
          </w:p>
          <w:p>
            <w:pPr>
              <w:pStyle w:val="113"/>
              <w:ind w:firstLine="480"/>
              <w:rPr>
                <w:rFonts w:hint="default" w:ascii="Times New Roman" w:hAnsi="Times New Roman" w:cs="Times New Roman"/>
                <w:color w:val="auto"/>
              </w:rPr>
            </w:pPr>
            <w:r>
              <w:rPr>
                <w:rFonts w:hint="default" w:ascii="Times New Roman" w:hAnsi="Times New Roman" w:cs="Times New Roman"/>
                <w:color w:val="auto"/>
              </w:rPr>
              <w:t>项目原辅材料消耗如下</w:t>
            </w:r>
            <w:r>
              <w:rPr>
                <w:rFonts w:hint="default" w:ascii="Times New Roman" w:hAnsi="Times New Roman" w:cs="Times New Roman"/>
                <w:color w:val="auto"/>
                <w:lang w:eastAsia="zh-CN"/>
              </w:rPr>
              <w:t>表</w:t>
            </w:r>
            <w:r>
              <w:rPr>
                <w:rFonts w:hint="default" w:ascii="Times New Roman" w:hAnsi="Times New Roman" w:cs="Times New Roman"/>
                <w:color w:val="auto"/>
              </w:rPr>
              <w:t>。</w:t>
            </w:r>
          </w:p>
          <w:p>
            <w:pPr>
              <w:pStyle w:val="9"/>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主要原辅材料消耗</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6"/>
              <w:gridCol w:w="1409"/>
              <w:gridCol w:w="674"/>
              <w:gridCol w:w="1065"/>
              <w:gridCol w:w="1155"/>
              <w:gridCol w:w="3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rPr>
                  </w:pPr>
                  <w:bookmarkStart w:id="0" w:name="_Hlk385575019"/>
                  <w:r>
                    <w:rPr>
                      <w:rFonts w:hint="default" w:ascii="Times New Roman" w:hAnsi="Times New Roman" w:cs="Times New Roman"/>
                      <w:color w:val="auto"/>
                      <w:sz w:val="21"/>
                      <w:szCs w:val="21"/>
                    </w:rPr>
                    <w:t>序号</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名称</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单位</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年消耗量</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最大储存量</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来源厂家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白卡纸</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吨</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800</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西安美联纸业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白牛皮</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张</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71000</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7100</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陕西绿江纸业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牛皮纸</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吨</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宝鸡凤翔亨源包装公司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箱板纸</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吨</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450</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宝鸡凤翔亨源包装公司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大豆环保油墨</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5100</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1000</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陕西红狮工贸有限公司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瓦楞纸</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1100000</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110000</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陕西荔泰恒辉有限公司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86"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玉米淀粉胶</w:t>
                  </w:r>
                </w:p>
              </w:tc>
              <w:tc>
                <w:tcPr>
                  <w:tcW w:w="674"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吨</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陕西秦和新材料科技有限公司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水性封口胶</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2300</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陕西天力包装材料有限公司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果冻胶</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2400</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陕西熙筑化学助剂科技开发有限公司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预涂膜</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  1600000</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160000</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西安富得工贸有限公司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电化铝箔</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卷</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400</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西安亚喜电化铝烫金材料有限公司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压痕膜</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条</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9000</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900</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玉田恒辉印刷包装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天窗膜</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kg</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6500</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650</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西安信满吸塑包装有限公司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五层纸箱</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个</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560000</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5600</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户县新辉纸箱厂</w:t>
                  </w:r>
                  <w:r>
                    <w:rPr>
                      <w:rFonts w:hint="default"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胶带</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卷</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5400</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540</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陕西力大商贸有限公司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丝带</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付</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61000</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6100</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西安聚坤工贸有限公司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打包带</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kg</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2600</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260</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西安龙耀包装材料公司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w:t>
                  </w:r>
                </w:p>
              </w:tc>
              <w:tc>
                <w:tcPr>
                  <w:tcW w:w="14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甲醇</w:t>
                  </w:r>
                </w:p>
              </w:tc>
              <w:tc>
                <w:tcPr>
                  <w:tcW w:w="67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w:t>
                  </w:r>
                </w:p>
              </w:tc>
              <w:tc>
                <w:tcPr>
                  <w:tcW w:w="10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w:t>
                  </w:r>
                </w:p>
              </w:tc>
              <w:tc>
                <w:tcPr>
                  <w:tcW w:w="11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0.63</w:t>
                  </w:r>
                </w:p>
              </w:tc>
              <w:tc>
                <w:tcPr>
                  <w:tcW w:w="34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外购</w:t>
                  </w:r>
                </w:p>
              </w:tc>
            </w:tr>
            <w:bookmarkEnd w:id="0"/>
          </w:tbl>
          <w:p>
            <w:pPr>
              <w:pStyle w:val="5"/>
              <w:numPr>
                <w:ilvl w:val="0"/>
                <w:numId w:val="0"/>
              </w:numPr>
              <w:spacing w:afterLines="0"/>
              <w:ind w:firstLine="480" w:firstLineChars="20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大豆环保油墨：环保大豆胶印油墨是指采用大豆油来代替传统的石油溶剂而制成的油墨。与传统油墨相比，大豆油墨具有色泽鲜艳、浓度高、光泽好、较好的水适应性和稳定性、耐摩擦、耐干燥等性能。植物油墨中的大豆油等取自天然，可无限再生，又能生物降解，无论从资源利用还是从环保角度都具有传统油墨无可比拟的优势。根据企业提供资料，以用量最多的黑色油墨为例，项目大豆油墨的配方为：颜料18-25%，树脂 22-28%，植物油 10-25%，油墨溶剂 20-25%，添加剂 1-4%。</w:t>
            </w:r>
          </w:p>
          <w:p>
            <w:pPr>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玉米淀粉胶：主要原料是玉米淀粉，成分包括：玉米淀粉19%、硼砂0.7%、氢氧化钠0.3%和水80%，胶液呈中性，无毒无味，对环境和货物无污染，可长期存放，其粘合性不会改变，可在室温下粘合。</w:t>
            </w:r>
          </w:p>
          <w:p>
            <w:pP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水性封口胶</w:t>
            </w:r>
            <w:r>
              <w:rPr>
                <w:rFonts w:hint="default" w:ascii="Times New Roman" w:hAnsi="Times New Roman" w:cs="Times New Roman"/>
                <w:b w:val="0"/>
                <w:bCs w:val="0"/>
                <w:color w:val="auto"/>
                <w:lang w:val="en-US" w:eastAsia="zh-CN"/>
              </w:rPr>
              <w:t>：也叫聚醋酸乙烯胶粘剂，有微芳香气味。主要成分为：聚醋酸乙烯酯30-50%、水40-50%、树脂、助剂1-5%。它是以水为分散介质进行乳液聚合而得，是一种水性环保胶。</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果冻胶：也称</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HYPERLINK "https://baike.baidu.com/item/%E5%8A%A8%E7%89%A9%E8%83%B6" \t "https://baike.baidu.com/item/%E6%9E%9C%E5%86%BB%E8%83%B6/_blank"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动物胶</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，外观类似</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HYPERLINK "https://baike.baidu.com/item/%E6%9E%9C%E5%86%BB" \t "https://baike.baidu.com/item/%E6%9E%9C%E5%86%BB%E8%83%B6/_blank"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果冻</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，在印刷包装行业的胶称果冻胶。果冻胶是一种新型的环保</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HYPERLINK "https://baike.baidu.com/item/%E8%83%B6%E7%B2%98%E5%89%82" \t "https://baike.baidu.com/item/%E6%9E%9C%E5%86%BB%E8%83%B6/_blank"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胶粘剂</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，取材天然，主要成分是</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HYPERLINK "https://baike.baidu.com/item/%E5%B7%A5%E4%B8%9A%E6%98%8E%E8%83%B6" \t "https://baike.baidu.com/item/%E6%9E%9C%E5%86%BB%E8%83%B6/_blank"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工业明胶</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（一种动物胶，即热溶胶）。使用时以水作为溶剂，SGS安全检测，无毒无害。胶粘性能极佳，气味清香，加工的产品不会发脆、变形、发霉、起泡等现象。</w:t>
            </w:r>
            <w:r>
              <w:rPr>
                <w:rFonts w:hint="default" w:ascii="Times New Roman" w:hAnsi="Times New Roman" w:cs="Times New Roman"/>
                <w:color w:val="auto"/>
                <w:highlight w:val="none"/>
                <w:lang w:val="en-US" w:eastAsia="zh-CN"/>
              </w:rPr>
              <w:t>本项目使用的果冻胶主要成分为85%的工业明胶，15%的水分，其中工业明胶为从动物的结缔或表皮组织中的胶原部分水解出来的蛋白质，因此，将果冻胶溶解涂抹糊盒时不会产生废气。</w:t>
            </w:r>
          </w:p>
          <w:p>
            <w:pPr>
              <w:pStyle w:val="5"/>
              <w:numPr>
                <w:ilvl w:val="0"/>
                <w:numId w:val="0"/>
              </w:numPr>
              <w:spacing w:afterLines="0"/>
              <w:ind w:firstLine="482" w:firstLineChars="200"/>
              <w:rPr>
                <w:rFonts w:hint="default" w:ascii="Times New Roman" w:hAnsi="Times New Roman" w:cs="Times New Roman"/>
                <w:color w:val="auto"/>
              </w:rPr>
            </w:pPr>
            <w:r>
              <w:rPr>
                <w:rFonts w:hint="default" w:ascii="Times New Roman" w:hAnsi="Times New Roman" w:cs="Times New Roman"/>
                <w:color w:val="auto"/>
                <w:lang w:val="en-US" w:eastAsia="zh-CN"/>
              </w:rPr>
              <w:t>8</w:t>
            </w:r>
            <w:r>
              <w:rPr>
                <w:rFonts w:hint="default" w:ascii="Times New Roman" w:hAnsi="Times New Roman" w:cs="Times New Roman"/>
                <w:color w:val="auto"/>
              </w:rPr>
              <w:t>、生产设备</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项目主要生产设备详见表1-</w:t>
            </w:r>
            <w:r>
              <w:rPr>
                <w:rFonts w:hint="eastAsia" w:ascii="Times New Roman" w:hAnsi="Times New Roman" w:cs="Times New Roman"/>
                <w:color w:val="auto"/>
                <w:lang w:val="en-US" w:eastAsia="zh-CN"/>
              </w:rPr>
              <w:t>6</w:t>
            </w:r>
            <w:r>
              <w:rPr>
                <w:rFonts w:hint="default" w:ascii="Times New Roman" w:hAnsi="Times New Roman" w:cs="Times New Roman"/>
                <w:color w:val="auto"/>
              </w:rPr>
              <w:t>。</w:t>
            </w:r>
          </w:p>
          <w:p>
            <w:pPr>
              <w:pStyle w:val="9"/>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表1- </w:t>
            </w:r>
            <w:r>
              <w:rPr>
                <w:rFonts w:hint="eastAsia"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rPr>
              <w:t xml:space="preserve">   主要生产设备</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3169"/>
              <w:gridCol w:w="1915"/>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3169" w:type="dxa"/>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设备名称</w:t>
                  </w:r>
                </w:p>
              </w:tc>
              <w:tc>
                <w:tcPr>
                  <w:tcW w:w="1915" w:type="dxa"/>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型号</w:t>
                  </w:r>
                </w:p>
              </w:tc>
              <w:tc>
                <w:tcPr>
                  <w:tcW w:w="222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数量</w:t>
                  </w:r>
                  <w:r>
                    <w:rPr>
                      <w:rFonts w:hint="default" w:ascii="Times New Roman" w:hAnsi="Times New Roman" w:cs="Times New Roman"/>
                      <w:color w:val="auto"/>
                      <w:sz w:val="21"/>
                      <w:szCs w:val="21"/>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rPr>
                    <w:t>1</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全自动高速切纸机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SQZK130ET10</w:t>
                  </w:r>
                </w:p>
              </w:tc>
              <w:tc>
                <w:tcPr>
                  <w:tcW w:w="222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rPr>
                    <w:t>2</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六色胶印机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22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双色胶印机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rPr>
                    <w:t>4</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全自动裱纸机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CF1450</w:t>
                  </w:r>
                </w:p>
              </w:tc>
              <w:tc>
                <w:tcPr>
                  <w:tcW w:w="222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rPr>
                    <w:t>5</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压胶预涂膜覆膜机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YFMB-920</w:t>
                  </w:r>
                </w:p>
              </w:tc>
              <w:tc>
                <w:tcPr>
                  <w:tcW w:w="222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凹凸压绞机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XINXIN1020</w:t>
                  </w:r>
                </w:p>
              </w:tc>
              <w:tc>
                <w:tcPr>
                  <w:tcW w:w="222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单张纸面压花机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YF710</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瓦楞机（压横绞）</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WL-1100</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纸箱纸盒打样机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50173</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锯床</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J-1000B</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全自动模切压痕机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MY1060E</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半自动模切压痕机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CY-1300</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平压压痕切线机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ML-1100</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平压压痕切线机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PYQ-203C</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烫金模切两用机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TYMK-930</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烫金模切两用机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TYMK-1100</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烫金模切两用机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TYMK-750</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多用冲孔机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CK600</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19</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全张数显切纸机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QZYX-1300</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糊盒机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21</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贴窗机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XLTC-1020</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皮卡裱纸机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压力机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卷边机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喷气式热收缩包装机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KMBSX-900*700</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26</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全自动捆扎机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DBA-200</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27</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半自动捆扎机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YS-A2F</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28</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台式调速胶水机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LD-720S</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29</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铆钉机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0" w:type="dxa"/>
                  <w:shd w:val="clear" w:color="auto" w:fill="auto"/>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3169"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圆底成型机</w:t>
                  </w:r>
                </w:p>
              </w:tc>
              <w:tc>
                <w:tcPr>
                  <w:tcW w:w="1915" w:type="dxa"/>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222"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r>
          </w:tbl>
          <w:p>
            <w:pPr>
              <w:pStyle w:val="5"/>
              <w:keepNext w:val="0"/>
              <w:keepLines w:val="0"/>
              <w:pageBreakBefore w:val="0"/>
              <w:widowControl w:val="0"/>
              <w:numPr>
                <w:ilvl w:val="0"/>
                <w:numId w:val="0"/>
              </w:numPr>
              <w:kinsoku/>
              <w:wordWrap/>
              <w:overflowPunct/>
              <w:topLinePunct w:val="0"/>
              <w:autoSpaceDE/>
              <w:autoSpaceDN/>
              <w:bidi w:val="0"/>
              <w:adjustRightInd/>
              <w:snapToGrid/>
              <w:spacing w:afterLines="0"/>
              <w:ind w:firstLine="482"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9</w:t>
            </w:r>
            <w:r>
              <w:rPr>
                <w:rFonts w:hint="default" w:ascii="Times New Roman" w:hAnsi="Times New Roman" w:cs="Times New Roman"/>
                <w:color w:val="auto"/>
              </w:rPr>
              <w:t>、公用工程</w:t>
            </w:r>
          </w:p>
          <w:p>
            <w:pPr>
              <w:keepNext w:val="0"/>
              <w:keepLines w:val="0"/>
              <w:pageBreakBefore w:val="0"/>
              <w:widowControl w:val="0"/>
              <w:kinsoku/>
              <w:wordWrap/>
              <w:overflowPunct/>
              <w:topLinePunct w:val="0"/>
              <w:autoSpaceDE/>
              <w:autoSpaceDN/>
              <w:bidi w:val="0"/>
              <w:adjustRightInd/>
              <w:snapToGrid/>
              <w:textAlignment w:val="auto"/>
              <w:outlineLvl w:val="2"/>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）给排水工程</w:t>
            </w:r>
          </w:p>
          <w:p>
            <w:pPr>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给水：项目用水主要包含员工生活用水和生产用水。</w:t>
            </w:r>
          </w:p>
          <w:p>
            <w:pPr>
              <w:rPr>
                <w:rFonts w:hint="default" w:ascii="Times New Roman" w:hAnsi="Times New Roman" w:cs="Times New Roman"/>
                <w:color w:val="auto"/>
              </w:rPr>
            </w:pPr>
            <w:r>
              <w:rPr>
                <w:rFonts w:hint="default" w:ascii="Times New Roman" w:hAnsi="Times New Roman" w:cs="Times New Roman"/>
                <w:color w:val="auto"/>
              </w:rPr>
              <w:t>员工生活用水：厂内劳动定员</w:t>
            </w:r>
            <w:r>
              <w:rPr>
                <w:rFonts w:hint="default" w:ascii="Times New Roman" w:hAnsi="Times New Roman" w:cs="Times New Roman"/>
                <w:color w:val="auto"/>
                <w:lang w:val="en-US" w:eastAsia="zh-CN"/>
              </w:rPr>
              <w:t>60</w:t>
            </w:r>
            <w:r>
              <w:rPr>
                <w:rFonts w:hint="default" w:ascii="Times New Roman" w:hAnsi="Times New Roman" w:cs="Times New Roman"/>
                <w:color w:val="auto"/>
              </w:rPr>
              <w:t>人，其中1</w:t>
            </w:r>
            <w:r>
              <w:rPr>
                <w:rFonts w:hint="default" w:ascii="Times New Roman" w:hAnsi="Times New Roman" w:cs="Times New Roman"/>
                <w:color w:val="auto"/>
                <w:lang w:val="en-US" w:eastAsia="zh-CN"/>
              </w:rPr>
              <w:t>0</w:t>
            </w:r>
            <w:r>
              <w:rPr>
                <w:rFonts w:hint="default" w:ascii="Times New Roman" w:hAnsi="Times New Roman" w:cs="Times New Roman"/>
                <w:color w:val="auto"/>
              </w:rPr>
              <w:t>人住宿</w:t>
            </w:r>
            <w:r>
              <w:rPr>
                <w:rFonts w:hint="default" w:ascii="Times New Roman" w:hAnsi="Times New Roman" w:cs="Times New Roman"/>
                <w:color w:val="auto"/>
                <w:lang w:eastAsia="zh-CN"/>
              </w:rPr>
              <w:t>，员工均在厂区用一餐</w:t>
            </w:r>
            <w:r>
              <w:rPr>
                <w:rFonts w:hint="default" w:ascii="Times New Roman" w:hAnsi="Times New Roman" w:cs="Times New Roman"/>
                <w:color w:val="auto"/>
              </w:rPr>
              <w:t>。根据《陕西省行业用水定额》（DB61/T943-2014），办公生活用水定额按35L/（d·人）计，住宿人员用水量根据表32中关中地区城镇居民生活用水定额100L/（人·d）则本项目生活用水量为</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7</w:t>
            </w:r>
            <w:r>
              <w:rPr>
                <w:rFonts w:hint="default" w:ascii="Times New Roman" w:hAnsi="Times New Roman" w:cs="Times New Roman"/>
                <w:color w:val="auto"/>
              </w:rPr>
              <w:t>5m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lang w:val="en-US" w:eastAsia="zh-CN"/>
              </w:rPr>
              <w:t>825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/a）。根据《陕西省行业用水定额》（DB61/T943-2014）计算，餐饮用水量按非营业性食堂用水定额18L/（人·次）计，本项目</w:t>
            </w:r>
            <w:r>
              <w:rPr>
                <w:rFonts w:hint="default" w:ascii="Times New Roman" w:hAnsi="Times New Roman" w:cs="Times New Roman"/>
                <w:color w:val="auto"/>
                <w:lang w:eastAsia="zh-CN"/>
              </w:rPr>
              <w:t>食堂</w:t>
            </w:r>
            <w:r>
              <w:rPr>
                <w:rFonts w:hint="default" w:ascii="Times New Roman" w:hAnsi="Times New Roman" w:cs="Times New Roman"/>
                <w:color w:val="auto"/>
              </w:rPr>
              <w:t>用水量为</w:t>
            </w:r>
            <w:r>
              <w:rPr>
                <w:rFonts w:hint="default" w:ascii="Times New Roman" w:hAnsi="Times New Roman" w:cs="Times New Roman"/>
                <w:color w:val="auto"/>
                <w:lang w:val="en-US" w:eastAsia="zh-CN"/>
              </w:rPr>
              <w:t>1.08</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lang w:val="en-US" w:eastAsia="zh-CN"/>
              </w:rPr>
              <w:t>324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p>
            <w:pPr>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排水</w:t>
            </w:r>
          </w:p>
          <w:p>
            <w:pPr>
              <w:rPr>
                <w:rFonts w:hint="default" w:ascii="Times New Roman" w:hAnsi="Times New Roman" w:cs="Times New Roman"/>
                <w:color w:val="auto"/>
              </w:rPr>
            </w:pPr>
            <w:r>
              <w:rPr>
                <w:rFonts w:hint="default" w:ascii="Times New Roman" w:hAnsi="Times New Roman" w:cs="Times New Roman"/>
                <w:color w:val="auto"/>
              </w:rPr>
              <w:t>项目排水主要为生活污水</w:t>
            </w:r>
            <w:r>
              <w:rPr>
                <w:rFonts w:hint="default" w:ascii="Times New Roman" w:hAnsi="Times New Roman" w:cs="Times New Roman"/>
                <w:color w:val="auto"/>
                <w:lang w:eastAsia="zh-CN"/>
              </w:rPr>
              <w:t>和食堂废水</w:t>
            </w:r>
            <w:r>
              <w:rPr>
                <w:rFonts w:hint="default" w:ascii="Times New Roman" w:hAnsi="Times New Roman" w:cs="Times New Roman"/>
                <w:color w:val="auto"/>
              </w:rPr>
              <w:t>，废水产污系数按照0.8计，则生活污水产生量为</w:t>
            </w:r>
            <w:r>
              <w:rPr>
                <w:rFonts w:hint="default" w:ascii="Times New Roman" w:hAnsi="Times New Roman" w:cs="Times New Roman"/>
                <w:color w:val="auto"/>
                <w:lang w:val="en-US" w:eastAsia="zh-CN"/>
              </w:rPr>
              <w:t>2.2</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lang w:val="en-US" w:eastAsia="zh-CN"/>
              </w:rPr>
              <w:t>660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r>
              <w:rPr>
                <w:rFonts w:hint="default" w:ascii="Times New Roman" w:hAnsi="Times New Roman" w:cs="Times New Roman"/>
                <w:color w:val="auto"/>
                <w:lang w:eastAsia="zh-CN"/>
              </w:rPr>
              <w:t>；食堂</w:t>
            </w:r>
            <w:r>
              <w:rPr>
                <w:rFonts w:hint="default" w:ascii="Times New Roman" w:hAnsi="Times New Roman" w:cs="Times New Roman"/>
                <w:color w:val="auto"/>
                <w:lang w:val="en-US" w:eastAsia="zh-CN"/>
              </w:rPr>
              <w:t>废水产生量为0.86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lang w:val="en-US" w:eastAsia="zh-CN"/>
              </w:rPr>
              <w:t>、258</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p>
            <w:pPr>
              <w:rPr>
                <w:rFonts w:hint="default" w:ascii="Times New Roman" w:hAnsi="Times New Roman" w:cs="Times New Roman"/>
                <w:color w:val="auto"/>
              </w:rPr>
            </w:pPr>
            <w:r>
              <w:rPr>
                <w:rFonts w:hint="default" w:ascii="Times New Roman" w:hAnsi="Times New Roman" w:cs="Times New Roman"/>
                <w:color w:val="auto"/>
              </w:rPr>
              <w:t>项目水平衡图如下：</w:t>
            </w:r>
          </w:p>
          <w:p>
            <w:pPr>
              <w:ind w:firstLine="0" w:firstLineChars="0"/>
              <w:rPr>
                <w:rFonts w:hint="default" w:ascii="Times New Roman" w:hAnsi="Times New Roman" w:cs="Times New Roman"/>
                <w:color w:val="auto"/>
              </w:rPr>
            </w:pPr>
            <w:r>
              <w:rPr>
                <w:rFonts w:hint="default" w:ascii="Times New Roman" w:hAnsi="Times New Roman" w:cs="Times New Roman"/>
                <w:color w:val="auto"/>
              </w:rPr>
              <mc:AlternateContent>
                <mc:Choice Requires="wpc">
                  <w:drawing>
                    <wp:inline distT="0" distB="0" distL="114300" distR="114300">
                      <wp:extent cx="5619115" cy="1441450"/>
                      <wp:effectExtent l="0" t="0" r="0" b="0"/>
                      <wp:docPr id="28" name="画布 39719"/>
                      <wp:cNvGraphicFramePr/>
                      <a:graphic xmlns:a="http://schemas.openxmlformats.org/drawingml/2006/main">
                        <a:graphicData uri="http://schemas.microsoft.com/office/word/2010/wordprocessingCanvas">
                          <wpc:wpc>
                            <wpc:bg>
                              <a:noFill/>
                            </wpc:bg>
                            <wpc:whole>
                              <a:ln>
                                <a:noFill/>
                              </a:ln>
                            </wpc:whole>
                            <wps:wsp>
                              <wps:cNvPr id="1" name="直线 39721"/>
                              <wps:cNvSpPr/>
                              <wps:spPr>
                                <a:xfrm flipV="1">
                                  <a:off x="923925" y="823596"/>
                                  <a:ext cx="443230" cy="8255"/>
                                </a:xfrm>
                                <a:prstGeom prst="line">
                                  <a:avLst/>
                                </a:prstGeom>
                                <a:ln w="15875" cap="flat" cmpd="sng">
                                  <a:solidFill>
                                    <a:srgbClr val="000000"/>
                                  </a:solidFill>
                                  <a:prstDash val="solid"/>
                                  <a:headEnd type="none" w="med" len="med"/>
                                  <a:tailEnd type="arrow" w="med" len="med"/>
                                </a:ln>
                              </wps:spPr>
                              <wps:bodyPr upright="1"/>
                            </wps:wsp>
                            <wps:wsp>
                              <wps:cNvPr id="2" name="矩形 39722"/>
                              <wps:cNvSpPr/>
                              <wps:spPr>
                                <a:xfrm>
                                  <a:off x="1772285" y="393700"/>
                                  <a:ext cx="1004570" cy="294005"/>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spacing w:line="240" w:lineRule="auto"/>
                                      <w:ind w:firstLine="0" w:firstLineChars="0"/>
                                      <w:rPr>
                                        <w:rFonts w:hint="eastAsia"/>
                                        <w:sz w:val="21"/>
                                        <w:szCs w:val="20"/>
                                      </w:rPr>
                                    </w:pPr>
                                    <w:r>
                                      <w:rPr>
                                        <w:rFonts w:hint="eastAsia"/>
                                        <w:sz w:val="21"/>
                                        <w:szCs w:val="20"/>
                                      </w:rPr>
                                      <w:t>员工生活用水</w:t>
                                    </w:r>
                                  </w:p>
                                </w:txbxContent>
                              </wps:txbx>
                              <wps:bodyPr vert="horz" wrap="square" anchor="t" anchorCtr="0" upright="1"/>
                            </wps:wsp>
                            <wps:wsp>
                              <wps:cNvPr id="3" name="直线 39723"/>
                              <wps:cNvSpPr/>
                              <wps:spPr>
                                <a:xfrm flipH="1">
                                  <a:off x="1346835" y="530225"/>
                                  <a:ext cx="8890" cy="577215"/>
                                </a:xfrm>
                                <a:prstGeom prst="line">
                                  <a:avLst/>
                                </a:prstGeom>
                                <a:ln w="15875" cap="flat" cmpd="sng">
                                  <a:solidFill>
                                    <a:srgbClr val="000000"/>
                                  </a:solidFill>
                                  <a:prstDash val="solid"/>
                                  <a:headEnd type="none" w="med" len="med"/>
                                  <a:tailEnd type="none" w="med" len="med"/>
                                </a:ln>
                              </wps:spPr>
                              <wps:bodyPr upright="1"/>
                            </wps:wsp>
                            <wps:wsp>
                              <wps:cNvPr id="4" name="直线 39724"/>
                              <wps:cNvSpPr/>
                              <wps:spPr>
                                <a:xfrm flipV="1">
                                  <a:off x="2221865" y="258445"/>
                                  <a:ext cx="163830" cy="130810"/>
                                </a:xfrm>
                                <a:prstGeom prst="line">
                                  <a:avLst/>
                                </a:prstGeom>
                                <a:ln w="15875" cap="flat" cmpd="sng">
                                  <a:solidFill>
                                    <a:srgbClr val="000000"/>
                                  </a:solidFill>
                                  <a:prstDash val="dash"/>
                                  <a:headEnd type="none" w="med" len="med"/>
                                  <a:tailEnd type="arrow" w="med" len="med"/>
                                </a:ln>
                              </wps:spPr>
                              <wps:bodyPr upright="1"/>
                            </wps:wsp>
                            <wps:wsp>
                              <wps:cNvPr id="5" name="矩形 39726"/>
                              <wps:cNvSpPr/>
                              <wps:spPr>
                                <a:xfrm>
                                  <a:off x="288290" y="694055"/>
                                  <a:ext cx="622935" cy="300355"/>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spacing w:line="240" w:lineRule="auto"/>
                                      <w:ind w:firstLine="0" w:firstLineChars="0"/>
                                      <w:rPr>
                                        <w:rFonts w:hint="eastAsia"/>
                                        <w:sz w:val="21"/>
                                        <w:szCs w:val="20"/>
                                      </w:rPr>
                                    </w:pPr>
                                    <w:r>
                                      <w:rPr>
                                        <w:rFonts w:hint="eastAsia"/>
                                        <w:sz w:val="21"/>
                                        <w:szCs w:val="20"/>
                                      </w:rPr>
                                      <w:t>新鲜水</w:t>
                                    </w:r>
                                  </w:p>
                                </w:txbxContent>
                              </wps:txbx>
                              <wps:bodyPr vert="horz" wrap="square" anchor="t" anchorCtr="0" upright="1"/>
                            </wps:wsp>
                            <wps:wsp>
                              <wps:cNvPr id="6" name="矩形 39728"/>
                              <wps:cNvSpPr/>
                              <wps:spPr>
                                <a:xfrm>
                                  <a:off x="2172335" y="28575"/>
                                  <a:ext cx="521970" cy="274955"/>
                                </a:xfrm>
                                <a:prstGeom prst="rect">
                                  <a:avLst/>
                                </a:prstGeom>
                                <a:noFill/>
                                <a:ln w="15875">
                                  <a:noFill/>
                                </a:ln>
                              </wps:spPr>
                              <wps:txb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rPr>
                                      <w:t>0.5</w:t>
                                    </w:r>
                                    <w:r>
                                      <w:rPr>
                                        <w:rFonts w:hint="default" w:ascii="Times New Roman" w:hAnsi="Times New Roman" w:cs="Times New Roman"/>
                                        <w:sz w:val="21"/>
                                        <w:szCs w:val="20"/>
                                        <w:lang w:val="en-US" w:eastAsia="zh-CN"/>
                                      </w:rPr>
                                      <w:t>5</w:t>
                                    </w:r>
                                  </w:p>
                                </w:txbxContent>
                              </wps:txbx>
                              <wps:bodyPr vert="horz" wrap="square" anchor="t" anchorCtr="0" upright="1"/>
                            </wps:wsp>
                            <wps:wsp>
                              <wps:cNvPr id="7" name="直线 39729"/>
                              <wps:cNvSpPr/>
                              <wps:spPr>
                                <a:xfrm flipV="1">
                                  <a:off x="1365885" y="542290"/>
                                  <a:ext cx="431800" cy="0"/>
                                </a:xfrm>
                                <a:prstGeom prst="line">
                                  <a:avLst/>
                                </a:prstGeom>
                                <a:ln w="15875" cap="flat" cmpd="sng">
                                  <a:solidFill>
                                    <a:srgbClr val="000000"/>
                                  </a:solidFill>
                                  <a:prstDash val="solid"/>
                                  <a:headEnd type="none" w="med" len="med"/>
                                  <a:tailEnd type="arrow" w="med" len="med"/>
                                </a:ln>
                              </wps:spPr>
                              <wps:bodyPr upright="1"/>
                            </wps:wsp>
                            <wps:wsp>
                              <wps:cNvPr id="8" name="矩形 39730"/>
                              <wps:cNvSpPr/>
                              <wps:spPr>
                                <a:xfrm>
                                  <a:off x="1339850" y="273685"/>
                                  <a:ext cx="454025" cy="279400"/>
                                </a:xfrm>
                                <a:prstGeom prst="rect">
                                  <a:avLst/>
                                </a:prstGeom>
                                <a:noFill/>
                                <a:ln w="15875">
                                  <a:noFill/>
                                </a:ln>
                              </wps:spPr>
                              <wps:txb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rPr>
                                      <w:t>2.</w:t>
                                    </w:r>
                                    <w:r>
                                      <w:rPr>
                                        <w:rFonts w:hint="default" w:ascii="Times New Roman" w:hAnsi="Times New Roman" w:cs="Times New Roman"/>
                                        <w:sz w:val="21"/>
                                        <w:szCs w:val="20"/>
                                        <w:lang w:val="en-US" w:eastAsia="zh-CN"/>
                                      </w:rPr>
                                      <w:t>75</w:t>
                                    </w:r>
                                  </w:p>
                                </w:txbxContent>
                              </wps:txbx>
                              <wps:bodyPr vert="horz" wrap="square" anchor="t" anchorCtr="0" upright="1"/>
                            </wps:wsp>
                            <wps:wsp>
                              <wps:cNvPr id="9" name="直线 39731"/>
                              <wps:cNvSpPr/>
                              <wps:spPr>
                                <a:xfrm flipV="1">
                                  <a:off x="2785745" y="532765"/>
                                  <a:ext cx="1174115" cy="635"/>
                                </a:xfrm>
                                <a:prstGeom prst="line">
                                  <a:avLst/>
                                </a:prstGeom>
                                <a:ln w="15875" cap="flat" cmpd="sng">
                                  <a:solidFill>
                                    <a:srgbClr val="000000"/>
                                  </a:solidFill>
                                  <a:prstDash val="solid"/>
                                  <a:headEnd type="none" w="med" len="med"/>
                                  <a:tailEnd type="arrow" w="med" len="med"/>
                                </a:ln>
                              </wps:spPr>
                              <wps:bodyPr upright="1"/>
                            </wps:wsp>
                            <wps:wsp>
                              <wps:cNvPr id="10" name="矩形 39732"/>
                              <wps:cNvSpPr/>
                              <wps:spPr>
                                <a:xfrm>
                                  <a:off x="3100070" y="295275"/>
                                  <a:ext cx="387350" cy="279400"/>
                                </a:xfrm>
                                <a:prstGeom prst="rect">
                                  <a:avLst/>
                                </a:prstGeom>
                                <a:noFill/>
                                <a:ln w="15875">
                                  <a:noFill/>
                                </a:ln>
                              </wps:spPr>
                              <wps:txb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lang w:val="en-US" w:eastAsia="zh-CN"/>
                                      </w:rPr>
                                      <w:t>2.2</w:t>
                                    </w:r>
                                  </w:p>
                                </w:txbxContent>
                              </wps:txbx>
                              <wps:bodyPr vert="horz" wrap="square" anchor="t" anchorCtr="0" upright="1"/>
                            </wps:wsp>
                            <wps:wsp>
                              <wps:cNvPr id="11" name="矩形 39733"/>
                              <wps:cNvSpPr/>
                              <wps:spPr>
                                <a:xfrm>
                                  <a:off x="4573905" y="626745"/>
                                  <a:ext cx="644525" cy="29210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spacing w:line="240" w:lineRule="auto"/>
                                      <w:ind w:firstLine="0" w:firstLineChars="0"/>
                                      <w:rPr>
                                        <w:rFonts w:hint="eastAsia" w:eastAsia="宋体"/>
                                        <w:sz w:val="21"/>
                                        <w:szCs w:val="20"/>
                                        <w:lang w:eastAsia="zh-CN"/>
                                      </w:rPr>
                                    </w:pPr>
                                    <w:r>
                                      <w:rPr>
                                        <w:rFonts w:hint="eastAsia"/>
                                        <w:sz w:val="21"/>
                                        <w:szCs w:val="20"/>
                                        <w:lang w:eastAsia="zh-CN"/>
                                      </w:rPr>
                                      <w:t>化粪池池</w:t>
                                    </w:r>
                                  </w:p>
                                </w:txbxContent>
                              </wps:txbx>
                              <wps:bodyPr vert="horz" wrap="square" anchor="t" anchorCtr="0" upright="1"/>
                            </wps:wsp>
                            <wps:wsp>
                              <wps:cNvPr id="12" name="直线 39735"/>
                              <wps:cNvSpPr/>
                              <wps:spPr>
                                <a:xfrm flipV="1">
                                  <a:off x="1367790" y="1095376"/>
                                  <a:ext cx="365760" cy="635"/>
                                </a:xfrm>
                                <a:prstGeom prst="line">
                                  <a:avLst/>
                                </a:prstGeom>
                                <a:ln w="15875" cap="flat" cmpd="sng">
                                  <a:solidFill>
                                    <a:srgbClr val="000000"/>
                                  </a:solidFill>
                                  <a:prstDash val="solid"/>
                                  <a:headEnd type="none" w="med" len="med"/>
                                  <a:tailEnd type="arrow" w="med" len="med"/>
                                </a:ln>
                              </wps:spPr>
                              <wps:bodyPr upright="1"/>
                            </wps:wsp>
                            <wps:wsp>
                              <wps:cNvPr id="13" name="矩形 39740"/>
                              <wps:cNvSpPr/>
                              <wps:spPr>
                                <a:xfrm>
                                  <a:off x="901065" y="581025"/>
                                  <a:ext cx="444500" cy="279400"/>
                                </a:xfrm>
                                <a:prstGeom prst="rect">
                                  <a:avLst/>
                                </a:prstGeom>
                                <a:noFill/>
                                <a:ln w="15875">
                                  <a:noFill/>
                                </a:ln>
                              </wps:spPr>
                              <wps:txb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lang w:val="en-US" w:eastAsia="zh-CN"/>
                                      </w:rPr>
                                      <w:t>3.83</w:t>
                                    </w:r>
                                  </w:p>
                                </w:txbxContent>
                              </wps:txbx>
                              <wps:bodyPr vert="horz" wrap="square" anchor="t" anchorCtr="0" upright="1"/>
                            </wps:wsp>
                            <wps:wsp>
                              <wps:cNvPr id="14" name="矩形 39744"/>
                              <wps:cNvSpPr/>
                              <wps:spPr>
                                <a:xfrm>
                                  <a:off x="1337945" y="852171"/>
                                  <a:ext cx="508000" cy="254000"/>
                                </a:xfrm>
                                <a:prstGeom prst="rect">
                                  <a:avLst/>
                                </a:prstGeom>
                                <a:noFill/>
                                <a:ln w="15875">
                                  <a:noFill/>
                                </a:ln>
                              </wps:spPr>
                              <wps:txb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lang w:val="en-US" w:eastAsia="zh-CN"/>
                                      </w:rPr>
                                      <w:t>1.08</w:t>
                                    </w:r>
                                  </w:p>
                                </w:txbxContent>
                              </wps:txbx>
                              <wps:bodyPr vert="horz" wrap="square" anchor="t" anchorCtr="0" upright="1"/>
                            </wps:wsp>
                            <wps:wsp>
                              <wps:cNvPr id="15" name="矩形 39745"/>
                              <wps:cNvSpPr/>
                              <wps:spPr>
                                <a:xfrm>
                                  <a:off x="1715135" y="936626"/>
                                  <a:ext cx="775970" cy="29210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spacing w:line="240" w:lineRule="auto"/>
                                      <w:ind w:firstLine="0" w:firstLineChars="0"/>
                                      <w:rPr>
                                        <w:rFonts w:hint="eastAsia" w:eastAsia="宋体"/>
                                        <w:sz w:val="21"/>
                                        <w:szCs w:val="20"/>
                                        <w:lang w:eastAsia="zh-CN"/>
                                      </w:rPr>
                                    </w:pPr>
                                    <w:r>
                                      <w:rPr>
                                        <w:rFonts w:hint="eastAsia"/>
                                        <w:sz w:val="21"/>
                                        <w:szCs w:val="20"/>
                                        <w:lang w:eastAsia="zh-CN"/>
                                      </w:rPr>
                                      <w:t>食堂废水</w:t>
                                    </w:r>
                                  </w:p>
                                </w:txbxContent>
                              </wps:txbx>
                              <wps:bodyPr vert="horz" wrap="square" anchor="t" anchorCtr="0" upright="1"/>
                            </wps:wsp>
                            <wps:wsp>
                              <wps:cNvPr id="16" name="直线 39746"/>
                              <wps:cNvSpPr/>
                              <wps:spPr>
                                <a:xfrm flipV="1">
                                  <a:off x="2496820" y="1090296"/>
                                  <a:ext cx="355600" cy="0"/>
                                </a:xfrm>
                                <a:prstGeom prst="line">
                                  <a:avLst/>
                                </a:prstGeom>
                                <a:ln w="15875" cap="flat" cmpd="sng">
                                  <a:solidFill>
                                    <a:srgbClr val="000000"/>
                                  </a:solidFill>
                                  <a:prstDash val="solid"/>
                                  <a:headEnd type="none" w="med" len="med"/>
                                  <a:tailEnd type="arrow" w="med" len="med"/>
                                </a:ln>
                              </wps:spPr>
                              <wps:bodyPr upright="1"/>
                            </wps:wsp>
                            <wps:wsp>
                              <wps:cNvPr id="17" name="矩形 39747"/>
                              <wps:cNvSpPr/>
                              <wps:spPr>
                                <a:xfrm>
                                  <a:off x="2461895" y="814071"/>
                                  <a:ext cx="451485" cy="281940"/>
                                </a:xfrm>
                                <a:prstGeom prst="rect">
                                  <a:avLst/>
                                </a:prstGeom>
                                <a:noFill/>
                                <a:ln w="15875">
                                  <a:noFill/>
                                </a:ln>
                              </wps:spPr>
                              <wps:txb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lang w:val="en-US" w:eastAsia="zh-CN"/>
                                      </w:rPr>
                                      <w:t>0.86</w:t>
                                    </w:r>
                                  </w:p>
                                </w:txbxContent>
                              </wps:txbx>
                              <wps:bodyPr vert="horz" wrap="square" anchor="t" anchorCtr="0" upright="1"/>
                            </wps:wsp>
                            <wps:wsp>
                              <wps:cNvPr id="18" name="直线 39749"/>
                              <wps:cNvSpPr/>
                              <wps:spPr>
                                <a:xfrm flipV="1">
                                  <a:off x="2069465" y="810896"/>
                                  <a:ext cx="152400" cy="127000"/>
                                </a:xfrm>
                                <a:prstGeom prst="line">
                                  <a:avLst/>
                                </a:prstGeom>
                                <a:ln w="15875" cap="flat" cmpd="sng">
                                  <a:solidFill>
                                    <a:srgbClr val="000000"/>
                                  </a:solidFill>
                                  <a:prstDash val="dash"/>
                                  <a:headEnd type="none" w="med" len="med"/>
                                  <a:tailEnd type="arrow" w="med" len="med"/>
                                </a:ln>
                              </wps:spPr>
                              <wps:bodyPr upright="1"/>
                            </wps:wsp>
                            <wps:wsp>
                              <wps:cNvPr id="19" name="矩形 39750"/>
                              <wps:cNvSpPr/>
                              <wps:spPr>
                                <a:xfrm>
                                  <a:off x="1800860" y="647700"/>
                                  <a:ext cx="520700" cy="254000"/>
                                </a:xfrm>
                                <a:prstGeom prst="rect">
                                  <a:avLst/>
                                </a:prstGeom>
                                <a:noFill/>
                                <a:ln w="15875">
                                  <a:noFill/>
                                </a:ln>
                              </wps:spPr>
                              <wps:txb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0.22</w:t>
                                    </w:r>
                                  </w:p>
                                </w:txbxContent>
                              </wps:txbx>
                              <wps:bodyPr vert="horz" wrap="square" anchor="t" anchorCtr="0" upright="1"/>
                            </wps:wsp>
                            <wps:wsp>
                              <wps:cNvPr id="20" name="直线 39751"/>
                              <wps:cNvSpPr/>
                              <wps:spPr>
                                <a:xfrm>
                                  <a:off x="3491230" y="1066801"/>
                                  <a:ext cx="478790" cy="635"/>
                                </a:xfrm>
                                <a:prstGeom prst="line">
                                  <a:avLst/>
                                </a:prstGeom>
                                <a:ln w="15875" cap="flat" cmpd="sng">
                                  <a:solidFill>
                                    <a:srgbClr val="000000"/>
                                  </a:solidFill>
                                  <a:prstDash val="solid"/>
                                  <a:headEnd type="none" w="med" len="med"/>
                                  <a:tailEnd type="arrow" w="med" len="med"/>
                                </a:ln>
                              </wps:spPr>
                              <wps:bodyPr upright="1"/>
                            </wps:wsp>
                            <wps:wsp>
                              <wps:cNvPr id="21" name="矩形 39752"/>
                              <wps:cNvSpPr/>
                              <wps:spPr>
                                <a:xfrm>
                                  <a:off x="3500120" y="833121"/>
                                  <a:ext cx="444500" cy="279400"/>
                                </a:xfrm>
                                <a:prstGeom prst="rect">
                                  <a:avLst/>
                                </a:prstGeom>
                                <a:noFill/>
                                <a:ln w="15875">
                                  <a:noFill/>
                                </a:ln>
                              </wps:spPr>
                              <wps:txb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lang w:val="en-US" w:eastAsia="zh-CN"/>
                                      </w:rPr>
                                      <w:t>0.86</w:t>
                                    </w:r>
                                  </w:p>
                                </w:txbxContent>
                              </wps:txbx>
                              <wps:bodyPr vert="horz" wrap="square" anchor="t" anchorCtr="0" upright="1"/>
                            </wps:wsp>
                            <wps:wsp>
                              <wps:cNvPr id="22" name="直线 39753"/>
                              <wps:cNvSpPr/>
                              <wps:spPr>
                                <a:xfrm>
                                  <a:off x="3950335" y="527050"/>
                                  <a:ext cx="635" cy="533400"/>
                                </a:xfrm>
                                <a:prstGeom prst="line">
                                  <a:avLst/>
                                </a:prstGeom>
                                <a:ln w="15875" cap="flat" cmpd="sng">
                                  <a:solidFill>
                                    <a:srgbClr val="000000"/>
                                  </a:solidFill>
                                  <a:prstDash val="solid"/>
                                  <a:headEnd type="none" w="med" len="med"/>
                                  <a:tailEnd type="none" w="med" len="med"/>
                                </a:ln>
                              </wps:spPr>
                              <wps:bodyPr upright="1"/>
                            </wps:wsp>
                            <wps:wsp>
                              <wps:cNvPr id="23" name="直线 39754"/>
                              <wps:cNvSpPr/>
                              <wps:spPr>
                                <a:xfrm flipV="1">
                                  <a:off x="3957320" y="790576"/>
                                  <a:ext cx="620395" cy="635"/>
                                </a:xfrm>
                                <a:prstGeom prst="line">
                                  <a:avLst/>
                                </a:prstGeom>
                                <a:ln w="15875" cap="flat" cmpd="sng">
                                  <a:solidFill>
                                    <a:srgbClr val="000000"/>
                                  </a:solidFill>
                                  <a:prstDash val="solid"/>
                                  <a:headEnd type="none" w="med" len="med"/>
                                  <a:tailEnd type="arrow" w="med" len="med"/>
                                </a:ln>
                              </wps:spPr>
                              <wps:bodyPr upright="1"/>
                            </wps:wsp>
                            <wps:wsp>
                              <wps:cNvPr id="24" name="矩形 39755"/>
                              <wps:cNvSpPr/>
                              <wps:spPr>
                                <a:xfrm>
                                  <a:off x="4033520" y="528320"/>
                                  <a:ext cx="444500" cy="279400"/>
                                </a:xfrm>
                                <a:prstGeom prst="rect">
                                  <a:avLst/>
                                </a:prstGeom>
                                <a:noFill/>
                                <a:ln w="15875">
                                  <a:noFill/>
                                </a:ln>
                              </wps:spPr>
                              <wps:txb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lang w:val="en-US" w:eastAsia="zh-CN"/>
                                      </w:rPr>
                                      <w:t>3.06</w:t>
                                    </w:r>
                                  </w:p>
                                </w:txbxContent>
                              </wps:txbx>
                              <wps:bodyPr vert="horz" wrap="square" anchor="t" anchorCtr="0" upright="1"/>
                            </wps:wsp>
                            <wps:wsp>
                              <wps:cNvPr id="25" name="矩形 39756"/>
                              <wps:cNvSpPr/>
                              <wps:spPr>
                                <a:xfrm>
                                  <a:off x="2849880" y="922021"/>
                                  <a:ext cx="635000" cy="29210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spacing w:line="240" w:lineRule="auto"/>
                                      <w:ind w:firstLine="0" w:firstLineChars="0"/>
                                      <w:rPr>
                                        <w:rFonts w:hint="eastAsia" w:eastAsia="宋体"/>
                                        <w:sz w:val="21"/>
                                        <w:szCs w:val="20"/>
                                        <w:lang w:eastAsia="zh-CN"/>
                                      </w:rPr>
                                    </w:pPr>
                                    <w:r>
                                      <w:rPr>
                                        <w:rFonts w:hint="eastAsia"/>
                                        <w:sz w:val="21"/>
                                        <w:szCs w:val="20"/>
                                        <w:lang w:eastAsia="zh-CN"/>
                                      </w:rPr>
                                      <w:t>隔油池池</w:t>
                                    </w:r>
                                  </w:p>
                                </w:txbxContent>
                              </wps:txbx>
                              <wps:bodyPr vert="horz" wrap="square" anchor="t" anchorCtr="0" upright="1"/>
                            </wps:wsp>
                            <wps:wsp>
                              <wps:cNvPr id="26" name="直线 39757"/>
                              <wps:cNvSpPr/>
                              <wps:spPr>
                                <a:xfrm>
                                  <a:off x="4928870" y="923926"/>
                                  <a:ext cx="0" cy="229235"/>
                                </a:xfrm>
                                <a:prstGeom prst="line">
                                  <a:avLst/>
                                </a:prstGeom>
                                <a:ln w="15875" cap="flat" cmpd="sng">
                                  <a:solidFill>
                                    <a:srgbClr val="000000"/>
                                  </a:solidFill>
                                  <a:prstDash val="solid"/>
                                  <a:headEnd type="none" w="med" len="med"/>
                                  <a:tailEnd type="arrow" w="med" len="med"/>
                                </a:ln>
                              </wps:spPr>
                              <wps:bodyPr upright="1"/>
                            </wps:wsp>
                            <wps:wsp>
                              <wps:cNvPr id="27" name="文本框 39758"/>
                              <wps:cNvSpPr txBox="1"/>
                              <wps:spPr>
                                <a:xfrm>
                                  <a:off x="4175125" y="1123950"/>
                                  <a:ext cx="1358900" cy="317500"/>
                                </a:xfrm>
                                <a:prstGeom prst="rect">
                                  <a:avLst/>
                                </a:prstGeom>
                                <a:noFill/>
                                <a:ln w="15875">
                                  <a:noFill/>
                                </a:ln>
                              </wps:spPr>
                              <wps:txbx>
                                <w:txbxContent>
                                  <w:p>
                                    <w:pPr>
                                      <w:spacing w:line="240" w:lineRule="auto"/>
                                      <w:ind w:firstLine="0" w:firstLineChars="0"/>
                                      <w:rPr>
                                        <w:rFonts w:hint="eastAsia" w:eastAsia="宋体"/>
                                        <w:sz w:val="21"/>
                                        <w:highlight w:val="none"/>
                                        <w:lang w:eastAsia="zh-CN"/>
                                      </w:rPr>
                                    </w:pPr>
                                    <w:r>
                                      <w:rPr>
                                        <w:rFonts w:hint="eastAsia"/>
                                        <w:sz w:val="21"/>
                                        <w:highlight w:val="none"/>
                                        <w:lang w:eastAsia="zh-CN"/>
                                      </w:rPr>
                                      <w:t>高桥村污水处理厂</w:t>
                                    </w:r>
                                  </w:p>
                                </w:txbxContent>
                              </wps:txbx>
                              <wps:bodyPr vert="horz" wrap="square" anchor="t" anchorCtr="0" upright="1"/>
                            </wps:wsp>
                          </wpc:wpc>
                        </a:graphicData>
                      </a:graphic>
                    </wp:inline>
                  </w:drawing>
                </mc:Choice>
                <mc:Fallback>
                  <w:pict>
                    <v:group id="画布 39719" o:spid="_x0000_s1026" o:spt="203" style="height:113.5pt;width:442.45pt;" coordsize="5619115,1441450" editas="canvas" o:gfxdata="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">
                      <o:lock v:ext="edit" aspectratio="f"/>
                      <v:rect id="画布 39719" o:spid="_x0000_s1026" o:spt="1" style="position:absolute;left:0;top:0;height:1441450;width:5619115;" filled="f" stroked="f" coordsize="21600,21600" o:gfxdata="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">
                        <v:fill on="f" focussize="0,0"/>
                        <v:stroke on="f"/>
                        <v:imagedata o:title=""/>
                        <o:lock v:ext="edit" rotation="t" aspectratio="f"/>
                      </v:rect>
                      <v:line id="直线 39721" o:spid="_x0000_s1026" o:spt="20" style="position:absolute;left:923925;top:823595;flip:y;height:8255;width:443230;" filled="f" stroked="t" coordsize="21600,21600" o:gfxdata="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MHZHHTAAAABQEAAA8AAAAAAAAAAQAgAAAAIgAAAGRycy9kb3du&#10;cmV2LnhtbFBLAQIUABQAAAAIAIdO4kCZDR2wBAIAAPcDAAAOAAAAAAAAAAEAIAAAACIBAABkcnMv&#10;ZTJvRG9jLnhtbFBLBQYAAAAABgAGAFkBAACYBQAAAAA=&#10;">
                        <v:fill on="f" focussize="0,0"/>
                        <v:stroke weight="1.25pt" color="#000000" joinstyle="round" endarrow="open"/>
                        <v:imagedata o:title=""/>
                        <o:lock v:ext="edit" aspectratio="f"/>
                      </v:line>
                      <v:rect id="矩形 39722" o:spid="_x0000_s1026" o:spt="1" style="position:absolute;left:1772285;top:393700;height:294005;width:1004570;" fillcolor="#FFFFFF" filled="t" stroked="t" coordsize="21600,21600" o:gfxdata="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CqQpPVAAAABQEAAA8AAAAAAAAAAQAgAAAAIgAAAGRycy9kb3ducmV2LnhtbFBLAQIU&#10;ABQAAAAIAIdO4kApKnFJaAIAAPMEAAAOAAAAAAAAAAEAIAAAACQBAABkcnMvZTJvRG9jLnhtbFBL&#10;BQYAAAAABgAGAFkBAAD+BQAAAAA=&#10;">
                        <v:fill type="gradient" on="t" color2="#FFFFFF" angle="90" focus="100%" focussize="0f,0f" focusposition="0f,0f">
                          <o:fill type="gradientUnscaled" v:ext="backwardCompatible"/>
                        </v:fill>
                        <v:stroke weight="1.25pt" color="#000000" joinstyle="miter"/>
                        <v:imagedata o:title=""/>
                        <o:lock v:ext="edit" aspectratio="f"/>
                        <v:textbox>
                          <w:txbxContent>
                            <w:p>
                              <w:pPr>
                                <w:spacing w:line="240" w:lineRule="auto"/>
                                <w:ind w:firstLine="0" w:firstLineChars="0"/>
                                <w:rPr>
                                  <w:rFonts w:hint="eastAsia"/>
                                  <w:sz w:val="21"/>
                                  <w:szCs w:val="20"/>
                                </w:rPr>
                              </w:pPr>
                              <w:r>
                                <w:rPr>
                                  <w:rFonts w:hint="eastAsia"/>
                                  <w:sz w:val="21"/>
                                  <w:szCs w:val="20"/>
                                </w:rPr>
                                <w:t>员工生活用水</w:t>
                              </w:r>
                            </w:p>
                          </w:txbxContent>
                        </v:textbox>
                      </v:rect>
                      <v:line id="直线 39723" o:spid="_x0000_s1026" o:spt="20" style="position:absolute;left:1346835;top:530225;flip:x;height:577215;width:8890;" filled="f" stroked="t" coordsize="21600,21600" o:gfxdata="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Vuk6dQAAAAFAQAADwAAAAAAAAABACAAAAAiAAAAZHJzL2Rvd25y&#10;ZXYueG1sUEsBAhQAFAAAAAgAh07iQDcplGQCAgAA9wMAAA4AAAAAAAAAAQAgAAAAIwEAAGRycy9l&#10;Mm9Eb2MueG1sUEsFBgAAAAAGAAYAWQEAAJcFAAAAAA==&#10;">
                        <v:fill on="f" focussize="0,0"/>
                        <v:stroke weight="1.25pt" color="#000000" joinstyle="round"/>
                        <v:imagedata o:title=""/>
                        <o:lock v:ext="edit" aspectratio="f"/>
                      </v:line>
                      <v:line id="直线 39724" o:spid="_x0000_s1026" o:spt="20" style="position:absolute;left:2221865;top:258445;flip:y;height:130810;width:163830;" filled="f" stroked="t" coordsize="21600,21600" o:gfxdata="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fnznWAAAABQEAAA8AAAAAAAAAAQAgAAAAIgAA&#10;AGRycy9kb3ducmV2LnhtbFBLAQIUABQAAAAIAIdO4kDNxEr6CgIAAPkDAAAOAAAAAAAAAAEAIAAA&#10;ACUBAABkcnMvZTJvRG9jLnhtbFBLBQYAAAAABgAGAFkBAAChBQAAAAA=&#10;">
                        <v:fill on="f" focussize="0,0"/>
                        <v:stroke weight="1.25pt" color="#000000" joinstyle="round" dashstyle="dash" endarrow="open"/>
                        <v:imagedata o:title=""/>
                        <o:lock v:ext="edit" aspectratio="f"/>
                      </v:line>
                      <v:rect id="矩形 39726" o:spid="_x0000_s1026" o:spt="1" style="position:absolute;left:288290;top:694055;height:300355;width:622935;" fillcolor="#FFFFFF" filled="t" stroked="t" coordsize="21600,21600" o:gfxdata="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KpCk9UAAAAFAQAADwAAAAAAAAABACAAAAAiAAAAZHJzL2Rvd25yZXYueG1sUEsBAhQA&#10;FAAAAAgAh07iQEAqg7lnAgAA8QQAAA4AAAAAAAAAAQAgAAAAJAEAAGRycy9lMm9Eb2MueG1sUEsF&#10;BgAAAAAGAAYAWQEAAP0FAAAAAA==&#10;">
                        <v:fill type="gradient" on="t" color2="#FFFFFF" angle="90" focus="100%" focussize="0f,0f" focusposition="0f,0f">
                          <o:fill type="gradientUnscaled" v:ext="backwardCompatible"/>
                        </v:fill>
                        <v:stroke weight="1.25pt" color="#000000" joinstyle="miter"/>
                        <v:imagedata o:title=""/>
                        <o:lock v:ext="edit" aspectratio="f"/>
                        <v:textbox>
                          <w:txbxContent>
                            <w:p>
                              <w:pPr>
                                <w:spacing w:line="240" w:lineRule="auto"/>
                                <w:ind w:firstLine="0" w:firstLineChars="0"/>
                                <w:rPr>
                                  <w:rFonts w:hint="eastAsia"/>
                                  <w:sz w:val="21"/>
                                  <w:szCs w:val="20"/>
                                </w:rPr>
                              </w:pPr>
                              <w:r>
                                <w:rPr>
                                  <w:rFonts w:hint="eastAsia"/>
                                  <w:sz w:val="21"/>
                                  <w:szCs w:val="20"/>
                                </w:rPr>
                                <w:t>新鲜水</w:t>
                              </w:r>
                            </w:p>
                          </w:txbxContent>
                        </v:textbox>
                      </v:rect>
                      <v:rect id="矩形 39728" o:spid="_x0000_s1026" o:spt="1" style="position:absolute;left:2172335;top:28575;height:274955;width:521970;" filled="f" stroked="f" coordsize="21600,21600" o:gfxdata="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1kHjPXAAAABQEAAA8AAAAAAAAAAQAg&#10;AAAAIgAAAGRycy9kb3ducmV2LnhtbFBLAQIUABQAAAAIAIdO4kCyOmGn1gEAAIsDAAAOAAAAAAAA&#10;AAEAIAAAACYBAABkcnMvZTJvRG9jLnhtbFBLBQYAAAAABgAGAFkBAABuBQAAAAA=&#10;">
                        <v:fill on="f" focussize="0,0"/>
                        <v:stroke on="f" weight="1.25pt"/>
                        <v:imagedata o:title=""/>
                        <o:lock v:ext="edit" aspectratio="f"/>
                        <v:textbo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rPr>
                                <w:t>0.5</w:t>
                              </w:r>
                              <w:r>
                                <w:rPr>
                                  <w:rFonts w:hint="default" w:ascii="Times New Roman" w:hAnsi="Times New Roman" w:cs="Times New Roman"/>
                                  <w:sz w:val="21"/>
                                  <w:szCs w:val="20"/>
                                  <w:lang w:val="en-US" w:eastAsia="zh-CN"/>
                                </w:rPr>
                                <w:t>5</w:t>
                              </w:r>
                            </w:p>
                          </w:txbxContent>
                        </v:textbox>
                      </v:rect>
                      <v:line id="直线 39729" o:spid="_x0000_s1026" o:spt="20" style="position:absolute;left:1365885;top:542290;flip:y;height:0;width:431800;" filled="f" stroked="t" coordsize="21600,21600" o:gfxdata="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wdkcdMAAAAFAQAADwAAAAAAAAABACAAAAAiAAAAZHJzL2Rv&#10;d25yZXYueG1sUEsBAhQAFAAAAAgAh07iQAUin5oGAgAA9QMAAA4AAAAAAAAAAQAgAAAAIgEAAGRy&#10;cy9lMm9Eb2MueG1sUEsFBgAAAAAGAAYAWQEAAJoFAAAAAA==&#10;">
                        <v:fill on="f" focussize="0,0"/>
                        <v:stroke weight="1.25pt" color="#000000" joinstyle="round" endarrow="open"/>
                        <v:imagedata o:title=""/>
                        <o:lock v:ext="edit" aspectratio="f"/>
                      </v:line>
                      <v:rect id="矩形 39730" o:spid="_x0000_s1026" o:spt="1" style="position:absolute;left:1339850;top:273685;height:279400;width:454025;" filled="f" stroked="f" coordsize="21600,21600" o:gfxdata="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QeM9cAAAAFAQAADwAAAAAAAAAB&#10;ACAAAAAiAAAAZHJzL2Rvd25yZXYueG1sUEsBAhQAFAAAAAgAh07iQACff+bYAQAAjAMAAA4AAAAA&#10;AAAAAQAgAAAAJgEAAGRycy9lMm9Eb2MueG1sUEsFBgAAAAAGAAYAWQEAAHAFAAAAAA==&#10;">
                        <v:fill on="f" focussize="0,0"/>
                        <v:stroke on="f" weight="1.25pt"/>
                        <v:imagedata o:title=""/>
                        <o:lock v:ext="edit" aspectratio="f"/>
                        <v:textbo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rPr>
                                <w:t>2.</w:t>
                              </w:r>
                              <w:r>
                                <w:rPr>
                                  <w:rFonts w:hint="default" w:ascii="Times New Roman" w:hAnsi="Times New Roman" w:cs="Times New Roman"/>
                                  <w:sz w:val="21"/>
                                  <w:szCs w:val="20"/>
                                  <w:lang w:val="en-US" w:eastAsia="zh-CN"/>
                                </w:rPr>
                                <w:t>75</w:t>
                              </w:r>
                            </w:p>
                          </w:txbxContent>
                        </v:textbox>
                      </v:rect>
                      <v:line id="直线 39731" o:spid="_x0000_s1026" o:spt="20" style="position:absolute;left:2785745;top:532765;flip:y;height:635;width:1174115;" filled="f" stroked="t" coordsize="21600,21600" o:gfxdata="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B2Rx0wAAAAUBAAAPAAAAAAAAAAEAIAAAACIAAABkcnMv&#10;ZG93bnJldi54bWxQSwECFAAUAAAACACHTuJAp18tcggCAAD4AwAADgAAAAAAAAABACAAAAAiAQAA&#10;ZHJzL2Uyb0RvYy54bWxQSwUGAAAAAAYABgBZAQAAnAUAAAAA&#10;">
                        <v:fill on="f" focussize="0,0"/>
                        <v:stroke weight="1.25pt" color="#000000" joinstyle="round" endarrow="open"/>
                        <v:imagedata o:title=""/>
                        <o:lock v:ext="edit" aspectratio="f"/>
                      </v:line>
                      <v:rect id="矩形 39732" o:spid="_x0000_s1026" o:spt="1" style="position:absolute;left:3100070;top:295275;height:279400;width:387350;" filled="f" stroked="f" coordsize="21600,21600" o:gfxdata="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1kHjPXAAAABQEAAA8AAAAAAAAAAQAg&#10;AAAAIgAAAGRycy9kb3ducmV2LnhtbFBLAQIUABQAAAAIAIdO4kDbW9fV1gEAAI0DAAAOAAAAAAAA&#10;AAEAIAAAACYBAABkcnMvZTJvRG9jLnhtbFBLBQYAAAAABgAGAFkBAABuBQAAAAA=&#10;">
                        <v:fill on="f" focussize="0,0"/>
                        <v:stroke on="f" weight="1.25pt"/>
                        <v:imagedata o:title=""/>
                        <o:lock v:ext="edit" aspectratio="f"/>
                        <v:textbo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lang w:val="en-US" w:eastAsia="zh-CN"/>
                                </w:rPr>
                                <w:t>2.2</w:t>
                              </w:r>
                            </w:p>
                          </w:txbxContent>
                        </v:textbox>
                      </v:rect>
                      <v:rect id="矩形 39733" o:spid="_x0000_s1026" o:spt="1" style="position:absolute;left:4573905;top:626745;height:292100;width:644525;" fillcolor="#FFFFFF" filled="t" stroked="t" coordsize="21600,21600" o:gfxdata="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CqQpPVAAAABQEAAA8AAAAAAAAAAQAgAAAAIgAAAGRycy9kb3ducmV2LnhtbFBLAQIU&#10;ABQAAAAIAIdO4kCbq4HFaAIAAPMEAAAOAAAAAAAAAAEAIAAAACQBAABkcnMvZTJvRG9jLnhtbFBL&#10;BQYAAAAABgAGAFkBAAD+BQAAAAA=&#10;">
                        <v:fill type="gradient" on="t" color2="#FFFFFF" angle="90" focus="100%" focussize="0f,0f" focusposition="0f,0f">
                          <o:fill type="gradientUnscaled" v:ext="backwardCompatible"/>
                        </v:fill>
                        <v:stroke weight="1.25pt" color="#000000" joinstyle="miter"/>
                        <v:imagedata o:title=""/>
                        <o:lock v:ext="edit" aspectratio="f"/>
                        <v:textbox>
                          <w:txbxContent>
                            <w:p>
                              <w:pPr>
                                <w:spacing w:line="240" w:lineRule="auto"/>
                                <w:ind w:firstLine="0" w:firstLineChars="0"/>
                                <w:rPr>
                                  <w:rFonts w:hint="eastAsia" w:eastAsia="宋体"/>
                                  <w:sz w:val="21"/>
                                  <w:szCs w:val="20"/>
                                  <w:lang w:eastAsia="zh-CN"/>
                                </w:rPr>
                              </w:pPr>
                              <w:r>
                                <w:rPr>
                                  <w:rFonts w:hint="eastAsia"/>
                                  <w:sz w:val="21"/>
                                  <w:szCs w:val="20"/>
                                  <w:lang w:eastAsia="zh-CN"/>
                                </w:rPr>
                                <w:t>化粪池池</w:t>
                              </w:r>
                            </w:p>
                          </w:txbxContent>
                        </v:textbox>
                      </v:rect>
                      <v:line id="直线 39735" o:spid="_x0000_s1026" o:spt="20" style="position:absolute;left:1367790;top:1095375;flip:y;height:635;width:365760;" filled="f" stroked="t" coordsize="21600,21600" o:gfxdata="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wdkcdMAAAAFAQAADwAAAAAAAAABACAAAAAiAAAAZHJzL2Rv&#10;d25yZXYueG1sUEsBAhQAFAAAAAgAh07iQAynuNcGAgAA+QMAAA4AAAAAAAAAAQAgAAAAIgEAAGRy&#10;cy9lMm9Eb2MueG1sUEsFBgAAAAAGAAYAWQEAAJoFAAAAAA==&#10;">
                        <v:fill on="f" focussize="0,0"/>
                        <v:stroke weight="1.25pt" color="#000000" joinstyle="round" endarrow="open"/>
                        <v:imagedata o:title=""/>
                        <o:lock v:ext="edit" aspectratio="f"/>
                      </v:line>
                      <v:rect id="矩形 39740" o:spid="_x0000_s1026" o:spt="1" style="position:absolute;left:901064;top:581025;height:279400;width:444500;" filled="f" stroked="f" coordsize="21600,21600" o:gfxdata="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9ZB4z1wAAAAUBAAAPAAAAAAAAAAEA&#10;IAAAACIAAABkcnMvZG93bnJldi54bWxQSwECFAAUAAAACACHTuJADH78HNcBAACMAwAADgAAAAAA&#10;AAABACAAAAAmAQAAZHJzL2Uyb0RvYy54bWxQSwUGAAAAAAYABgBZAQAAbwUAAAAA&#10;">
                        <v:fill on="f" focussize="0,0"/>
                        <v:stroke on="f" weight="1.25pt"/>
                        <v:imagedata o:title=""/>
                        <o:lock v:ext="edit" aspectratio="f"/>
                        <v:textbo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lang w:val="en-US" w:eastAsia="zh-CN"/>
                                </w:rPr>
                                <w:t>3.83</w:t>
                              </w:r>
                            </w:p>
                          </w:txbxContent>
                        </v:textbox>
                      </v:rect>
                      <v:rect id="矩形 39744" o:spid="_x0000_s1026" o:spt="1" style="position:absolute;left:1337945;top:852170;height:254000;width:508000;" filled="f" stroked="f" coordsize="21600,21600" o:gfxdata="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1kHjPXAAAABQEAAA8AAAAAAAAA&#10;AQAgAAAAIgAAAGRycy9kb3ducmV2LnhtbFBLAQIUABQAAAAIAIdO4kD7Q6272QEAAI0DAAAOAAAA&#10;AAAAAAEAIAAAACYBAABkcnMvZTJvRG9jLnhtbFBLBQYAAAAABgAGAFkBAABxBQAAAAA=&#10;">
                        <v:fill on="f" focussize="0,0"/>
                        <v:stroke on="f" weight="1.25pt"/>
                        <v:imagedata o:title=""/>
                        <o:lock v:ext="edit" aspectratio="f"/>
                        <v:textbo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lang w:val="en-US" w:eastAsia="zh-CN"/>
                                </w:rPr>
                                <w:t>1.08</w:t>
                              </w:r>
                            </w:p>
                          </w:txbxContent>
                        </v:textbox>
                      </v:rect>
                      <v:rect id="矩形 39745" o:spid="_x0000_s1026" o:spt="1" style="position:absolute;left:1715135;top:936625;height:292100;width:775970;" fillcolor="#FFFFFF" filled="t" stroked="t" coordsize="21600,21600" o:gfxdata="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KpCk9UAAAAFAQAADwAAAAAAAAABACAAAAAiAAAAZHJzL2Rvd25yZXYueG1sUEsBAhQA&#10;FAAAAAgAh07iQN39DtBnAgAA8wQAAA4AAAAAAAAAAQAgAAAAJAEAAGRycy9lMm9Eb2MueG1sUEsF&#10;BgAAAAAGAAYAWQEAAP0FAAAAAA==&#10;">
                        <v:fill type="gradient" on="t" color2="#FFFFFF" angle="90" focus="100%" focussize="0f,0f" focusposition="0f,0f">
                          <o:fill type="gradientUnscaled" v:ext="backwardCompatible"/>
                        </v:fill>
                        <v:stroke weight="1.25pt" color="#000000" joinstyle="miter"/>
                        <v:imagedata o:title=""/>
                        <o:lock v:ext="edit" aspectratio="f"/>
                        <v:textbox>
                          <w:txbxContent>
                            <w:p>
                              <w:pPr>
                                <w:spacing w:line="240" w:lineRule="auto"/>
                                <w:ind w:firstLine="0" w:firstLineChars="0"/>
                                <w:rPr>
                                  <w:rFonts w:hint="eastAsia" w:eastAsia="宋体"/>
                                  <w:sz w:val="21"/>
                                  <w:szCs w:val="20"/>
                                  <w:lang w:eastAsia="zh-CN"/>
                                </w:rPr>
                              </w:pPr>
                              <w:r>
                                <w:rPr>
                                  <w:rFonts w:hint="eastAsia"/>
                                  <w:sz w:val="21"/>
                                  <w:szCs w:val="20"/>
                                  <w:lang w:eastAsia="zh-CN"/>
                                </w:rPr>
                                <w:t>食堂废水</w:t>
                              </w:r>
                            </w:p>
                          </w:txbxContent>
                        </v:textbox>
                      </v:rect>
                      <v:line id="直线 39746" o:spid="_x0000_s1026" o:spt="20" style="position:absolute;left:2496820;top:1090295;flip:y;height:0;width:355600;" filled="f" stroked="t" coordsize="21600,21600" o:gfxdata="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MHZHHTAAAABQEAAA8AAAAAAAAAAQAgAAAAIgAAAGRycy9k&#10;b3ducmV2LnhtbFBLAQIUABQAAAAIAIdO4kAl9qhMBwIAAPcDAAAOAAAAAAAAAAEAIAAAACIBAABk&#10;cnMvZTJvRG9jLnhtbFBLBQYAAAAABgAGAFkBAACbBQAAAAA=&#10;">
                        <v:fill on="f" focussize="0,0"/>
                        <v:stroke weight="1.25pt" color="#000000" joinstyle="round" endarrow="open"/>
                        <v:imagedata o:title=""/>
                        <o:lock v:ext="edit" aspectratio="f"/>
                      </v:line>
                      <v:rect id="矩形 39747" o:spid="_x0000_s1026" o:spt="1" style="position:absolute;left:2461895;top:814070;height:281940;width:451485;" filled="f" stroked="f" coordsize="21600,21600" o:gfxdata="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9ZB4z1wAAAAUBAAAPAAAAAAAA&#10;AAEAIAAAACIAAABkcnMvZG93bnJldi54bWxQSwECFAAUAAAACACHTuJA+i8QHNoBAACNAwAADgAA&#10;AAAAAAABACAAAAAmAQAAZHJzL2Uyb0RvYy54bWxQSwUGAAAAAAYABgBZAQAAcgUAAAAA&#10;">
                        <v:fill on="f" focussize="0,0"/>
                        <v:stroke on="f" weight="1.25pt"/>
                        <v:imagedata o:title=""/>
                        <o:lock v:ext="edit" aspectratio="f"/>
                        <v:textbo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lang w:val="en-US" w:eastAsia="zh-CN"/>
                                </w:rPr>
                                <w:t>0.86</w:t>
                              </w:r>
                            </w:p>
                          </w:txbxContent>
                        </v:textbox>
                      </v:rect>
                      <v:line id="直线 39749" o:spid="_x0000_s1026" o:spt="20" style="position:absolute;left:2069465;top:810895;flip:y;height:127000;width:152400;" filled="f" stroked="t" coordsize="21600,21600" o:gfxdata="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&#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5851gAAAAUBAAAPAAAAAAAAAAEAIAAAACIAAABk&#10;cnMvZG93bnJldi54bWxQSwECFAAUAAAACACHTuJA8/jf4wgCAAD6AwAADgAAAAAAAAABACAAAAAl&#10;AQAAZHJzL2Uyb0RvYy54bWxQSwUGAAAAAAYABgBZAQAAnwUAAAAA&#10;">
                        <v:fill on="f" focussize="0,0"/>
                        <v:stroke weight="1.25pt" color="#000000" joinstyle="round" dashstyle="dash" endarrow="open"/>
                        <v:imagedata o:title=""/>
                        <o:lock v:ext="edit" aspectratio="f"/>
                      </v:line>
                      <v:rect id="矩形 39750" o:spid="_x0000_s1026" o:spt="1" style="position:absolute;left:1800860;top:647700;height:254000;width:520700;" filled="f" stroked="f" coordsize="21600,21600" o:gfxdata="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9ZB4z1wAAAAUBAAAPAAAAAAAAAAEA&#10;IAAAACIAAABkcnMvZG93bnJldi54bWxQSwECFAAUAAAACACHTuJAXB58GtcBAACNAwAADgAAAAAA&#10;AAABACAAAAAmAQAAZHJzL2Uyb0RvYy54bWxQSwUGAAAAAAYABgBZAQAAbwUAAAAA&#10;">
                        <v:fill on="f" focussize="0,0"/>
                        <v:stroke on="f" weight="1.25pt"/>
                        <v:imagedata o:title=""/>
                        <o:lock v:ext="edit" aspectratio="f"/>
                        <v:textbo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eastAsia="宋体" w:cs="Times New Roman"/>
                                  <w:sz w:val="21"/>
                                  <w:szCs w:val="20"/>
                                  <w:lang w:val="en-US" w:eastAsia="zh-CN"/>
                                </w:rPr>
                                <w:t>0.22</w:t>
                              </w:r>
                            </w:p>
                          </w:txbxContent>
                        </v:textbox>
                      </v:rect>
                      <v:line id="直线 39751" o:spid="_x0000_s1026" o:spt="20" style="position:absolute;left:3491230;top:1066800;height:635;width:478790;" filled="f" stroked="t" coordsize="21600,21600" o:gfxdata="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oSgus2AAAAAUBAAAPAAAAAAAAAAEAIAAAACIAAABkcnMvZG93bnJl&#10;di54bWxQSwECFAAUAAAACACHTuJAsFOS7v0BAADvAwAADgAAAAAAAAABACAAAAAnAQAAZHJzL2Uy&#10;b0RvYy54bWxQSwUGAAAAAAYABgBZAQAAlgUAAAAA&#10;">
                        <v:fill on="f" focussize="0,0"/>
                        <v:stroke weight="1.25pt" color="#000000" joinstyle="round" endarrow="open"/>
                        <v:imagedata o:title=""/>
                        <o:lock v:ext="edit" aspectratio="f"/>
                      </v:line>
                      <v:rect id="矩形 39752" o:spid="_x0000_s1026" o:spt="1" style="position:absolute;left:3500119;top:833120;height:279400;width:444500;" filled="f" stroked="f" coordsize="21600,21600" o:gfxdata="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1kHjPXAAAABQEAAA8AAAAAAAAA&#10;AQAgAAAAIgAAAGRycy9kb3ducmV2LnhtbFBLAQIUABQAAAAIAIdO4kDjBYbY2QEAAI0DAAAOAAAA&#10;AAAAAAEAIAAAACYBAABkcnMvZTJvRG9jLnhtbFBLBQYAAAAABgAGAFkBAABxBQAAAAA=&#10;">
                        <v:fill on="f" focussize="0,0"/>
                        <v:stroke on="f" weight="1.25pt"/>
                        <v:imagedata o:title=""/>
                        <o:lock v:ext="edit" aspectratio="f"/>
                        <v:textbo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lang w:val="en-US" w:eastAsia="zh-CN"/>
                                </w:rPr>
                                <w:t>0.86</w:t>
                              </w:r>
                            </w:p>
                          </w:txbxContent>
                        </v:textbox>
                      </v:rect>
                      <v:line id="直线 39753" o:spid="_x0000_s1026" o:spt="20" style="position:absolute;left:3950335;top:527050;height:533400;width:635;" filled="f" stroked="t" coordsize="21600,21600" o:gfxdata="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2BLow1gAAAAUBAAAPAAAAAAAAAAEAIAAAACIAAABkcnMvZG93bnJldi54bWxQ&#10;SwECFAAUAAAACACHTuJAThA01fkBAADtAwAADgAAAAAAAAABACAAAAAlAQAAZHJzL2Uyb0RvYy54&#10;bWxQSwUGAAAAAAYABgBZAQAAkAUAAAAA&#10;">
                        <v:fill on="f" focussize="0,0"/>
                        <v:stroke weight="1.25pt" color="#000000" joinstyle="round"/>
                        <v:imagedata o:title=""/>
                        <o:lock v:ext="edit" aspectratio="f"/>
                      </v:line>
                      <v:line id="直线 39754" o:spid="_x0000_s1026" o:spt="20" style="position:absolute;left:3957320;top:790575;flip:y;height:635;width:620395;" filled="f" stroked="t" coordsize="21600,21600" o:gfxdata="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B2Rx0wAAAAUBAAAPAAAAAAAAAAEAIAAAACIAAABkcnMvZG93&#10;bnJldi54bWxQSwECFAAUAAAACACHTuJAEUprwQUCAAD4AwAADgAAAAAAAAABACAAAAAiAQAAZHJz&#10;L2Uyb0RvYy54bWxQSwUGAAAAAAYABgBZAQAAmQUAAAAA&#10;">
                        <v:fill on="f" focussize="0,0"/>
                        <v:stroke weight="1.25pt" color="#000000" joinstyle="round" endarrow="open"/>
                        <v:imagedata o:title=""/>
                        <o:lock v:ext="edit" aspectratio="f"/>
                      </v:line>
                      <v:rect id="矩形 39755" o:spid="_x0000_s1026" o:spt="1" style="position:absolute;left:4033520;top:528320;height:279400;width:444500;" filled="f" stroked="f" coordsize="21600,21600" o:gfxdata="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1kHjPXAAAABQEAAA8AAAAAAAAA&#10;AQAgAAAAIgAAAGRycy9kb3ducmV2LnhtbFBLAQIUABQAAAAIAIdO4kA3ac3C2QEAAI0DAAAOAAAA&#10;AAAAAAEAIAAAACYBAABkcnMvZTJvRG9jLnhtbFBLBQYAAAAABgAGAFkBAABxBQAAAAA=&#10;">
                        <v:fill on="f" focussize="0,0"/>
                        <v:stroke on="f" weight="1.25pt"/>
                        <v:imagedata o:title=""/>
                        <o:lock v:ext="edit" aspectratio="f"/>
                        <v:textbox>
                          <w:txbxContent>
                            <w:p>
                              <w:pPr>
                                <w:spacing w:line="240" w:lineRule="auto"/>
                                <w:ind w:firstLine="0" w:firstLineChars="0"/>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lang w:val="en-US" w:eastAsia="zh-CN"/>
                                </w:rPr>
                                <w:t>3.06</w:t>
                              </w:r>
                            </w:p>
                          </w:txbxContent>
                        </v:textbox>
                      </v:rect>
                      <v:rect id="矩形 39756" o:spid="_x0000_s1026" o:spt="1" style="position:absolute;left:2849880;top:922020;height:292100;width:635000;" fillcolor="#FFFFFF" filled="t" stroked="t" coordsize="21600,21600" o:gfxdata="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KpCk9UAAAAFAQAADwAAAAAAAAABACAAAAAiAAAAZHJzL2Rvd25yZXYueG1sUEsBAhQA&#10;FAAAAAgAh07iQCgzTrxnAgAA8wQAAA4AAAAAAAAAAQAgAAAAJAEAAGRycy9lMm9Eb2MueG1sUEsF&#10;BgAAAAAGAAYAWQEAAP0FAAAAAA==&#10;">
                        <v:fill type="gradient" on="t" color2="#FFFFFF" angle="90" focus="100%" focussize="0f,0f" focusposition="0f,0f">
                          <o:fill type="gradientUnscaled" v:ext="backwardCompatible"/>
                        </v:fill>
                        <v:stroke weight="1.25pt" color="#000000" joinstyle="miter"/>
                        <v:imagedata o:title=""/>
                        <o:lock v:ext="edit" aspectratio="f"/>
                        <v:textbox>
                          <w:txbxContent>
                            <w:p>
                              <w:pPr>
                                <w:spacing w:line="240" w:lineRule="auto"/>
                                <w:ind w:firstLine="0" w:firstLineChars="0"/>
                                <w:rPr>
                                  <w:rFonts w:hint="eastAsia" w:eastAsia="宋体"/>
                                  <w:sz w:val="21"/>
                                  <w:szCs w:val="20"/>
                                  <w:lang w:eastAsia="zh-CN"/>
                                </w:rPr>
                              </w:pPr>
                              <w:r>
                                <w:rPr>
                                  <w:rFonts w:hint="eastAsia"/>
                                  <w:sz w:val="21"/>
                                  <w:szCs w:val="20"/>
                                  <w:lang w:eastAsia="zh-CN"/>
                                </w:rPr>
                                <w:t>隔油池池</w:t>
                              </w:r>
                            </w:p>
                          </w:txbxContent>
                        </v:textbox>
                      </v:rect>
                      <v:line id="直线 39757" o:spid="_x0000_s1026" o:spt="20" style="position:absolute;left:4928870;top:923925;height:229235;width:0;" filled="f" stroked="t" coordsize="21600,21600" o:gfxdata="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EoLrNgAAAAFAQAADwAAAAAAAAABACAAAAAiAAAAZHJzL2Rvd25yZXYu&#10;eG1sUEsBAhQAFAAAAAgAh07iQPqD3S37AQAA7AMAAA4AAAAAAAAAAQAgAAAAJwEAAGRycy9lMm9E&#10;b2MueG1sUEsFBgAAAAAGAAYAWQEAAJQFAAAAAA==&#10;">
                        <v:fill on="f" focussize="0,0"/>
                        <v:stroke weight="1.25pt" color="#000000" joinstyle="round" endarrow="open"/>
                        <v:imagedata o:title=""/>
                        <o:lock v:ext="edit" aspectratio="f"/>
                      </v:line>
                      <v:shape id="文本框 39758" o:spid="_x0000_s1026" o:spt="202" type="#_x0000_t202" style="position:absolute;left:4175125;top:1123949;height:317500;width:1358900;" filled="f" stroked="f" coordsize="21600,21600" o:gfxdata="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V9m1TYAAAABQEA&#10;AA8AAAAAAAAAAQAgAAAAIgAAAGRycy9kb3ducmV2LnhtbFBLAQIUABQAAAAIAIdO4kCw8+DZ4QEA&#10;AJwDAAAOAAAAAAAAAAEAIAAAACcBAABkcnMvZTJvRG9jLnhtbFBLBQYAAAAABgAGAFkBAAB6BQAA&#10;AAA=&#10;">
                        <v:fill on="f" focussize="0,0"/>
                        <v:stroke on="f" weight="1.25pt"/>
                        <v:imagedata o:title=""/>
                        <o:lock v:ext="edit" aspectratio="f"/>
                        <v:textbox>
                          <w:txbxContent>
                            <w:p>
                              <w:pPr>
                                <w:spacing w:line="240" w:lineRule="auto"/>
                                <w:ind w:firstLine="0" w:firstLineChars="0"/>
                                <w:rPr>
                                  <w:rFonts w:hint="eastAsia" w:eastAsia="宋体"/>
                                  <w:sz w:val="21"/>
                                  <w:highlight w:val="none"/>
                                  <w:lang w:eastAsia="zh-CN"/>
                                </w:rPr>
                              </w:pPr>
                              <w:r>
                                <w:rPr>
                                  <w:rFonts w:hint="eastAsia"/>
                                  <w:sz w:val="21"/>
                                  <w:highlight w:val="none"/>
                                  <w:lang w:eastAsia="zh-CN"/>
                                </w:rPr>
                                <w:t>高桥村污水处理厂</w:t>
                              </w:r>
                            </w:p>
                          </w:txbxContent>
                        </v:textbox>
                      </v:shape>
                      <w10:wrap type="none"/>
                      <w10:anchorlock/>
                    </v:group>
                  </w:pict>
                </mc:Fallback>
              </mc:AlternateContent>
            </w:r>
          </w:p>
          <w:p>
            <w:pPr>
              <w:pStyle w:val="9"/>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图1-</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水平衡图     单位：m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/d</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color w:val="auto"/>
              </w:rPr>
            </w:pPr>
            <w:r>
              <w:rPr>
                <w:rFonts w:hint="default" w:ascii="Times New Roman" w:hAnsi="Times New Roman" w:cs="Times New Roman"/>
                <w:color w:val="auto"/>
              </w:rPr>
              <w:t>（2）供电工程</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color w:val="auto"/>
              </w:rPr>
            </w:pPr>
            <w:r>
              <w:rPr>
                <w:rFonts w:hint="default" w:ascii="Times New Roman" w:hAnsi="Times New Roman" w:cs="Times New Roman"/>
                <w:color w:val="auto"/>
                <w:lang w:eastAsia="zh-CN"/>
              </w:rPr>
              <w:t>依托赵庄村</w:t>
            </w:r>
            <w:r>
              <w:rPr>
                <w:rFonts w:hint="default" w:ascii="Times New Roman" w:hAnsi="Times New Roman" w:cs="Times New Roman"/>
                <w:color w:val="auto"/>
              </w:rPr>
              <w:t>供电管网供给。</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color w:val="auto"/>
              </w:rPr>
            </w:pPr>
            <w:r>
              <w:rPr>
                <w:rFonts w:hint="default" w:ascii="Times New Roman" w:hAnsi="Times New Roman" w:cs="Times New Roman"/>
                <w:color w:val="auto"/>
              </w:rPr>
              <w:t>（3）供热及制冷</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color w:val="auto"/>
              </w:rPr>
            </w:pPr>
            <w:r>
              <w:rPr>
                <w:rFonts w:hint="default" w:ascii="Times New Roman" w:hAnsi="Times New Roman" w:cs="Times New Roman"/>
                <w:color w:val="auto"/>
              </w:rPr>
              <w:t>项目生产厂房不供暖制冷，办公区采用分体式空调供暖制冷。</w:t>
            </w:r>
          </w:p>
          <w:p>
            <w:pPr>
              <w:keepNext w:val="0"/>
              <w:keepLines w:val="0"/>
              <w:pageBreakBefore w:val="0"/>
              <w:widowControl w:val="0"/>
              <w:numPr>
                <w:ilvl w:val="0"/>
                <w:numId w:val="0"/>
              </w:numPr>
              <w:kinsoku/>
              <w:wordWrap/>
              <w:overflowPunct/>
              <w:topLinePunct w:val="0"/>
              <w:autoSpaceDE/>
              <w:autoSpaceDN/>
              <w:bidi w:val="0"/>
              <w:adjustRightInd/>
              <w:snapToGrid/>
              <w:spacing w:afterLines="0"/>
              <w:ind w:firstLine="482" w:firstLineChars="200"/>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rPr>
              <w:t>1</w:t>
            </w:r>
            <w:r>
              <w:rPr>
                <w:rFonts w:hint="default" w:ascii="Times New Roman" w:hAnsi="Times New Roman" w:cs="Times New Roman"/>
                <w:b/>
                <w:bCs/>
                <w:color w:val="auto"/>
                <w:lang w:val="en-US" w:eastAsia="zh-CN"/>
              </w:rPr>
              <w:t>0</w:t>
            </w:r>
            <w:r>
              <w:rPr>
                <w:rFonts w:hint="default" w:ascii="Times New Roman" w:hAnsi="Times New Roman" w:cs="Times New Roman"/>
                <w:b/>
                <w:bCs/>
                <w:color w:val="auto"/>
              </w:rPr>
              <w:t>、劳动定员及工作制度</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本项目劳动定员</w:t>
            </w:r>
            <w:r>
              <w:rPr>
                <w:rFonts w:hint="default" w:ascii="Times New Roman" w:hAnsi="Times New Roman" w:cs="Times New Roman"/>
                <w:color w:val="auto"/>
                <w:lang w:val="en-US" w:eastAsia="zh-CN"/>
              </w:rPr>
              <w:t>60人（10人住宿），一天一班制，一班8小时，年工作300天</w:t>
            </w:r>
            <w:r>
              <w:rPr>
                <w:rFonts w:hint="default" w:ascii="Times New Roman" w:hAnsi="Times New Roman" w:cs="Times New Roman"/>
                <w:color w:val="auto"/>
                <w:lang w:eastAsia="zh-CN"/>
              </w:rPr>
              <w:t>。</w:t>
            </w:r>
          </w:p>
          <w:p>
            <w:pPr>
              <w:pStyle w:val="97"/>
              <w:rPr>
                <w:rFonts w:hint="default" w:ascii="Times New Roman" w:hAnsi="Times New Roman" w:cs="Times New Roman"/>
                <w:color w:val="auto"/>
              </w:rPr>
            </w:pPr>
          </w:p>
          <w:p>
            <w:pPr>
              <w:pStyle w:val="79"/>
              <w:jc w:val="both"/>
              <w:rPr>
                <w:rFonts w:hint="default" w:ascii="Times New Roman" w:hAnsi="Times New Roman"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26" w:hRule="atLeast"/>
          <w:jc w:val="center"/>
        </w:trPr>
        <w:tc>
          <w:tcPr>
            <w:tcW w:w="8522" w:type="dxa"/>
            <w:gridSpan w:val="10"/>
            <w:tcBorders>
              <w:left w:val="single" w:color="000000" w:sz="8" w:space="0"/>
              <w:right w:val="single" w:color="000000" w:sz="8" w:space="0"/>
            </w:tcBorders>
            <w:noWrap w:val="0"/>
            <w:vAlign w:val="top"/>
          </w:tcPr>
          <w:p>
            <w:pPr>
              <w:pStyle w:val="4"/>
              <w:adjustRightInd/>
              <w:snapToGrid/>
              <w:spacing w:beforeLines="0" w:afterLines="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与本项目有关的原有污染情况及主要环境问题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2"/>
                <w:sz w:val="24"/>
                <w:szCs w:val="22"/>
                <w:lang w:val="en-US" w:eastAsia="zh-CN" w:bidi="ar-SA"/>
              </w:rPr>
            </w:pPr>
            <w:r>
              <w:rPr>
                <w:rFonts w:hint="default" w:ascii="Times New Roman" w:hAnsi="Times New Roman" w:cs="Times New Roman"/>
                <w:color w:val="auto"/>
                <w:kern w:val="2"/>
                <w:sz w:val="24"/>
                <w:szCs w:val="22"/>
                <w:lang w:val="en-US" w:eastAsia="zh-CN" w:bidi="ar-SA"/>
              </w:rPr>
              <w:t>根据现场踏勘可知本项目已建成，目前处于停产整顿阶段，根据现场核查，项目存在以下环保问题，本次评价对此提出整改要求：</w:t>
            </w:r>
          </w:p>
          <w:p>
            <w:pPr>
              <w:spacing w:line="240" w:lineRule="auto"/>
              <w:ind w:firstLine="422"/>
              <w:jc w:val="center"/>
              <w:rPr>
                <w:rFonts w:hint="default" w:ascii="Times New Roman" w:hAnsi="Times New Roman" w:cs="Times New Roman"/>
                <w:b/>
                <w:color w:val="auto"/>
                <w:sz w:val="21"/>
              </w:rPr>
            </w:pPr>
            <w:r>
              <w:rPr>
                <w:rFonts w:hint="default" w:ascii="Times New Roman" w:hAnsi="Times New Roman" w:cs="Times New Roman"/>
                <w:b/>
                <w:color w:val="auto"/>
                <w:sz w:val="21"/>
              </w:rPr>
              <w:t>表</w:t>
            </w:r>
            <w:r>
              <w:rPr>
                <w:rFonts w:hint="default" w:ascii="Times New Roman" w:hAnsi="Times New Roman" w:cs="Times New Roman"/>
                <w:b/>
                <w:color w:val="auto"/>
                <w:sz w:val="21"/>
              </w:rPr>
              <w:fldChar w:fldCharType="begin"/>
            </w:r>
            <w:r>
              <w:rPr>
                <w:rFonts w:hint="default" w:ascii="Times New Roman" w:hAnsi="Times New Roman" w:cs="Times New Roman"/>
                <w:b/>
                <w:color w:val="auto"/>
                <w:sz w:val="21"/>
              </w:rPr>
              <w:instrText xml:space="preserve"> STYLEREF 1 \s </w:instrText>
            </w:r>
            <w:r>
              <w:rPr>
                <w:rFonts w:hint="default" w:ascii="Times New Roman" w:hAnsi="Times New Roman" w:cs="Times New Roman"/>
                <w:b/>
                <w:color w:val="auto"/>
                <w:sz w:val="21"/>
              </w:rPr>
              <w:fldChar w:fldCharType="separate"/>
            </w:r>
            <w:r>
              <w:rPr>
                <w:rFonts w:hint="default" w:ascii="Times New Roman" w:hAnsi="Times New Roman" w:cs="Times New Roman"/>
                <w:b/>
                <w:color w:val="auto"/>
                <w:sz w:val="21"/>
              </w:rPr>
              <w:t>1</w:t>
            </w:r>
            <w:r>
              <w:rPr>
                <w:rFonts w:hint="default" w:ascii="Times New Roman" w:hAnsi="Times New Roman" w:cs="Times New Roman"/>
                <w:b/>
                <w:color w:val="auto"/>
                <w:sz w:val="21"/>
              </w:rPr>
              <w:fldChar w:fldCharType="end"/>
            </w:r>
            <w:r>
              <w:rPr>
                <w:rFonts w:hint="default" w:ascii="Times New Roman" w:hAnsi="Times New Roman" w:cs="Times New Roman"/>
                <w:b/>
                <w:color w:val="auto"/>
                <w:sz w:val="21"/>
              </w:rPr>
              <w:noBreakHyphen/>
            </w:r>
            <w:r>
              <w:rPr>
                <w:rFonts w:hint="eastAsia" w:ascii="Times New Roman" w:hAnsi="Times New Roman" w:cs="Times New Roman"/>
                <w:b/>
                <w:color w:val="auto"/>
                <w:sz w:val="21"/>
                <w:lang w:val="en-US" w:eastAsia="zh-CN"/>
              </w:rPr>
              <w:t>7</w:t>
            </w:r>
            <w:r>
              <w:rPr>
                <w:rFonts w:hint="default" w:ascii="Times New Roman" w:hAnsi="Times New Roman" w:cs="Times New Roman"/>
                <w:b/>
                <w:color w:val="auto"/>
                <w:sz w:val="21"/>
              </w:rPr>
              <w:t xml:space="preserve">   主要生产设备一览表</w:t>
            </w:r>
          </w:p>
          <w:tbl>
            <w:tblPr>
              <w:tblStyle w:val="2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4"/>
              <w:gridCol w:w="3404"/>
              <w:gridCol w:w="42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84"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编号</w:t>
                  </w:r>
                </w:p>
              </w:tc>
              <w:tc>
                <w:tcPr>
                  <w:tcW w:w="3404"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现有环保问题</w:t>
                  </w:r>
                </w:p>
              </w:tc>
              <w:tc>
                <w:tcPr>
                  <w:tcW w:w="4208"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整改要求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84"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w:t>
                  </w:r>
                </w:p>
              </w:tc>
              <w:tc>
                <w:tcPr>
                  <w:tcW w:w="3404"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项目危废暂存间地面未硬化，未张贴相关标识</w:t>
                  </w:r>
                </w:p>
              </w:tc>
              <w:tc>
                <w:tcPr>
                  <w:tcW w:w="4208"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环评要求建设单位对危废间的地面进行硬化，并张贴标识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84"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w:t>
                  </w:r>
                </w:p>
              </w:tc>
              <w:tc>
                <w:tcPr>
                  <w:tcW w:w="3404"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项目手工粘</w:t>
                  </w:r>
                  <w:r>
                    <w:rPr>
                      <w:rFonts w:hint="eastAsia" w:eastAsia="宋体" w:cs="Times New Roman"/>
                      <w:b w:val="0"/>
                      <w:bCs/>
                      <w:color w:val="auto"/>
                      <w:sz w:val="21"/>
                      <w:szCs w:val="21"/>
                      <w:lang w:val="en-US" w:eastAsia="zh-CN"/>
                    </w:rPr>
                    <w:t>合</w:t>
                  </w:r>
                  <w:r>
                    <w:rPr>
                      <w:rFonts w:hint="default" w:ascii="Times New Roman" w:hAnsi="Times New Roman" w:eastAsia="宋体" w:cs="Times New Roman"/>
                      <w:b w:val="0"/>
                      <w:bCs/>
                      <w:color w:val="auto"/>
                      <w:sz w:val="21"/>
                      <w:szCs w:val="21"/>
                      <w:lang w:val="en-US" w:eastAsia="zh-CN"/>
                    </w:rPr>
                    <w:t>阶段的有机废气无组织排放</w:t>
                  </w:r>
                </w:p>
              </w:tc>
              <w:tc>
                <w:tcPr>
                  <w:tcW w:w="4208"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环评要求建设单位</w:t>
                  </w:r>
                  <w:r>
                    <w:rPr>
                      <w:rFonts w:hint="eastAsia" w:ascii="Times New Roman" w:hAnsi="Times New Roman" w:eastAsia="宋体" w:cs="Times New Roman"/>
                      <w:b w:val="0"/>
                      <w:bCs/>
                      <w:color w:val="auto"/>
                      <w:sz w:val="21"/>
                      <w:szCs w:val="21"/>
                      <w:lang w:val="en-US" w:eastAsia="zh-CN"/>
                    </w:rPr>
                    <w:t>手工粘</w:t>
                  </w:r>
                  <w:r>
                    <w:rPr>
                      <w:rFonts w:hint="eastAsia" w:eastAsia="宋体" w:cs="Times New Roman"/>
                      <w:b w:val="0"/>
                      <w:bCs/>
                      <w:color w:val="auto"/>
                      <w:sz w:val="21"/>
                      <w:szCs w:val="21"/>
                      <w:lang w:val="en-US" w:eastAsia="zh-CN"/>
                    </w:rPr>
                    <w:t>合</w:t>
                  </w:r>
                  <w:r>
                    <w:rPr>
                      <w:rFonts w:hint="default" w:ascii="Times New Roman" w:hAnsi="Times New Roman" w:eastAsia="宋体" w:cs="Times New Roman"/>
                      <w:b w:val="0"/>
                      <w:bCs/>
                      <w:color w:val="auto"/>
                      <w:sz w:val="21"/>
                      <w:szCs w:val="21"/>
                      <w:lang w:val="en-US" w:eastAsia="zh-CN"/>
                    </w:rPr>
                    <w:t>废气经密闭厂房抽风系统收集，最终</w:t>
                  </w:r>
                  <w:r>
                    <w:rPr>
                      <w:rFonts w:hint="eastAsia" w:ascii="Times New Roman" w:hAnsi="Times New Roman" w:eastAsia="宋体" w:cs="Times New Roman"/>
                      <w:b w:val="0"/>
                      <w:bCs/>
                      <w:color w:val="auto"/>
                      <w:sz w:val="21"/>
                      <w:szCs w:val="21"/>
                      <w:lang w:val="en-US" w:eastAsia="zh-CN"/>
                    </w:rPr>
                    <w:t>与印刷废气</w:t>
                  </w:r>
                  <w:r>
                    <w:rPr>
                      <w:rFonts w:hint="default" w:ascii="Times New Roman" w:hAnsi="Times New Roman" w:eastAsia="宋体" w:cs="Times New Roman"/>
                      <w:b w:val="0"/>
                      <w:bCs/>
                      <w:color w:val="auto"/>
                      <w:sz w:val="21"/>
                      <w:szCs w:val="21"/>
                      <w:lang w:val="en-US" w:eastAsia="zh-CN"/>
                    </w:rPr>
                    <w:t>一起经活性炭吸附后通过15m排气筒达标排放，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84"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w:t>
                  </w:r>
                </w:p>
              </w:tc>
              <w:tc>
                <w:tcPr>
                  <w:tcW w:w="3404"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项目食堂未安装油烟净化器以及油水分离器</w:t>
                  </w:r>
                </w:p>
              </w:tc>
              <w:tc>
                <w:tcPr>
                  <w:tcW w:w="4208" w:type="dxa"/>
                  <w:noWrap w:val="0"/>
                  <w:vAlign w:val="center"/>
                </w:tcPr>
                <w:p>
                  <w:pPr>
                    <w:pStyle w:val="79"/>
                    <w:keepNext w:val="0"/>
                    <w:keepLines w:val="0"/>
                    <w:pageBreakBefore w:val="0"/>
                    <w:widowControl w:val="0"/>
                    <w:kinsoku/>
                    <w:wordWrap/>
                    <w:overflowPunct/>
                    <w:topLinePunct w:val="0"/>
                    <w:autoSpaceDE/>
                    <w:autoSpaceDN/>
                    <w:bidi w:val="0"/>
                    <w:adjustRightInd/>
                    <w:snapToGrid/>
                    <w:spacing w:before="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环评要求建设单位对食堂进行整改，安装油烟净化器和油水分离器</w:t>
                  </w:r>
                </w:p>
              </w:tc>
            </w:tr>
          </w:tbl>
          <w:p>
            <w:pPr>
              <w:pStyle w:val="26"/>
              <w:ind w:left="0" w:leftChars="0" w:firstLine="0" w:firstLineChars="0"/>
              <w:rPr>
                <w:rFonts w:hint="default" w:ascii="Times New Roman" w:hAnsi="Times New Roman" w:cs="Times New Roman"/>
                <w:color w:val="auto"/>
              </w:rPr>
            </w:pPr>
          </w:p>
        </w:tc>
      </w:tr>
    </w:tbl>
    <w:p>
      <w:pPr>
        <w:pStyle w:val="3"/>
        <w:numPr>
          <w:ilvl w:val="0"/>
          <w:numId w:val="0"/>
        </w:numPr>
        <w:spacing w:before="163"/>
        <w:ind w:left="420" w:leftChars="0"/>
        <w:rPr>
          <w:rFonts w:hint="default" w:ascii="Times New Roman" w:hAnsi="Times New Roman" w:cs="Times New Roman"/>
          <w:color w:val="auto"/>
          <w:kern w:val="0"/>
        </w:rPr>
      </w:pPr>
      <w:r>
        <w:rPr>
          <w:rFonts w:hint="default" w:ascii="Times New Roman" w:hAnsi="Times New Roman" w:cs="Times New Roman"/>
          <w:color w:val="auto"/>
          <w:kern w:val="0"/>
          <w:lang w:val="en-US" w:eastAsia="zh-CN"/>
        </w:rPr>
        <w:t>2.</w:t>
      </w:r>
      <w:r>
        <w:rPr>
          <w:rFonts w:hint="default" w:ascii="Times New Roman" w:hAnsi="Times New Roman" w:cs="Times New Roman"/>
          <w:color w:val="auto"/>
          <w:kern w:val="0"/>
        </w:rPr>
        <w:t>建设项目所在地自然环境</w:t>
      </w:r>
    </w:p>
    <w:tbl>
      <w:tblPr>
        <w:tblStyle w:val="2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0" w:hRule="atLeast"/>
        </w:trPr>
        <w:tc>
          <w:tcPr>
            <w:tcW w:w="8522" w:type="dxa"/>
            <w:tcBorders>
              <w:bottom w:val="single" w:color="auto" w:sz="4" w:space="0"/>
            </w:tcBorders>
            <w:noWrap w:val="0"/>
            <w:vAlign w:val="top"/>
          </w:tcPr>
          <w:p>
            <w:pPr>
              <w:pStyle w:val="4"/>
              <w:adjustRightInd/>
              <w:snapToGrid/>
              <w:spacing w:beforeLines="0" w:afterLines="0"/>
              <w:rPr>
                <w:rFonts w:hint="default" w:ascii="Times New Roman" w:hAnsi="Times New Roman" w:cs="Times New Roman"/>
                <w:color w:val="auto"/>
                <w:kern w:val="0"/>
                <w:sz w:val="24"/>
              </w:rPr>
            </w:pPr>
            <w:r>
              <w:rPr>
                <w:rFonts w:hint="default" w:ascii="Times New Roman" w:hAnsi="Times New Roman" w:cs="Times New Roman"/>
                <w:color w:val="auto"/>
                <w:kern w:val="0"/>
                <w:sz w:val="24"/>
              </w:rPr>
              <w:t>自然环境简况(地形、地貌、地质、气候、气象、水文、植被、生物多样性等)：</w:t>
            </w:r>
          </w:p>
          <w:p>
            <w:pPr>
              <w:ind w:firstLine="482"/>
              <w:jc w:val="left"/>
              <w:rPr>
                <w:rFonts w:hint="default" w:ascii="Times New Roman" w:hAnsi="Times New Roman" w:cs="Times New Roman"/>
                <w:b/>
                <w:color w:val="auto"/>
              </w:rPr>
            </w:pPr>
            <w:r>
              <w:rPr>
                <w:rFonts w:hint="default" w:ascii="Times New Roman" w:hAnsi="Times New Roman" w:cs="Times New Roman"/>
                <w:b/>
                <w:color w:val="auto"/>
              </w:rPr>
              <w:t>1、</w:t>
            </w:r>
            <w:r>
              <w:rPr>
                <w:rFonts w:hint="default" w:ascii="Times New Roman" w:hAnsi="Times New Roman" w:cs="Times New Roman"/>
                <w:b/>
                <w:color w:val="auto"/>
                <w:szCs w:val="24"/>
              </w:rPr>
              <w:t>地理位置</w:t>
            </w:r>
          </w:p>
          <w:p>
            <w:pPr>
              <w:autoSpaceDE w:val="0"/>
              <w:autoSpaceDN w:val="0"/>
              <w:adjustRightInd w:val="0"/>
              <w:snapToGrid w:val="0"/>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西安市灞桥区地处陕西关中盆地中部，西安城东部，系西安市辖区之一。地理坐标为东经108°59′～109°16′、北纬34°10′～34°27′。东与临潼区、蓝田县接壤，西与雁塔区、新城区、未央区相连，南与长安区为邻，北以渭河与高陵县相望。</w:t>
            </w:r>
          </w:p>
          <w:p>
            <w:pPr>
              <w:autoSpaceDE w:val="0"/>
              <w:autoSpaceDN w:val="0"/>
              <w:adjustRightInd w:val="0"/>
              <w:snapToGrid w:val="0"/>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本项目位于陕西省西安市灞桥区洪庆工业园东一区1号，</w:t>
            </w:r>
            <w:r>
              <w:rPr>
                <w:rFonts w:hint="default" w:ascii="Times New Roman" w:hAnsi="Times New Roman" w:cs="Times New Roman"/>
                <w:color w:val="auto"/>
              </w:rPr>
              <w:t>地理位置坐标经度109°03'39.31"，纬度34°11'14.65"；</w:t>
            </w:r>
            <w:r>
              <w:rPr>
                <w:rFonts w:hint="default" w:ascii="Times New Roman" w:hAnsi="Times New Roman" w:cs="Times New Roman"/>
                <w:color w:val="auto"/>
                <w:lang w:eastAsia="zh-CN"/>
              </w:rPr>
              <w:t>项目</w:t>
            </w:r>
            <w:r>
              <w:rPr>
                <w:rFonts w:hint="default" w:ascii="Times New Roman" w:hAnsi="Times New Roman" w:cs="Times New Roman"/>
                <w:color w:val="auto"/>
              </w:rPr>
              <w:t>地理位置图见附图</w:t>
            </w:r>
            <w:r>
              <w:rPr>
                <w:rFonts w:hint="default" w:ascii="Times New Roman" w:hAnsi="Times New Roman" w:cs="Times New Roman"/>
                <w:color w:val="auto"/>
                <w:lang w:eastAsia="zh-CN"/>
              </w:rPr>
              <w:t>一</w:t>
            </w:r>
            <w:r>
              <w:rPr>
                <w:rFonts w:hint="default" w:ascii="Times New Roman" w:hAnsi="Times New Roman" w:cs="Times New Roman"/>
                <w:color w:val="auto"/>
              </w:rPr>
              <w:t>。</w:t>
            </w:r>
          </w:p>
          <w:p>
            <w:pPr>
              <w:pStyle w:val="111"/>
              <w:widowControl/>
              <w:adjustRightInd/>
              <w:snapToGrid/>
              <w:spacing w:line="360" w:lineRule="auto"/>
              <w:ind w:firstLine="482"/>
              <w:jc w:val="left"/>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2、地形、地貌、地质</w:t>
            </w:r>
          </w:p>
          <w:p>
            <w:pPr>
              <w:adjustRightInd w:val="0"/>
              <w:snapToGrid w:val="0"/>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灞桥区位于渭河断陷谷地为基础的关中盆地的中部地区，地势东南高，西北低，地形高低悬殊，呈阶梯状倾斜。境内地貌多样，山、川、沟、塬、滩俱全，平原居多。全区土地面积约331.53平方公里（497297.3亩），其中耕地面积195.68平方公里（293486.4亩），可开发土地量较大。东部属著名的骊山中低山区和洪庆黄土台塬，南部为白鹿塬（区内称狄寨塬）黄土台塬，西安部是西安市城区所在地-少陵原黄土台原的北延部分龙首塬，北部为灞河、渭河冲积平原。浐、灞、渭三河穿境而过，形成了以渭河冲积平原为主，山、坡、川、滩、塬俱有的多样性地貌特征。</w:t>
            </w:r>
          </w:p>
          <w:p>
            <w:pPr>
              <w:rPr>
                <w:rFonts w:hint="default" w:ascii="Times New Roman" w:hAnsi="Times New Roman" w:cs="Times New Roman"/>
                <w:snapToGrid w:val="0"/>
                <w:color w:val="auto"/>
              </w:rPr>
            </w:pPr>
            <w:r>
              <w:rPr>
                <w:rFonts w:hint="default" w:ascii="Times New Roman" w:hAnsi="Times New Roman" w:cs="Times New Roman"/>
                <w:snapToGrid w:val="0"/>
                <w:color w:val="auto"/>
              </w:rPr>
              <w:t>根据现场勘察，项目建设地址地势平坦，适于建设，建设场地气候条件良好，对工程实施无明显制约。</w:t>
            </w:r>
          </w:p>
          <w:p>
            <w:pPr>
              <w:pStyle w:val="111"/>
              <w:widowControl/>
              <w:adjustRightInd/>
              <w:snapToGrid/>
              <w:spacing w:line="360" w:lineRule="auto"/>
              <w:ind w:firstLine="482"/>
              <w:jc w:val="left"/>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3、气候气象</w:t>
            </w:r>
          </w:p>
          <w:p>
            <w:pPr>
              <w:adjustRightInd w:val="0"/>
              <w:snapToGrid w:val="0"/>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灞桥区属于暖温带半湿润大陆性季风气候区，雨量适中，四季分明，气候温和，秋短春长。一般以1、4、7、10 月作为冬、春、夏、秋四季的代表月。冬季比较干燥寒冷，春季温暖，夏季炎热多雨，秋季温和湿润。年平均气温15.5℃，降水约600mm，湿度69.6%，无霜期216 天，日照1377小时。最冷的1月份平均气温-0.9℃，极限最低温温度为-21.2℃，最热的7月份平均气温26.8℃，全年极限最高温度为43.4℃。雨量主要分布在7、8、9三个月。雨热同期，有利于农作物生长。年平均降雪日为13.8日，初雪日一般在11月下旬，终雪日一般在3月中旬。受地形影响，全年多东北风，年平均风速为1.3 -2.6 m/s。拟建场地气候条件良好，基本上全年均可施工对程实无明显。拟建场地气候条件良好，基本上全年均可施工对程实无明显 。</w:t>
            </w:r>
          </w:p>
          <w:p>
            <w:pPr>
              <w:pStyle w:val="111"/>
              <w:keepNext w:val="0"/>
              <w:keepLines w:val="0"/>
              <w:pageBreakBefore w:val="0"/>
              <w:widowControl/>
              <w:kinsoku/>
              <w:wordWrap/>
              <w:overflowPunct/>
              <w:topLinePunct w:val="0"/>
              <w:bidi w:val="0"/>
              <w:adjustRightInd/>
              <w:snapToGrid/>
              <w:spacing w:line="360" w:lineRule="auto"/>
              <w:ind w:firstLine="482" w:firstLineChars="200"/>
              <w:jc w:val="left"/>
              <w:textAlignment w:val="auto"/>
              <w:rPr>
                <w:rFonts w:hint="default" w:ascii="Times New Roman" w:hAnsi="Times New Roman" w:cs="Times New Roman"/>
                <w:b/>
                <w:color w:val="auto"/>
                <w:kern w:val="0"/>
                <w:sz w:val="24"/>
              </w:rPr>
            </w:pPr>
            <w:r>
              <w:rPr>
                <w:rFonts w:hint="default" w:ascii="Times New Roman" w:hAnsi="Times New Roman" w:cs="Times New Roman"/>
                <w:b/>
                <w:color w:val="auto"/>
                <w:sz w:val="24"/>
                <w:szCs w:val="24"/>
              </w:rPr>
              <w:t>4、</w:t>
            </w:r>
            <w:r>
              <w:rPr>
                <w:rFonts w:hint="default" w:ascii="Times New Roman" w:hAnsi="Times New Roman" w:cs="Times New Roman"/>
                <w:b/>
                <w:color w:val="auto"/>
                <w:kern w:val="0"/>
                <w:sz w:val="24"/>
              </w:rPr>
              <w:t>水文</w:t>
            </w:r>
            <w:r>
              <w:rPr>
                <w:rFonts w:hint="default" w:ascii="Times New Roman" w:hAnsi="Times New Roman" w:cs="Times New Roman"/>
                <w:b/>
                <w:snapToGrid w:val="0"/>
                <w:color w:val="auto"/>
                <w:sz w:val="24"/>
                <w:szCs w:val="24"/>
              </w:rPr>
              <w:t>特征</w:t>
            </w:r>
          </w:p>
          <w:p>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sz w:val="24"/>
              </w:rPr>
              <w:t>“八水绕长安，灞桥据其三”</w:t>
            </w:r>
            <w:r>
              <w:rPr>
                <w:rFonts w:hint="default" w:ascii="Times New Roman" w:hAnsi="Times New Roman" w:cs="Times New Roman"/>
                <w:color w:val="auto"/>
                <w:sz w:val="24"/>
              </w:rPr>
              <w:t>，灞桥区内灞、浐、渭三河交汇常流，流长60</w:t>
            </w:r>
            <w:r>
              <w:rPr>
                <w:rFonts w:hint="default" w:ascii="Times New Roman" w:hAnsi="Times New Roman" w:cs="Times New Roman"/>
                <w:color w:val="auto"/>
                <w:sz w:val="24"/>
                <w:lang w:val="en-US" w:eastAsia="zh-CN"/>
              </w:rPr>
              <w:t>km</w:t>
            </w:r>
            <w:r>
              <w:rPr>
                <w:rFonts w:hint="default" w:ascii="Times New Roman" w:hAnsi="Times New Roman" w:cs="Times New Roman"/>
                <w:color w:val="auto"/>
                <w:sz w:val="24"/>
              </w:rPr>
              <w:t>，流域面积170多平方公里。其中，渭河在区内流长约10</w:t>
            </w:r>
            <w:r>
              <w:rPr>
                <w:rFonts w:hint="default" w:ascii="Times New Roman" w:hAnsi="Times New Roman" w:cs="Times New Roman"/>
                <w:color w:val="auto"/>
                <w:sz w:val="24"/>
                <w:lang w:val="en-US" w:eastAsia="zh-CN"/>
              </w:rPr>
              <w:t>km</w:t>
            </w:r>
            <w:r>
              <w:rPr>
                <w:rFonts w:hint="default" w:ascii="Times New Roman" w:hAnsi="Times New Roman" w:cs="Times New Roman"/>
                <w:color w:val="auto"/>
                <w:sz w:val="24"/>
              </w:rPr>
              <w:t>，流域面积10.4</w:t>
            </w:r>
            <w:r>
              <w:rPr>
                <w:rFonts w:hint="default" w:ascii="Times New Roman" w:hAnsi="Times New Roman" w:cs="Times New Roman"/>
                <w:color w:val="auto"/>
                <w:sz w:val="24"/>
                <w:lang w:val="en-US" w:eastAsia="zh-CN"/>
              </w:rPr>
              <w:t>km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rPr>
              <w:t>；灞河在境内流长约34公里，流域面积125平方公里；浐河在区内流长约11公里，流域面积40平方公里。区内浐、灞、渭三水是西安市水源地之一，年过境客水总量达64.02亿立方米，加上1.8亿立方米的地下水储量，累计65.82亿立方米的水资源总量。白鹿塬矿泉水资源丰富，水质纯净，有用矿物质含量高，有益元素含量达到国家规定标准，具有广阔的开发前景。</w:t>
            </w:r>
          </w:p>
          <w:p>
            <w:pPr>
              <w:keepNext w:val="0"/>
              <w:keepLines w:val="0"/>
              <w:pageBreakBefore w:val="0"/>
              <w:widowControl/>
              <w:numPr>
                <w:ilvl w:val="0"/>
                <w:numId w:val="4"/>
              </w:numPr>
              <w:tabs>
                <w:tab w:val="left" w:pos="465"/>
              </w:tabs>
              <w:kinsoku/>
              <w:wordWrap/>
              <w:overflowPunct/>
              <w:topLinePunct w:val="0"/>
              <w:bidi w:val="0"/>
              <w:adjustRightInd/>
              <w:snapToGrid/>
              <w:spacing w:line="360" w:lineRule="auto"/>
              <w:ind w:firstLine="482" w:firstLineChars="200"/>
              <w:jc w:val="left"/>
              <w:textAlignment w:val="auto"/>
              <w:rPr>
                <w:rFonts w:hint="default" w:ascii="Times New Roman" w:hAnsi="Times New Roman" w:cs="Times New Roman"/>
                <w:b/>
                <w:color w:val="auto"/>
              </w:rPr>
            </w:pPr>
            <w:r>
              <w:rPr>
                <w:rFonts w:hint="default" w:ascii="Times New Roman" w:hAnsi="Times New Roman" w:cs="Times New Roman"/>
                <w:b/>
                <w:color w:val="auto"/>
                <w:lang w:eastAsia="zh-CN"/>
              </w:rPr>
              <w:t>土壤植被</w:t>
            </w:r>
          </w:p>
          <w:p>
            <w:pPr>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灞桥区土壤类型以轻、中、重盐化潮土和盐土为主，土质粘重，土壤养分低，平均有机质含量0.872%，全氮0.0532%；农作物有小麦、玉米、豆类等农作物以及蔬菜、瓜果、药材等经济作物；树木以梨树、杨树、柳树、苦楝树等耐碱树种为主，草类以水飞蓟、苍耳、芦苇、青蒿等水生和半水生植物为主。项目所在区域动物以家畜为主，无濒危、珍稀的野生动植物。</w: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pStyle w:val="26"/>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szCs w:val="24"/>
              </w:rPr>
            </w:pPr>
          </w:p>
          <w:p>
            <w:pPr>
              <w:ind w:firstLine="0" w:firstLineChars="0"/>
              <w:rPr>
                <w:rFonts w:hint="default" w:ascii="Times New Roman" w:hAnsi="Times New Roman" w:cs="Times New Roman"/>
                <w:color w:val="auto"/>
              </w:rPr>
            </w:pPr>
          </w:p>
        </w:tc>
      </w:tr>
    </w:tbl>
    <w:p>
      <w:pPr>
        <w:pStyle w:val="3"/>
        <w:numPr>
          <w:ilvl w:val="0"/>
          <w:numId w:val="0"/>
        </w:numPr>
        <w:spacing w:before="163"/>
        <w:ind w:left="420" w:left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环境质量状况</w:t>
      </w:r>
    </w:p>
    <w:tbl>
      <w:tblPr>
        <w:tblStyle w:val="27"/>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1" w:hRule="atLeast"/>
        </w:trPr>
        <w:tc>
          <w:tcPr>
            <w:tcW w:w="8876" w:type="dxa"/>
            <w:noWrap w:val="0"/>
            <w:vAlign w:val="top"/>
          </w:tcPr>
          <w:p>
            <w:pPr>
              <w:pStyle w:val="4"/>
              <w:adjustRightInd/>
              <w:snapToGrid/>
              <w:spacing w:beforeLines="0" w:afterLines="0"/>
              <w:rPr>
                <w:rFonts w:hint="default" w:ascii="Times New Roman" w:hAnsi="Times New Roman" w:cs="Times New Roman"/>
                <w:color w:val="auto"/>
              </w:rPr>
            </w:pPr>
            <w:r>
              <w:rPr>
                <w:rFonts w:hint="default" w:ascii="Times New Roman" w:hAnsi="Times New Roman" w:cs="Times New Roman"/>
                <w:color w:val="auto"/>
              </w:rPr>
              <w:t>建设项目所在地区域环境质量现状及主要环境问题</w:t>
            </w:r>
          </w:p>
          <w:p>
            <w:pPr>
              <w:keepNext w:val="0"/>
              <w:keepLines w:val="0"/>
              <w:pageBreakBefore w:val="0"/>
              <w:widowControl w:val="0"/>
              <w:kinsoku/>
              <w:overflowPunct/>
              <w:topLinePunct w:val="0"/>
              <w:autoSpaceDE/>
              <w:autoSpaceDN/>
              <w:bidi w:val="0"/>
              <w:adjustRightInd/>
              <w:snapToGrid/>
              <w:spacing w:line="360" w:lineRule="auto"/>
              <w:ind w:firstLine="482"/>
              <w:jc w:val="both"/>
              <w:textAlignment w:val="auto"/>
              <w:rPr>
                <w:rFonts w:hint="default" w:ascii="Times New Roman" w:hAnsi="Times New Roman" w:cs="Times New Roman"/>
                <w:b/>
                <w:bCs/>
                <w:color w:val="auto"/>
              </w:rPr>
            </w:pPr>
            <w:r>
              <w:rPr>
                <w:rFonts w:hint="default" w:ascii="Times New Roman" w:hAnsi="Times New Roman" w:cs="Times New Roman"/>
                <w:b/>
                <w:bCs/>
                <w:color w:val="auto"/>
              </w:rPr>
              <w:t>1、环境空气质量现状</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本项目位于</w:t>
            </w:r>
            <w:r>
              <w:rPr>
                <w:rFonts w:hint="default" w:ascii="Times New Roman" w:hAnsi="Times New Roman" w:eastAsia="宋体" w:cs="Times New Roman"/>
                <w:color w:val="auto"/>
                <w:szCs w:val="24"/>
                <w:lang w:eastAsia="zh-CN"/>
              </w:rPr>
              <w:t>陕西省西安市灞桥区红旗街道办赵庄村</w:t>
            </w:r>
            <w:r>
              <w:rPr>
                <w:rFonts w:hint="default" w:ascii="Times New Roman" w:hAnsi="Times New Roman" w:eastAsia="宋体" w:cs="Times New Roman"/>
                <w:color w:val="auto"/>
                <w:szCs w:val="24"/>
                <w:lang w:val="en-US" w:eastAsia="zh-CN"/>
              </w:rPr>
              <w:t>1号</w:t>
            </w:r>
            <w:r>
              <w:rPr>
                <w:rFonts w:hint="default" w:ascii="Times New Roman" w:hAnsi="Times New Roman" w:cs="Times New Roman"/>
                <w:color w:val="auto"/>
              </w:rPr>
              <w:t>。根据大气功能区划，本项目所在地为二类功能区，环境空气质量标准执行《环境空气质量标准》（GB3095</w:t>
            </w:r>
            <w:r>
              <w:rPr>
                <w:rFonts w:hint="default" w:ascii="Times New Roman" w:hAnsi="Times New Roman" w:cs="Times New Roman"/>
                <w:color w:val="auto"/>
              </w:rPr>
              <w:softHyphen/>
            </w:r>
            <w:r>
              <w:rPr>
                <w:rFonts w:hint="default" w:ascii="Times New Roman" w:hAnsi="Times New Roman" w:cs="Times New Roman"/>
                <w:color w:val="auto"/>
              </w:rPr>
              <w:t>2012）二级标准要求。</w:t>
            </w:r>
          </w:p>
          <w:p>
            <w:pPr>
              <w:pStyle w:val="97"/>
              <w:keepNext w:val="0"/>
              <w:keepLines w:val="0"/>
              <w:pageBreakBefore w:val="0"/>
              <w:widowControl w:val="0"/>
              <w:kinsoku/>
              <w:overflowPunct/>
              <w:topLinePunct w:val="0"/>
              <w:bidi w:val="0"/>
              <w:adjustRightInd/>
              <w:snapToGrid/>
              <w:spacing w:line="440" w:lineRule="exact"/>
              <w:ind w:firstLine="480" w:firstLineChars="200"/>
              <w:jc w:val="both"/>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）区域环境质量达标情况</w:t>
            </w:r>
          </w:p>
          <w:p>
            <w:pPr>
              <w:keepNext w:val="0"/>
              <w:keepLines w:val="0"/>
              <w:pageBreakBefore w:val="0"/>
              <w:widowControl w:val="0"/>
              <w:tabs>
                <w:tab w:val="left" w:pos="8607"/>
              </w:tabs>
              <w:kinsoku/>
              <w:overflowPunct/>
              <w:topLinePunct w:val="0"/>
              <w:bidi w:val="0"/>
              <w:adjustRightInd/>
              <w:snapToGrid/>
              <w:spacing w:line="440" w:lineRule="exact"/>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根据</w:t>
            </w:r>
            <w:r>
              <w:rPr>
                <w:rFonts w:hint="default" w:ascii="Times New Roman" w:hAnsi="Times New Roman" w:cs="Times New Roman"/>
                <w:color w:val="auto"/>
                <w:sz w:val="24"/>
              </w:rPr>
              <w:t>陕西省生态环境厅办公室于2019年1月11日发布的《2018年1~12月全省环境空气质量状况》中西安市灞桥区的空气质量状况</w:t>
            </w:r>
            <w:r>
              <w:rPr>
                <w:rFonts w:hint="default" w:ascii="Times New Roman" w:hAnsi="Times New Roman" w:cs="Times New Roman"/>
                <w:color w:val="auto"/>
              </w:rPr>
              <w:t>，监测的项目有二氧化硫、二氧化氮、一氧化碳、臭氧、PM</w:t>
            </w:r>
            <w:r>
              <w:rPr>
                <w:rFonts w:hint="default" w:ascii="Times New Roman" w:hAnsi="Times New Roman" w:cs="Times New Roman"/>
                <w:color w:val="auto"/>
                <w:vertAlign w:val="subscript"/>
              </w:rPr>
              <w:t>10</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共六项。环境空气质量主要污染物项目浓度达标分析见表</w:t>
            </w:r>
            <w:r>
              <w:rPr>
                <w:rFonts w:hint="default" w:ascii="Times New Roman" w:hAnsi="Times New Roman" w:cs="Times New Roman"/>
                <w:color w:val="auto"/>
                <w:lang w:val="en-US" w:eastAsia="zh-CN"/>
              </w:rPr>
              <w:t>3-1</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0"/>
              </w:rPr>
            </w:pPr>
            <w:r>
              <w:rPr>
                <w:rFonts w:hint="default" w:ascii="Times New Roman" w:hAnsi="Times New Roman" w:cs="Times New Roman"/>
                <w:b/>
                <w:bCs/>
                <w:color w:val="auto"/>
                <w:sz w:val="21"/>
                <w:szCs w:val="20"/>
              </w:rPr>
              <w:t>表</w:t>
            </w:r>
            <w:r>
              <w:rPr>
                <w:rFonts w:hint="default" w:ascii="Times New Roman" w:hAnsi="Times New Roman" w:cs="Times New Roman"/>
                <w:b/>
                <w:bCs/>
                <w:color w:val="auto"/>
                <w:sz w:val="21"/>
                <w:szCs w:val="20"/>
                <w:lang w:val="en-US" w:eastAsia="zh-CN"/>
              </w:rPr>
              <w:t xml:space="preserve">3-1   </w:t>
            </w:r>
            <w:r>
              <w:rPr>
                <w:rFonts w:hint="default" w:ascii="Times New Roman" w:hAnsi="Times New Roman" w:cs="Times New Roman"/>
                <w:b/>
                <w:bCs/>
                <w:color w:val="auto"/>
                <w:sz w:val="21"/>
                <w:szCs w:val="20"/>
              </w:rPr>
              <w:t xml:space="preserve"> 区城空气质量现状评价表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2020"/>
              <w:gridCol w:w="1202"/>
              <w:gridCol w:w="1664"/>
              <w:gridCol w:w="1052"/>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20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年评价指标</w:t>
                  </w: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现状浓度</w:t>
                  </w:r>
                </w:p>
              </w:tc>
              <w:tc>
                <w:tcPr>
                  <w:tcW w:w="16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标准值</w:t>
                  </w:r>
                </w:p>
              </w:tc>
              <w:tc>
                <w:tcPr>
                  <w:tcW w:w="10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占标率%</w:t>
                  </w: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可吸入颗粒（PM</w:t>
                  </w:r>
                  <w:r>
                    <w:rPr>
                      <w:rFonts w:hint="default" w:ascii="Times New Roman" w:hAnsi="Times New Roman" w:cs="Times New Roman"/>
                      <w:color w:val="auto"/>
                      <w:sz w:val="21"/>
                      <w:szCs w:val="21"/>
                      <w:vertAlign w:val="subscript"/>
                    </w:rPr>
                    <w:t>10</w:t>
                  </w:r>
                  <w:r>
                    <w:rPr>
                      <w:rFonts w:hint="default" w:ascii="Times New Roman" w:hAnsi="Times New Roman" w:cs="Times New Roman"/>
                      <w:color w:val="auto"/>
                      <w:sz w:val="21"/>
                      <w:szCs w:val="21"/>
                    </w:rPr>
                    <w:t>）</w:t>
                  </w:r>
                </w:p>
              </w:tc>
              <w:tc>
                <w:tcPr>
                  <w:tcW w:w="20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117</w:t>
                  </w:r>
                  <w:r>
                    <w:rPr>
                      <w:rFonts w:hint="default" w:ascii="Times New Roman" w:hAnsi="Times New Roman" w:cs="Times New Roman"/>
                      <w:color w:val="auto"/>
                      <w:szCs w:val="21"/>
                    </w:rPr>
                    <w:t>μg/m</w:t>
                  </w:r>
                  <w:r>
                    <w:rPr>
                      <w:rFonts w:hint="default" w:ascii="Times New Roman" w:hAnsi="Times New Roman" w:cs="Times New Roman"/>
                      <w:color w:val="auto"/>
                      <w:szCs w:val="21"/>
                      <w:vertAlign w:val="superscript"/>
                    </w:rPr>
                    <w:t>3</w:t>
                  </w:r>
                </w:p>
              </w:tc>
              <w:tc>
                <w:tcPr>
                  <w:tcW w:w="16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70</w:t>
                  </w:r>
                  <w:r>
                    <w:rPr>
                      <w:rFonts w:hint="default" w:ascii="Times New Roman" w:hAnsi="Times New Roman" w:cs="Times New Roman"/>
                      <w:color w:val="auto"/>
                      <w:szCs w:val="21"/>
                    </w:rPr>
                    <w:t>μg/m</w:t>
                  </w:r>
                  <w:r>
                    <w:rPr>
                      <w:rFonts w:hint="default" w:ascii="Times New Roman" w:hAnsi="Times New Roman" w:cs="Times New Roman"/>
                      <w:color w:val="auto"/>
                      <w:szCs w:val="21"/>
                      <w:vertAlign w:val="superscript"/>
                    </w:rPr>
                    <w:t>3</w:t>
                  </w:r>
                </w:p>
              </w:tc>
              <w:tc>
                <w:tcPr>
                  <w:tcW w:w="10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167</w:t>
                  </w: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细颗粒物（PM</w:t>
                  </w:r>
                  <w:r>
                    <w:rPr>
                      <w:rFonts w:hint="default" w:ascii="Times New Roman" w:hAnsi="Times New Roman" w:cs="Times New Roman"/>
                      <w:color w:val="auto"/>
                      <w:sz w:val="21"/>
                      <w:szCs w:val="21"/>
                      <w:vertAlign w:val="subscript"/>
                    </w:rPr>
                    <w:t>2.5</w:t>
                  </w:r>
                  <w:r>
                    <w:rPr>
                      <w:rFonts w:hint="default" w:ascii="Times New Roman" w:hAnsi="Times New Roman" w:cs="Times New Roman"/>
                      <w:color w:val="auto"/>
                      <w:sz w:val="21"/>
                      <w:szCs w:val="21"/>
                    </w:rPr>
                    <w:t>）</w:t>
                  </w:r>
                </w:p>
              </w:tc>
              <w:tc>
                <w:tcPr>
                  <w:tcW w:w="20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63</w:t>
                  </w:r>
                  <w:r>
                    <w:rPr>
                      <w:rFonts w:hint="default" w:ascii="Times New Roman" w:hAnsi="Times New Roman" w:cs="Times New Roman"/>
                      <w:color w:val="auto"/>
                      <w:szCs w:val="21"/>
                    </w:rPr>
                    <w:t>μg/m</w:t>
                  </w:r>
                  <w:r>
                    <w:rPr>
                      <w:rFonts w:hint="default" w:ascii="Times New Roman" w:hAnsi="Times New Roman" w:cs="Times New Roman"/>
                      <w:color w:val="auto"/>
                      <w:szCs w:val="21"/>
                      <w:vertAlign w:val="superscript"/>
                    </w:rPr>
                    <w:t>3</w:t>
                  </w:r>
                </w:p>
              </w:tc>
              <w:tc>
                <w:tcPr>
                  <w:tcW w:w="16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35</w:t>
                  </w:r>
                  <w:r>
                    <w:rPr>
                      <w:rFonts w:hint="default" w:ascii="Times New Roman" w:hAnsi="Times New Roman" w:cs="Times New Roman"/>
                      <w:color w:val="auto"/>
                      <w:szCs w:val="21"/>
                    </w:rPr>
                    <w:t>μg/m</w:t>
                  </w:r>
                  <w:r>
                    <w:rPr>
                      <w:rFonts w:hint="default" w:ascii="Times New Roman" w:hAnsi="Times New Roman" w:cs="Times New Roman"/>
                      <w:color w:val="auto"/>
                      <w:szCs w:val="21"/>
                      <w:vertAlign w:val="superscript"/>
                    </w:rPr>
                    <w:t>3</w:t>
                  </w:r>
                </w:p>
              </w:tc>
              <w:tc>
                <w:tcPr>
                  <w:tcW w:w="10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180</w:t>
                  </w: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二氧化硫（SO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p>
              </w:tc>
              <w:tc>
                <w:tcPr>
                  <w:tcW w:w="20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17</w:t>
                  </w:r>
                  <w:r>
                    <w:rPr>
                      <w:rFonts w:hint="default" w:ascii="Times New Roman" w:hAnsi="Times New Roman" w:cs="Times New Roman"/>
                      <w:color w:val="auto"/>
                      <w:szCs w:val="21"/>
                    </w:rPr>
                    <w:t>μg/m</w:t>
                  </w:r>
                  <w:r>
                    <w:rPr>
                      <w:rFonts w:hint="default" w:ascii="Times New Roman" w:hAnsi="Times New Roman" w:cs="Times New Roman"/>
                      <w:color w:val="auto"/>
                      <w:szCs w:val="21"/>
                      <w:vertAlign w:val="superscript"/>
                    </w:rPr>
                    <w:t>3</w:t>
                  </w:r>
                </w:p>
              </w:tc>
              <w:tc>
                <w:tcPr>
                  <w:tcW w:w="16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w:t>
                  </w:r>
                  <w:r>
                    <w:rPr>
                      <w:rFonts w:hint="default" w:ascii="Times New Roman" w:hAnsi="Times New Roman" w:cs="Times New Roman"/>
                      <w:color w:val="auto"/>
                      <w:szCs w:val="21"/>
                    </w:rPr>
                    <w:t>μg/m</w:t>
                  </w:r>
                  <w:r>
                    <w:rPr>
                      <w:rFonts w:hint="default" w:ascii="Times New Roman" w:hAnsi="Times New Roman" w:cs="Times New Roman"/>
                      <w:color w:val="auto"/>
                      <w:szCs w:val="21"/>
                      <w:vertAlign w:val="superscript"/>
                    </w:rPr>
                    <w:t>3</w:t>
                  </w:r>
                </w:p>
              </w:tc>
              <w:tc>
                <w:tcPr>
                  <w:tcW w:w="10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28.3</w:t>
                  </w: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二氧化氮（NO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p>
              </w:tc>
              <w:tc>
                <w:tcPr>
                  <w:tcW w:w="20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56</w:t>
                  </w:r>
                  <w:r>
                    <w:rPr>
                      <w:rFonts w:hint="default" w:ascii="Times New Roman" w:hAnsi="Times New Roman" w:cs="Times New Roman"/>
                      <w:color w:val="auto"/>
                      <w:szCs w:val="21"/>
                    </w:rPr>
                    <w:t>μg/m</w:t>
                  </w:r>
                  <w:r>
                    <w:rPr>
                      <w:rFonts w:hint="default" w:ascii="Times New Roman" w:hAnsi="Times New Roman" w:cs="Times New Roman"/>
                      <w:color w:val="auto"/>
                      <w:szCs w:val="21"/>
                      <w:vertAlign w:val="superscript"/>
                    </w:rPr>
                    <w:t>3</w:t>
                  </w:r>
                </w:p>
              </w:tc>
              <w:tc>
                <w:tcPr>
                  <w:tcW w:w="16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w:t>
                  </w:r>
                  <w:r>
                    <w:rPr>
                      <w:rFonts w:hint="default" w:ascii="Times New Roman" w:hAnsi="Times New Roman" w:cs="Times New Roman"/>
                      <w:color w:val="auto"/>
                      <w:szCs w:val="21"/>
                    </w:rPr>
                    <w:t>μg/m</w:t>
                  </w:r>
                  <w:r>
                    <w:rPr>
                      <w:rFonts w:hint="default" w:ascii="Times New Roman" w:hAnsi="Times New Roman" w:cs="Times New Roman"/>
                      <w:color w:val="auto"/>
                      <w:szCs w:val="21"/>
                      <w:vertAlign w:val="superscript"/>
                    </w:rPr>
                    <w:t>3</w:t>
                  </w:r>
                </w:p>
              </w:tc>
              <w:tc>
                <w:tcPr>
                  <w:tcW w:w="10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140</w:t>
                  </w: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一氧化碳（CO）</w:t>
                  </w:r>
                </w:p>
              </w:tc>
              <w:tc>
                <w:tcPr>
                  <w:tcW w:w="20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第95百分位浓度</w:t>
                  </w: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16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（24小时平均）</w:t>
                  </w:r>
                </w:p>
              </w:tc>
              <w:tc>
                <w:tcPr>
                  <w:tcW w:w="10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62.5</w:t>
                  </w: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臭氧（O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p>
              </w:tc>
              <w:tc>
                <w:tcPr>
                  <w:tcW w:w="20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第95百分位浓度</w:t>
                  </w: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62</w:t>
                  </w:r>
                  <w:r>
                    <w:rPr>
                      <w:rFonts w:hint="default" w:ascii="Times New Roman" w:hAnsi="Times New Roman" w:cs="Times New Roman"/>
                      <w:color w:val="auto"/>
                      <w:szCs w:val="21"/>
                    </w:rPr>
                    <w:t>μg</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16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r>
                    <w:rPr>
                      <w:rFonts w:hint="default" w:ascii="Times New Roman" w:hAnsi="Times New Roman" w:cs="Times New Roman"/>
                      <w:color w:val="auto"/>
                      <w:szCs w:val="21"/>
                    </w:rPr>
                    <w:t>μg</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（日最大8小时平均）</w:t>
                  </w:r>
                </w:p>
              </w:tc>
              <w:tc>
                <w:tcPr>
                  <w:tcW w:w="10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01.3</w:t>
                  </w: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r>
          </w:tbl>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评价区环境空气常规六项指标中，SO</w:t>
            </w:r>
            <w:r>
              <w:rPr>
                <w:rFonts w:hint="default" w:ascii="Times New Roman" w:hAnsi="Times New Roman" w:cs="Times New Roman"/>
                <w:color w:val="auto"/>
                <w:vertAlign w:val="subscript"/>
              </w:rPr>
              <w:t>2</w:t>
            </w:r>
            <w:r>
              <w:rPr>
                <w:rFonts w:hint="default" w:ascii="Times New Roman" w:hAnsi="Times New Roman" w:cs="Times New Roman"/>
                <w:color w:val="auto"/>
              </w:rPr>
              <w:t>年平均质量浓度和CO95%百分位数24h平均浓度达到《环境空气质量标准》（GB3095</w:t>
            </w:r>
            <w:r>
              <w:rPr>
                <w:rFonts w:hint="default" w:ascii="Times New Roman" w:hAnsi="Times New Roman" w:cs="Times New Roman"/>
                <w:color w:val="auto"/>
              </w:rPr>
              <w:softHyphen/>
            </w:r>
            <w:r>
              <w:rPr>
                <w:rFonts w:hint="default" w:ascii="Times New Roman" w:hAnsi="Times New Roman" w:cs="Times New Roman"/>
                <w:color w:val="auto"/>
              </w:rPr>
              <w:t>2012）二级标准要求，PM</w:t>
            </w:r>
            <w:r>
              <w:rPr>
                <w:rFonts w:hint="default" w:ascii="Times New Roman" w:hAnsi="Times New Roman" w:cs="Times New Roman"/>
                <w:color w:val="auto"/>
                <w:vertAlign w:val="subscript"/>
              </w:rPr>
              <w:t>2.5</w:t>
            </w:r>
            <w:r>
              <w:rPr>
                <w:rFonts w:hint="default" w:ascii="Times New Roman" w:hAnsi="Times New Roman" w:cs="Times New Roman"/>
                <w:color w:val="auto"/>
              </w:rPr>
              <w:t>年平均质量浓</w:t>
            </w:r>
            <w:r>
              <w:rPr>
                <w:rFonts w:hint="default" w:ascii="Times New Roman" w:hAnsi="Times New Roman" w:cs="Times New Roman"/>
                <w:color w:val="auto"/>
                <w:lang w:eastAsia="zh-CN"/>
              </w:rPr>
              <w:t>度</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 xml:space="preserve"> 年平均质量浓度、NO</w:t>
            </w:r>
            <w:r>
              <w:rPr>
                <w:rFonts w:hint="default" w:ascii="Times New Roman" w:hAnsi="Times New Roman" w:cs="Times New Roman"/>
                <w:color w:val="auto"/>
                <w:vertAlign w:val="subscript"/>
              </w:rPr>
              <w:t>2</w:t>
            </w:r>
            <w:r>
              <w:rPr>
                <w:rFonts w:hint="default" w:ascii="Times New Roman" w:hAnsi="Times New Roman" w:cs="Times New Roman"/>
                <w:color w:val="auto"/>
              </w:rPr>
              <w:t>年平均质量浓度和O</w:t>
            </w:r>
            <w:r>
              <w:rPr>
                <w:rFonts w:hint="default" w:ascii="Times New Roman" w:hAnsi="Times New Roman" w:cs="Times New Roman"/>
                <w:color w:val="auto"/>
                <w:vertAlign w:val="subscript"/>
              </w:rPr>
              <w:t>3</w:t>
            </w:r>
            <w:r>
              <w:rPr>
                <w:rFonts w:hint="default" w:ascii="Times New Roman" w:hAnsi="Times New Roman" w:cs="Times New Roman"/>
                <w:color w:val="auto"/>
              </w:rPr>
              <w:t>90%百分位数8h平均质量浓度均超过《环境空气质量标准》（GB3095</w:t>
            </w:r>
            <w:r>
              <w:rPr>
                <w:rFonts w:hint="default" w:ascii="Times New Roman" w:hAnsi="Times New Roman" w:cs="Times New Roman"/>
                <w:color w:val="auto"/>
              </w:rPr>
              <w:softHyphen/>
            </w:r>
            <w:r>
              <w:rPr>
                <w:rFonts w:hint="default" w:ascii="Times New Roman" w:hAnsi="Times New Roman" w:cs="Times New Roman"/>
                <w:color w:val="auto"/>
              </w:rPr>
              <w:t>2012）二级标准要求。</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根据《环境影响评价技术导则—大气环境》（HJ2.2</w:t>
            </w:r>
            <w:r>
              <w:rPr>
                <w:rFonts w:hint="default" w:ascii="Times New Roman" w:hAnsi="Times New Roman" w:cs="Times New Roman"/>
                <w:color w:val="auto"/>
              </w:rPr>
              <w:softHyphen/>
            </w:r>
            <w:r>
              <w:rPr>
                <w:rFonts w:hint="default" w:ascii="Times New Roman" w:hAnsi="Times New Roman" w:cs="Times New Roman"/>
                <w:color w:val="auto"/>
              </w:rPr>
              <w:t>2018），城市环境空气质量达标情况评价指标为SO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、CO、O</w:t>
            </w:r>
            <w:r>
              <w:rPr>
                <w:rFonts w:hint="default" w:ascii="Times New Roman" w:hAnsi="Times New Roman" w:cs="Times New Roman"/>
                <w:color w:val="auto"/>
                <w:vertAlign w:val="subscript"/>
              </w:rPr>
              <w:t>3</w:t>
            </w:r>
            <w:r>
              <w:rPr>
                <w:rFonts w:hint="default" w:ascii="Times New Roman" w:hAnsi="Times New Roman" w:cs="Times New Roman"/>
                <w:color w:val="auto"/>
              </w:rPr>
              <w:t>，六项污染物年评价指标全部达标即为城市环境空气质量达标。因此，本项目所在区域属于不达标区域。</w:t>
            </w:r>
          </w:p>
          <w:p>
            <w:pPr>
              <w:keepNext w:val="0"/>
              <w:keepLines w:val="0"/>
              <w:pageBreakBefore w:val="0"/>
              <w:widowControl w:val="0"/>
              <w:kinsoku/>
              <w:overflowPunct/>
              <w:topLinePunct w:val="0"/>
              <w:autoSpaceDE/>
              <w:autoSpaceDN/>
              <w:bidi w:val="0"/>
              <w:adjustRightInd/>
              <w:snapToGrid/>
              <w:spacing w:line="440" w:lineRule="exact"/>
              <w:ind w:firstLine="482"/>
              <w:textAlignment w:val="auto"/>
              <w:rPr>
                <w:rFonts w:hint="default" w:ascii="Times New Roman" w:hAnsi="Times New Roman" w:eastAsia="宋体" w:cs="Times New Roman"/>
                <w:b/>
                <w:bCs/>
                <w:color w:val="auto"/>
                <w:lang w:eastAsia="zh-CN"/>
              </w:rPr>
            </w:pP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lang w:val="en-US" w:eastAsia="zh-CN"/>
              </w:rPr>
              <w:t>2</w:t>
            </w:r>
            <w:r>
              <w:rPr>
                <w:rFonts w:hint="default" w:ascii="Times New Roman" w:hAnsi="Times New Roman" w:cs="Times New Roman"/>
                <w:b w:val="0"/>
                <w:bCs w:val="0"/>
                <w:color w:val="auto"/>
                <w:lang w:eastAsia="zh-CN"/>
              </w:rPr>
              <w:t>）</w:t>
            </w:r>
            <w:r>
              <w:rPr>
                <w:rFonts w:hint="default" w:ascii="Times New Roman" w:hAnsi="Times New Roman" w:cs="Times New Roman"/>
                <w:color w:val="auto"/>
                <w:lang w:eastAsia="zh-CN"/>
              </w:rPr>
              <w:t>其他污染物环境质量现状监测数据分析情况</w:t>
            </w:r>
          </w:p>
          <w:p>
            <w:pPr>
              <w:keepNext w:val="0"/>
              <w:keepLines w:val="0"/>
              <w:pageBreakBefore w:val="0"/>
              <w:widowControl w:val="0"/>
              <w:kinsoku/>
              <w:overflowPunct/>
              <w:topLinePunct w:val="0"/>
              <w:autoSpaceDE/>
              <w:autoSpaceDN/>
              <w:bidi w:val="0"/>
              <w:adjustRightInd/>
              <w:snapToGrid/>
              <w:spacing w:line="440" w:lineRule="exact"/>
              <w:ind w:firstLine="482"/>
              <w:textAlignment w:val="auto"/>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eastAsia="zh-CN"/>
              </w:rPr>
              <w:t>为了解项目其他污染物环境质量现状，本次监测委托陕西沁润环保科技有限公司于</w:t>
            </w:r>
            <w:r>
              <w:rPr>
                <w:rFonts w:hint="default" w:ascii="Times New Roman" w:hAnsi="Times New Roman" w:cs="Times New Roman"/>
                <w:b w:val="0"/>
                <w:bCs w:val="0"/>
                <w:color w:val="auto"/>
                <w:lang w:val="en-US" w:eastAsia="zh-CN"/>
              </w:rPr>
              <w:t>2019年7月4日至2019年7月10日对项目地进行监测。在项目地上下风向各设1个点位，连续监测7天，每天4次。具体检测结果见表3-2。</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0"/>
                <w:lang w:val="en-US" w:eastAsia="zh-CN"/>
              </w:rPr>
            </w:pPr>
            <w:r>
              <w:rPr>
                <w:rFonts w:hint="default" w:ascii="Times New Roman" w:hAnsi="Times New Roman" w:cs="Times New Roman"/>
                <w:b/>
                <w:bCs/>
                <w:color w:val="auto"/>
                <w:sz w:val="21"/>
                <w:szCs w:val="20"/>
                <w:lang w:eastAsia="zh-CN"/>
              </w:rPr>
              <w:t>表</w:t>
            </w:r>
            <w:r>
              <w:rPr>
                <w:rFonts w:hint="default" w:ascii="Times New Roman" w:hAnsi="Times New Roman" w:cs="Times New Roman"/>
                <w:b/>
                <w:bCs/>
                <w:color w:val="auto"/>
                <w:sz w:val="21"/>
                <w:szCs w:val="20"/>
                <w:lang w:val="en-US" w:eastAsia="zh-CN"/>
              </w:rPr>
              <w:t>3-2   非甲烷总烃监测结果统计  单位：</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g/m</w:t>
            </w:r>
            <w:r>
              <w:rPr>
                <w:rFonts w:hint="default" w:ascii="Times New Roman" w:hAnsi="Times New Roman" w:eastAsia="宋体" w:cs="Times New Roman"/>
                <w:b/>
                <w:bCs/>
                <w:color w:val="auto"/>
                <w:sz w:val="21"/>
                <w:szCs w:val="21"/>
                <w:vertAlign w:val="superscript"/>
              </w:rPr>
              <w:t>3</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237"/>
              <w:gridCol w:w="1237"/>
              <w:gridCol w:w="1237"/>
              <w:gridCol w:w="1237"/>
              <w:gridCol w:w="1237"/>
              <w:gridCol w:w="1237"/>
              <w:gridCol w:w="1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237"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分析项目</w:t>
                  </w:r>
                </w:p>
              </w:tc>
              <w:tc>
                <w:tcPr>
                  <w:tcW w:w="1237"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监测点位</w:t>
                  </w:r>
                </w:p>
              </w:tc>
              <w:tc>
                <w:tcPr>
                  <w:tcW w:w="1237"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监测日期</w:t>
                  </w:r>
                </w:p>
              </w:tc>
              <w:tc>
                <w:tcPr>
                  <w:tcW w:w="4949" w:type="dxa"/>
                  <w:gridSpan w:val="4"/>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第一次</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第二次</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第三次</w:t>
                  </w:r>
                </w:p>
              </w:tc>
              <w:tc>
                <w:tcPr>
                  <w:tcW w:w="1238"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237"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非甲烷总烃</w:t>
                  </w:r>
                </w:p>
              </w:tc>
              <w:tc>
                <w:tcPr>
                  <w:tcW w:w="1237"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eastAsia="zh-CN"/>
                    </w:rPr>
                    <w:t>上风向</w:t>
                  </w:r>
                  <w:r>
                    <w:rPr>
                      <w:rFonts w:hint="default" w:ascii="Times New Roman" w:hAnsi="Times New Roman" w:cs="Times New Roman"/>
                      <w:b w:val="0"/>
                      <w:bCs w:val="0"/>
                      <w:color w:val="auto"/>
                      <w:sz w:val="21"/>
                      <w:szCs w:val="21"/>
                      <w:vertAlign w:val="baseline"/>
                      <w:lang w:val="en-US" w:eastAsia="zh-CN"/>
                    </w:rPr>
                    <w:t>1#</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7月4日</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0.24</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0.19</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0.22</w:t>
                  </w:r>
                </w:p>
              </w:tc>
              <w:tc>
                <w:tcPr>
                  <w:tcW w:w="1238"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7月5日</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0.22</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0.24</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0.20</w:t>
                  </w:r>
                </w:p>
              </w:tc>
              <w:tc>
                <w:tcPr>
                  <w:tcW w:w="1238"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7月6日</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0.26</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0.20</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0.26</w:t>
                  </w:r>
                </w:p>
              </w:tc>
              <w:tc>
                <w:tcPr>
                  <w:tcW w:w="1238"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7月7日</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0.22</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0.22</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0.21</w:t>
                  </w:r>
                </w:p>
              </w:tc>
              <w:tc>
                <w:tcPr>
                  <w:tcW w:w="1238"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7月8日</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0.22</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0.23</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w:t>
                  </w:r>
                </w:p>
              </w:tc>
              <w:tc>
                <w:tcPr>
                  <w:tcW w:w="1238"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7月9日</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0.19</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0.18</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0.22</w:t>
                  </w:r>
                </w:p>
              </w:tc>
              <w:tc>
                <w:tcPr>
                  <w:tcW w:w="1238"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7月10日</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0.25</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0.17</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0.20</w:t>
                  </w:r>
                </w:p>
              </w:tc>
              <w:tc>
                <w:tcPr>
                  <w:tcW w:w="1238"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eastAsia="zh-CN"/>
                    </w:rPr>
                    <w:t>下风向</w:t>
                  </w:r>
                  <w:r>
                    <w:rPr>
                      <w:rFonts w:hint="default" w:ascii="Times New Roman" w:hAnsi="Times New Roman" w:cs="Times New Roman"/>
                      <w:b w:val="0"/>
                      <w:bCs w:val="0"/>
                      <w:color w:val="auto"/>
                      <w:sz w:val="21"/>
                      <w:szCs w:val="21"/>
                      <w:vertAlign w:val="baseline"/>
                      <w:lang w:val="en-US" w:eastAsia="zh-CN"/>
                    </w:rPr>
                    <w:t>2#</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7月4日</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0.40</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0.43</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0.38</w:t>
                  </w:r>
                </w:p>
              </w:tc>
              <w:tc>
                <w:tcPr>
                  <w:tcW w:w="1238"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7月5日</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0.38</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0.39</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0.34</w:t>
                  </w:r>
                </w:p>
              </w:tc>
              <w:tc>
                <w:tcPr>
                  <w:tcW w:w="1238"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7月6日</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0.41</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0.44</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0.37</w:t>
                  </w:r>
                </w:p>
              </w:tc>
              <w:tc>
                <w:tcPr>
                  <w:tcW w:w="1238"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7月7日</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0.46</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0.48</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0.50</w:t>
                  </w:r>
                </w:p>
              </w:tc>
              <w:tc>
                <w:tcPr>
                  <w:tcW w:w="1238"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7月8日</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0.55</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0.43</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0.48</w:t>
                  </w:r>
                </w:p>
              </w:tc>
              <w:tc>
                <w:tcPr>
                  <w:tcW w:w="1238"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7月9日</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0.60</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0.55</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0.48</w:t>
                  </w:r>
                </w:p>
              </w:tc>
              <w:tc>
                <w:tcPr>
                  <w:tcW w:w="1238"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rPr>
                  </w:pP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7月10日</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0.44</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0.41</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0.49</w:t>
                  </w:r>
                </w:p>
              </w:tc>
              <w:tc>
                <w:tcPr>
                  <w:tcW w:w="1238"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0.34</w:t>
                  </w:r>
                </w:p>
              </w:tc>
            </w:tr>
          </w:tbl>
          <w:p>
            <w:pPr>
              <w:keepNext w:val="0"/>
              <w:keepLines w:val="0"/>
              <w:pageBreakBefore w:val="0"/>
              <w:widowControl w:val="0"/>
              <w:kinsoku/>
              <w:wordWrap/>
              <w:overflowPunct/>
              <w:topLinePunct w:val="0"/>
              <w:autoSpaceDE/>
              <w:autoSpaceDN/>
              <w:bidi w:val="0"/>
              <w:adjustRightInd/>
              <w:snapToGrid/>
              <w:spacing w:line="440" w:lineRule="exact"/>
              <w:ind w:leftChars="0"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由上表可知，区域非甲烷总烃浓度值可满足</w:t>
            </w:r>
            <w:r>
              <w:rPr>
                <w:rFonts w:hint="default" w:ascii="Times New Roman" w:hAnsi="Times New Roman" w:cs="Times New Roman"/>
                <w:color w:val="auto"/>
              </w:rPr>
              <w:t>《大气污染物综合排放标准详解》中的相关标准</w:t>
            </w:r>
            <w:r>
              <w:rPr>
                <w:rFonts w:hint="default" w:ascii="Times New Roman" w:hAnsi="Times New Roman"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2、声环境现状</w:t>
            </w:r>
          </w:p>
          <w:p>
            <w:pPr>
              <w:pStyle w:val="8"/>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为了了解项目区声环境现状，本次评价委托陕西</w:t>
            </w:r>
            <w:r>
              <w:rPr>
                <w:rFonts w:hint="default" w:ascii="Times New Roman" w:hAnsi="Times New Roman" w:cs="Times New Roman"/>
                <w:color w:val="auto"/>
                <w:lang w:eastAsia="zh-CN"/>
              </w:rPr>
              <w:t>沁润环保科技</w:t>
            </w:r>
            <w:r>
              <w:rPr>
                <w:rFonts w:hint="default" w:ascii="Times New Roman" w:hAnsi="Times New Roman" w:cs="Times New Roman"/>
                <w:color w:val="auto"/>
              </w:rPr>
              <w:t>有限公司对项目区声环境质量现状进行监测。</w:t>
            </w:r>
            <w:r>
              <w:rPr>
                <w:rFonts w:hint="default" w:ascii="Times New Roman" w:hAnsi="Times New Roman" w:cs="Times New Roman"/>
                <w:color w:val="auto"/>
                <w:lang w:eastAsia="zh-CN"/>
              </w:rPr>
              <w:t>在厂界周围设</w:t>
            </w:r>
            <w:r>
              <w:rPr>
                <w:rFonts w:hint="default" w:ascii="Times New Roman" w:hAnsi="Times New Roman" w:cs="Times New Roman"/>
                <w:color w:val="auto"/>
                <w:lang w:val="en-US" w:eastAsia="zh-CN"/>
              </w:rPr>
              <w:t>4个监测点，连续监测2日，昼夜各监测1次，</w:t>
            </w:r>
            <w:r>
              <w:rPr>
                <w:rFonts w:hint="default" w:ascii="Times New Roman" w:hAnsi="Times New Roman" w:cs="Times New Roman"/>
                <w:color w:val="auto"/>
              </w:rPr>
              <w:t>监测结果见表3-</w:t>
            </w:r>
            <w:r>
              <w:rPr>
                <w:rFonts w:hint="default" w:ascii="Times New Roman" w:hAnsi="Times New Roman" w:cs="Times New Roman"/>
                <w:color w:val="auto"/>
                <w:lang w:val="en-US" w:eastAsia="zh-CN"/>
              </w:rPr>
              <w:t>3。</w:t>
            </w:r>
          </w:p>
          <w:p>
            <w:pPr>
              <w:spacing w:line="240" w:lineRule="auto"/>
              <w:ind w:firstLine="0" w:firstLineChars="0"/>
              <w:jc w:val="center"/>
              <w:rPr>
                <w:rFonts w:hint="default" w:ascii="Times New Roman" w:hAnsi="Times New Roman" w:cs="Times New Roman"/>
                <w:b/>
                <w:bCs/>
                <w:color w:val="auto"/>
                <w:sz w:val="21"/>
                <w:szCs w:val="20"/>
              </w:rPr>
            </w:pPr>
            <w:r>
              <w:rPr>
                <w:rFonts w:hint="default" w:ascii="Times New Roman" w:hAnsi="Times New Roman" w:cs="Times New Roman"/>
                <w:b/>
                <w:bCs/>
                <w:color w:val="auto"/>
                <w:sz w:val="21"/>
                <w:szCs w:val="20"/>
              </w:rPr>
              <w:t>表3-</w:t>
            </w:r>
            <w:r>
              <w:rPr>
                <w:rFonts w:hint="default" w:ascii="Times New Roman" w:hAnsi="Times New Roman" w:cs="Times New Roman"/>
                <w:b/>
                <w:bCs/>
                <w:color w:val="auto"/>
                <w:sz w:val="21"/>
                <w:szCs w:val="20"/>
                <w:lang w:val="en-US" w:eastAsia="zh-CN"/>
              </w:rPr>
              <w:t>3</w:t>
            </w:r>
            <w:r>
              <w:rPr>
                <w:rFonts w:hint="default" w:ascii="Times New Roman" w:hAnsi="Times New Roman" w:cs="Times New Roman"/>
                <w:b/>
                <w:bCs/>
                <w:color w:val="auto"/>
                <w:sz w:val="21"/>
                <w:szCs w:val="20"/>
              </w:rPr>
              <w:t xml:space="preserve">  噪声监测结果统计   单位：dB（A）</w:t>
            </w:r>
          </w:p>
          <w:tbl>
            <w:tblPr>
              <w:tblStyle w:val="2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297"/>
              <w:gridCol w:w="1080"/>
              <w:gridCol w:w="1080"/>
              <w:gridCol w:w="1080"/>
              <w:gridCol w:w="10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3" w:type="dxa"/>
                  <w:vMerge w:val="restart"/>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编号</w:t>
                  </w:r>
                </w:p>
              </w:tc>
              <w:tc>
                <w:tcPr>
                  <w:tcW w:w="1297" w:type="dxa"/>
                  <w:vMerge w:val="restart"/>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2160" w:type="dxa"/>
                  <w:gridSpan w:val="2"/>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月</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日</w:t>
                  </w:r>
                </w:p>
              </w:tc>
              <w:tc>
                <w:tcPr>
                  <w:tcW w:w="2160" w:type="dxa"/>
                  <w:gridSpan w:val="2"/>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月</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日</w:t>
                  </w:r>
                </w:p>
              </w:tc>
              <w:tc>
                <w:tcPr>
                  <w:tcW w:w="2160" w:type="dxa"/>
                  <w:gridSpan w:val="2"/>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3" w:type="dxa"/>
                  <w:vMerge w:val="continue"/>
                  <w:noWrap w:val="0"/>
                  <w:vAlign w:val="center"/>
                </w:tcPr>
                <w:p>
                  <w:pPr>
                    <w:widowControl/>
                    <w:spacing w:line="240" w:lineRule="auto"/>
                    <w:ind w:firstLine="0" w:firstLineChars="0"/>
                    <w:jc w:val="center"/>
                    <w:rPr>
                      <w:rFonts w:hint="default" w:ascii="Times New Roman" w:hAnsi="Times New Roman" w:cs="Times New Roman"/>
                      <w:color w:val="auto"/>
                      <w:sz w:val="21"/>
                      <w:szCs w:val="21"/>
                    </w:rPr>
                  </w:pPr>
                </w:p>
              </w:tc>
              <w:tc>
                <w:tcPr>
                  <w:tcW w:w="1297" w:type="dxa"/>
                  <w:vMerge w:val="continue"/>
                  <w:noWrap w:val="0"/>
                  <w:vAlign w:val="center"/>
                </w:tcPr>
                <w:p>
                  <w:pPr>
                    <w:widowControl/>
                    <w:spacing w:line="240" w:lineRule="auto"/>
                    <w:ind w:firstLine="0" w:firstLineChars="0"/>
                    <w:jc w:val="center"/>
                    <w:rPr>
                      <w:rFonts w:hint="default" w:ascii="Times New Roman" w:hAnsi="Times New Roman" w:cs="Times New Roman"/>
                      <w:color w:val="auto"/>
                      <w:sz w:val="21"/>
                      <w:szCs w:val="21"/>
                    </w:rPr>
                  </w:pPr>
                </w:p>
              </w:tc>
              <w:tc>
                <w:tcPr>
                  <w:tcW w:w="1080"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080"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080"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080"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080"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080"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3"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97" w:type="dxa"/>
                  <w:noWrap w:val="0"/>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东厂界</w:t>
                  </w:r>
                </w:p>
              </w:tc>
              <w:tc>
                <w:tcPr>
                  <w:tcW w:w="1080" w:type="dxa"/>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52.5</w:t>
                  </w:r>
                </w:p>
              </w:tc>
              <w:tc>
                <w:tcPr>
                  <w:tcW w:w="1080" w:type="dxa"/>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47.5</w:t>
                  </w:r>
                </w:p>
              </w:tc>
              <w:tc>
                <w:tcPr>
                  <w:tcW w:w="1080" w:type="dxa"/>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52.0</w:t>
                  </w:r>
                </w:p>
              </w:tc>
              <w:tc>
                <w:tcPr>
                  <w:tcW w:w="1080" w:type="dxa"/>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47.1</w:t>
                  </w:r>
                </w:p>
              </w:tc>
              <w:tc>
                <w:tcPr>
                  <w:tcW w:w="1080"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60</w:t>
                  </w:r>
                </w:p>
              </w:tc>
              <w:tc>
                <w:tcPr>
                  <w:tcW w:w="1080"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3"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297" w:type="dxa"/>
                  <w:noWrap w:val="0"/>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南厂界</w:t>
                  </w:r>
                </w:p>
              </w:tc>
              <w:tc>
                <w:tcPr>
                  <w:tcW w:w="1080" w:type="dxa"/>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53.8</w:t>
                  </w:r>
                </w:p>
              </w:tc>
              <w:tc>
                <w:tcPr>
                  <w:tcW w:w="1080" w:type="dxa"/>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47.3</w:t>
                  </w:r>
                </w:p>
              </w:tc>
              <w:tc>
                <w:tcPr>
                  <w:tcW w:w="1080" w:type="dxa"/>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53.3</w:t>
                  </w:r>
                </w:p>
              </w:tc>
              <w:tc>
                <w:tcPr>
                  <w:tcW w:w="1080" w:type="dxa"/>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47.5</w:t>
                  </w:r>
                </w:p>
              </w:tc>
              <w:tc>
                <w:tcPr>
                  <w:tcW w:w="1080"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60</w:t>
                  </w:r>
                </w:p>
              </w:tc>
              <w:tc>
                <w:tcPr>
                  <w:tcW w:w="1080"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3"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297" w:type="dxa"/>
                  <w:noWrap w:val="0"/>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西厂界</w:t>
                  </w:r>
                </w:p>
              </w:tc>
              <w:tc>
                <w:tcPr>
                  <w:tcW w:w="1080" w:type="dxa"/>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50.7</w:t>
                  </w:r>
                </w:p>
              </w:tc>
              <w:tc>
                <w:tcPr>
                  <w:tcW w:w="1080" w:type="dxa"/>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46.1</w:t>
                  </w:r>
                </w:p>
              </w:tc>
              <w:tc>
                <w:tcPr>
                  <w:tcW w:w="1080" w:type="dxa"/>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51.2</w:t>
                  </w:r>
                </w:p>
              </w:tc>
              <w:tc>
                <w:tcPr>
                  <w:tcW w:w="1080" w:type="dxa"/>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47.0</w:t>
                  </w:r>
                </w:p>
              </w:tc>
              <w:tc>
                <w:tcPr>
                  <w:tcW w:w="1080"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60</w:t>
                  </w:r>
                </w:p>
              </w:tc>
              <w:tc>
                <w:tcPr>
                  <w:tcW w:w="1080"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3"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297" w:type="dxa"/>
                  <w:noWrap w:val="0"/>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北厂界</w:t>
                  </w:r>
                </w:p>
              </w:tc>
              <w:tc>
                <w:tcPr>
                  <w:tcW w:w="1080" w:type="dxa"/>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50.8</w:t>
                  </w:r>
                </w:p>
              </w:tc>
              <w:tc>
                <w:tcPr>
                  <w:tcW w:w="1080" w:type="dxa"/>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45.2</w:t>
                  </w:r>
                </w:p>
              </w:tc>
              <w:tc>
                <w:tcPr>
                  <w:tcW w:w="1080" w:type="dxa"/>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50.7</w:t>
                  </w:r>
                </w:p>
              </w:tc>
              <w:tc>
                <w:tcPr>
                  <w:tcW w:w="1080" w:type="dxa"/>
                  <w:noWrap/>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44.7</w:t>
                  </w:r>
                </w:p>
              </w:tc>
              <w:tc>
                <w:tcPr>
                  <w:tcW w:w="1080"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60</w:t>
                  </w:r>
                </w:p>
              </w:tc>
              <w:tc>
                <w:tcPr>
                  <w:tcW w:w="1080" w:type="dxa"/>
                  <w:noWrap/>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50</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rPr>
            </w:pPr>
            <w:r>
              <w:rPr>
                <w:rFonts w:hint="default" w:ascii="Times New Roman" w:hAnsi="Times New Roman" w:cs="Times New Roman"/>
                <w:color w:val="auto"/>
              </w:rPr>
              <w:t>由监测结果可知，项目</w:t>
            </w:r>
            <w:r>
              <w:rPr>
                <w:rFonts w:hint="default" w:ascii="Times New Roman" w:hAnsi="Times New Roman" w:cs="Times New Roman"/>
                <w:color w:val="auto"/>
                <w:lang w:eastAsia="zh-CN"/>
              </w:rPr>
              <w:t>东、南、西、北</w:t>
            </w:r>
            <w:r>
              <w:rPr>
                <w:rFonts w:hint="default" w:ascii="Times New Roman" w:hAnsi="Times New Roman" w:cs="Times New Roman"/>
                <w:color w:val="auto"/>
              </w:rPr>
              <w:t>厂界</w:t>
            </w:r>
            <w:r>
              <w:rPr>
                <w:rFonts w:hint="default" w:ascii="Times New Roman" w:hAnsi="Times New Roman" w:cs="Times New Roman"/>
                <w:color w:val="auto"/>
                <w:lang w:eastAsia="zh-CN"/>
              </w:rPr>
              <w:t>的</w:t>
            </w:r>
            <w:r>
              <w:rPr>
                <w:rFonts w:hint="default" w:ascii="Times New Roman" w:hAnsi="Times New Roman" w:cs="Times New Roman"/>
                <w:color w:val="auto"/>
              </w:rPr>
              <w:t>昼、夜间噪声监测值均满足《声环境质量标准》（GB3096-2008）中</w:t>
            </w:r>
            <w:r>
              <w:rPr>
                <w:rFonts w:hint="default" w:ascii="Times New Roman" w:hAnsi="Times New Roman" w:cs="Times New Roman"/>
                <w:color w:val="auto"/>
                <w:lang w:val="en-US" w:eastAsia="zh-CN"/>
              </w:rPr>
              <w:t>2</w:t>
            </w:r>
            <w:r>
              <w:rPr>
                <w:rFonts w:hint="default" w:ascii="Times New Roman" w:hAnsi="Times New Roman" w:cs="Times New Roman"/>
                <w:color w:val="auto"/>
              </w:rPr>
              <w:t>类标准</w:t>
            </w:r>
            <w:r>
              <w:rPr>
                <w:rFonts w:hint="default" w:ascii="Times New Roman" w:hAnsi="Times New Roman" w:cs="Times New Roman"/>
                <w:color w:val="auto"/>
                <w:lang w:eastAsia="zh-CN"/>
              </w:rPr>
              <w:t>，</w:t>
            </w:r>
            <w:r>
              <w:rPr>
                <w:rFonts w:hint="default" w:ascii="Times New Roman" w:hAnsi="Times New Roman" w:cs="Times New Roman"/>
                <w:color w:val="auto"/>
              </w:rPr>
              <w:t>说明项目区声环境质量较好。</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3、土壤环境质量</w:t>
            </w:r>
          </w:p>
          <w:p>
            <w:pPr>
              <w:pStyle w:val="97"/>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cs="Times New Roman"/>
                <w:color w:val="auto"/>
                <w:lang w:eastAsia="zh-CN"/>
              </w:rPr>
            </w:pPr>
            <w:r>
              <w:rPr>
                <w:rFonts w:hint="default" w:ascii="Times New Roman" w:hAnsi="Times New Roman" w:cs="Times New Roman"/>
                <w:color w:val="auto"/>
              </w:rPr>
              <w:t>为了了解项目区声环境现状，本次评价委托陕西</w:t>
            </w:r>
            <w:r>
              <w:rPr>
                <w:rFonts w:hint="default" w:ascii="Times New Roman" w:hAnsi="Times New Roman" w:cs="Times New Roman"/>
                <w:color w:val="auto"/>
                <w:lang w:eastAsia="zh-CN"/>
              </w:rPr>
              <w:t>正为环境检测</w:t>
            </w:r>
            <w:r>
              <w:rPr>
                <w:rFonts w:hint="default" w:ascii="Times New Roman" w:hAnsi="Times New Roman" w:cs="Times New Roman"/>
                <w:color w:val="auto"/>
              </w:rPr>
              <w:t>有限公司对项目区</w:t>
            </w:r>
            <w:r>
              <w:rPr>
                <w:rFonts w:hint="default" w:ascii="Times New Roman" w:hAnsi="Times New Roman" w:cs="Times New Roman"/>
                <w:color w:val="auto"/>
                <w:lang w:eastAsia="zh-CN"/>
              </w:rPr>
              <w:t>土壤</w:t>
            </w:r>
            <w:r>
              <w:rPr>
                <w:rFonts w:hint="default" w:ascii="Times New Roman" w:hAnsi="Times New Roman" w:cs="Times New Roman"/>
                <w:color w:val="auto"/>
              </w:rPr>
              <w:t>环境质量现状进行监测。出具监测报告</w:t>
            </w:r>
            <w:r>
              <w:rPr>
                <w:rFonts w:hint="default" w:ascii="Times New Roman" w:hAnsi="Times New Roman" w:cs="Times New Roman"/>
                <w:color w:val="auto"/>
                <w:lang w:eastAsia="zh-CN"/>
              </w:rPr>
              <w:t>正为监</w:t>
            </w:r>
            <w:r>
              <w:rPr>
                <w:rFonts w:hint="default" w:ascii="Times New Roman" w:hAnsi="Times New Roman" w:cs="Times New Roman"/>
                <w:color w:val="auto"/>
              </w:rPr>
              <w:t>（</w:t>
            </w:r>
            <w:r>
              <w:rPr>
                <w:rFonts w:hint="default" w:ascii="Times New Roman" w:hAnsi="Times New Roman" w:cs="Times New Roman"/>
                <w:color w:val="auto"/>
                <w:lang w:eastAsia="zh-CN"/>
              </w:rPr>
              <w:t>土</w:t>
            </w:r>
            <w:r>
              <w:rPr>
                <w:rFonts w:hint="default" w:ascii="Times New Roman" w:hAnsi="Times New Roman" w:cs="Times New Roman"/>
                <w:color w:val="auto"/>
              </w:rPr>
              <w:t>）字</w:t>
            </w:r>
            <w:r>
              <w:rPr>
                <w:rFonts w:hint="default" w:ascii="Times New Roman" w:hAnsi="Times New Roman" w:cs="Times New Roman"/>
                <w:color w:val="auto"/>
                <w:lang w:val="en-US" w:eastAsia="zh-CN"/>
              </w:rPr>
              <w:t>[</w:t>
            </w:r>
            <w:r>
              <w:rPr>
                <w:rFonts w:hint="default" w:ascii="Times New Roman" w:hAnsi="Times New Roman" w:cs="Times New Roman"/>
                <w:color w:val="auto"/>
              </w:rPr>
              <w:t>2019</w:t>
            </w:r>
            <w:r>
              <w:rPr>
                <w:rFonts w:hint="default" w:ascii="Times New Roman" w:hAnsi="Times New Roman" w:cs="Times New Roman"/>
                <w:color w:val="auto"/>
                <w:lang w:val="en-US" w:eastAsia="zh-CN"/>
              </w:rPr>
              <w:t>]</w:t>
            </w:r>
            <w:r>
              <w:rPr>
                <w:rFonts w:hint="default" w:ascii="Times New Roman" w:hAnsi="Times New Roman" w:cs="Times New Roman"/>
                <w:color w:val="auto"/>
              </w:rPr>
              <w:t>第0</w:t>
            </w:r>
            <w:r>
              <w:rPr>
                <w:rFonts w:hint="default" w:ascii="Times New Roman" w:hAnsi="Times New Roman" w:cs="Times New Roman"/>
                <w:color w:val="auto"/>
                <w:lang w:val="en-US" w:eastAsia="zh-CN"/>
              </w:rPr>
              <w:t>912</w:t>
            </w:r>
            <w:r>
              <w:rPr>
                <w:rFonts w:hint="default" w:ascii="Times New Roman" w:hAnsi="Times New Roman" w:cs="Times New Roman"/>
                <w:color w:val="auto"/>
              </w:rPr>
              <w:t>号。</w:t>
            </w:r>
          </w:p>
          <w:p>
            <w:pPr>
              <w:pStyle w:val="97"/>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）监测点位布设及监测因子</w:t>
            </w:r>
          </w:p>
          <w:p>
            <w:pPr>
              <w:pStyle w:val="97"/>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本次评价</w:t>
            </w:r>
            <w:r>
              <w:rPr>
                <w:rFonts w:hint="default" w:ascii="Times New Roman" w:hAnsi="Times New Roman" w:cs="Times New Roman"/>
                <w:color w:val="auto"/>
                <w:lang w:val="en-US" w:eastAsia="zh-CN"/>
              </w:rPr>
              <w:t>采样时间为2019年9月12日，</w:t>
            </w:r>
            <w:r>
              <w:rPr>
                <w:rFonts w:hint="default" w:ascii="Times New Roman" w:hAnsi="Times New Roman" w:cs="Times New Roman"/>
                <w:color w:val="auto"/>
                <w:lang w:eastAsia="zh-CN"/>
              </w:rPr>
              <w:t>在项目厂区占地范围内取</w:t>
            </w:r>
            <w:r>
              <w:rPr>
                <w:rFonts w:hint="default" w:ascii="Times New Roman" w:hAnsi="Times New Roman" w:cs="Times New Roman"/>
                <w:color w:val="auto"/>
                <w:lang w:val="en-US" w:eastAsia="zh-CN"/>
              </w:rPr>
              <w:t>3个表层样详见下表。</w:t>
            </w:r>
          </w:p>
          <w:p>
            <w:pPr>
              <w:pStyle w:val="9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eastAsia="zh-CN"/>
              </w:rPr>
              <w:t>表</w:t>
            </w:r>
            <w:r>
              <w:rPr>
                <w:rFonts w:hint="default" w:ascii="Times New Roman" w:hAnsi="Times New Roman" w:cs="Times New Roman"/>
                <w:b/>
                <w:bCs/>
                <w:color w:val="auto"/>
                <w:sz w:val="21"/>
                <w:szCs w:val="21"/>
                <w:lang w:val="en-US" w:eastAsia="zh-CN"/>
              </w:rPr>
              <w:t>3-4  土壤监测点位布设一览表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683"/>
              <w:gridCol w:w="684"/>
              <w:gridCol w:w="683"/>
              <w:gridCol w:w="821"/>
              <w:gridCol w:w="684"/>
              <w:gridCol w:w="4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7"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点位编号</w:t>
                  </w:r>
                </w:p>
              </w:tc>
              <w:tc>
                <w:tcPr>
                  <w:tcW w:w="683"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占地范围内外</w:t>
                  </w:r>
                </w:p>
              </w:tc>
              <w:tc>
                <w:tcPr>
                  <w:tcW w:w="684"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点位名称</w:t>
                  </w:r>
                </w:p>
              </w:tc>
              <w:tc>
                <w:tcPr>
                  <w:tcW w:w="683"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样品编号</w:t>
                  </w:r>
                </w:p>
              </w:tc>
              <w:tc>
                <w:tcPr>
                  <w:tcW w:w="821"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取样方式</w:t>
                  </w:r>
                </w:p>
              </w:tc>
              <w:tc>
                <w:tcPr>
                  <w:tcW w:w="684"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布点原则</w:t>
                  </w:r>
                </w:p>
              </w:tc>
              <w:tc>
                <w:tcPr>
                  <w:tcW w:w="4458"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7"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1</w:t>
                  </w:r>
                </w:p>
              </w:tc>
              <w:tc>
                <w:tcPr>
                  <w:tcW w:w="683" w:type="dxa"/>
                  <w:vMerge w:val="restart"/>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占地范围内</w:t>
                  </w:r>
                </w:p>
              </w:tc>
              <w:tc>
                <w:tcPr>
                  <w:tcW w:w="684"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厂区内1#</w:t>
                  </w:r>
                </w:p>
              </w:tc>
              <w:tc>
                <w:tcPr>
                  <w:tcW w:w="683"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1#</w:t>
                  </w:r>
                </w:p>
              </w:tc>
              <w:tc>
                <w:tcPr>
                  <w:tcW w:w="821"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表层样0-0.2m</w:t>
                  </w:r>
                </w:p>
              </w:tc>
              <w:tc>
                <w:tcPr>
                  <w:tcW w:w="684"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农用地</w:t>
                  </w:r>
                </w:p>
              </w:tc>
              <w:tc>
                <w:tcPr>
                  <w:tcW w:w="4458"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镉</w:t>
                  </w:r>
                  <w:r>
                    <w:rPr>
                      <w:rFonts w:hint="default" w:ascii="Times New Roman" w:hAnsi="Times New Roman" w:cs="Times New Roman"/>
                      <w:color w:val="auto"/>
                      <w:lang w:eastAsia="zh-CN"/>
                    </w:rPr>
                    <w:t>、汞、砷、铅、铬、铜、镍、锌；石油烃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7"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2</w:t>
                  </w:r>
                </w:p>
              </w:tc>
              <w:tc>
                <w:tcPr>
                  <w:tcW w:w="683" w:type="dxa"/>
                  <w:vMerge w:val="continue"/>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684"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厂区内2#</w:t>
                  </w:r>
                </w:p>
              </w:tc>
              <w:tc>
                <w:tcPr>
                  <w:tcW w:w="683"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2#</w:t>
                  </w:r>
                </w:p>
              </w:tc>
              <w:tc>
                <w:tcPr>
                  <w:tcW w:w="821"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表层样0-0.2m</w:t>
                  </w:r>
                </w:p>
              </w:tc>
              <w:tc>
                <w:tcPr>
                  <w:tcW w:w="684"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建设用地</w:t>
                  </w:r>
                </w:p>
              </w:tc>
              <w:tc>
                <w:tcPr>
                  <w:tcW w:w="4458"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p>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硝基苯、苯胺、2-氯酚、苯并[a]蒽、苯并[a]芘、苯并[b]荧蒽、苯并[k]荧蒽、䓛、二苯并[a,h]蒽、茚并[1,2,3-cd]芘、萘；</w:t>
                  </w:r>
                  <w:r>
                    <w:rPr>
                      <w:rFonts w:hint="default" w:ascii="Times New Roman" w:hAnsi="Times New Roman" w:cs="Times New Roman"/>
                      <w:color w:val="auto"/>
                      <w:lang w:eastAsia="zh-CN"/>
                    </w:rPr>
                    <w:t>石油烃（</w:t>
                  </w:r>
                  <w:r>
                    <w:rPr>
                      <w:rFonts w:hint="default" w:ascii="Times New Roman" w:hAnsi="Times New Roman" w:cs="Times New Roman"/>
                      <w:color w:val="auto"/>
                      <w:lang w:val="en-US" w:eastAsia="zh-CN"/>
                    </w:rPr>
                    <w:t>C</w:t>
                  </w:r>
                  <w:r>
                    <w:rPr>
                      <w:rFonts w:hint="default" w:ascii="Times New Roman" w:hAnsi="Times New Roman" w:cs="Times New Roman"/>
                      <w:color w:val="auto"/>
                      <w:vertAlign w:val="subscript"/>
                      <w:lang w:val="en-US" w:eastAsia="zh-CN"/>
                    </w:rPr>
                    <w:t>10</w:t>
                  </w:r>
                  <w:r>
                    <w:rPr>
                      <w:rFonts w:hint="default" w:ascii="Times New Roman" w:hAnsi="Times New Roman" w:cs="Times New Roman"/>
                      <w:color w:val="auto"/>
                      <w:lang w:val="en-US" w:eastAsia="zh-CN"/>
                    </w:rPr>
                    <w:t>~C</w:t>
                  </w:r>
                  <w:r>
                    <w:rPr>
                      <w:rFonts w:hint="default" w:ascii="Times New Roman" w:hAnsi="Times New Roman" w:cs="Times New Roman"/>
                      <w:color w:val="auto"/>
                      <w:vertAlign w:val="subscript"/>
                      <w:lang w:val="en-US" w:eastAsia="zh-CN"/>
                    </w:rPr>
                    <w:t>40</w:t>
                  </w:r>
                  <w:r>
                    <w:rPr>
                      <w:rFonts w:hint="default"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7"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3</w:t>
                  </w:r>
                </w:p>
              </w:tc>
              <w:tc>
                <w:tcPr>
                  <w:tcW w:w="683" w:type="dxa"/>
                  <w:vMerge w:val="continue"/>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684"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厂区内3#</w:t>
                  </w:r>
                </w:p>
              </w:tc>
              <w:tc>
                <w:tcPr>
                  <w:tcW w:w="683"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3#</w:t>
                  </w:r>
                </w:p>
              </w:tc>
              <w:tc>
                <w:tcPr>
                  <w:tcW w:w="821"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表层样0-0.2m</w:t>
                  </w:r>
                </w:p>
              </w:tc>
              <w:tc>
                <w:tcPr>
                  <w:tcW w:w="684"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农用地</w:t>
                  </w:r>
                </w:p>
              </w:tc>
              <w:tc>
                <w:tcPr>
                  <w:tcW w:w="4458" w:type="dxa"/>
                  <w:noWrap w:val="0"/>
                  <w:vAlign w:val="center"/>
                </w:tcPr>
                <w:p>
                  <w:pPr>
                    <w:pStyle w:val="9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镉</w:t>
                  </w:r>
                  <w:r>
                    <w:rPr>
                      <w:rFonts w:hint="default" w:ascii="Times New Roman" w:hAnsi="Times New Roman" w:cs="Times New Roman"/>
                      <w:color w:val="auto"/>
                      <w:lang w:eastAsia="zh-CN"/>
                    </w:rPr>
                    <w:t>、汞、砷、铅、铬、铜、镍、锌；石油烃</w:t>
                  </w:r>
                </w:p>
              </w:tc>
            </w:tr>
          </w:tbl>
          <w:p>
            <w:pPr>
              <w:pStyle w:val="97"/>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）监测结果及评价</w:t>
            </w:r>
          </w:p>
          <w:p>
            <w:pPr>
              <w:pStyle w:val="97"/>
              <w:jc w:val="center"/>
              <w:rPr>
                <w:rFonts w:hint="default" w:ascii="Times New Roman" w:hAnsi="Times New Roman" w:eastAsia="宋体" w:cs="Times New Roman"/>
                <w:color w:val="auto"/>
                <w:lang w:eastAsia="zh-CN"/>
              </w:rPr>
            </w:pPr>
            <w:r>
              <w:rPr>
                <w:rFonts w:hint="default" w:ascii="Times New Roman" w:hAnsi="Times New Roman" w:cs="Times New Roman"/>
                <w:b/>
                <w:bCs/>
                <w:color w:val="auto"/>
                <w:sz w:val="21"/>
                <w:szCs w:val="20"/>
              </w:rPr>
              <w:t>表</w:t>
            </w:r>
            <w:r>
              <w:rPr>
                <w:rFonts w:hint="default" w:ascii="Times New Roman" w:hAnsi="Times New Roman" w:cs="Times New Roman"/>
                <w:b/>
                <w:bCs/>
                <w:color w:val="auto"/>
                <w:sz w:val="21"/>
                <w:szCs w:val="20"/>
                <w:lang w:val="en-US" w:eastAsia="zh-CN"/>
              </w:rPr>
              <w:t xml:space="preserve">3-5   </w:t>
            </w:r>
            <w:r>
              <w:rPr>
                <w:rFonts w:hint="default" w:ascii="Times New Roman" w:hAnsi="Times New Roman" w:cs="Times New Roman"/>
                <w:b/>
                <w:bCs/>
                <w:color w:val="auto"/>
                <w:sz w:val="21"/>
                <w:szCs w:val="20"/>
              </w:rPr>
              <w:t xml:space="preserve"> 土壤环境质量现状</w:t>
            </w:r>
            <w:r>
              <w:rPr>
                <w:rFonts w:hint="default" w:ascii="Times New Roman" w:hAnsi="Times New Roman" w:cs="Times New Roman"/>
                <w:b/>
                <w:bCs/>
                <w:color w:val="auto"/>
                <w:sz w:val="21"/>
                <w:szCs w:val="20"/>
                <w:lang w:eastAsia="zh-CN"/>
              </w:rPr>
              <w:t>监测结果</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6"/>
              <w:gridCol w:w="1642"/>
              <w:gridCol w:w="809"/>
              <w:gridCol w:w="858"/>
              <w:gridCol w:w="891"/>
              <w:gridCol w:w="962"/>
              <w:gridCol w:w="1552"/>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vMerge w:val="restart"/>
                  <w:noWrap w:val="0"/>
                  <w:vAlign w:val="center"/>
                </w:tcPr>
                <w:p>
                  <w:pPr>
                    <w:pStyle w:val="99"/>
                    <w:bidi w:val="0"/>
                    <w:rPr>
                      <w:rFonts w:hint="default" w:ascii="Times New Roman" w:hAnsi="Times New Roman" w:cs="Times New Roman"/>
                      <w:b w:val="0"/>
                      <w:bCs w:val="0"/>
                      <w:color w:val="auto"/>
                    </w:rPr>
                  </w:pPr>
                  <w:r>
                    <w:rPr>
                      <w:rFonts w:hint="default" w:ascii="Times New Roman" w:hAnsi="Times New Roman" w:cs="Times New Roman"/>
                      <w:b w:val="0"/>
                      <w:bCs w:val="0"/>
                      <w:color w:val="auto"/>
                    </w:rPr>
                    <w:t>序号</w:t>
                  </w:r>
                </w:p>
              </w:tc>
              <w:tc>
                <w:tcPr>
                  <w:tcW w:w="1642" w:type="dxa"/>
                  <w:vMerge w:val="restart"/>
                  <w:noWrap w:val="0"/>
                  <w:vAlign w:val="center"/>
                </w:tcPr>
                <w:p>
                  <w:pPr>
                    <w:pStyle w:val="99"/>
                    <w:bidi w:val="0"/>
                    <w:rPr>
                      <w:rFonts w:hint="default" w:ascii="Times New Roman" w:hAnsi="Times New Roman" w:cs="Times New Roman"/>
                      <w:b w:val="0"/>
                      <w:bCs w:val="0"/>
                      <w:color w:val="auto"/>
                    </w:rPr>
                  </w:pPr>
                  <w:r>
                    <w:rPr>
                      <w:rFonts w:hint="default" w:ascii="Times New Roman" w:hAnsi="Times New Roman" w:cs="Times New Roman"/>
                      <w:b w:val="0"/>
                      <w:bCs w:val="0"/>
                      <w:color w:val="auto"/>
                    </w:rPr>
                    <w:t>污染物名称</w:t>
                  </w:r>
                </w:p>
              </w:tc>
              <w:tc>
                <w:tcPr>
                  <w:tcW w:w="2558" w:type="dxa"/>
                  <w:gridSpan w:val="3"/>
                  <w:noWrap w:val="0"/>
                  <w:vAlign w:val="center"/>
                </w:tcPr>
                <w:p>
                  <w:pPr>
                    <w:pStyle w:val="99"/>
                    <w:bidi w:val="0"/>
                    <w:rPr>
                      <w:rFonts w:hint="default" w:ascii="Times New Roman" w:hAnsi="Times New Roman" w:cs="Times New Roman"/>
                      <w:b w:val="0"/>
                      <w:bCs w:val="0"/>
                      <w:color w:val="auto"/>
                    </w:rPr>
                  </w:pPr>
                  <w:r>
                    <w:rPr>
                      <w:rFonts w:hint="default" w:ascii="Times New Roman" w:hAnsi="Times New Roman" w:cs="Times New Roman"/>
                      <w:b w:val="0"/>
                      <w:bCs w:val="0"/>
                      <w:color w:val="auto"/>
                    </w:rPr>
                    <w:t>监测值</w:t>
                  </w:r>
                </w:p>
              </w:tc>
              <w:tc>
                <w:tcPr>
                  <w:tcW w:w="962" w:type="dxa"/>
                  <w:vMerge w:val="restart"/>
                  <w:noWrap w:val="0"/>
                  <w:vAlign w:val="center"/>
                </w:tcPr>
                <w:p>
                  <w:pPr>
                    <w:pStyle w:val="99"/>
                    <w:bidi w:val="0"/>
                    <w:rPr>
                      <w:rFonts w:hint="default" w:ascii="Times New Roman" w:hAnsi="Times New Roman" w:eastAsia="宋体" w:cs="Times New Roman"/>
                      <w:b w:val="0"/>
                      <w:bCs w:val="0"/>
                      <w:color w:val="auto"/>
                      <w:lang w:eastAsia="zh-CN"/>
                    </w:rPr>
                  </w:pPr>
                  <w:r>
                    <w:rPr>
                      <w:rFonts w:hint="default" w:ascii="Times New Roman" w:hAnsi="Times New Roman" w:cs="Times New Roman"/>
                      <w:b w:val="0"/>
                      <w:bCs w:val="0"/>
                      <w:color w:val="auto"/>
                      <w:lang w:eastAsia="zh-CN"/>
                    </w:rPr>
                    <w:t>单位</w:t>
                  </w:r>
                </w:p>
              </w:tc>
              <w:tc>
                <w:tcPr>
                  <w:tcW w:w="1552" w:type="dxa"/>
                  <w:vMerge w:val="restart"/>
                  <w:noWrap w:val="0"/>
                  <w:vAlign w:val="center"/>
                </w:tcPr>
                <w:p>
                  <w:pPr>
                    <w:pStyle w:val="99"/>
                    <w:bidi w:val="0"/>
                    <w:rPr>
                      <w:rFonts w:hint="default" w:ascii="Times New Roman" w:hAnsi="Times New Roman" w:cs="Times New Roman"/>
                      <w:b w:val="0"/>
                      <w:bCs w:val="0"/>
                      <w:color w:val="auto"/>
                    </w:rPr>
                  </w:pPr>
                  <w:r>
                    <w:rPr>
                      <w:rFonts w:hint="default" w:ascii="Times New Roman" w:hAnsi="Times New Roman" w:cs="Times New Roman"/>
                      <w:b w:val="0"/>
                      <w:bCs w:val="0"/>
                      <w:color w:val="auto"/>
                    </w:rPr>
                    <w:t>达标分析</w:t>
                  </w:r>
                </w:p>
              </w:tc>
              <w:tc>
                <w:tcPr>
                  <w:tcW w:w="1580" w:type="dxa"/>
                  <w:vMerge w:val="restart"/>
                  <w:noWrap w:val="0"/>
                  <w:vAlign w:val="center"/>
                </w:tcPr>
                <w:p>
                  <w:pPr>
                    <w:pStyle w:val="99"/>
                    <w:bidi w:val="0"/>
                    <w:rPr>
                      <w:rFonts w:hint="default" w:ascii="Times New Roman" w:hAnsi="Times New Roman" w:cs="Times New Roman"/>
                      <w:b w:val="0"/>
                      <w:bCs w:val="0"/>
                      <w:color w:val="auto"/>
                    </w:rPr>
                  </w:pPr>
                  <w:r>
                    <w:rPr>
                      <w:rFonts w:hint="default" w:ascii="Times New Roman" w:hAnsi="Times New Roman" w:cs="Times New Roman"/>
                      <w:b w:val="0"/>
                      <w:bCs w:val="0"/>
                      <w:color w:val="auto"/>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vMerge w:val="continue"/>
                  <w:noWrap w:val="0"/>
                  <w:vAlign w:val="center"/>
                </w:tcPr>
                <w:p>
                  <w:pPr>
                    <w:pStyle w:val="99"/>
                    <w:bidi w:val="0"/>
                    <w:rPr>
                      <w:rFonts w:hint="default" w:ascii="Times New Roman" w:hAnsi="Times New Roman" w:cs="Times New Roman"/>
                      <w:color w:val="auto"/>
                    </w:rPr>
                  </w:pPr>
                </w:p>
              </w:tc>
              <w:tc>
                <w:tcPr>
                  <w:tcW w:w="1642" w:type="dxa"/>
                  <w:vMerge w:val="continue"/>
                  <w:noWrap w:val="0"/>
                  <w:vAlign w:val="center"/>
                </w:tcPr>
                <w:p>
                  <w:pPr>
                    <w:pStyle w:val="99"/>
                    <w:bidi w:val="0"/>
                    <w:rPr>
                      <w:rFonts w:hint="default" w:ascii="Times New Roman" w:hAnsi="Times New Roman" w:cs="Times New Roman"/>
                      <w:color w:val="auto"/>
                    </w:rPr>
                  </w:pPr>
                </w:p>
              </w:tc>
              <w:tc>
                <w:tcPr>
                  <w:tcW w:w="809" w:type="dxa"/>
                  <w:noWrap w:val="0"/>
                  <w:vAlign w:val="center"/>
                </w:tcPr>
                <w:p>
                  <w:pPr>
                    <w:pStyle w:val="99"/>
                    <w:bidi w:val="0"/>
                    <w:rPr>
                      <w:rFonts w:hint="default" w:ascii="Times New Roman" w:hAnsi="Times New Roman" w:cs="Times New Roman"/>
                      <w:b w:val="0"/>
                      <w:bCs w:val="0"/>
                      <w:color w:val="auto"/>
                    </w:rPr>
                  </w:pPr>
                  <w:r>
                    <w:rPr>
                      <w:rFonts w:hint="default" w:ascii="Times New Roman" w:hAnsi="Times New Roman" w:cs="Times New Roman"/>
                      <w:b w:val="0"/>
                      <w:bCs w:val="0"/>
                      <w:color w:val="auto"/>
                    </w:rPr>
                    <w:t>1#</w:t>
                  </w:r>
                </w:p>
              </w:tc>
              <w:tc>
                <w:tcPr>
                  <w:tcW w:w="858" w:type="dxa"/>
                  <w:noWrap w:val="0"/>
                  <w:vAlign w:val="center"/>
                </w:tcPr>
                <w:p>
                  <w:pPr>
                    <w:pStyle w:val="99"/>
                    <w:bidi w:val="0"/>
                    <w:rPr>
                      <w:rFonts w:hint="default" w:ascii="Times New Roman" w:hAnsi="Times New Roman" w:cs="Times New Roman"/>
                      <w:b w:val="0"/>
                      <w:bCs w:val="0"/>
                      <w:color w:val="auto"/>
                    </w:rPr>
                  </w:pPr>
                  <w:r>
                    <w:rPr>
                      <w:rFonts w:hint="default" w:ascii="Times New Roman" w:hAnsi="Times New Roman" w:cs="Times New Roman"/>
                      <w:b w:val="0"/>
                      <w:bCs w:val="0"/>
                      <w:color w:val="auto"/>
                    </w:rPr>
                    <w:t>2#</w:t>
                  </w:r>
                </w:p>
              </w:tc>
              <w:tc>
                <w:tcPr>
                  <w:tcW w:w="891" w:type="dxa"/>
                  <w:noWrap w:val="0"/>
                  <w:vAlign w:val="center"/>
                </w:tcPr>
                <w:p>
                  <w:pPr>
                    <w:pStyle w:val="99"/>
                    <w:bidi w:val="0"/>
                    <w:rPr>
                      <w:rFonts w:hint="default" w:ascii="Times New Roman" w:hAnsi="Times New Roman" w:cs="Times New Roman"/>
                      <w:b w:val="0"/>
                      <w:bCs w:val="0"/>
                      <w:color w:val="auto"/>
                    </w:rPr>
                  </w:pPr>
                  <w:r>
                    <w:rPr>
                      <w:rFonts w:hint="default" w:ascii="Times New Roman" w:hAnsi="Times New Roman" w:cs="Times New Roman"/>
                      <w:b w:val="0"/>
                      <w:bCs w:val="0"/>
                      <w:color w:val="auto"/>
                    </w:rPr>
                    <w:t>3#</w:t>
                  </w:r>
                </w:p>
              </w:tc>
              <w:tc>
                <w:tcPr>
                  <w:tcW w:w="962" w:type="dxa"/>
                  <w:vMerge w:val="continue"/>
                  <w:noWrap w:val="0"/>
                  <w:vAlign w:val="center"/>
                </w:tcPr>
                <w:p>
                  <w:pPr>
                    <w:pStyle w:val="99"/>
                    <w:bidi w:val="0"/>
                    <w:rPr>
                      <w:rFonts w:hint="default" w:ascii="Times New Roman" w:hAnsi="Times New Roman" w:cs="Times New Roman"/>
                      <w:color w:val="auto"/>
                    </w:rPr>
                  </w:pPr>
                </w:p>
              </w:tc>
              <w:tc>
                <w:tcPr>
                  <w:tcW w:w="1552" w:type="dxa"/>
                  <w:vMerge w:val="continue"/>
                  <w:noWrap w:val="0"/>
                  <w:vAlign w:val="center"/>
                </w:tcPr>
                <w:p>
                  <w:pPr>
                    <w:pStyle w:val="99"/>
                    <w:bidi w:val="0"/>
                    <w:rPr>
                      <w:rFonts w:hint="default" w:ascii="Times New Roman" w:hAnsi="Times New Roman" w:cs="Times New Roman"/>
                      <w:color w:val="auto"/>
                    </w:rPr>
                  </w:pP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vMerge w:val="continue"/>
                  <w:noWrap w:val="0"/>
                  <w:vAlign w:val="center"/>
                </w:tcPr>
                <w:p>
                  <w:pPr>
                    <w:pStyle w:val="99"/>
                    <w:bidi w:val="0"/>
                    <w:rPr>
                      <w:rFonts w:hint="default" w:ascii="Times New Roman" w:hAnsi="Times New Roman" w:cs="Times New Roman"/>
                      <w:color w:val="auto"/>
                    </w:rPr>
                  </w:pPr>
                </w:p>
              </w:tc>
              <w:tc>
                <w:tcPr>
                  <w:tcW w:w="1642" w:type="dxa"/>
                  <w:vMerge w:val="continue"/>
                  <w:noWrap w:val="0"/>
                  <w:vAlign w:val="center"/>
                </w:tcPr>
                <w:p>
                  <w:pPr>
                    <w:pStyle w:val="99"/>
                    <w:bidi w:val="0"/>
                    <w:rPr>
                      <w:rFonts w:hint="default" w:ascii="Times New Roman" w:hAnsi="Times New Roman" w:cs="Times New Roman"/>
                      <w:color w:val="auto"/>
                    </w:rPr>
                  </w:pPr>
                </w:p>
              </w:tc>
              <w:tc>
                <w:tcPr>
                  <w:tcW w:w="809" w:type="dxa"/>
                  <w:noWrap w:val="0"/>
                  <w:vAlign w:val="center"/>
                </w:tcPr>
                <w:p>
                  <w:pPr>
                    <w:pStyle w:val="99"/>
                    <w:bidi w:val="0"/>
                    <w:rPr>
                      <w:rFonts w:hint="default" w:ascii="Times New Roman" w:hAnsi="Times New Roman" w:cs="Times New Roman"/>
                      <w:b w:val="0"/>
                      <w:bCs w:val="0"/>
                      <w:color w:val="auto"/>
                    </w:rPr>
                  </w:pPr>
                  <w:r>
                    <w:rPr>
                      <w:rFonts w:hint="default" w:ascii="Times New Roman" w:hAnsi="Times New Roman" w:cs="Times New Roman"/>
                      <w:b w:val="0"/>
                      <w:bCs w:val="0"/>
                      <w:color w:val="auto"/>
                    </w:rPr>
                    <w:t>0.2m</w:t>
                  </w:r>
                </w:p>
              </w:tc>
              <w:tc>
                <w:tcPr>
                  <w:tcW w:w="858" w:type="dxa"/>
                  <w:noWrap w:val="0"/>
                  <w:vAlign w:val="center"/>
                </w:tcPr>
                <w:p>
                  <w:pPr>
                    <w:pStyle w:val="99"/>
                    <w:bidi w:val="0"/>
                    <w:rPr>
                      <w:rFonts w:hint="default" w:ascii="Times New Roman" w:hAnsi="Times New Roman" w:cs="Times New Roman"/>
                      <w:b w:val="0"/>
                      <w:bCs w:val="0"/>
                      <w:color w:val="auto"/>
                    </w:rPr>
                  </w:pPr>
                  <w:r>
                    <w:rPr>
                      <w:rFonts w:hint="default" w:ascii="Times New Roman" w:hAnsi="Times New Roman" w:cs="Times New Roman"/>
                      <w:b w:val="0"/>
                      <w:bCs w:val="0"/>
                      <w:color w:val="auto"/>
                    </w:rPr>
                    <w:t>0.2m</w:t>
                  </w:r>
                </w:p>
              </w:tc>
              <w:tc>
                <w:tcPr>
                  <w:tcW w:w="891" w:type="dxa"/>
                  <w:noWrap w:val="0"/>
                  <w:vAlign w:val="center"/>
                </w:tcPr>
                <w:p>
                  <w:pPr>
                    <w:pStyle w:val="99"/>
                    <w:bidi w:val="0"/>
                    <w:rPr>
                      <w:rFonts w:hint="default" w:ascii="Times New Roman" w:hAnsi="Times New Roman" w:cs="Times New Roman"/>
                      <w:b w:val="0"/>
                      <w:bCs w:val="0"/>
                      <w:color w:val="auto"/>
                    </w:rPr>
                  </w:pPr>
                  <w:r>
                    <w:rPr>
                      <w:rFonts w:hint="default" w:ascii="Times New Roman" w:hAnsi="Times New Roman" w:cs="Times New Roman"/>
                      <w:b w:val="0"/>
                      <w:bCs w:val="0"/>
                      <w:color w:val="auto"/>
                    </w:rPr>
                    <w:t>0.2m</w:t>
                  </w:r>
                </w:p>
              </w:tc>
              <w:tc>
                <w:tcPr>
                  <w:tcW w:w="962" w:type="dxa"/>
                  <w:vMerge w:val="continue"/>
                  <w:noWrap w:val="0"/>
                  <w:vAlign w:val="center"/>
                </w:tcPr>
                <w:p>
                  <w:pPr>
                    <w:pStyle w:val="99"/>
                    <w:bidi w:val="0"/>
                    <w:rPr>
                      <w:rFonts w:hint="default" w:ascii="Times New Roman" w:hAnsi="Times New Roman" w:cs="Times New Roman"/>
                      <w:color w:val="auto"/>
                    </w:rPr>
                  </w:pPr>
                </w:p>
              </w:tc>
              <w:tc>
                <w:tcPr>
                  <w:tcW w:w="1552" w:type="dxa"/>
                  <w:vMerge w:val="continue"/>
                  <w:noWrap w:val="0"/>
                  <w:vAlign w:val="center"/>
                </w:tcPr>
                <w:p>
                  <w:pPr>
                    <w:pStyle w:val="99"/>
                    <w:bidi w:val="0"/>
                    <w:rPr>
                      <w:rFonts w:hint="default" w:ascii="Times New Roman" w:hAnsi="Times New Roman" w:cs="Times New Roman"/>
                      <w:color w:val="auto"/>
                    </w:rPr>
                  </w:pP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7070" w:type="dxa"/>
                  <w:gridSpan w:val="7"/>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重金属和无机物</w:t>
                  </w:r>
                </w:p>
              </w:tc>
              <w:tc>
                <w:tcPr>
                  <w:tcW w:w="1580" w:type="dxa"/>
                  <w:vMerge w:val="restart"/>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《土壤环境质量建设用地土壤污染风险管控标准（试行）》（GB36600-2018）第二类用地筛选值</w:t>
                  </w:r>
                  <w:r>
                    <w:rPr>
                      <w:rFonts w:hint="default" w:ascii="Times New Roman" w:hAnsi="Times New Roman" w:cs="Times New Roman"/>
                      <w:color w:val="auto"/>
                      <w:lang w:eastAsia="zh-CN"/>
                    </w:rPr>
                    <w:t>和《土壤环境质量</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农用地土壤污染风险管控标准》（试行）（</w:t>
                  </w:r>
                  <w:r>
                    <w:rPr>
                      <w:rFonts w:hint="default" w:ascii="Times New Roman" w:hAnsi="Times New Roman" w:cs="Times New Roman"/>
                      <w:color w:val="auto"/>
                      <w:lang w:val="en-US" w:eastAsia="zh-CN"/>
                    </w:rPr>
                    <w:t>GB15618-2018</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中表1筛选值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砷</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4.69</w:t>
                  </w:r>
                </w:p>
              </w:tc>
              <w:tc>
                <w:tcPr>
                  <w:tcW w:w="858"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4.00</w:t>
                  </w:r>
                </w:p>
              </w:tc>
              <w:tc>
                <w:tcPr>
                  <w:tcW w:w="891"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9.31</w:t>
                  </w:r>
                </w:p>
              </w:tc>
              <w:tc>
                <w:tcPr>
                  <w:tcW w:w="962"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2</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镉</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0.10</w:t>
                  </w:r>
                </w:p>
              </w:tc>
              <w:tc>
                <w:tcPr>
                  <w:tcW w:w="858"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0.24</w:t>
                  </w:r>
                </w:p>
              </w:tc>
              <w:tc>
                <w:tcPr>
                  <w:tcW w:w="891"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0.24</w:t>
                  </w:r>
                </w:p>
              </w:tc>
              <w:tc>
                <w:tcPr>
                  <w:tcW w:w="96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3</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铬（六价）</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2ND</w:t>
                  </w:r>
                </w:p>
              </w:tc>
              <w:tc>
                <w:tcPr>
                  <w:tcW w:w="891"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96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4</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铜</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9.58</w:t>
                  </w:r>
                </w:p>
              </w:tc>
              <w:tc>
                <w:tcPr>
                  <w:tcW w:w="858"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9.86</w:t>
                  </w:r>
                </w:p>
              </w:tc>
              <w:tc>
                <w:tcPr>
                  <w:tcW w:w="891"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33.9</w:t>
                  </w:r>
                </w:p>
              </w:tc>
              <w:tc>
                <w:tcPr>
                  <w:tcW w:w="96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5</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铅</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27.6</w:t>
                  </w:r>
                </w:p>
              </w:tc>
              <w:tc>
                <w:tcPr>
                  <w:tcW w:w="858"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29.0</w:t>
                  </w:r>
                </w:p>
              </w:tc>
              <w:tc>
                <w:tcPr>
                  <w:tcW w:w="891"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27.8</w:t>
                  </w:r>
                </w:p>
              </w:tc>
              <w:tc>
                <w:tcPr>
                  <w:tcW w:w="96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6</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汞</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0.100</w:t>
                  </w:r>
                </w:p>
              </w:tc>
              <w:tc>
                <w:tcPr>
                  <w:tcW w:w="858"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0.138</w:t>
                  </w:r>
                </w:p>
              </w:tc>
              <w:tc>
                <w:tcPr>
                  <w:tcW w:w="891"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0.160</w:t>
                  </w:r>
                </w:p>
              </w:tc>
              <w:tc>
                <w:tcPr>
                  <w:tcW w:w="96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7</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镍</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32.9</w:t>
                  </w:r>
                </w:p>
              </w:tc>
              <w:tc>
                <w:tcPr>
                  <w:tcW w:w="858"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32.1</w:t>
                  </w:r>
                </w:p>
              </w:tc>
              <w:tc>
                <w:tcPr>
                  <w:tcW w:w="891"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34.2</w:t>
                  </w:r>
                </w:p>
              </w:tc>
              <w:tc>
                <w:tcPr>
                  <w:tcW w:w="96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8</w:t>
                  </w:r>
                </w:p>
              </w:tc>
              <w:tc>
                <w:tcPr>
                  <w:tcW w:w="1642" w:type="dxa"/>
                  <w:noWrap w:val="0"/>
                  <w:vAlign w:val="center"/>
                </w:tcPr>
                <w:p>
                  <w:pPr>
                    <w:pStyle w:val="99"/>
                    <w:bidi w:val="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铬</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63.1</w:t>
                  </w:r>
                </w:p>
              </w:tc>
              <w:tc>
                <w:tcPr>
                  <w:tcW w:w="858"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891"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55.9</w:t>
                  </w:r>
                </w:p>
              </w:tc>
              <w:tc>
                <w:tcPr>
                  <w:tcW w:w="962" w:type="dxa"/>
                  <w:noWrap w:val="0"/>
                  <w:vAlign w:val="center"/>
                </w:tcPr>
                <w:p>
                  <w:pPr>
                    <w:pStyle w:val="99"/>
                    <w:bidi w:val="0"/>
                    <w:rPr>
                      <w:rFonts w:hint="default" w:ascii="Times New Roman" w:hAnsi="Times New Roman" w:cs="Times New Roman"/>
                      <w:color w:val="auto"/>
                      <w:lang w:val="en-US" w:eastAsia="zh-CN"/>
                    </w:rPr>
                  </w:pPr>
                </w:p>
              </w:tc>
              <w:tc>
                <w:tcPr>
                  <w:tcW w:w="1552" w:type="dxa"/>
                  <w:noWrap w:val="0"/>
                  <w:vAlign w:val="center"/>
                </w:tcPr>
                <w:p>
                  <w:pPr>
                    <w:pStyle w:val="99"/>
                    <w:bidi w:val="0"/>
                    <w:ind w:firstLine="0" w:firstLineChars="0"/>
                    <w:rPr>
                      <w:rFonts w:hint="default" w:ascii="Times New Roman" w:hAnsi="Times New Roman" w:cs="Times New Roman"/>
                      <w:color w:val="auto"/>
                    </w:rPr>
                  </w:pP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w:t>
                  </w:r>
                </w:p>
              </w:tc>
              <w:tc>
                <w:tcPr>
                  <w:tcW w:w="1642" w:type="dxa"/>
                  <w:noWrap w:val="0"/>
                  <w:vAlign w:val="center"/>
                </w:tcPr>
                <w:p>
                  <w:pPr>
                    <w:pStyle w:val="99"/>
                    <w:bidi w:val="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锌</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82.6</w:t>
                  </w:r>
                </w:p>
              </w:tc>
              <w:tc>
                <w:tcPr>
                  <w:tcW w:w="858"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891"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91.0</w:t>
                  </w:r>
                </w:p>
              </w:tc>
              <w:tc>
                <w:tcPr>
                  <w:tcW w:w="962" w:type="dxa"/>
                  <w:noWrap w:val="0"/>
                  <w:vAlign w:val="center"/>
                </w:tcPr>
                <w:p>
                  <w:pPr>
                    <w:pStyle w:val="99"/>
                    <w:bidi w:val="0"/>
                    <w:rPr>
                      <w:rFonts w:hint="default" w:ascii="Times New Roman" w:hAnsi="Times New Roman" w:cs="Times New Roman"/>
                      <w:color w:val="auto"/>
                      <w:lang w:val="en-US" w:eastAsia="zh-CN"/>
                    </w:rPr>
                  </w:pPr>
                </w:p>
              </w:tc>
              <w:tc>
                <w:tcPr>
                  <w:tcW w:w="1552" w:type="dxa"/>
                  <w:noWrap w:val="0"/>
                  <w:vAlign w:val="center"/>
                </w:tcPr>
                <w:p>
                  <w:pPr>
                    <w:pStyle w:val="99"/>
                    <w:bidi w:val="0"/>
                    <w:ind w:firstLine="0" w:firstLineChars="0"/>
                    <w:rPr>
                      <w:rFonts w:hint="default" w:ascii="Times New Roman" w:hAnsi="Times New Roman" w:cs="Times New Roman"/>
                      <w:color w:val="auto"/>
                    </w:rPr>
                  </w:pP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7070" w:type="dxa"/>
                  <w:gridSpan w:val="7"/>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挥发性有机物</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8</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四氯化碳</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lang w:val="en-US" w:eastAsia="zh-CN"/>
                    </w:rPr>
                    <w:t>1.3ND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9</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氯仿</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lang w:val="en-US" w:eastAsia="zh-CN"/>
                    </w:rPr>
                    <w:t>1.1ND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10</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氯甲烷</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1.0ND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11</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1,1-二氯乙烷</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1.2ND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12</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1,2-二氯乙烷</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1.3ND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13</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1,1-二氯乙烯</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1.0ND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14</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顺-1,2-二氯乙烯</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1.3ND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15</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反-1,2-二氯乙烯</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1.4ND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16</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二氯甲烷</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1.5ND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17</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1,2-二氯丙烷</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1.1ND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18</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1,1,1,2-四氯乙烷</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1.2ND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19</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1,1,2,2-四氯乙烷</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1.2ND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20</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四氯乙烯</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1.4ND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21</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1,1,1-三氯乙烷</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1.3ND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22</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1,1,2-三氯乙烷</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1.2ND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23</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三氯乙烯</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1.2ND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24</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1,2,3-三氯丙烷</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1.2ND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25</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氯乙烯</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1.0ND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26</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苯</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1.9ND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27</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氯苯</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1.2ND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28</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1,2-二氯苯</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1.5ND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29</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1,4-二氯苯</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1.5ND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30</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乙苯</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1.2ND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31</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苯乙烯</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1.1ND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32</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甲苯</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1.3ND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33</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间二甲苯+对二甲苯</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1.2ND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34</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邻二甲苯</w:t>
                  </w:r>
                </w:p>
              </w:tc>
              <w:tc>
                <w:tcPr>
                  <w:tcW w:w="809" w:type="dxa"/>
                  <w:noWrap w:val="0"/>
                  <w:vAlign w:val="center"/>
                </w:tcPr>
                <w:p>
                  <w:pPr>
                    <w:pStyle w:val="99"/>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1.2ND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μg/</w:t>
                  </w:r>
                  <w:r>
                    <w:rPr>
                      <w:rFonts w:hint="default" w:ascii="Times New Roman" w:hAnsi="Times New Roman" w:cs="Times New Roman"/>
                      <w:color w:val="auto"/>
                      <w:lang w:val="en-US" w:eastAsia="zh-CN"/>
                    </w:rPr>
                    <w:t>kg</w:t>
                  </w:r>
                </w:p>
              </w:tc>
              <w:tc>
                <w:tcPr>
                  <w:tcW w:w="155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7070" w:type="dxa"/>
                  <w:gridSpan w:val="7"/>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半挥发性有机物</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35</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硝基苯</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0.09</w:t>
                  </w:r>
                  <w:r>
                    <w:rPr>
                      <w:rFonts w:hint="default" w:ascii="Times New Roman" w:hAnsi="Times New Roman" w:cs="Times New Roman"/>
                      <w:color w:val="auto"/>
                    </w:rPr>
                    <w:t>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36</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苯胺</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37</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2-氯酚</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0.06</w:t>
                  </w:r>
                  <w:r>
                    <w:rPr>
                      <w:rFonts w:hint="default" w:ascii="Times New Roman" w:hAnsi="Times New Roman" w:cs="Times New Roman"/>
                      <w:color w:val="auto"/>
                    </w:rPr>
                    <w:t>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38</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苯并</w:t>
                  </w:r>
                  <w:r>
                    <w:rPr>
                      <w:rFonts w:hint="default" w:ascii="Times New Roman" w:hAnsi="Times New Roman" w:cs="Times New Roman"/>
                      <w:color w:val="auto"/>
                      <w:lang w:val="en-US" w:eastAsia="zh-CN"/>
                    </w:rPr>
                    <w:t>[</w:t>
                  </w:r>
                  <w:r>
                    <w:rPr>
                      <w:rFonts w:hint="default" w:ascii="Times New Roman" w:hAnsi="Times New Roman" w:cs="Times New Roman"/>
                      <w:color w:val="auto"/>
                    </w:rPr>
                    <w:t>a</w:t>
                  </w:r>
                  <w:r>
                    <w:rPr>
                      <w:rFonts w:hint="default" w:ascii="Times New Roman" w:hAnsi="Times New Roman" w:cs="Times New Roman"/>
                      <w:color w:val="auto"/>
                      <w:lang w:val="en-US" w:eastAsia="zh-CN"/>
                    </w:rPr>
                    <w:t>]</w:t>
                  </w:r>
                  <w:r>
                    <w:rPr>
                      <w:rFonts w:hint="default" w:ascii="Times New Roman" w:hAnsi="Times New Roman" w:cs="Times New Roman"/>
                      <w:color w:val="auto"/>
                    </w:rPr>
                    <w:t>蒽</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0.1</w:t>
                  </w:r>
                  <w:r>
                    <w:rPr>
                      <w:rFonts w:hint="default" w:ascii="Times New Roman" w:hAnsi="Times New Roman" w:cs="Times New Roman"/>
                      <w:color w:val="auto"/>
                    </w:rPr>
                    <w:t>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39</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苯并</w:t>
                  </w:r>
                  <w:r>
                    <w:rPr>
                      <w:rFonts w:hint="default" w:ascii="Times New Roman" w:hAnsi="Times New Roman" w:cs="Times New Roman"/>
                      <w:color w:val="auto"/>
                      <w:lang w:val="en-US" w:eastAsia="zh-CN"/>
                    </w:rPr>
                    <w:t>[</w:t>
                  </w:r>
                  <w:r>
                    <w:rPr>
                      <w:rFonts w:hint="default" w:ascii="Times New Roman" w:hAnsi="Times New Roman" w:cs="Times New Roman"/>
                      <w:color w:val="auto"/>
                    </w:rPr>
                    <w:t>a</w:t>
                  </w:r>
                  <w:r>
                    <w:rPr>
                      <w:rFonts w:hint="default" w:ascii="Times New Roman" w:hAnsi="Times New Roman" w:cs="Times New Roman"/>
                      <w:color w:val="auto"/>
                      <w:lang w:val="en-US" w:eastAsia="zh-CN"/>
                    </w:rPr>
                    <w:t>]</w:t>
                  </w:r>
                  <w:r>
                    <w:rPr>
                      <w:rFonts w:hint="default" w:ascii="Times New Roman" w:hAnsi="Times New Roman" w:cs="Times New Roman"/>
                      <w:color w:val="auto"/>
                    </w:rPr>
                    <w:t>芘</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0.1</w:t>
                  </w:r>
                  <w:r>
                    <w:rPr>
                      <w:rFonts w:hint="default" w:ascii="Times New Roman" w:hAnsi="Times New Roman" w:cs="Times New Roman"/>
                      <w:color w:val="auto"/>
                    </w:rPr>
                    <w:t>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40</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苯并</w:t>
                  </w:r>
                  <w:r>
                    <w:rPr>
                      <w:rFonts w:hint="default" w:ascii="Times New Roman" w:hAnsi="Times New Roman" w:cs="Times New Roman"/>
                      <w:color w:val="auto"/>
                      <w:lang w:val="en-US" w:eastAsia="zh-CN"/>
                    </w:rPr>
                    <w:t>[</w:t>
                  </w:r>
                  <w:r>
                    <w:rPr>
                      <w:rFonts w:hint="default" w:ascii="Times New Roman" w:hAnsi="Times New Roman" w:cs="Times New Roman"/>
                      <w:color w:val="auto"/>
                    </w:rPr>
                    <w:t>b</w:t>
                  </w:r>
                  <w:r>
                    <w:rPr>
                      <w:rFonts w:hint="default" w:ascii="Times New Roman" w:hAnsi="Times New Roman" w:cs="Times New Roman"/>
                      <w:color w:val="auto"/>
                      <w:lang w:val="en-US" w:eastAsia="zh-CN"/>
                    </w:rPr>
                    <w:t>]</w:t>
                  </w:r>
                  <w:r>
                    <w:rPr>
                      <w:rFonts w:hint="default" w:ascii="Times New Roman" w:hAnsi="Times New Roman" w:cs="Times New Roman"/>
                      <w:color w:val="auto"/>
                    </w:rPr>
                    <w:t>荧蒽</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0.2</w:t>
                  </w:r>
                  <w:r>
                    <w:rPr>
                      <w:rFonts w:hint="default" w:ascii="Times New Roman" w:hAnsi="Times New Roman" w:cs="Times New Roman"/>
                      <w:color w:val="auto"/>
                    </w:rPr>
                    <w:t>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41</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苯并</w:t>
                  </w:r>
                  <w:r>
                    <w:rPr>
                      <w:rFonts w:hint="default" w:ascii="Times New Roman" w:hAnsi="Times New Roman" w:cs="Times New Roman"/>
                      <w:color w:val="auto"/>
                      <w:lang w:val="en-US" w:eastAsia="zh-CN"/>
                    </w:rPr>
                    <w:t>[</w:t>
                  </w:r>
                  <w:r>
                    <w:rPr>
                      <w:rFonts w:hint="default" w:ascii="Times New Roman" w:hAnsi="Times New Roman" w:cs="Times New Roman"/>
                      <w:color w:val="auto"/>
                    </w:rPr>
                    <w:t>k</w:t>
                  </w:r>
                  <w:r>
                    <w:rPr>
                      <w:rFonts w:hint="default" w:ascii="Times New Roman" w:hAnsi="Times New Roman" w:cs="Times New Roman"/>
                      <w:color w:val="auto"/>
                      <w:lang w:val="en-US" w:eastAsia="zh-CN"/>
                    </w:rPr>
                    <w:t>]</w:t>
                  </w:r>
                  <w:r>
                    <w:rPr>
                      <w:rFonts w:hint="default" w:ascii="Times New Roman" w:hAnsi="Times New Roman" w:cs="Times New Roman"/>
                      <w:color w:val="auto"/>
                    </w:rPr>
                    <w:t>荧蒽</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0.1</w:t>
                  </w:r>
                  <w:r>
                    <w:rPr>
                      <w:rFonts w:hint="default" w:ascii="Times New Roman" w:hAnsi="Times New Roman" w:cs="Times New Roman"/>
                      <w:color w:val="auto"/>
                    </w:rPr>
                    <w:t>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42</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䓛</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0.1</w:t>
                  </w:r>
                  <w:r>
                    <w:rPr>
                      <w:rFonts w:hint="default" w:ascii="Times New Roman" w:hAnsi="Times New Roman" w:cs="Times New Roman"/>
                      <w:color w:val="auto"/>
                    </w:rPr>
                    <w:t>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43</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二苯并</w:t>
                  </w:r>
                  <w:r>
                    <w:rPr>
                      <w:rFonts w:hint="default" w:ascii="Times New Roman" w:hAnsi="Times New Roman" w:cs="Times New Roman"/>
                      <w:color w:val="auto"/>
                      <w:lang w:val="en-US" w:eastAsia="zh-CN"/>
                    </w:rPr>
                    <w:t>[</w:t>
                  </w:r>
                  <w:r>
                    <w:rPr>
                      <w:rFonts w:hint="default" w:ascii="Times New Roman" w:hAnsi="Times New Roman" w:cs="Times New Roman"/>
                      <w:color w:val="auto"/>
                    </w:rPr>
                    <w:t>a,h</w:t>
                  </w:r>
                  <w:r>
                    <w:rPr>
                      <w:rFonts w:hint="default" w:ascii="Times New Roman" w:hAnsi="Times New Roman" w:cs="Times New Roman"/>
                      <w:color w:val="auto"/>
                      <w:lang w:val="en-US" w:eastAsia="zh-CN"/>
                    </w:rPr>
                    <w:t>]</w:t>
                  </w:r>
                  <w:r>
                    <w:rPr>
                      <w:rFonts w:hint="default" w:ascii="Times New Roman" w:hAnsi="Times New Roman" w:cs="Times New Roman"/>
                      <w:color w:val="auto"/>
                    </w:rPr>
                    <w:t>蒽</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0.1</w:t>
                  </w:r>
                  <w:r>
                    <w:rPr>
                      <w:rFonts w:hint="default" w:ascii="Times New Roman" w:hAnsi="Times New Roman" w:cs="Times New Roman"/>
                      <w:color w:val="auto"/>
                    </w:rPr>
                    <w:t>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44</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茚并</w:t>
                  </w:r>
                  <w:r>
                    <w:rPr>
                      <w:rFonts w:hint="default" w:ascii="Times New Roman" w:hAnsi="Times New Roman" w:cs="Times New Roman"/>
                      <w:color w:val="auto"/>
                      <w:lang w:val="en-US" w:eastAsia="zh-CN"/>
                    </w:rPr>
                    <w:t>[</w:t>
                  </w:r>
                  <w:r>
                    <w:rPr>
                      <w:rFonts w:hint="default" w:ascii="Times New Roman" w:hAnsi="Times New Roman" w:cs="Times New Roman"/>
                      <w:color w:val="auto"/>
                    </w:rPr>
                    <w:t>1,2,3-cd</w:t>
                  </w:r>
                  <w:r>
                    <w:rPr>
                      <w:rFonts w:hint="default" w:ascii="Times New Roman" w:hAnsi="Times New Roman" w:cs="Times New Roman"/>
                      <w:color w:val="auto"/>
                      <w:lang w:val="en-US" w:eastAsia="zh-CN"/>
                    </w:rPr>
                    <w:t>]</w:t>
                  </w:r>
                  <w:r>
                    <w:rPr>
                      <w:rFonts w:hint="default" w:ascii="Times New Roman" w:hAnsi="Times New Roman" w:cs="Times New Roman"/>
                      <w:color w:val="auto"/>
                    </w:rPr>
                    <w:t>芘</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0.1</w:t>
                  </w:r>
                  <w:r>
                    <w:rPr>
                      <w:rFonts w:hint="default" w:ascii="Times New Roman" w:hAnsi="Times New Roman" w:cs="Times New Roman"/>
                      <w:color w:val="auto"/>
                    </w:rPr>
                    <w:t>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45</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rPr>
                    <w:t>萘</w:t>
                  </w:r>
                </w:p>
              </w:tc>
              <w:tc>
                <w:tcPr>
                  <w:tcW w:w="809"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858"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0.09</w:t>
                  </w:r>
                  <w:r>
                    <w:rPr>
                      <w:rFonts w:hint="default" w:ascii="Times New Roman" w:hAnsi="Times New Roman" w:cs="Times New Roman"/>
                      <w:color w:val="auto"/>
                    </w:rPr>
                    <w:t>ND</w:t>
                  </w:r>
                </w:p>
              </w:tc>
              <w:tc>
                <w:tcPr>
                  <w:tcW w:w="891"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w:t>
                  </w:r>
                </w:p>
              </w:tc>
              <w:tc>
                <w:tcPr>
                  <w:tcW w:w="96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7070" w:type="dxa"/>
                  <w:gridSpan w:val="7"/>
                  <w:noWrap w:val="0"/>
                  <w:vAlign w:val="center"/>
                </w:tcPr>
                <w:p>
                  <w:pPr>
                    <w:pStyle w:val="99"/>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特征因子</w:t>
                  </w:r>
                </w:p>
              </w:tc>
              <w:tc>
                <w:tcPr>
                  <w:tcW w:w="1580" w:type="dxa"/>
                  <w:vMerge w:val="continue"/>
                  <w:noWrap w:val="0"/>
                  <w:vAlign w:val="center"/>
                </w:tcPr>
                <w:p>
                  <w:pPr>
                    <w:pStyle w:val="99"/>
                    <w:bidi w:val="0"/>
                    <w:rPr>
                      <w:rFonts w:hint="default" w:ascii="Times New Roman" w:hAnsi="Times New Roman"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4" w:hRule="atLeast"/>
                <w:jc w:val="center"/>
              </w:trPr>
              <w:tc>
                <w:tcPr>
                  <w:tcW w:w="356" w:type="dxa"/>
                  <w:noWrap w:val="0"/>
                  <w:vAlign w:val="center"/>
                </w:tcPr>
                <w:p>
                  <w:pPr>
                    <w:pStyle w:val="99"/>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46</w:t>
                  </w:r>
                </w:p>
              </w:tc>
              <w:tc>
                <w:tcPr>
                  <w:tcW w:w="1642" w:type="dxa"/>
                  <w:noWrap w:val="0"/>
                  <w:vAlign w:val="center"/>
                </w:tcPr>
                <w:p>
                  <w:pPr>
                    <w:pStyle w:val="99"/>
                    <w:bidi w:val="0"/>
                    <w:rPr>
                      <w:rFonts w:hint="default" w:ascii="Times New Roman" w:hAnsi="Times New Roman" w:cs="Times New Roman"/>
                      <w:color w:val="auto"/>
                    </w:rPr>
                  </w:pPr>
                  <w:r>
                    <w:rPr>
                      <w:rFonts w:hint="default" w:ascii="Times New Roman" w:hAnsi="Times New Roman" w:cs="Times New Roman"/>
                      <w:color w:val="auto"/>
                      <w:lang w:eastAsia="zh-CN"/>
                    </w:rPr>
                    <w:t>石油烃</w:t>
                  </w:r>
                </w:p>
              </w:tc>
              <w:tc>
                <w:tcPr>
                  <w:tcW w:w="809" w:type="dxa"/>
                  <w:noWrap w:val="0"/>
                  <w:vAlign w:val="center"/>
                </w:tcPr>
                <w:p>
                  <w:pPr>
                    <w:pStyle w:val="9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6.0ND</w:t>
                  </w:r>
                </w:p>
              </w:tc>
              <w:tc>
                <w:tcPr>
                  <w:tcW w:w="858" w:type="dxa"/>
                  <w:noWrap w:val="0"/>
                  <w:vAlign w:val="center"/>
                </w:tcPr>
                <w:p>
                  <w:pPr>
                    <w:pStyle w:val="99"/>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6.0ND</w:t>
                  </w:r>
                </w:p>
              </w:tc>
              <w:tc>
                <w:tcPr>
                  <w:tcW w:w="891" w:type="dxa"/>
                  <w:noWrap w:val="0"/>
                  <w:vAlign w:val="center"/>
                </w:tcPr>
                <w:p>
                  <w:pPr>
                    <w:pStyle w:val="99"/>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6.0ND</w:t>
                  </w:r>
                </w:p>
              </w:tc>
              <w:tc>
                <w:tcPr>
                  <w:tcW w:w="962" w:type="dxa"/>
                  <w:noWrap w:val="0"/>
                  <w:vAlign w:val="center"/>
                </w:tcPr>
                <w:p>
                  <w:pPr>
                    <w:pStyle w:val="99"/>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mg/kg</w:t>
                  </w:r>
                </w:p>
              </w:tc>
              <w:tc>
                <w:tcPr>
                  <w:tcW w:w="1552" w:type="dxa"/>
                  <w:noWrap w:val="0"/>
                  <w:vAlign w:val="center"/>
                </w:tcPr>
                <w:p>
                  <w:pPr>
                    <w:pStyle w:val="99"/>
                    <w:bidi w:val="0"/>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c>
                <w:tcPr>
                  <w:tcW w:w="1580" w:type="dxa"/>
                  <w:vMerge w:val="continue"/>
                  <w:noWrap w:val="0"/>
                  <w:vAlign w:val="center"/>
                </w:tcPr>
                <w:p>
                  <w:pPr>
                    <w:pStyle w:val="99"/>
                    <w:bidi w:val="0"/>
                    <w:rPr>
                      <w:rFonts w:hint="default" w:ascii="Times New Roman" w:hAnsi="Times New Roman" w:cs="Times New Roman"/>
                      <w:color w:val="auto"/>
                    </w:rPr>
                  </w:pPr>
                </w:p>
              </w:tc>
            </w:tr>
          </w:tbl>
          <w:p>
            <w:pPr>
              <w:pStyle w:val="97"/>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cs="Times New Roman"/>
                <w:snapToGrid w:val="0"/>
                <w:color w:val="auto"/>
                <w:kern w:val="0"/>
                <w:sz w:val="24"/>
              </w:rPr>
            </w:pPr>
            <w:r>
              <w:rPr>
                <w:rFonts w:hint="default" w:ascii="Times New Roman" w:hAnsi="Times New Roman" w:cs="Times New Roman"/>
                <w:color w:val="auto"/>
                <w:sz w:val="24"/>
              </w:rPr>
              <w:t>由以上监测结果可知，项目厂区监测点位各监测指标均满足</w:t>
            </w:r>
            <w:r>
              <w:rPr>
                <w:rFonts w:hint="default" w:ascii="Times New Roman" w:hAnsi="Times New Roman" w:cs="Times New Roman"/>
                <w:snapToGrid w:val="0"/>
                <w:color w:val="auto"/>
                <w:kern w:val="0"/>
                <w:sz w:val="24"/>
              </w:rPr>
              <w:t>《土壤环境质量建设用地土壤污染风险管控标准（试行）》（GB36600-2018）第二类用地筛选值要求</w:t>
            </w:r>
            <w:r>
              <w:rPr>
                <w:rFonts w:hint="default" w:ascii="Times New Roman" w:hAnsi="Times New Roman" w:cs="Times New Roman"/>
                <w:snapToGrid w:val="0"/>
                <w:color w:val="auto"/>
                <w:kern w:val="0"/>
                <w:sz w:val="24"/>
                <w:lang w:eastAsia="zh-CN"/>
              </w:rPr>
              <w:t>和</w:t>
            </w:r>
            <w:r>
              <w:rPr>
                <w:rFonts w:hint="default" w:ascii="Times New Roman" w:hAnsi="Times New Roman" w:cs="Times New Roman"/>
                <w:color w:val="auto"/>
                <w:lang w:eastAsia="zh-CN"/>
              </w:rPr>
              <w:t>《土壤环境质量</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农用地土壤污染风险管控标准》（试行）</w:t>
            </w:r>
            <w:r>
              <w:rPr>
                <w:rFonts w:hint="default" w:ascii="Times New Roman" w:hAnsi="Times New Roman" w:cs="Times New Roman"/>
                <w:color w:val="auto"/>
                <w:lang w:val="en-US" w:eastAsia="zh-CN"/>
              </w:rPr>
              <w:t>GB 15618-2018中表1筛选值</w:t>
            </w:r>
            <w:r>
              <w:rPr>
                <w:rFonts w:hint="default" w:ascii="Times New Roman" w:hAnsi="Times New Roman" w:cs="Times New Roman"/>
                <w:snapToGrid w:val="0"/>
                <w:color w:val="auto"/>
                <w:kern w:val="0"/>
                <w:sz w:val="24"/>
              </w:rPr>
              <w:t>。</w:t>
            </w:r>
          </w:p>
          <w:p>
            <w:pPr>
              <w:pStyle w:val="97"/>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504815" cy="4262755"/>
                  <wp:effectExtent l="9525" t="9525" r="10160" b="2032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4"/>
                          <a:stretch>
                            <a:fillRect/>
                          </a:stretch>
                        </pic:blipFill>
                        <pic:spPr>
                          <a:xfrm>
                            <a:off x="0" y="0"/>
                            <a:ext cx="5504815" cy="426275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9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eastAsia="zh-CN"/>
              </w:rPr>
              <w:t>图</w:t>
            </w:r>
            <w:r>
              <w:rPr>
                <w:rFonts w:hint="default" w:ascii="Times New Roman" w:hAnsi="Times New Roman" w:cs="Times New Roman"/>
                <w:b/>
                <w:bCs/>
                <w:color w:val="auto"/>
                <w:sz w:val="21"/>
                <w:szCs w:val="21"/>
                <w:lang w:val="en-US" w:eastAsia="zh-CN"/>
              </w:rPr>
              <w:t>3-1  项目土壤监测点位图</w:t>
            </w:r>
          </w:p>
          <w:p>
            <w:pPr>
              <w:pStyle w:val="97"/>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rPr>
            </w:pPr>
          </w:p>
          <w:p>
            <w:pPr>
              <w:pStyle w:val="97"/>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99" w:hRule="atLeast"/>
        </w:trPr>
        <w:tc>
          <w:tcPr>
            <w:tcW w:w="8876" w:type="dxa"/>
            <w:noWrap w:val="0"/>
            <w:vAlign w:val="top"/>
          </w:tcPr>
          <w:p>
            <w:pPr>
              <w:pStyle w:val="4"/>
              <w:keepNext w:val="0"/>
              <w:keepLines w:val="0"/>
              <w:pageBreakBefore w:val="0"/>
              <w:widowControl w:val="0"/>
              <w:kinsoku/>
              <w:wordWrap/>
              <w:overflowPunct/>
              <w:topLinePunct w:val="0"/>
              <w:autoSpaceDE/>
              <w:autoSpaceDN/>
              <w:bidi w:val="0"/>
              <w:adjustRightInd/>
              <w:snapToGrid/>
              <w:spacing w:beforeLines="0" w:afterLines="0" w:line="360" w:lineRule="auto"/>
              <w:jc w:val="both"/>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主要环境保护目标(列出名单及保护级别)：</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color w:val="auto"/>
                <w:szCs w:val="24"/>
              </w:rPr>
            </w:pPr>
            <w:r>
              <w:rPr>
                <w:rFonts w:hint="default" w:ascii="Times New Roman" w:hAnsi="Times New Roman" w:cs="Times New Roman"/>
                <w:b/>
                <w:color w:val="auto"/>
                <w:szCs w:val="24"/>
              </w:rPr>
              <w:t>1、项目周边环境概况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根据现场踏勘可知，项目东</w:t>
            </w:r>
            <w:r>
              <w:rPr>
                <w:rFonts w:hint="default" w:ascii="Times New Roman" w:hAnsi="Times New Roman" w:cs="Times New Roman"/>
                <w:color w:val="auto"/>
                <w:lang w:eastAsia="zh-CN"/>
              </w:rPr>
              <w:t>、西两</w:t>
            </w:r>
            <w:r>
              <w:rPr>
                <w:rFonts w:hint="default" w:ascii="Times New Roman" w:hAnsi="Times New Roman" w:cs="Times New Roman"/>
                <w:color w:val="auto"/>
              </w:rPr>
              <w:t>侧</w:t>
            </w:r>
            <w:r>
              <w:rPr>
                <w:rFonts w:hint="default" w:ascii="Times New Roman" w:hAnsi="Times New Roman" w:cs="Times New Roman"/>
                <w:color w:val="auto"/>
                <w:lang w:eastAsia="zh-CN"/>
              </w:rPr>
              <w:t>均</w:t>
            </w:r>
            <w:r>
              <w:rPr>
                <w:rFonts w:hint="default" w:ascii="Times New Roman" w:hAnsi="Times New Roman" w:cs="Times New Roman"/>
                <w:color w:val="auto"/>
              </w:rPr>
              <w:t>为</w:t>
            </w:r>
            <w:r>
              <w:rPr>
                <w:rFonts w:hint="default" w:ascii="Times New Roman" w:hAnsi="Times New Roman" w:cs="Times New Roman"/>
                <w:color w:val="auto"/>
                <w:lang w:eastAsia="zh-CN"/>
              </w:rPr>
              <w:t>空地</w:t>
            </w:r>
            <w:r>
              <w:rPr>
                <w:rFonts w:hint="default" w:ascii="Times New Roman" w:hAnsi="Times New Roman" w:cs="Times New Roman"/>
                <w:color w:val="auto"/>
              </w:rPr>
              <w:t>；南侧为</w:t>
            </w:r>
            <w:r>
              <w:rPr>
                <w:rFonts w:hint="default" w:ascii="Times New Roman" w:hAnsi="Times New Roman" w:cs="Times New Roman"/>
                <w:color w:val="auto"/>
                <w:lang w:eastAsia="zh-CN"/>
              </w:rPr>
              <w:t>通村道路，隔路为赵庄村居民</w:t>
            </w:r>
            <w:r>
              <w:rPr>
                <w:rFonts w:hint="default" w:ascii="Times New Roman" w:hAnsi="Times New Roman" w:cs="Times New Roman"/>
                <w:color w:val="auto"/>
              </w:rPr>
              <w:t>；</w:t>
            </w:r>
            <w:r>
              <w:rPr>
                <w:rFonts w:hint="default" w:ascii="Times New Roman" w:hAnsi="Times New Roman" w:cs="Times New Roman"/>
                <w:color w:val="auto"/>
                <w:lang w:eastAsia="zh-CN"/>
              </w:rPr>
              <w:t>北</w:t>
            </w:r>
            <w:r>
              <w:rPr>
                <w:rFonts w:hint="default" w:ascii="Times New Roman" w:hAnsi="Times New Roman" w:cs="Times New Roman"/>
                <w:color w:val="auto"/>
              </w:rPr>
              <w:t>侧为</w:t>
            </w:r>
            <w:r>
              <w:rPr>
                <w:rFonts w:hint="default" w:ascii="Times New Roman" w:hAnsi="Times New Roman" w:cs="Times New Roman"/>
                <w:color w:val="auto"/>
                <w:lang w:eastAsia="zh-CN"/>
              </w:rPr>
              <w:t>废弃厂房</w:t>
            </w:r>
            <w:r>
              <w:rPr>
                <w:rFonts w:hint="default" w:ascii="Times New Roman" w:hAnsi="Times New Roman" w:cs="Times New Roman"/>
                <w:color w:val="auto"/>
              </w:rPr>
              <w:t>。评价区范围内无风景名胜区、文物保护区等敏感点。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color w:val="auto"/>
              </w:rPr>
            </w:pPr>
            <w:r>
              <w:rPr>
                <w:rFonts w:hint="default" w:ascii="Times New Roman" w:hAnsi="Times New Roman" w:cs="Times New Roman"/>
                <w:b/>
                <w:color w:val="auto"/>
              </w:rPr>
              <w:t>2、主要环境保护目标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经现场勘查，项目所在地不属于自然保护区、生态脆弱区等，评价范围内无重点保护文物、古迹、植物、动物及人文景观等。</w:t>
            </w:r>
            <w:r>
              <w:rPr>
                <w:rFonts w:hint="default" w:ascii="Times New Roman" w:hAnsi="Times New Roman" w:cs="Times New Roman"/>
                <w:color w:val="auto"/>
                <w:lang w:eastAsia="zh-CN"/>
              </w:rPr>
              <w:t>根据现场踏勘、工程特点及区域环境质量状况要求，本项目主要环境保护目标见表</w:t>
            </w:r>
            <w:r>
              <w:rPr>
                <w:rFonts w:hint="default" w:ascii="Times New Roman" w:hAnsi="Times New Roman" w:cs="Times New Roman"/>
                <w:color w:val="auto"/>
                <w:lang w:val="en-US" w:eastAsia="zh-CN"/>
              </w:rPr>
              <w:t>3-6，环境目标保护图见附图4。</w:t>
            </w:r>
          </w:p>
          <w:p>
            <w:pPr>
              <w:pStyle w:val="97"/>
              <w:jc w:val="center"/>
              <w:rPr>
                <w:rFonts w:hint="default" w:ascii="Times New Roman" w:hAnsi="Times New Roman" w:cs="Times New Roman"/>
                <w:b/>
                <w:bCs/>
                <w:color w:val="auto"/>
                <w:kern w:val="0"/>
                <w:sz w:val="21"/>
                <w:szCs w:val="20"/>
                <w:lang w:val="en-US" w:eastAsia="zh-CN"/>
              </w:rPr>
            </w:pPr>
            <w:r>
              <w:rPr>
                <w:rFonts w:hint="default" w:ascii="Times New Roman" w:hAnsi="Times New Roman" w:cs="Times New Roman"/>
                <w:b/>
                <w:bCs/>
                <w:color w:val="auto"/>
                <w:kern w:val="0"/>
                <w:sz w:val="21"/>
                <w:szCs w:val="20"/>
                <w:lang w:val="en-US" w:eastAsia="zh-CN"/>
              </w:rPr>
              <w:t>表3-6   主要环境保护目标</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009"/>
              <w:gridCol w:w="1125"/>
              <w:gridCol w:w="1065"/>
              <w:gridCol w:w="780"/>
              <w:gridCol w:w="795"/>
              <w:gridCol w:w="960"/>
              <w:gridCol w:w="840"/>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环境要素</w:t>
                  </w:r>
                </w:p>
              </w:tc>
              <w:tc>
                <w:tcPr>
                  <w:tcW w:w="1009"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保护对象</w:t>
                  </w:r>
                </w:p>
              </w:tc>
              <w:tc>
                <w:tcPr>
                  <w:tcW w:w="2190" w:type="dxa"/>
                  <w:gridSpan w:val="2"/>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坐标</w:t>
                  </w:r>
                </w:p>
              </w:tc>
              <w:tc>
                <w:tcPr>
                  <w:tcW w:w="780"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相对方位</w:t>
                  </w:r>
                </w:p>
              </w:tc>
              <w:tc>
                <w:tcPr>
                  <w:tcW w:w="795"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距离（m）</w:t>
                  </w:r>
                </w:p>
              </w:tc>
              <w:tc>
                <w:tcPr>
                  <w:tcW w:w="960"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保护目标内容</w:t>
                  </w:r>
                </w:p>
              </w:tc>
              <w:tc>
                <w:tcPr>
                  <w:tcW w:w="840"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环境功能区</w:t>
                  </w:r>
                </w:p>
              </w:tc>
              <w:tc>
                <w:tcPr>
                  <w:tcW w:w="1312"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009"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12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东经</w:t>
                  </w:r>
                </w:p>
              </w:tc>
              <w:tc>
                <w:tcPr>
                  <w:tcW w:w="106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北纬</w:t>
                  </w:r>
                </w:p>
              </w:tc>
              <w:tc>
                <w:tcPr>
                  <w:tcW w:w="780"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795"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960"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840"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312"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大气环境</w:t>
                  </w:r>
                </w:p>
              </w:tc>
              <w:tc>
                <w:tcPr>
                  <w:tcW w:w="1009"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福音养老院</w:t>
                  </w:r>
                </w:p>
              </w:tc>
              <w:tc>
                <w:tcPr>
                  <w:tcW w:w="112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109°04'00.57"</w:t>
                  </w:r>
                </w:p>
              </w:tc>
              <w:tc>
                <w:tcPr>
                  <w:tcW w:w="106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34°11'13.14"</w:t>
                  </w:r>
                </w:p>
              </w:tc>
              <w:tc>
                <w:tcPr>
                  <w:tcW w:w="78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E</w:t>
                  </w:r>
                </w:p>
              </w:tc>
              <w:tc>
                <w:tcPr>
                  <w:tcW w:w="79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503</w:t>
                  </w:r>
                </w:p>
              </w:tc>
              <w:tc>
                <w:tcPr>
                  <w:tcW w:w="96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20人</w:t>
                  </w:r>
                </w:p>
              </w:tc>
              <w:tc>
                <w:tcPr>
                  <w:tcW w:w="840"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二类环境空气功能区</w:t>
                  </w:r>
                </w:p>
              </w:tc>
              <w:tc>
                <w:tcPr>
                  <w:tcW w:w="1312"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《环境空气质量标准》（GB3095-2012）（修改单）中的二级标准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009"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南江村</w:t>
                  </w:r>
                </w:p>
              </w:tc>
              <w:tc>
                <w:tcPr>
                  <w:tcW w:w="112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109°04'26.95"</w:t>
                  </w:r>
                </w:p>
              </w:tc>
              <w:tc>
                <w:tcPr>
                  <w:tcW w:w="106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34°11'12.27"</w:t>
                  </w:r>
                </w:p>
              </w:tc>
              <w:tc>
                <w:tcPr>
                  <w:tcW w:w="78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E</w:t>
                  </w:r>
                </w:p>
              </w:tc>
              <w:tc>
                <w:tcPr>
                  <w:tcW w:w="79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1180</w:t>
                  </w:r>
                </w:p>
              </w:tc>
              <w:tc>
                <w:tcPr>
                  <w:tcW w:w="96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100户</w:t>
                  </w:r>
                </w:p>
              </w:tc>
              <w:tc>
                <w:tcPr>
                  <w:tcW w:w="840"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312"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009"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塔坡</w:t>
                  </w:r>
                </w:p>
              </w:tc>
              <w:tc>
                <w:tcPr>
                  <w:tcW w:w="112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109°04'43.33"</w:t>
                  </w:r>
                </w:p>
              </w:tc>
              <w:tc>
                <w:tcPr>
                  <w:tcW w:w="106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34°10'47.48"</w:t>
                  </w:r>
                </w:p>
              </w:tc>
              <w:tc>
                <w:tcPr>
                  <w:tcW w:w="78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SE</w:t>
                  </w:r>
                </w:p>
              </w:tc>
              <w:tc>
                <w:tcPr>
                  <w:tcW w:w="79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1805</w:t>
                  </w:r>
                </w:p>
              </w:tc>
              <w:tc>
                <w:tcPr>
                  <w:tcW w:w="96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50户</w:t>
                  </w:r>
                </w:p>
              </w:tc>
              <w:tc>
                <w:tcPr>
                  <w:tcW w:w="840"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312"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009"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赵庄村</w:t>
                  </w:r>
                </w:p>
              </w:tc>
              <w:tc>
                <w:tcPr>
                  <w:tcW w:w="112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109°03'40.22"</w:t>
                  </w:r>
                </w:p>
              </w:tc>
              <w:tc>
                <w:tcPr>
                  <w:tcW w:w="106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34°11'11.44"</w:t>
                  </w:r>
                </w:p>
              </w:tc>
              <w:tc>
                <w:tcPr>
                  <w:tcW w:w="78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S</w:t>
                  </w:r>
                </w:p>
              </w:tc>
              <w:tc>
                <w:tcPr>
                  <w:tcW w:w="79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15</w:t>
                  </w:r>
                </w:p>
              </w:tc>
              <w:tc>
                <w:tcPr>
                  <w:tcW w:w="96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100户</w:t>
                  </w:r>
                </w:p>
              </w:tc>
              <w:tc>
                <w:tcPr>
                  <w:tcW w:w="840"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312"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009"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常家湾村</w:t>
                  </w:r>
                </w:p>
              </w:tc>
              <w:tc>
                <w:tcPr>
                  <w:tcW w:w="112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109°03'56.67"</w:t>
                  </w:r>
                </w:p>
              </w:tc>
              <w:tc>
                <w:tcPr>
                  <w:tcW w:w="106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34°10'37.51"</w:t>
                  </w:r>
                </w:p>
              </w:tc>
              <w:tc>
                <w:tcPr>
                  <w:tcW w:w="78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S</w:t>
                  </w:r>
                </w:p>
              </w:tc>
              <w:tc>
                <w:tcPr>
                  <w:tcW w:w="79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842</w:t>
                  </w:r>
                </w:p>
              </w:tc>
              <w:tc>
                <w:tcPr>
                  <w:tcW w:w="96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220户</w:t>
                  </w:r>
                </w:p>
              </w:tc>
              <w:tc>
                <w:tcPr>
                  <w:tcW w:w="840"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312"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009"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杜家岩村</w:t>
                  </w:r>
                </w:p>
              </w:tc>
              <w:tc>
                <w:tcPr>
                  <w:tcW w:w="112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109°03'37.21"</w:t>
                  </w:r>
                </w:p>
              </w:tc>
              <w:tc>
                <w:tcPr>
                  <w:tcW w:w="106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34°10'07.35"</w:t>
                  </w:r>
                </w:p>
              </w:tc>
              <w:tc>
                <w:tcPr>
                  <w:tcW w:w="78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S</w:t>
                  </w:r>
                </w:p>
              </w:tc>
              <w:tc>
                <w:tcPr>
                  <w:tcW w:w="79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2051</w:t>
                  </w:r>
                </w:p>
              </w:tc>
              <w:tc>
                <w:tcPr>
                  <w:tcW w:w="96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30户</w:t>
                  </w:r>
                </w:p>
              </w:tc>
              <w:tc>
                <w:tcPr>
                  <w:tcW w:w="840"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312"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009"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杜家崖村</w:t>
                  </w:r>
                </w:p>
              </w:tc>
              <w:tc>
                <w:tcPr>
                  <w:tcW w:w="112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109°03'40.45"</w:t>
                  </w:r>
                </w:p>
              </w:tc>
              <w:tc>
                <w:tcPr>
                  <w:tcW w:w="106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34°09'59.67"</w:t>
                  </w:r>
                </w:p>
              </w:tc>
              <w:tc>
                <w:tcPr>
                  <w:tcW w:w="78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S</w:t>
                  </w:r>
                </w:p>
              </w:tc>
              <w:tc>
                <w:tcPr>
                  <w:tcW w:w="79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2272</w:t>
                  </w:r>
                </w:p>
              </w:tc>
              <w:tc>
                <w:tcPr>
                  <w:tcW w:w="96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40户</w:t>
                  </w:r>
                </w:p>
              </w:tc>
              <w:tc>
                <w:tcPr>
                  <w:tcW w:w="840"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312"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009"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秦沟村</w:t>
                  </w:r>
                </w:p>
              </w:tc>
              <w:tc>
                <w:tcPr>
                  <w:tcW w:w="112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109°03'21.45"</w:t>
                  </w:r>
                </w:p>
              </w:tc>
              <w:tc>
                <w:tcPr>
                  <w:tcW w:w="106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34°10'39.17"</w:t>
                  </w:r>
                </w:p>
              </w:tc>
              <w:tc>
                <w:tcPr>
                  <w:tcW w:w="78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SW</w:t>
                  </w:r>
                </w:p>
              </w:tc>
              <w:tc>
                <w:tcPr>
                  <w:tcW w:w="79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1138</w:t>
                  </w:r>
                </w:p>
              </w:tc>
              <w:tc>
                <w:tcPr>
                  <w:tcW w:w="96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100户</w:t>
                  </w:r>
                </w:p>
              </w:tc>
              <w:tc>
                <w:tcPr>
                  <w:tcW w:w="840"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312"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009"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常兴村</w:t>
                  </w:r>
                </w:p>
              </w:tc>
              <w:tc>
                <w:tcPr>
                  <w:tcW w:w="112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109°02'45.91"</w:t>
                  </w:r>
                </w:p>
              </w:tc>
              <w:tc>
                <w:tcPr>
                  <w:tcW w:w="106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34°10'21.15"</w:t>
                  </w:r>
                </w:p>
              </w:tc>
              <w:tc>
                <w:tcPr>
                  <w:tcW w:w="78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SW</w:t>
                  </w:r>
                </w:p>
              </w:tc>
              <w:tc>
                <w:tcPr>
                  <w:tcW w:w="79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2043</w:t>
                  </w:r>
                </w:p>
              </w:tc>
              <w:tc>
                <w:tcPr>
                  <w:tcW w:w="96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60户</w:t>
                  </w:r>
                </w:p>
              </w:tc>
              <w:tc>
                <w:tcPr>
                  <w:tcW w:w="840"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312"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009"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赵家湾村</w:t>
                  </w:r>
                </w:p>
              </w:tc>
              <w:tc>
                <w:tcPr>
                  <w:tcW w:w="112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109°03'03.83"</w:t>
                  </w:r>
                </w:p>
              </w:tc>
              <w:tc>
                <w:tcPr>
                  <w:tcW w:w="106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34°11'06.52"</w:t>
                  </w:r>
                </w:p>
              </w:tc>
              <w:tc>
                <w:tcPr>
                  <w:tcW w:w="78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W</w:t>
                  </w:r>
                </w:p>
              </w:tc>
              <w:tc>
                <w:tcPr>
                  <w:tcW w:w="79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824</w:t>
                  </w:r>
                </w:p>
              </w:tc>
              <w:tc>
                <w:tcPr>
                  <w:tcW w:w="96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80户</w:t>
                  </w:r>
                </w:p>
              </w:tc>
              <w:tc>
                <w:tcPr>
                  <w:tcW w:w="840"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312"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009"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高桥村</w:t>
                  </w:r>
                </w:p>
              </w:tc>
              <w:tc>
                <w:tcPr>
                  <w:tcW w:w="112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109°03'56.06"</w:t>
                  </w:r>
                </w:p>
              </w:tc>
              <w:tc>
                <w:tcPr>
                  <w:tcW w:w="106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34°11'45.75"</w:t>
                  </w:r>
                </w:p>
              </w:tc>
              <w:tc>
                <w:tcPr>
                  <w:tcW w:w="78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N</w:t>
                  </w:r>
                </w:p>
              </w:tc>
              <w:tc>
                <w:tcPr>
                  <w:tcW w:w="79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731</w:t>
                  </w:r>
                </w:p>
              </w:tc>
              <w:tc>
                <w:tcPr>
                  <w:tcW w:w="96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260户</w:t>
                  </w:r>
                </w:p>
              </w:tc>
              <w:tc>
                <w:tcPr>
                  <w:tcW w:w="840"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312"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009"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神鹿坊村</w:t>
                  </w:r>
                </w:p>
              </w:tc>
              <w:tc>
                <w:tcPr>
                  <w:tcW w:w="112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109°03'34.43"</w:t>
                  </w:r>
                </w:p>
              </w:tc>
              <w:tc>
                <w:tcPr>
                  <w:tcW w:w="106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34°12'20.26"</w:t>
                  </w:r>
                </w:p>
              </w:tc>
              <w:tc>
                <w:tcPr>
                  <w:tcW w:w="78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N</w:t>
                  </w:r>
                </w:p>
              </w:tc>
              <w:tc>
                <w:tcPr>
                  <w:tcW w:w="79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2079</w:t>
                  </w:r>
                </w:p>
              </w:tc>
              <w:tc>
                <w:tcPr>
                  <w:tcW w:w="96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270户</w:t>
                  </w:r>
                </w:p>
              </w:tc>
              <w:tc>
                <w:tcPr>
                  <w:tcW w:w="840"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c>
                <w:tcPr>
                  <w:tcW w:w="1312"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4"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声环境</w:t>
                  </w:r>
                </w:p>
              </w:tc>
              <w:tc>
                <w:tcPr>
                  <w:tcW w:w="1009"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赵庄村</w:t>
                  </w:r>
                </w:p>
              </w:tc>
              <w:tc>
                <w:tcPr>
                  <w:tcW w:w="112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109°03'40.22"</w:t>
                  </w:r>
                </w:p>
              </w:tc>
              <w:tc>
                <w:tcPr>
                  <w:tcW w:w="106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34°11'11.44"</w:t>
                  </w:r>
                </w:p>
              </w:tc>
              <w:tc>
                <w:tcPr>
                  <w:tcW w:w="78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S</w:t>
                  </w:r>
                </w:p>
              </w:tc>
              <w:tc>
                <w:tcPr>
                  <w:tcW w:w="795"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15</w:t>
                  </w:r>
                </w:p>
              </w:tc>
              <w:tc>
                <w:tcPr>
                  <w:tcW w:w="96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100户</w:t>
                  </w:r>
                </w:p>
              </w:tc>
              <w:tc>
                <w:tcPr>
                  <w:tcW w:w="840"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2类声环境功能区</w:t>
                  </w:r>
                </w:p>
              </w:tc>
              <w:tc>
                <w:tcPr>
                  <w:tcW w:w="1312" w:type="dxa"/>
                  <w:noWrap w:val="0"/>
                  <w:vAlign w:val="center"/>
                </w:tcPr>
                <w:p>
                  <w:pPr>
                    <w:pStyle w:val="9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b w:val="0"/>
                      <w:color w:val="auto"/>
                      <w:kern w:val="0"/>
                      <w:sz w:val="21"/>
                      <w:szCs w:val="20"/>
                      <w:vertAlign w:val="baseline"/>
                      <w:lang w:val="en-US" w:eastAsia="zh-CN"/>
                    </w:rPr>
                  </w:pPr>
                  <w:r>
                    <w:rPr>
                      <w:rFonts w:hint="default" w:ascii="Times New Roman" w:hAnsi="Times New Roman" w:cs="Times New Roman"/>
                      <w:b w:val="0"/>
                      <w:color w:val="auto"/>
                      <w:kern w:val="0"/>
                      <w:sz w:val="21"/>
                      <w:szCs w:val="20"/>
                      <w:vertAlign w:val="baseline"/>
                      <w:lang w:val="en-US" w:eastAsia="zh-CN"/>
                    </w:rPr>
                    <w:t>声环境声环境执行《声环境质量标准》（GB3096-2008）中的2类标准</w:t>
                  </w:r>
                </w:p>
              </w:tc>
            </w:tr>
          </w:tbl>
          <w:p>
            <w:pPr>
              <w:rPr>
                <w:rFonts w:hint="default" w:ascii="Times New Roman" w:hAnsi="Times New Roman" w:cs="Times New Roman"/>
                <w:color w:val="auto"/>
              </w:rPr>
            </w:pPr>
          </w:p>
          <w:p>
            <w:pPr>
              <w:pStyle w:val="71"/>
              <w:spacing w:before="97"/>
              <w:jc w:val="both"/>
              <w:rPr>
                <w:rFonts w:hint="default" w:ascii="Times New Roman" w:hAnsi="Times New Roman" w:cs="Times New Roman"/>
                <w:color w:val="auto"/>
                <w:kern w:val="0"/>
              </w:rPr>
            </w:pPr>
          </w:p>
          <w:p>
            <w:pPr>
              <w:pStyle w:val="71"/>
              <w:spacing w:before="97"/>
              <w:jc w:val="both"/>
              <w:rPr>
                <w:rFonts w:hint="default" w:ascii="Times New Roman" w:hAnsi="Times New Roman" w:cs="Times New Roman"/>
                <w:color w:val="auto"/>
                <w:kern w:val="0"/>
              </w:rPr>
            </w:pPr>
          </w:p>
          <w:p>
            <w:pPr>
              <w:pStyle w:val="71"/>
              <w:spacing w:before="97"/>
              <w:jc w:val="both"/>
              <w:rPr>
                <w:rFonts w:hint="default" w:ascii="Times New Roman" w:hAnsi="Times New Roman" w:cs="Times New Roman"/>
                <w:color w:val="auto"/>
                <w:kern w:val="0"/>
              </w:rPr>
            </w:pPr>
          </w:p>
          <w:p>
            <w:pPr>
              <w:pStyle w:val="71"/>
              <w:spacing w:before="97"/>
              <w:jc w:val="both"/>
              <w:rPr>
                <w:rFonts w:hint="default" w:ascii="Times New Roman" w:hAnsi="Times New Roman" w:cs="Times New Roman"/>
                <w:color w:val="auto"/>
                <w:kern w:val="0"/>
              </w:rPr>
            </w:pPr>
          </w:p>
          <w:p>
            <w:pPr>
              <w:pStyle w:val="71"/>
              <w:spacing w:before="97"/>
              <w:jc w:val="both"/>
              <w:rPr>
                <w:rFonts w:hint="default" w:ascii="Times New Roman" w:hAnsi="Times New Roman" w:cs="Times New Roman"/>
                <w:color w:val="auto"/>
                <w:kern w:val="0"/>
              </w:rPr>
            </w:pPr>
          </w:p>
          <w:p>
            <w:pPr>
              <w:pStyle w:val="71"/>
              <w:spacing w:before="97"/>
              <w:jc w:val="both"/>
              <w:rPr>
                <w:rFonts w:hint="default" w:ascii="Times New Roman" w:hAnsi="Times New Roman" w:cs="Times New Roman"/>
                <w:color w:val="auto"/>
                <w:kern w:val="0"/>
              </w:rPr>
            </w:pPr>
          </w:p>
        </w:tc>
      </w:tr>
    </w:tbl>
    <w:p>
      <w:pPr>
        <w:pStyle w:val="3"/>
        <w:numPr>
          <w:ilvl w:val="0"/>
          <w:numId w:val="0"/>
        </w:numPr>
        <w:spacing w:before="163"/>
        <w:ind w:left="420" w:leftChars="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评价适用标准</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8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4" w:type="dxa"/>
            <w:noWrap w:val="0"/>
            <w:vAlign w:val="center"/>
          </w:tcPr>
          <w:p>
            <w:pPr>
              <w:pStyle w:val="7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 境 质 量 标 准</w:t>
            </w:r>
          </w:p>
        </w:tc>
        <w:tc>
          <w:tcPr>
            <w:tcW w:w="8058" w:type="dxa"/>
            <w:noWrap w:val="0"/>
            <w:vAlign w:val="top"/>
          </w:tcPr>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环境空气质量执行《环境空气质量标准》（GB3095-2012）（修改单）中的二级标准；非甲烷总烃执行《大气污染物综合排放标准详解》中的相关标准。</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305"/>
              <w:gridCol w:w="1304"/>
              <w:gridCol w:w="1305"/>
              <w:gridCol w:w="1306"/>
              <w:gridCol w:w="1305"/>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305" w:type="dxa"/>
                  <w:vMerge w:val="restart"/>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标准名称</w:t>
                  </w:r>
                </w:p>
              </w:tc>
              <w:tc>
                <w:tcPr>
                  <w:tcW w:w="1304" w:type="dxa"/>
                  <w:vMerge w:val="restart"/>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执行标准</w:t>
                  </w:r>
                </w:p>
              </w:tc>
              <w:tc>
                <w:tcPr>
                  <w:tcW w:w="1305" w:type="dxa"/>
                  <w:vMerge w:val="restart"/>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w:t>
                  </w:r>
                </w:p>
              </w:tc>
              <w:tc>
                <w:tcPr>
                  <w:tcW w:w="3918" w:type="dxa"/>
                  <w:gridSpan w:val="3"/>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305" w:type="dxa"/>
                  <w:vMerge w:val="continue"/>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1304" w:type="dxa"/>
                  <w:vMerge w:val="continue"/>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1305" w:type="dxa"/>
                  <w:vMerge w:val="continue"/>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1306"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类别</w:t>
                  </w:r>
                </w:p>
              </w:tc>
              <w:tc>
                <w:tcPr>
                  <w:tcW w:w="1305"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限值</w:t>
                  </w:r>
                </w:p>
              </w:tc>
              <w:tc>
                <w:tcPr>
                  <w:tcW w:w="1307"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305" w:type="dxa"/>
                  <w:vMerge w:val="restart"/>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《环境空气质量标准》（GB3095-2012）</w:t>
                  </w:r>
                </w:p>
              </w:tc>
              <w:tc>
                <w:tcPr>
                  <w:tcW w:w="1304" w:type="dxa"/>
                  <w:vMerge w:val="restart"/>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二级</w:t>
                  </w:r>
                </w:p>
              </w:tc>
              <w:tc>
                <w:tcPr>
                  <w:tcW w:w="1305"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SO</w:t>
                  </w:r>
                  <w:r>
                    <w:rPr>
                      <w:rFonts w:hint="default" w:ascii="Times New Roman" w:hAnsi="Times New Roman" w:cs="Times New Roman"/>
                      <w:color w:val="auto"/>
                      <w:sz w:val="21"/>
                      <w:szCs w:val="21"/>
                      <w:vertAlign w:val="subscript"/>
                      <w:lang w:val="en-US" w:eastAsia="zh-CN"/>
                    </w:rPr>
                    <w:t>2</w:t>
                  </w:r>
                </w:p>
              </w:tc>
              <w:tc>
                <w:tcPr>
                  <w:tcW w:w="1306"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年平均</w:t>
                  </w:r>
                </w:p>
              </w:tc>
              <w:tc>
                <w:tcPr>
                  <w:tcW w:w="1305"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1307" w:type="dxa"/>
                  <w:vMerge w:val="restart"/>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µg/m</w:t>
                  </w:r>
                  <w:r>
                    <w:rPr>
                      <w:rFonts w:hint="default" w:ascii="Times New Roman" w:hAnsi="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305" w:type="dxa"/>
                  <w:vMerge w:val="continue"/>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1304" w:type="dxa"/>
                  <w:vMerge w:val="continue"/>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1305"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NO</w:t>
                  </w:r>
                  <w:r>
                    <w:rPr>
                      <w:rFonts w:hint="default" w:ascii="Times New Roman" w:hAnsi="Times New Roman" w:cs="Times New Roman"/>
                      <w:color w:val="auto"/>
                      <w:sz w:val="21"/>
                      <w:szCs w:val="21"/>
                      <w:vertAlign w:val="subscript"/>
                      <w:lang w:val="en-US" w:eastAsia="zh-CN"/>
                    </w:rPr>
                    <w:t>2</w:t>
                  </w:r>
                </w:p>
              </w:tc>
              <w:tc>
                <w:tcPr>
                  <w:tcW w:w="1306"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年平均</w:t>
                  </w:r>
                </w:p>
              </w:tc>
              <w:tc>
                <w:tcPr>
                  <w:tcW w:w="1305"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c>
                <w:tcPr>
                  <w:tcW w:w="1307" w:type="dxa"/>
                  <w:vMerge w:val="continue"/>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305" w:type="dxa"/>
                  <w:vMerge w:val="continue"/>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1304" w:type="dxa"/>
                  <w:vMerge w:val="continue"/>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1305"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PM</w:t>
                  </w:r>
                  <w:r>
                    <w:rPr>
                      <w:rFonts w:hint="default" w:ascii="Times New Roman" w:hAnsi="Times New Roman" w:cs="Times New Roman"/>
                      <w:color w:val="auto"/>
                      <w:sz w:val="21"/>
                      <w:szCs w:val="21"/>
                      <w:vertAlign w:val="subscript"/>
                      <w:lang w:val="en-US" w:eastAsia="zh-CN"/>
                    </w:rPr>
                    <w:t>10</w:t>
                  </w:r>
                </w:p>
              </w:tc>
              <w:tc>
                <w:tcPr>
                  <w:tcW w:w="1306"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年均值</w:t>
                  </w:r>
                </w:p>
              </w:tc>
              <w:tc>
                <w:tcPr>
                  <w:tcW w:w="1305"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w:t>
                  </w:r>
                </w:p>
              </w:tc>
              <w:tc>
                <w:tcPr>
                  <w:tcW w:w="1307" w:type="dxa"/>
                  <w:vMerge w:val="continue"/>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305" w:type="dxa"/>
                  <w:vMerge w:val="continue"/>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1304" w:type="dxa"/>
                  <w:vMerge w:val="continue"/>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1305"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PM</w:t>
                  </w:r>
                  <w:r>
                    <w:rPr>
                      <w:rFonts w:hint="default" w:ascii="Times New Roman" w:hAnsi="Times New Roman" w:cs="Times New Roman"/>
                      <w:color w:val="auto"/>
                      <w:sz w:val="21"/>
                      <w:szCs w:val="21"/>
                      <w:vertAlign w:val="subscript"/>
                      <w:lang w:val="en-US" w:eastAsia="zh-CN"/>
                    </w:rPr>
                    <w:t>2.5</w:t>
                  </w:r>
                </w:p>
              </w:tc>
              <w:tc>
                <w:tcPr>
                  <w:tcW w:w="1306"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年平均</w:t>
                  </w:r>
                </w:p>
              </w:tc>
              <w:tc>
                <w:tcPr>
                  <w:tcW w:w="1305"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35</w:t>
                  </w:r>
                </w:p>
              </w:tc>
              <w:tc>
                <w:tcPr>
                  <w:tcW w:w="1307" w:type="dxa"/>
                  <w:vMerge w:val="continue"/>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1305"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《大气污染物综合排放标准详解》</w:t>
                  </w:r>
                </w:p>
              </w:tc>
              <w:tc>
                <w:tcPr>
                  <w:tcW w:w="1304"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305"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p>
              </w:tc>
              <w:tc>
                <w:tcPr>
                  <w:tcW w:w="1306"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1小时均值</w:t>
                  </w:r>
                </w:p>
              </w:tc>
              <w:tc>
                <w:tcPr>
                  <w:tcW w:w="1305"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1307" w:type="dxa"/>
                  <w:noWrap w:val="0"/>
                  <w:vAlign w:val="center"/>
                </w:tcPr>
                <w:p>
                  <w:pPr>
                    <w:pStyle w:val="97"/>
                    <w:keepNext w:val="0"/>
                    <w:keepLines w:val="0"/>
                    <w:pageBreakBefore w:val="0"/>
                    <w:widowControl w:val="0"/>
                    <w:numPr>
                      <w:ilvl w:val="0"/>
                      <w:numId w:val="0"/>
                    </w:numPr>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r>
              <w:rPr>
                <w:rFonts w:hint="default" w:ascii="Times New Roman" w:hAnsi="Times New Roman" w:cs="Times New Roman"/>
                <w:color w:val="auto"/>
              </w:rPr>
              <w:t>、声环境声环境执行《声环境质量标准》（GB3096-2008）中的</w:t>
            </w:r>
            <w:r>
              <w:rPr>
                <w:rFonts w:hint="default" w:ascii="Times New Roman" w:hAnsi="Times New Roman" w:cs="Times New Roman"/>
                <w:color w:val="auto"/>
                <w:lang w:val="en-US" w:eastAsia="zh-CN"/>
              </w:rPr>
              <w:t>2</w:t>
            </w:r>
            <w:r>
              <w:rPr>
                <w:rFonts w:hint="default" w:ascii="Times New Roman" w:hAnsi="Times New Roman" w:cs="Times New Roman"/>
                <w:color w:val="auto"/>
              </w:rPr>
              <w:t>类。</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345"/>
              <w:gridCol w:w="1111"/>
              <w:gridCol w:w="1157"/>
              <w:gridCol w:w="1096"/>
              <w:gridCol w:w="664"/>
              <w:gridCol w:w="508"/>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23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标准名称</w:t>
                  </w:r>
                </w:p>
              </w:tc>
              <w:tc>
                <w:tcPr>
                  <w:tcW w:w="11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执行标准</w:t>
                  </w:r>
                </w:p>
              </w:tc>
              <w:tc>
                <w:tcPr>
                  <w:tcW w:w="11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执行范围</w:t>
                  </w:r>
                </w:p>
              </w:tc>
              <w:tc>
                <w:tcPr>
                  <w:tcW w:w="10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w:t>
                  </w:r>
                </w:p>
              </w:tc>
              <w:tc>
                <w:tcPr>
                  <w:tcW w:w="117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标准值</w:t>
                  </w:r>
                </w:p>
              </w:tc>
              <w:tc>
                <w:tcPr>
                  <w:tcW w:w="9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234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《声环境质量标准》（GB3096-2008）</w:t>
                  </w:r>
                </w:p>
              </w:tc>
              <w:tc>
                <w:tcPr>
                  <w:tcW w:w="111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2类</w:t>
                  </w:r>
                </w:p>
              </w:tc>
              <w:tc>
                <w:tcPr>
                  <w:tcW w:w="115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厂界、敏感点</w:t>
                  </w:r>
                </w:p>
              </w:tc>
              <w:tc>
                <w:tcPr>
                  <w:tcW w:w="109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等效声级</w:t>
                  </w:r>
                  <w:r>
                    <w:rPr>
                      <w:rFonts w:hint="default" w:ascii="Times New Roman" w:hAnsi="Times New Roman" w:cs="Times New Roman"/>
                      <w:color w:val="auto"/>
                      <w:sz w:val="21"/>
                      <w:szCs w:val="21"/>
                      <w:lang w:val="en-US" w:eastAsia="zh-CN"/>
                    </w:rPr>
                    <w:t>Leq</w:t>
                  </w:r>
                </w:p>
              </w:tc>
              <w:tc>
                <w:tcPr>
                  <w:tcW w:w="6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昼间</w:t>
                  </w:r>
                </w:p>
              </w:tc>
              <w:tc>
                <w:tcPr>
                  <w:tcW w:w="5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95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23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11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15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9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6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夜间</w:t>
                  </w:r>
                </w:p>
              </w:tc>
              <w:tc>
                <w:tcPr>
                  <w:tcW w:w="5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w:t>
                  </w:r>
                </w:p>
              </w:tc>
              <w:tc>
                <w:tcPr>
                  <w:tcW w:w="95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w:t>
            </w:r>
            <w:r>
              <w:rPr>
                <w:rFonts w:hint="default" w:ascii="Times New Roman" w:hAnsi="Times New Roman" w:cs="Times New Roman"/>
                <w:color w:val="auto"/>
              </w:rPr>
              <w:t>土壤执行《土壤环境质量 建设用地土壤污染风险管控标准》（试行）GB36600-2018中表1筛选值第二类用地</w:t>
            </w:r>
            <w:r>
              <w:rPr>
                <w:rFonts w:hint="default" w:ascii="Times New Roman" w:hAnsi="Times New Roman" w:cs="Times New Roman"/>
                <w:color w:val="auto"/>
                <w:lang w:eastAsia="zh-CN"/>
              </w:rPr>
              <w:t>和《土壤环境质量</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农用地土壤污染风险管控标准》（试行）</w:t>
            </w:r>
            <w:r>
              <w:rPr>
                <w:rFonts w:hint="default" w:ascii="Times New Roman" w:hAnsi="Times New Roman" w:cs="Times New Roman"/>
                <w:color w:val="auto"/>
                <w:lang w:val="en-US" w:eastAsia="zh-CN"/>
              </w:rPr>
              <w:t>GB 15618-2018中表1筛选值。</w:t>
            </w:r>
          </w:p>
          <w:p>
            <w:pPr>
              <w:pStyle w:val="2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bCs/>
                <w:color w:val="auto"/>
                <w:sz w:val="21"/>
                <w:szCs w:val="20"/>
                <w:lang w:val="en-US" w:eastAsia="zh-CN"/>
              </w:rPr>
            </w:pPr>
            <w:r>
              <w:rPr>
                <w:rFonts w:hint="default" w:ascii="Times New Roman" w:hAnsi="Times New Roman" w:cs="Times New Roman"/>
                <w:b/>
                <w:bCs/>
                <w:color w:val="auto"/>
                <w:sz w:val="21"/>
                <w:szCs w:val="20"/>
                <w:lang w:val="en-US" w:eastAsia="zh-CN"/>
              </w:rPr>
              <w:t>表4-1  建设用地土壤污染风险管控标准    单位：mg/kg</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683"/>
              <w:gridCol w:w="1389"/>
              <w:gridCol w:w="615"/>
              <w:gridCol w:w="1237"/>
              <w:gridCol w:w="722"/>
              <w:gridCol w:w="979"/>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10" w:type="dxa"/>
                  <w:gridSpan w:val="2"/>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重金属和无机物</w:t>
                  </w:r>
                </w:p>
              </w:tc>
              <w:tc>
                <w:tcPr>
                  <w:tcW w:w="3963" w:type="dxa"/>
                  <w:gridSpan w:val="4"/>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挥发性有机物</w:t>
                  </w:r>
                </w:p>
              </w:tc>
              <w:tc>
                <w:tcPr>
                  <w:tcW w:w="1959" w:type="dxa"/>
                  <w:gridSpan w:val="2"/>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683"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指标</w:t>
                  </w:r>
                </w:p>
              </w:tc>
              <w:tc>
                <w:tcPr>
                  <w:tcW w:w="138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615"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指标</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722"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指标</w:t>
                  </w:r>
                </w:p>
              </w:tc>
              <w:tc>
                <w:tcPr>
                  <w:tcW w:w="97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980"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砷</w:t>
                  </w:r>
                </w:p>
              </w:tc>
              <w:tc>
                <w:tcPr>
                  <w:tcW w:w="683"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38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四氯化碳</w:t>
                  </w:r>
                </w:p>
              </w:tc>
              <w:tc>
                <w:tcPr>
                  <w:tcW w:w="615"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1,1,2-三氯乙烷</w:t>
                  </w:r>
                </w:p>
              </w:tc>
              <w:tc>
                <w:tcPr>
                  <w:tcW w:w="722"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97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硝基苯</w:t>
                  </w:r>
                </w:p>
              </w:tc>
              <w:tc>
                <w:tcPr>
                  <w:tcW w:w="980"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镉</w:t>
                  </w:r>
                </w:p>
              </w:tc>
              <w:tc>
                <w:tcPr>
                  <w:tcW w:w="683"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38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氯仿</w:t>
                  </w:r>
                </w:p>
              </w:tc>
              <w:tc>
                <w:tcPr>
                  <w:tcW w:w="615"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三氯乙烯</w:t>
                  </w:r>
                </w:p>
              </w:tc>
              <w:tc>
                <w:tcPr>
                  <w:tcW w:w="722"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97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苯胺</w:t>
                  </w:r>
                </w:p>
              </w:tc>
              <w:tc>
                <w:tcPr>
                  <w:tcW w:w="980"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铬（六价）</w:t>
                  </w:r>
                </w:p>
              </w:tc>
              <w:tc>
                <w:tcPr>
                  <w:tcW w:w="683"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138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氯甲烷</w:t>
                  </w:r>
                </w:p>
              </w:tc>
              <w:tc>
                <w:tcPr>
                  <w:tcW w:w="615"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1,2,3-三氯丙烷</w:t>
                  </w:r>
                </w:p>
              </w:tc>
              <w:tc>
                <w:tcPr>
                  <w:tcW w:w="722"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97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2-氯酚</w:t>
                  </w:r>
                </w:p>
              </w:tc>
              <w:tc>
                <w:tcPr>
                  <w:tcW w:w="980"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铜</w:t>
                  </w:r>
                </w:p>
              </w:tc>
              <w:tc>
                <w:tcPr>
                  <w:tcW w:w="683"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18000</w:t>
                  </w:r>
                </w:p>
              </w:tc>
              <w:tc>
                <w:tcPr>
                  <w:tcW w:w="138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1,1-二氯乙烷</w:t>
                  </w:r>
                </w:p>
              </w:tc>
              <w:tc>
                <w:tcPr>
                  <w:tcW w:w="615"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氯乙烯</w:t>
                  </w:r>
                </w:p>
              </w:tc>
              <w:tc>
                <w:tcPr>
                  <w:tcW w:w="722"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0.43</w:t>
                  </w:r>
                </w:p>
              </w:tc>
              <w:tc>
                <w:tcPr>
                  <w:tcW w:w="97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苯并[a]蒽</w:t>
                  </w:r>
                </w:p>
              </w:tc>
              <w:tc>
                <w:tcPr>
                  <w:tcW w:w="980"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w:t>
                  </w:r>
                </w:p>
              </w:tc>
              <w:tc>
                <w:tcPr>
                  <w:tcW w:w="683"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800</w:t>
                  </w:r>
                </w:p>
              </w:tc>
              <w:tc>
                <w:tcPr>
                  <w:tcW w:w="138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1,2-二氯乙烷</w:t>
                  </w:r>
                </w:p>
              </w:tc>
              <w:tc>
                <w:tcPr>
                  <w:tcW w:w="615"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w:t>
                  </w:r>
                </w:p>
              </w:tc>
              <w:tc>
                <w:tcPr>
                  <w:tcW w:w="722"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97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苯并[b]芘</w:t>
                  </w:r>
                </w:p>
              </w:tc>
              <w:tc>
                <w:tcPr>
                  <w:tcW w:w="980"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汞</w:t>
                  </w:r>
                </w:p>
              </w:tc>
              <w:tc>
                <w:tcPr>
                  <w:tcW w:w="683"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138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1,1-二氯乙烯</w:t>
                  </w:r>
                </w:p>
              </w:tc>
              <w:tc>
                <w:tcPr>
                  <w:tcW w:w="615"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66</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氯苯</w:t>
                  </w:r>
                </w:p>
              </w:tc>
              <w:tc>
                <w:tcPr>
                  <w:tcW w:w="722"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270</w:t>
                  </w:r>
                </w:p>
              </w:tc>
              <w:tc>
                <w:tcPr>
                  <w:tcW w:w="97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苯并[b]荧蒽</w:t>
                  </w:r>
                </w:p>
              </w:tc>
              <w:tc>
                <w:tcPr>
                  <w:tcW w:w="980"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镍</w:t>
                  </w:r>
                </w:p>
              </w:tc>
              <w:tc>
                <w:tcPr>
                  <w:tcW w:w="683"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w:t>
                  </w:r>
                </w:p>
              </w:tc>
              <w:tc>
                <w:tcPr>
                  <w:tcW w:w="138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顺-1,2-二氯乙烯</w:t>
                  </w:r>
                </w:p>
              </w:tc>
              <w:tc>
                <w:tcPr>
                  <w:tcW w:w="615"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596</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1,2-二氯苯</w:t>
                  </w:r>
                </w:p>
              </w:tc>
              <w:tc>
                <w:tcPr>
                  <w:tcW w:w="722"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560</w:t>
                  </w:r>
                </w:p>
              </w:tc>
              <w:tc>
                <w:tcPr>
                  <w:tcW w:w="97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苯并[k]荧蒽</w:t>
                  </w:r>
                </w:p>
              </w:tc>
              <w:tc>
                <w:tcPr>
                  <w:tcW w:w="980"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83"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8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反-1,2-二氯乙烯</w:t>
                  </w:r>
                </w:p>
              </w:tc>
              <w:tc>
                <w:tcPr>
                  <w:tcW w:w="615"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1,4-二氯苯</w:t>
                  </w:r>
                </w:p>
              </w:tc>
              <w:tc>
                <w:tcPr>
                  <w:tcW w:w="722"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97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䓛</w:t>
                  </w:r>
                </w:p>
              </w:tc>
              <w:tc>
                <w:tcPr>
                  <w:tcW w:w="980"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10" w:type="dxa"/>
                  <w:gridSpan w:val="2"/>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石油烃类</w:t>
                  </w:r>
                </w:p>
              </w:tc>
              <w:tc>
                <w:tcPr>
                  <w:tcW w:w="138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二氯甲</w:t>
                  </w:r>
                  <w:r>
                    <w:rPr>
                      <w:rFonts w:hint="default" w:ascii="Times New Roman" w:hAnsi="Times New Roman" w:cs="Times New Roman"/>
                      <w:color w:val="auto"/>
                      <w:sz w:val="21"/>
                      <w:szCs w:val="21"/>
                    </w:rPr>
                    <w:cr/>
                  </w:r>
                </w:p>
              </w:tc>
              <w:tc>
                <w:tcPr>
                  <w:tcW w:w="615"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616</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乙苯</w:t>
                  </w:r>
                </w:p>
              </w:tc>
              <w:tc>
                <w:tcPr>
                  <w:tcW w:w="722"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97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二苯并[a，h]蒽</w:t>
                  </w:r>
                </w:p>
              </w:tc>
              <w:tc>
                <w:tcPr>
                  <w:tcW w:w="980"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项</w:t>
                  </w:r>
                  <w:r>
                    <w:rPr>
                      <w:rFonts w:hint="default" w:ascii="Times New Roman" w:hAnsi="Times New Roman" w:cs="Times New Roman"/>
                      <w:color w:val="auto"/>
                      <w:sz w:val="21"/>
                      <w:szCs w:val="21"/>
                      <w:lang w:eastAsia="zh-CN"/>
                    </w:rPr>
                    <w:t>目</w:t>
                  </w:r>
                </w:p>
              </w:tc>
              <w:tc>
                <w:tcPr>
                  <w:tcW w:w="683"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指标</w:t>
                  </w:r>
                </w:p>
              </w:tc>
              <w:tc>
                <w:tcPr>
                  <w:tcW w:w="138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1,2-二氯丙烷</w:t>
                  </w:r>
                </w:p>
              </w:tc>
              <w:tc>
                <w:tcPr>
                  <w:tcW w:w="615"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苯乙烯</w:t>
                  </w:r>
                </w:p>
              </w:tc>
              <w:tc>
                <w:tcPr>
                  <w:tcW w:w="722"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1290</w:t>
                  </w:r>
                </w:p>
              </w:tc>
              <w:tc>
                <w:tcPr>
                  <w:tcW w:w="97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茚并[1,2,3-cd]芘</w:t>
                  </w:r>
                </w:p>
              </w:tc>
              <w:tc>
                <w:tcPr>
                  <w:tcW w:w="980"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石油烃</w:t>
                  </w:r>
                  <w:r>
                    <w:rPr>
                      <w:rFonts w:hint="default" w:ascii="Times New Roman" w:hAnsi="Times New Roman" w:cs="Times New Roman"/>
                      <w:color w:val="auto"/>
                      <w:sz w:val="21"/>
                      <w:szCs w:val="21"/>
                    </w:rPr>
                    <w:cr/>
                  </w:r>
                  <w:r>
                    <w:rPr>
                      <w:rFonts w:hint="default" w:ascii="Times New Roman" w:hAnsi="Times New Roman" w:cs="Times New Roman"/>
                      <w:color w:val="auto"/>
                      <w:sz w:val="21"/>
                      <w:szCs w:val="21"/>
                    </w:rPr>
                    <w:t>C10-C40）</w:t>
                  </w:r>
                </w:p>
              </w:tc>
              <w:tc>
                <w:tcPr>
                  <w:tcW w:w="683"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4500</w:t>
                  </w:r>
                </w:p>
              </w:tc>
              <w:tc>
                <w:tcPr>
                  <w:tcW w:w="138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1,1,1,2-四氯乙烷</w:t>
                  </w:r>
                </w:p>
              </w:tc>
              <w:tc>
                <w:tcPr>
                  <w:tcW w:w="615"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w:t>
                  </w:r>
                </w:p>
              </w:tc>
              <w:tc>
                <w:tcPr>
                  <w:tcW w:w="722"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1200</w:t>
                  </w:r>
                </w:p>
              </w:tc>
              <w:tc>
                <w:tcPr>
                  <w:tcW w:w="97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萘</w:t>
                  </w:r>
                </w:p>
              </w:tc>
              <w:tc>
                <w:tcPr>
                  <w:tcW w:w="980"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83"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cr/>
                  </w:r>
                </w:p>
              </w:tc>
              <w:tc>
                <w:tcPr>
                  <w:tcW w:w="138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1,1,2,2-四氯乙烷</w:t>
                  </w:r>
                </w:p>
              </w:tc>
              <w:tc>
                <w:tcPr>
                  <w:tcW w:w="615"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6.8</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间二甲苯-对二甲苯</w:t>
                  </w:r>
                </w:p>
              </w:tc>
              <w:tc>
                <w:tcPr>
                  <w:tcW w:w="722"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570</w:t>
                  </w:r>
                </w:p>
              </w:tc>
              <w:tc>
                <w:tcPr>
                  <w:tcW w:w="97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0"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83"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8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四氯乙烯</w:t>
                  </w:r>
                </w:p>
              </w:tc>
              <w:tc>
                <w:tcPr>
                  <w:tcW w:w="615"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邻二甲</w:t>
                  </w:r>
                  <w:r>
                    <w:rPr>
                      <w:rFonts w:hint="default" w:ascii="Times New Roman" w:hAnsi="Times New Roman" w:cs="Times New Roman"/>
                      <w:color w:val="auto"/>
                      <w:sz w:val="21"/>
                      <w:szCs w:val="21"/>
                    </w:rPr>
                    <w:cr/>
                  </w:r>
                </w:p>
              </w:tc>
              <w:tc>
                <w:tcPr>
                  <w:tcW w:w="722"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640</w:t>
                  </w:r>
                </w:p>
              </w:tc>
              <w:tc>
                <w:tcPr>
                  <w:tcW w:w="97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0"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83"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8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1,1,1-三氯乙烷</w:t>
                  </w:r>
                </w:p>
              </w:tc>
              <w:tc>
                <w:tcPr>
                  <w:tcW w:w="615"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840</w:t>
                  </w:r>
                </w:p>
              </w:tc>
              <w:tc>
                <w:tcPr>
                  <w:tcW w:w="123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22"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9"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0"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pStyle w:val="26"/>
              <w:keepNext w:val="0"/>
              <w:keepLines w:val="0"/>
              <w:pageBreakBefore w:val="0"/>
              <w:widowControl w:val="0"/>
              <w:kinsoku/>
              <w:wordWrap/>
              <w:overflowPunct/>
              <w:topLinePunct w:val="0"/>
              <w:autoSpaceDE/>
              <w:autoSpaceDN/>
              <w:bidi w:val="0"/>
              <w:adjustRightInd/>
              <w:snapToGrid/>
              <w:spacing w:before="164" w:beforeLines="50" w:after="0" w:line="240" w:lineRule="auto"/>
              <w:ind w:left="0" w:leftChars="0" w:firstLine="0" w:firstLineChars="0"/>
              <w:jc w:val="center"/>
              <w:textAlignment w:val="auto"/>
              <w:rPr>
                <w:rFonts w:hint="default" w:ascii="Times New Roman" w:hAnsi="Times New Roman" w:cs="Times New Roman"/>
                <w:b/>
                <w:bCs/>
                <w:color w:val="auto"/>
                <w:sz w:val="21"/>
                <w:szCs w:val="20"/>
                <w:lang w:val="en-US" w:eastAsia="zh-CN"/>
              </w:rPr>
            </w:pPr>
            <w:r>
              <w:rPr>
                <w:rFonts w:hint="default" w:ascii="Times New Roman" w:hAnsi="Times New Roman" w:cs="Times New Roman"/>
                <w:b/>
                <w:bCs/>
                <w:color w:val="auto"/>
                <w:sz w:val="21"/>
                <w:szCs w:val="20"/>
                <w:lang w:val="en-US" w:eastAsia="zh-CN"/>
              </w:rPr>
              <w:t xml:space="preserve">表4-2 </w:t>
            </w:r>
            <w:r>
              <w:rPr>
                <w:rFonts w:hint="default" w:ascii="Times New Roman" w:hAnsi="Times New Roman" w:cs="Times New Roman"/>
                <w:color w:val="auto"/>
                <w:lang w:val="en-US" w:eastAsia="zh-CN"/>
              </w:rPr>
              <w:t xml:space="preserve"> </w:t>
            </w:r>
            <w:r>
              <w:rPr>
                <w:rFonts w:hint="default" w:ascii="Times New Roman" w:hAnsi="Times New Roman" w:cs="Times New Roman"/>
                <w:b/>
                <w:bCs/>
                <w:color w:val="auto"/>
                <w:sz w:val="21"/>
                <w:szCs w:val="20"/>
                <w:lang w:val="en-US" w:eastAsia="zh-CN"/>
              </w:rPr>
              <w:t xml:space="preserve"> 农用地土壤污染风险筛选值   单位：mg/kg</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879"/>
              <w:gridCol w:w="3827"/>
              <w:gridCol w:w="3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7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382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污染物项目</w:t>
                  </w:r>
                </w:p>
              </w:tc>
              <w:tc>
                <w:tcPr>
                  <w:tcW w:w="3126"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87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382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pH</w:t>
                  </w:r>
                </w:p>
              </w:tc>
              <w:tc>
                <w:tcPr>
                  <w:tcW w:w="3126"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6.5＜pH≤7.5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87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382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镉</w:t>
                  </w:r>
                </w:p>
              </w:tc>
              <w:tc>
                <w:tcPr>
                  <w:tcW w:w="3126"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87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382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汞</w:t>
                  </w:r>
                </w:p>
              </w:tc>
              <w:tc>
                <w:tcPr>
                  <w:tcW w:w="3126"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87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382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砷</w:t>
                  </w:r>
                </w:p>
              </w:tc>
              <w:tc>
                <w:tcPr>
                  <w:tcW w:w="3126"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87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382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铅</w:t>
                  </w:r>
                </w:p>
              </w:tc>
              <w:tc>
                <w:tcPr>
                  <w:tcW w:w="3126"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87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382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铬</w:t>
                  </w:r>
                </w:p>
              </w:tc>
              <w:tc>
                <w:tcPr>
                  <w:tcW w:w="3126"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87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w:t>
                  </w:r>
                </w:p>
              </w:tc>
              <w:tc>
                <w:tcPr>
                  <w:tcW w:w="382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铜</w:t>
                  </w:r>
                </w:p>
              </w:tc>
              <w:tc>
                <w:tcPr>
                  <w:tcW w:w="3126"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87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w:t>
                  </w:r>
                </w:p>
              </w:tc>
              <w:tc>
                <w:tcPr>
                  <w:tcW w:w="382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镍</w:t>
                  </w:r>
                </w:p>
              </w:tc>
              <w:tc>
                <w:tcPr>
                  <w:tcW w:w="3126"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87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w:t>
                  </w:r>
                </w:p>
              </w:tc>
              <w:tc>
                <w:tcPr>
                  <w:tcW w:w="382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锌</w:t>
                  </w:r>
                </w:p>
              </w:tc>
              <w:tc>
                <w:tcPr>
                  <w:tcW w:w="3126"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250</w:t>
                  </w:r>
                </w:p>
              </w:tc>
            </w:tr>
          </w:tbl>
          <w:p>
            <w:pPr>
              <w:pStyle w:val="25"/>
              <w:ind w:left="0" w:leftChars="0" w:firstLine="0" w:firstLineChars="0"/>
              <w:rPr>
                <w:rFonts w:hint="default"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4" w:type="dxa"/>
            <w:noWrap w:val="0"/>
            <w:vAlign w:val="center"/>
          </w:tcPr>
          <w:p>
            <w:pPr>
              <w:pStyle w:val="7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 染 物 排 放 标 准</w:t>
            </w:r>
          </w:p>
        </w:tc>
        <w:tc>
          <w:tcPr>
            <w:tcW w:w="8058" w:type="dxa"/>
            <w:noWrap w:val="0"/>
            <w:vAlign w:val="top"/>
          </w:tcPr>
          <w:p>
            <w:pPr>
              <w:keepNext w:val="0"/>
              <w:keepLines w:val="0"/>
              <w:pageBreakBefore w:val="0"/>
              <w:widowControl w:val="0"/>
              <w:numPr>
                <w:ilvl w:val="0"/>
                <w:numId w:val="6"/>
              </w:numPr>
              <w:kinsoku/>
              <w:wordWrap/>
              <w:overflowPunct/>
              <w:topLinePunct w:val="0"/>
              <w:autoSpaceDE/>
              <w:autoSpaceDN/>
              <w:bidi w:val="0"/>
              <w:adjustRightInd/>
              <w:snapToGrid/>
              <w:spacing w:line="460" w:lineRule="exact"/>
              <w:textAlignment w:val="auto"/>
              <w:rPr>
                <w:rFonts w:hint="default" w:ascii="Times New Roman" w:hAnsi="Times New Roman" w:cs="Times New Roman"/>
                <w:color w:val="auto"/>
                <w:lang w:eastAsia="zh-CN"/>
              </w:rPr>
            </w:pPr>
            <w:r>
              <w:rPr>
                <w:rFonts w:hint="default" w:ascii="Times New Roman" w:hAnsi="Times New Roman" w:cs="Times New Roman"/>
                <w:color w:val="auto"/>
              </w:rPr>
              <w:t>废气：运营期废气排放执行</w:t>
            </w:r>
            <w:r>
              <w:rPr>
                <w:rFonts w:hint="default" w:ascii="Times New Roman" w:hAnsi="Times New Roman" w:cs="Times New Roman"/>
                <w:color w:val="auto"/>
                <w:lang w:eastAsia="zh-CN"/>
              </w:rPr>
              <w:t>陕西省地方标准</w:t>
            </w:r>
            <w:r>
              <w:rPr>
                <w:rFonts w:hint="default" w:ascii="Times New Roman" w:hAnsi="Times New Roman" w:cs="Times New Roman"/>
                <w:color w:val="auto"/>
              </w:rPr>
              <w:t>《</w:t>
            </w:r>
            <w:r>
              <w:rPr>
                <w:rFonts w:hint="default" w:ascii="Times New Roman" w:hAnsi="Times New Roman" w:cs="Times New Roman"/>
                <w:color w:val="auto"/>
                <w:lang w:eastAsia="zh-CN"/>
              </w:rPr>
              <w:t>挥发性有机物排放控制标准</w:t>
            </w:r>
            <w:r>
              <w:rPr>
                <w:rFonts w:hint="default" w:ascii="Times New Roman" w:hAnsi="Times New Roman" w:cs="Times New Roman"/>
                <w:color w:val="auto"/>
              </w:rPr>
              <w:t>》（</w:t>
            </w:r>
            <w:r>
              <w:rPr>
                <w:rFonts w:hint="default" w:ascii="Times New Roman" w:hAnsi="Times New Roman" w:cs="Times New Roman"/>
                <w:color w:val="auto"/>
                <w:lang w:val="en-US" w:eastAsia="zh-CN"/>
              </w:rPr>
              <w:t>DB61/T1061-2017</w:t>
            </w:r>
            <w:r>
              <w:rPr>
                <w:rFonts w:hint="default" w:ascii="Times New Roman" w:hAnsi="Times New Roman" w:cs="Times New Roman"/>
                <w:color w:val="auto"/>
              </w:rPr>
              <w:t>）</w:t>
            </w: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1</w:t>
            </w:r>
            <w:r>
              <w:rPr>
                <w:rFonts w:hint="default" w:ascii="Times New Roman" w:hAnsi="Times New Roman" w:cs="Times New Roman"/>
                <w:color w:val="auto"/>
              </w:rPr>
              <w:t>中</w:t>
            </w:r>
            <w:r>
              <w:rPr>
                <w:rFonts w:hint="default" w:ascii="Times New Roman" w:hAnsi="Times New Roman" w:cs="Times New Roman"/>
                <w:color w:val="auto"/>
                <w:lang w:eastAsia="zh-CN"/>
              </w:rPr>
              <w:t>的印刷行业的有组织排放浓度限值、表</w:t>
            </w:r>
            <w:r>
              <w:rPr>
                <w:rFonts w:hint="default" w:ascii="Times New Roman" w:hAnsi="Times New Roman" w:cs="Times New Roman"/>
                <w:color w:val="auto"/>
                <w:lang w:val="en-US" w:eastAsia="zh-CN"/>
              </w:rPr>
              <w:t>2中的厂区内监控点浓度限值和表3中的企业边界监控点浓度限值。</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221"/>
              <w:gridCol w:w="1343"/>
              <w:gridCol w:w="2454"/>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2221"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标准名称</w:t>
                  </w:r>
                </w:p>
              </w:tc>
              <w:tc>
                <w:tcPr>
                  <w:tcW w:w="1343"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污染因子</w:t>
                  </w:r>
                </w:p>
              </w:tc>
              <w:tc>
                <w:tcPr>
                  <w:tcW w:w="4268" w:type="dxa"/>
                  <w:gridSpan w:val="2"/>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2221"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c>
                <w:tcPr>
                  <w:tcW w:w="1343"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c>
                <w:tcPr>
                  <w:tcW w:w="2454"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类别</w:t>
                  </w:r>
                </w:p>
              </w:tc>
              <w:tc>
                <w:tcPr>
                  <w:tcW w:w="1814"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2221"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《挥发性有机物排放控制标准》（</w:t>
                  </w:r>
                  <w:r>
                    <w:rPr>
                      <w:rFonts w:hint="default" w:ascii="Times New Roman" w:hAnsi="Times New Roman" w:cs="Times New Roman"/>
                      <w:color w:val="auto"/>
                      <w:sz w:val="21"/>
                      <w:szCs w:val="21"/>
                      <w:vertAlign w:val="baseline"/>
                      <w:lang w:val="en-US" w:eastAsia="zh-CN"/>
                    </w:rPr>
                    <w:t>DB61/T1061-2017</w:t>
                  </w:r>
                  <w:r>
                    <w:rPr>
                      <w:rFonts w:hint="default" w:ascii="Times New Roman" w:hAnsi="Times New Roman" w:cs="Times New Roman"/>
                      <w:color w:val="auto"/>
                      <w:sz w:val="21"/>
                      <w:szCs w:val="21"/>
                      <w:vertAlign w:val="baseline"/>
                      <w:lang w:eastAsia="zh-CN"/>
                    </w:rPr>
                    <w:t>）</w:t>
                  </w:r>
                </w:p>
              </w:tc>
              <w:tc>
                <w:tcPr>
                  <w:tcW w:w="1343"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非甲烷总烃</w:t>
                  </w:r>
                </w:p>
              </w:tc>
              <w:tc>
                <w:tcPr>
                  <w:tcW w:w="2454"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边界监控点浓度限值</w:t>
                  </w:r>
                </w:p>
              </w:tc>
              <w:tc>
                <w:tcPr>
                  <w:tcW w:w="1814"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3.0mg/m</w:t>
                  </w:r>
                  <w:r>
                    <w:rPr>
                      <w:rFonts w:hint="default" w:ascii="Times New Roman" w:hAnsi="Times New Roman"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221"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c>
                <w:tcPr>
                  <w:tcW w:w="1343"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c>
                <w:tcPr>
                  <w:tcW w:w="2454"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厂区内监控点浓度限值</w:t>
                  </w:r>
                </w:p>
              </w:tc>
              <w:tc>
                <w:tcPr>
                  <w:tcW w:w="1814"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10mg/m</w:t>
                  </w:r>
                  <w:r>
                    <w:rPr>
                      <w:rFonts w:hint="default" w:ascii="Times New Roman" w:hAnsi="Times New Roman"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2221"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c>
                <w:tcPr>
                  <w:tcW w:w="1343"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c>
                <w:tcPr>
                  <w:tcW w:w="2454"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最高允许排放浓度</w:t>
                  </w:r>
                </w:p>
              </w:tc>
              <w:tc>
                <w:tcPr>
                  <w:tcW w:w="1814"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50mg/m</w:t>
                  </w:r>
                  <w:r>
                    <w:rPr>
                      <w:rFonts w:hint="default" w:ascii="Times New Roman" w:hAnsi="Times New Roman"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2221"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c>
                <w:tcPr>
                  <w:tcW w:w="1343"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c>
                <w:tcPr>
                  <w:tcW w:w="2454"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最低去除效率</w:t>
                  </w:r>
                </w:p>
              </w:tc>
              <w:tc>
                <w:tcPr>
                  <w:tcW w:w="1814"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85%</w:t>
                  </w:r>
                </w:p>
              </w:tc>
            </w:tr>
          </w:tbl>
          <w:p>
            <w:pPr>
              <w:keepNext w:val="0"/>
              <w:keepLines w:val="0"/>
              <w:pageBreakBefore w:val="0"/>
              <w:widowControl w:val="0"/>
              <w:numPr>
                <w:ilvl w:val="0"/>
                <w:numId w:val="6"/>
              </w:numPr>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运营期废水执行《污水综合排放标准》（</w:t>
            </w:r>
            <w:r>
              <w:rPr>
                <w:rFonts w:hint="default" w:ascii="Times New Roman" w:hAnsi="Times New Roman" w:cs="Times New Roman"/>
                <w:color w:val="auto"/>
                <w:lang w:val="en-US" w:eastAsia="zh-CN"/>
              </w:rPr>
              <w:t>GB8978-1996</w:t>
            </w:r>
            <w:r>
              <w:rPr>
                <w:rFonts w:hint="default" w:ascii="Times New Roman" w:hAnsi="Times New Roman" w:cs="Times New Roman"/>
                <w:color w:val="auto"/>
                <w:lang w:eastAsia="zh-CN"/>
              </w:rPr>
              <w:t>）三级标准和《污水排入城镇下水道水质标准》（</w:t>
            </w:r>
            <w:r>
              <w:rPr>
                <w:rFonts w:hint="default" w:ascii="Times New Roman" w:hAnsi="Times New Roman" w:cs="Times New Roman"/>
                <w:color w:val="auto"/>
                <w:lang w:val="en-US" w:eastAsia="zh-CN"/>
              </w:rPr>
              <w:t>GB31962-2015</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B级标准</w:t>
            </w:r>
            <w:r>
              <w:rPr>
                <w:rFonts w:hint="default" w:ascii="Times New Roman" w:hAnsi="Times New Roman" w:cs="Times New Roman"/>
                <w:color w:val="auto"/>
                <w:lang w:eastAsia="zh-CN"/>
              </w:rPr>
              <w:t>。</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020"/>
              <w:gridCol w:w="1112"/>
              <w:gridCol w:w="1566"/>
              <w:gridCol w:w="1567"/>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2020"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标准名称</w:t>
                  </w:r>
                </w:p>
              </w:tc>
              <w:tc>
                <w:tcPr>
                  <w:tcW w:w="1112"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执行标准</w:t>
                  </w:r>
                </w:p>
              </w:tc>
              <w:tc>
                <w:tcPr>
                  <w:tcW w:w="1566"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项目</w:t>
                  </w:r>
                </w:p>
              </w:tc>
              <w:tc>
                <w:tcPr>
                  <w:tcW w:w="156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标准值</w:t>
                  </w:r>
                </w:p>
              </w:tc>
              <w:tc>
                <w:tcPr>
                  <w:tcW w:w="156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2020"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《污水综合排放标准》（</w:t>
                  </w:r>
                  <w:r>
                    <w:rPr>
                      <w:rFonts w:hint="default" w:ascii="Times New Roman" w:hAnsi="Times New Roman" w:cs="Times New Roman"/>
                      <w:color w:val="auto"/>
                      <w:sz w:val="21"/>
                      <w:szCs w:val="21"/>
                      <w:vertAlign w:val="baseline"/>
                      <w:lang w:val="en-US" w:eastAsia="zh-CN"/>
                    </w:rPr>
                    <w:t>GB8978-1996</w:t>
                  </w:r>
                  <w:r>
                    <w:rPr>
                      <w:rFonts w:hint="default" w:ascii="Times New Roman" w:hAnsi="Times New Roman" w:cs="Times New Roman"/>
                      <w:color w:val="auto"/>
                      <w:sz w:val="21"/>
                      <w:szCs w:val="21"/>
                      <w:vertAlign w:val="baseline"/>
                      <w:lang w:eastAsia="zh-CN"/>
                    </w:rPr>
                    <w:t>）</w:t>
                  </w:r>
                </w:p>
              </w:tc>
              <w:tc>
                <w:tcPr>
                  <w:tcW w:w="1112"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三级</w:t>
                  </w:r>
                </w:p>
              </w:tc>
              <w:tc>
                <w:tcPr>
                  <w:tcW w:w="1566"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COD</w:t>
                  </w:r>
                </w:p>
              </w:tc>
              <w:tc>
                <w:tcPr>
                  <w:tcW w:w="156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500</w:t>
                  </w:r>
                </w:p>
              </w:tc>
              <w:tc>
                <w:tcPr>
                  <w:tcW w:w="1567" w:type="dxa"/>
                  <w:vMerge w:val="restart"/>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2020"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c>
                <w:tcPr>
                  <w:tcW w:w="1112"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c>
                <w:tcPr>
                  <w:tcW w:w="1566"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BOD</w:t>
                  </w:r>
                  <w:r>
                    <w:rPr>
                      <w:rFonts w:hint="default" w:ascii="Times New Roman" w:hAnsi="Times New Roman" w:cs="Times New Roman"/>
                      <w:color w:val="auto"/>
                      <w:sz w:val="21"/>
                      <w:szCs w:val="21"/>
                      <w:vertAlign w:val="subscript"/>
                      <w:lang w:val="en-US" w:eastAsia="zh-CN"/>
                    </w:rPr>
                    <w:t>5</w:t>
                  </w:r>
                </w:p>
              </w:tc>
              <w:tc>
                <w:tcPr>
                  <w:tcW w:w="156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300</w:t>
                  </w:r>
                </w:p>
              </w:tc>
              <w:tc>
                <w:tcPr>
                  <w:tcW w:w="156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2020"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c>
                <w:tcPr>
                  <w:tcW w:w="1112"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c>
                <w:tcPr>
                  <w:tcW w:w="1566"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SS</w:t>
                  </w:r>
                </w:p>
              </w:tc>
              <w:tc>
                <w:tcPr>
                  <w:tcW w:w="156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400</w:t>
                  </w:r>
                </w:p>
              </w:tc>
              <w:tc>
                <w:tcPr>
                  <w:tcW w:w="156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2020"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c>
                <w:tcPr>
                  <w:tcW w:w="1112"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c>
                <w:tcPr>
                  <w:tcW w:w="1566"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动植物油</w:t>
                  </w:r>
                </w:p>
              </w:tc>
              <w:tc>
                <w:tcPr>
                  <w:tcW w:w="156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100</w:t>
                  </w:r>
                </w:p>
              </w:tc>
              <w:tc>
                <w:tcPr>
                  <w:tcW w:w="156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2020"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《污水排入城镇下水道水质标准》（</w:t>
                  </w:r>
                  <w:r>
                    <w:rPr>
                      <w:rFonts w:hint="default" w:ascii="Times New Roman" w:hAnsi="Times New Roman" w:cs="Times New Roman"/>
                      <w:color w:val="auto"/>
                      <w:sz w:val="21"/>
                      <w:szCs w:val="21"/>
                      <w:vertAlign w:val="baseline"/>
                      <w:lang w:val="en-US" w:eastAsia="zh-CN"/>
                    </w:rPr>
                    <w:t>GB31962-2015</w:t>
                  </w:r>
                  <w:r>
                    <w:rPr>
                      <w:rFonts w:hint="default" w:ascii="Times New Roman" w:hAnsi="Times New Roman" w:cs="Times New Roman"/>
                      <w:color w:val="auto"/>
                      <w:sz w:val="21"/>
                      <w:szCs w:val="21"/>
                      <w:vertAlign w:val="baseline"/>
                      <w:lang w:eastAsia="zh-CN"/>
                    </w:rPr>
                    <w:t>）</w:t>
                  </w:r>
                </w:p>
              </w:tc>
              <w:tc>
                <w:tcPr>
                  <w:tcW w:w="1112"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B级</w:t>
                  </w:r>
                </w:p>
              </w:tc>
              <w:tc>
                <w:tcPr>
                  <w:tcW w:w="1566"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氨氮</w:t>
                  </w:r>
                </w:p>
              </w:tc>
              <w:tc>
                <w:tcPr>
                  <w:tcW w:w="1567" w:type="dxa"/>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45</w:t>
                  </w:r>
                </w:p>
              </w:tc>
              <w:tc>
                <w:tcPr>
                  <w:tcW w:w="1567" w:type="dxa"/>
                  <w:vMerge w:val="continue"/>
                  <w:noWrap w:val="0"/>
                  <w:vAlign w:val="center"/>
                </w:tcPr>
                <w:p>
                  <w:pPr>
                    <w:pStyle w:val="97"/>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vertAlign w:val="baseline"/>
                      <w:lang w:eastAsia="zh-CN"/>
                    </w:rPr>
                  </w:pPr>
                </w:p>
              </w:tc>
            </w:tr>
          </w:tbl>
          <w:p>
            <w:pPr>
              <w:keepNext w:val="0"/>
              <w:keepLines w:val="0"/>
              <w:pageBreakBefore w:val="0"/>
              <w:widowControl w:val="0"/>
              <w:numPr>
                <w:ilvl w:val="0"/>
                <w:numId w:val="6"/>
              </w:numPr>
              <w:kinsoku/>
              <w:wordWrap/>
              <w:overflowPunct/>
              <w:topLinePunct w:val="0"/>
              <w:autoSpaceDE/>
              <w:autoSpaceDN/>
              <w:bidi w:val="0"/>
              <w:adjustRightInd/>
              <w:snapToGrid/>
              <w:spacing w:line="460" w:lineRule="exact"/>
              <w:ind w:left="0" w:leftChars="0"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rPr>
              <w:t>噪声：运营期噪声执行《工业企业厂界环境噪声排放标准》（GB12348-2008）中</w:t>
            </w:r>
            <w:r>
              <w:rPr>
                <w:rFonts w:hint="default" w:ascii="Times New Roman" w:hAnsi="Times New Roman" w:cs="Times New Roman"/>
                <w:color w:val="auto"/>
                <w:lang w:val="en-US" w:eastAsia="zh-CN"/>
              </w:rPr>
              <w:t>2</w:t>
            </w:r>
            <w:r>
              <w:rPr>
                <w:rFonts w:hint="default" w:ascii="Times New Roman" w:hAnsi="Times New Roman" w:cs="Times New Roman"/>
                <w:color w:val="auto"/>
              </w:rPr>
              <w:t>类标准</w:t>
            </w:r>
            <w:r>
              <w:rPr>
                <w:rFonts w:hint="default" w:ascii="Times New Roman" w:hAnsi="Times New Roman" w:cs="Times New Roman"/>
                <w:color w:val="auto"/>
                <w:lang w:eastAsia="zh-CN"/>
              </w:rPr>
              <w:t>。</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5"/>
              <w:gridCol w:w="1111"/>
              <w:gridCol w:w="1157"/>
              <w:gridCol w:w="1096"/>
              <w:gridCol w:w="664"/>
              <w:gridCol w:w="508"/>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标准名称</w:t>
                  </w:r>
                </w:p>
              </w:tc>
              <w:tc>
                <w:tcPr>
                  <w:tcW w:w="11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执行标准</w:t>
                  </w:r>
                </w:p>
              </w:tc>
              <w:tc>
                <w:tcPr>
                  <w:tcW w:w="11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执行范围</w:t>
                  </w:r>
                </w:p>
              </w:tc>
              <w:tc>
                <w:tcPr>
                  <w:tcW w:w="10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项目</w:t>
                  </w:r>
                </w:p>
              </w:tc>
              <w:tc>
                <w:tcPr>
                  <w:tcW w:w="117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vertAlign w:val="baseline"/>
                    </w:rPr>
                  </w:pPr>
                  <w:r>
                    <w:rPr>
                      <w:rFonts w:hint="default" w:ascii="Times New Roman" w:hAnsi="Times New Roman" w:cs="Times New Roman"/>
                      <w:b w:val="0"/>
                      <w:bCs/>
                      <w:color w:val="auto"/>
                      <w:sz w:val="21"/>
                      <w:szCs w:val="21"/>
                      <w:vertAlign w:val="baseline"/>
                      <w:lang w:eastAsia="zh-CN"/>
                    </w:rPr>
                    <w:t>标准值</w:t>
                  </w:r>
                </w:p>
              </w:tc>
              <w:tc>
                <w:tcPr>
                  <w:tcW w:w="9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vertAlign w:val="baseline"/>
                    </w:rPr>
                  </w:pPr>
                  <w:r>
                    <w:rPr>
                      <w:rFonts w:hint="default" w:ascii="Times New Roman" w:hAnsi="Times New Roman" w:cs="Times New Roman"/>
                      <w:b w:val="0"/>
                      <w:bCs/>
                      <w:color w:val="auto"/>
                      <w:sz w:val="21"/>
                      <w:szCs w:val="21"/>
                      <w:vertAlign w:val="baseline"/>
                    </w:rPr>
                    <w:t>《工业企业厂界环境噪声排放标准》（GB12348-2008）</w:t>
                  </w:r>
                </w:p>
              </w:tc>
              <w:tc>
                <w:tcPr>
                  <w:tcW w:w="111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2类</w:t>
                  </w:r>
                </w:p>
              </w:tc>
              <w:tc>
                <w:tcPr>
                  <w:tcW w:w="115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厂界</w:t>
                  </w:r>
                </w:p>
              </w:tc>
              <w:tc>
                <w:tcPr>
                  <w:tcW w:w="109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eastAsia="zh-CN"/>
                    </w:rPr>
                    <w:t>等效声级</w:t>
                  </w:r>
                  <w:r>
                    <w:rPr>
                      <w:rFonts w:hint="default" w:ascii="Times New Roman" w:hAnsi="Times New Roman" w:cs="Times New Roman"/>
                      <w:b w:val="0"/>
                      <w:bCs/>
                      <w:color w:val="auto"/>
                      <w:sz w:val="21"/>
                      <w:szCs w:val="21"/>
                      <w:vertAlign w:val="baseline"/>
                      <w:lang w:val="en-US" w:eastAsia="zh-CN"/>
                    </w:rPr>
                    <w:t>Leq</w:t>
                  </w:r>
                </w:p>
              </w:tc>
              <w:tc>
                <w:tcPr>
                  <w:tcW w:w="6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昼间</w:t>
                  </w:r>
                </w:p>
              </w:tc>
              <w:tc>
                <w:tcPr>
                  <w:tcW w:w="5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60</w:t>
                  </w:r>
                </w:p>
              </w:tc>
              <w:tc>
                <w:tcPr>
                  <w:tcW w:w="95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vertAlign w:val="baseline"/>
                    </w:rPr>
                  </w:pPr>
                </w:p>
              </w:tc>
              <w:tc>
                <w:tcPr>
                  <w:tcW w:w="111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vertAlign w:val="baseline"/>
                    </w:rPr>
                  </w:pPr>
                </w:p>
              </w:tc>
              <w:tc>
                <w:tcPr>
                  <w:tcW w:w="115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vertAlign w:val="baseline"/>
                    </w:rPr>
                  </w:pPr>
                </w:p>
              </w:tc>
              <w:tc>
                <w:tcPr>
                  <w:tcW w:w="109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vertAlign w:val="baseline"/>
                    </w:rPr>
                  </w:pPr>
                </w:p>
              </w:tc>
              <w:tc>
                <w:tcPr>
                  <w:tcW w:w="6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夜间</w:t>
                  </w:r>
                </w:p>
              </w:tc>
              <w:tc>
                <w:tcPr>
                  <w:tcW w:w="5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50</w:t>
                  </w:r>
                </w:p>
              </w:tc>
              <w:tc>
                <w:tcPr>
                  <w:tcW w:w="95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vertAlign w:val="baseline"/>
                    </w:rPr>
                  </w:pPr>
                </w:p>
              </w:tc>
            </w:tr>
          </w:tbl>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cs="Times New Roman"/>
                <w:color w:val="auto"/>
              </w:rPr>
            </w:pPr>
            <w:r>
              <w:rPr>
                <w:rFonts w:hint="default" w:ascii="Times New Roman" w:hAnsi="Times New Roman" w:cs="Times New Roman"/>
                <w:color w:val="auto"/>
              </w:rPr>
              <w:t>4、固体废物：固体废物一般固体废物执行《一般工业固体废物贮存、处置场污染控制标准》（GB18599-2001）及其2013年修改单规定；危险废弃物执行《危险废物贮存污染控制标准》（GB18597-2001）及其2013年修改单规定。</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cs="Times New Roman"/>
                <w:b/>
                <w:color w:val="auto"/>
              </w:rPr>
            </w:pPr>
            <w:r>
              <w:rPr>
                <w:rFonts w:hint="default" w:ascii="Times New Roman" w:hAnsi="Times New Roman" w:cs="Times New Roman"/>
                <w:color w:val="auto"/>
              </w:rPr>
              <w:t>5、其他要求评价按国家有关规定执行。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4" w:type="dxa"/>
            <w:noWrap w:val="0"/>
            <w:vAlign w:val="center"/>
          </w:tcPr>
          <w:p>
            <w:pPr>
              <w:pStyle w:val="7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 量 控 制 指 标</w:t>
            </w:r>
          </w:p>
        </w:tc>
        <w:tc>
          <w:tcPr>
            <w:tcW w:w="8058"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cs="Times New Roman"/>
                <w:color w:val="auto"/>
              </w:rPr>
            </w:pPr>
            <w:r>
              <w:rPr>
                <w:rFonts w:hint="default" w:ascii="Times New Roman" w:hAnsi="Times New Roman" w:cs="Times New Roman"/>
                <w:color w:val="auto"/>
              </w:rPr>
              <w:t>根据关于印发《</w:t>
            </w:r>
            <w:r>
              <w:rPr>
                <w:rFonts w:hint="default" w:ascii="Times New Roman" w:hAnsi="Times New Roman" w:eastAsia="宋体" w:cs="Times New Roman"/>
                <w:color w:val="auto"/>
              </w:rPr>
              <w:t>“十三五”主</w:t>
            </w:r>
            <w:r>
              <w:rPr>
                <w:rFonts w:hint="default" w:ascii="Times New Roman" w:hAnsi="Times New Roman" w:cs="Times New Roman"/>
                <w:color w:val="auto"/>
              </w:rPr>
              <w:t>要污染物总量控制规划编制技术指南》的通知（环办）[2015]97号）和《国务院关于印发大气污染防治行动计划的通知》（国发[2013]37号）：</w:t>
            </w:r>
            <w:r>
              <w:rPr>
                <w:rFonts w:hint="default" w:ascii="Times New Roman" w:hAnsi="Times New Roman" w:eastAsia="宋体" w:cs="Times New Roman"/>
                <w:color w:val="auto"/>
              </w:rPr>
              <w:t>“十三五”</w:t>
            </w:r>
            <w:r>
              <w:rPr>
                <w:rFonts w:hint="default" w:ascii="Times New Roman" w:hAnsi="Times New Roman" w:cs="Times New Roman"/>
                <w:color w:val="auto"/>
              </w:rPr>
              <w:t>期间国家对COD、氨氮、SO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X</w:t>
            </w:r>
            <w:r>
              <w:rPr>
                <w:rFonts w:hint="default" w:ascii="Times New Roman" w:hAnsi="Times New Roman" w:cs="Times New Roman"/>
                <w:color w:val="auto"/>
              </w:rPr>
              <w:t>及挥发性有机物等主要污染物实行排放总量控制计划管理</w:t>
            </w:r>
            <w:r>
              <w:rPr>
                <w:rFonts w:hint="default" w:ascii="Times New Roman" w:hAnsi="Times New Roman" w:cs="Times New Roman"/>
                <w:color w:val="auto"/>
                <w:lang w:val="en-US" w:eastAsia="zh-CN"/>
              </w:rPr>
              <w:t>。</w:t>
            </w:r>
            <w:r>
              <w:rPr>
                <w:rFonts w:hint="default" w:ascii="Times New Roman" w:hAnsi="Times New Roman" w:cs="Times New Roman"/>
                <w:color w:val="auto"/>
              </w:rPr>
              <w:t>结合本项目的实际情况，评价最终得出建议总量控制指标为：</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cs="Times New Roman"/>
                <w:color w:val="auto"/>
              </w:rPr>
            </w:pPr>
            <w:r>
              <w:rPr>
                <w:rFonts w:hint="default" w:ascii="Times New Roman" w:hAnsi="Times New Roman" w:cs="Times New Roman"/>
                <w:color w:val="auto"/>
                <w:lang w:eastAsia="zh-CN"/>
              </w:rPr>
              <w:t>废气：</w:t>
            </w:r>
            <w:r>
              <w:rPr>
                <w:rFonts w:hint="default" w:ascii="Times New Roman" w:hAnsi="Times New Roman" w:cs="Times New Roman"/>
                <w:color w:val="auto"/>
              </w:rPr>
              <w:t>VOCs：</w:t>
            </w:r>
            <w:r>
              <w:rPr>
                <w:rFonts w:hint="default" w:ascii="Times New Roman" w:hAnsi="Times New Roman" w:cs="Times New Roman"/>
                <w:color w:val="auto"/>
                <w:lang w:val="en-US" w:eastAsia="zh-CN"/>
              </w:rPr>
              <w:t>0.</w:t>
            </w:r>
            <w:r>
              <w:rPr>
                <w:rFonts w:hint="eastAsia" w:ascii="Times New Roman" w:hAnsi="Times New Roman" w:cs="Times New Roman"/>
                <w:color w:val="auto"/>
                <w:lang w:val="en-US" w:eastAsia="zh-CN"/>
              </w:rPr>
              <w:t>34</w:t>
            </w:r>
            <w:r>
              <w:rPr>
                <w:rFonts w:hint="default" w:ascii="Times New Roman" w:hAnsi="Times New Roman" w:cs="Times New Roman"/>
                <w:color w:val="auto"/>
              </w:rPr>
              <w:t>t/a；</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废水：</w:t>
            </w:r>
            <w:r>
              <w:rPr>
                <w:rFonts w:hint="default" w:ascii="Times New Roman" w:hAnsi="Times New Roman" w:cs="Times New Roman"/>
                <w:color w:val="auto"/>
                <w:lang w:val="en-US" w:eastAsia="zh-CN"/>
              </w:rPr>
              <w:t>COD：0.27t/a；氨氮：0.023t/a；</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cs="Times New Roman"/>
                <w:snapToGrid w:val="0"/>
                <w:color w:val="auto"/>
                <w:kern w:val="18"/>
              </w:rPr>
            </w:pPr>
            <w:r>
              <w:rPr>
                <w:rFonts w:hint="default" w:ascii="Times New Roman" w:hAnsi="Times New Roman" w:cs="Times New Roman"/>
                <w:color w:val="auto"/>
              </w:rPr>
              <w:t>排放总量最终以环保行政主管部门批复为准。</w:t>
            </w:r>
          </w:p>
        </w:tc>
      </w:tr>
    </w:tbl>
    <w:p>
      <w:pPr>
        <w:pStyle w:val="3"/>
        <w:numPr>
          <w:ilvl w:val="0"/>
          <w:numId w:val="0"/>
        </w:numPr>
        <w:tabs>
          <w:tab w:val="left" w:pos="3840"/>
        </w:tabs>
        <w:spacing w:before="163"/>
        <w:ind w:left="420" w:leftChars="0"/>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建设项目工程分析</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8" w:type="dxa"/>
            <w:noWrap w:val="0"/>
            <w:vAlign w:val="top"/>
          </w:tcPr>
          <w:p>
            <w:pPr>
              <w:pStyle w:val="4"/>
              <w:adjustRightInd/>
              <w:snapToGrid/>
              <w:spacing w:beforeLines="0" w:afterLines="0"/>
              <w:rPr>
                <w:rFonts w:hint="default" w:ascii="Times New Roman" w:hAnsi="Times New Roman" w:cs="Times New Roman"/>
                <w:color w:val="auto"/>
              </w:rPr>
            </w:pPr>
            <w:r>
              <w:rPr>
                <w:rFonts w:hint="default" w:ascii="Times New Roman" w:hAnsi="Times New Roman" w:cs="Times New Roman"/>
                <w:color w:val="auto"/>
              </w:rPr>
              <w:t>一、工艺流程及产污环节简述：</w:t>
            </w:r>
          </w:p>
          <w:p>
            <w:pPr>
              <w:rPr>
                <w:rFonts w:hint="default" w:ascii="Times New Roman" w:hAnsi="Times New Roman" w:cs="Times New Roman"/>
                <w:b/>
                <w:bCs/>
                <w:color w:val="auto"/>
              </w:rPr>
            </w:pPr>
            <w:r>
              <w:rPr>
                <w:rFonts w:hint="default" w:ascii="Times New Roman" w:hAnsi="Times New Roman" w:cs="Times New Roman"/>
                <w:b/>
                <w:bCs/>
                <w:color w:val="auto"/>
              </w:rPr>
              <w:t>1、施工期工艺流程</w:t>
            </w:r>
          </w:p>
          <w:p>
            <w:pPr>
              <w:spacing w:line="500" w:lineRule="exact"/>
              <w:ind w:firstLine="480" w:firstLineChars="200"/>
              <w:rPr>
                <w:rFonts w:hint="default" w:ascii="Times New Roman" w:hAnsi="Times New Roman" w:cs="Times New Roman"/>
                <w:bCs/>
                <w:color w:val="auto"/>
                <w:sz w:val="24"/>
                <w:szCs w:val="24"/>
                <w:lang w:eastAsia="zh-CN"/>
              </w:rPr>
            </w:pPr>
            <w:r>
              <w:rPr>
                <w:rFonts w:hint="default" w:ascii="Times New Roman" w:hAnsi="Times New Roman" w:cs="Times New Roman"/>
                <w:color w:val="auto"/>
                <w:lang w:eastAsia="zh-CN"/>
              </w:rPr>
              <w:t>根据现场踏勘可知，</w:t>
            </w:r>
            <w:r>
              <w:rPr>
                <w:rFonts w:hint="default" w:ascii="Times New Roman" w:hAnsi="Times New Roman" w:cs="Times New Roman"/>
                <w:color w:val="auto"/>
              </w:rPr>
              <w:t>本项目</w:t>
            </w:r>
            <w:r>
              <w:rPr>
                <w:rFonts w:hint="default" w:ascii="Times New Roman" w:hAnsi="Times New Roman" w:cs="Times New Roman"/>
                <w:color w:val="auto"/>
                <w:lang w:eastAsia="zh-CN"/>
              </w:rPr>
              <w:t>厂房</w:t>
            </w:r>
            <w:r>
              <w:rPr>
                <w:rFonts w:hint="default" w:ascii="Times New Roman" w:hAnsi="Times New Roman" w:cs="Times New Roman"/>
                <w:color w:val="auto"/>
              </w:rPr>
              <w:t>已建成，</w:t>
            </w:r>
            <w:r>
              <w:rPr>
                <w:rFonts w:hint="default" w:ascii="Times New Roman" w:hAnsi="Times New Roman" w:cs="Times New Roman"/>
                <w:bCs/>
                <w:color w:val="auto"/>
                <w:sz w:val="24"/>
                <w:szCs w:val="24"/>
                <w:lang w:eastAsia="zh-CN"/>
              </w:rPr>
              <w:t>施工期已结束，无周围居民投诉情况，本次不再对施工期进行评价。</w:t>
            </w:r>
          </w:p>
          <w:p>
            <w:pPr>
              <w:jc w:val="left"/>
              <w:outlineLvl w:val="1"/>
              <w:rPr>
                <w:rFonts w:hint="default" w:ascii="Times New Roman" w:hAnsi="Times New Roman" w:cs="Times New Roman"/>
                <w:b/>
                <w:bCs/>
                <w:color w:val="auto"/>
              </w:rPr>
            </w:pPr>
            <w:r>
              <w:rPr>
                <w:rFonts w:hint="default" w:ascii="Times New Roman" w:hAnsi="Times New Roman" w:cs="Times New Roman"/>
                <w:b/>
                <w:bCs/>
                <w:color w:val="auto"/>
              </w:rPr>
              <w:t>2、运营期工程分析</w:t>
            </w:r>
          </w:p>
          <w:p>
            <w:pPr>
              <w:jc w:val="left"/>
              <w:rPr>
                <w:rFonts w:hint="default" w:ascii="Times New Roman" w:hAnsi="Times New Roman" w:cs="Times New Roman"/>
                <w:color w:val="auto"/>
              </w:rPr>
            </w:pPr>
            <w:r>
              <w:rPr>
                <w:rFonts w:hint="default" w:ascii="Times New Roman" w:hAnsi="Times New Roman" w:cs="Times New Roman"/>
                <w:color w:val="auto"/>
              </w:rPr>
              <w:t>本项目运营期</w:t>
            </w:r>
            <w:r>
              <w:rPr>
                <w:rFonts w:hint="default" w:ascii="Times New Roman" w:hAnsi="Times New Roman" w:cs="Times New Roman"/>
                <w:color w:val="auto"/>
                <w:lang w:eastAsia="zh-CN"/>
              </w:rPr>
              <w:t>主要生产蛋糕盒、手提袋、西点盒等产品，采用的原材料种类和工艺流程均一致，不同之处在于所使用的原材料的比例不一致。运营期工艺流程及简述如下：</w:t>
            </w:r>
          </w:p>
          <w:p>
            <w:pPr>
              <w:pStyle w:val="4"/>
              <w:rPr>
                <w:rFonts w:hint="default" w:ascii="Times New Roman" w:hAnsi="Times New Roman" w:eastAsia="宋体" w:cs="Times New Roman"/>
                <w:color w:val="auto"/>
                <w:lang w:eastAsia="zh-CN"/>
              </w:rPr>
            </w:pPr>
            <w:r>
              <w:rPr>
                <w:rFonts w:hint="default" w:ascii="Times New Roman" w:hAnsi="Times New Roman" w:cs="Times New Roman"/>
                <w:color w:val="auto"/>
                <w:sz w:val="28"/>
              </w:rPr>
              <mc:AlternateContent>
                <mc:Choice Requires="wps">
                  <w:drawing>
                    <wp:anchor distT="0" distB="0" distL="114300" distR="114300" simplePos="0" relativeHeight="251673600" behindDoc="0" locked="0" layoutInCell="1" allowOverlap="1">
                      <wp:simplePos x="0" y="0"/>
                      <wp:positionH relativeFrom="column">
                        <wp:posOffset>5099685</wp:posOffset>
                      </wp:positionH>
                      <wp:positionV relativeFrom="paragraph">
                        <wp:posOffset>368935</wp:posOffset>
                      </wp:positionV>
                      <wp:extent cx="0" cy="200025"/>
                      <wp:effectExtent l="52070" t="0" r="62230" b="3175"/>
                      <wp:wrapNone/>
                      <wp:docPr id="54" name="自选图形 2"/>
                      <wp:cNvGraphicFramePr/>
                      <a:graphic xmlns:a="http://schemas.openxmlformats.org/drawingml/2006/main">
                        <a:graphicData uri="http://schemas.microsoft.com/office/word/2010/wordprocessingShape">
                          <wps:wsp>
                            <wps:cNvCnPr/>
                            <wps:spPr>
                              <a:xfrm flipV="1">
                                <a:off x="0" y="0"/>
                                <a:ext cx="0" cy="200025"/>
                              </a:xfrm>
                              <a:prstGeom prst="straightConnector1">
                                <a:avLst/>
                              </a:prstGeom>
                              <a:ln w="15875" cap="flat" cmpd="sng">
                                <a:solidFill>
                                  <a:srgbClr val="000000"/>
                                </a:solidFill>
                                <a:prstDash val="dash"/>
                                <a:headEnd type="none" w="med" len="med"/>
                                <a:tailEnd type="arrow" w="med" len="med"/>
                              </a:ln>
                            </wps:spPr>
                            <wps:bodyPr/>
                          </wps:wsp>
                        </a:graphicData>
                      </a:graphic>
                    </wp:anchor>
                  </w:drawing>
                </mc:Choice>
                <mc:Fallback>
                  <w:pict>
                    <v:shape id="自选图形 2" o:spid="_x0000_s1026" o:spt="32" type="#_x0000_t32" style="position:absolute;left:0pt;flip:y;margin-left:401.55pt;margin-top:29.05pt;height:15.75pt;width:0pt;z-index:251673600;mso-width-relative:page;mso-height-relative:page;" filled="f" stroked="t" coordsize="21600,21600" o:gfxdata="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rSTHWAAAACQEAAA8AAAAAAAAAAQAgAAAAIgAAAGRycy9kb3ducmV2&#10;LnhtbFBLAQIUABQAAAAIAIdO4kB/9Lwf/gEAAO4DAAAOAAAAAAAAAAEAIAAAACUBAABkcnMvZTJv&#10;RG9jLnhtbFBLBQYAAAAABgAGAFkBAACVBQAAAAA=&#10;">
                      <v:fill on="f" focussize="0,0"/>
                      <v:stroke weight="1.25pt" color="#000000" joinstyle="round" dashstyle="dash" endarrow="open"/>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68480" behindDoc="0" locked="0" layoutInCell="1" allowOverlap="1">
                      <wp:simplePos x="0" y="0"/>
                      <wp:positionH relativeFrom="column">
                        <wp:posOffset>4573905</wp:posOffset>
                      </wp:positionH>
                      <wp:positionV relativeFrom="paragraph">
                        <wp:posOffset>718820</wp:posOffset>
                      </wp:positionV>
                      <wp:extent cx="215900" cy="635"/>
                      <wp:effectExtent l="0" t="52070" r="0" b="61595"/>
                      <wp:wrapNone/>
                      <wp:docPr id="49" name="自选图形 39715"/>
                      <wp:cNvGraphicFramePr/>
                      <a:graphic xmlns:a="http://schemas.openxmlformats.org/drawingml/2006/main">
                        <a:graphicData uri="http://schemas.microsoft.com/office/word/2010/wordprocessingShape">
                          <wps:wsp>
                            <wps:cNvCnPr/>
                            <wps:spPr>
                              <a:xfrm flipV="1">
                                <a:off x="0" y="0"/>
                                <a:ext cx="215900" cy="635"/>
                              </a:xfrm>
                              <a:prstGeom prst="straightConnector1">
                                <a:avLst/>
                              </a:prstGeom>
                              <a:ln w="15875" cap="flat" cmpd="sng">
                                <a:solidFill>
                                  <a:srgbClr val="000000"/>
                                </a:solidFill>
                                <a:prstDash val="solid"/>
                                <a:headEnd type="none" w="med" len="med"/>
                                <a:tailEnd type="arrow" w="med" len="med"/>
                              </a:ln>
                            </wps:spPr>
                            <wps:bodyPr/>
                          </wps:wsp>
                        </a:graphicData>
                      </a:graphic>
                    </wp:anchor>
                  </w:drawing>
                </mc:Choice>
                <mc:Fallback>
                  <w:pict>
                    <v:shape id="自选图形 39715" o:spid="_x0000_s1026" o:spt="32" type="#_x0000_t32" style="position:absolute;left:0pt;flip:y;margin-left:360.15pt;margin-top:56.6pt;height:0.05pt;width:17pt;z-index:251668480;mso-width-relative:page;mso-height-relative:page;" filled="f" stroked="t" coordsize="21600,21600" o:gfxdata="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kXBcJ2AAAAAsBAAAPAAAAAAAAAAEAIAAAACIA&#10;AABkcnMvZG93bnJldi54bWxQSwECFAAUAAAACACHTuJAOhYT2AkCAAD1AwAADgAAAAAAAAABACAA&#10;AAAnAQAAZHJzL2Uyb0RvYy54bWxQSwUGAAAAAAYABgBZAQAAogUAAAAA&#10;">
                      <v:fill on="f" focussize="0,0"/>
                      <v:stroke weight="1.25pt" color="#000000" joinstyle="round" endarrow="open"/>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69504" behindDoc="0" locked="0" layoutInCell="1" allowOverlap="1">
                      <wp:simplePos x="0" y="0"/>
                      <wp:positionH relativeFrom="column">
                        <wp:posOffset>3289935</wp:posOffset>
                      </wp:positionH>
                      <wp:positionV relativeFrom="paragraph">
                        <wp:posOffset>368935</wp:posOffset>
                      </wp:positionV>
                      <wp:extent cx="0" cy="200025"/>
                      <wp:effectExtent l="52070" t="0" r="62230" b="3175"/>
                      <wp:wrapNone/>
                      <wp:docPr id="50" name="自选图形 69"/>
                      <wp:cNvGraphicFramePr/>
                      <a:graphic xmlns:a="http://schemas.openxmlformats.org/drawingml/2006/main">
                        <a:graphicData uri="http://schemas.microsoft.com/office/word/2010/wordprocessingShape">
                          <wps:wsp>
                            <wps:cNvCnPr/>
                            <wps:spPr>
                              <a:xfrm flipV="1">
                                <a:off x="0" y="0"/>
                                <a:ext cx="0" cy="200025"/>
                              </a:xfrm>
                              <a:prstGeom prst="straightConnector1">
                                <a:avLst/>
                              </a:prstGeom>
                              <a:ln w="15875" cap="flat" cmpd="sng">
                                <a:solidFill>
                                  <a:srgbClr val="000000"/>
                                </a:solidFill>
                                <a:prstDash val="dash"/>
                                <a:headEnd type="none" w="med" len="med"/>
                                <a:tailEnd type="arrow" w="med" len="med"/>
                              </a:ln>
                            </wps:spPr>
                            <wps:bodyPr/>
                          </wps:wsp>
                        </a:graphicData>
                      </a:graphic>
                    </wp:anchor>
                  </w:drawing>
                </mc:Choice>
                <mc:Fallback>
                  <w:pict>
                    <v:shape id="自选图形 69" o:spid="_x0000_s1026" o:spt="32" type="#_x0000_t32" style="position:absolute;left:0pt;flip:y;margin-left:259.05pt;margin-top:29.05pt;height:15.75pt;width:0pt;z-index:251669504;mso-width-relative:page;mso-height-relative:page;" filled="f" stroked="t" coordsize="21600,21600" o:gfxdata="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74ge1gAAAAkBAAAPAAAAAAAAAAEAIAAAACIAAABkcnMvZG93bnJl&#10;di54bWxQSwECFAAUAAAACACHTuJAKx9ZtP8BAADvAwAADgAAAAAAAAABACAAAAAlAQAAZHJzL2Uy&#10;b0RvYy54bWxQSwUGAAAAAAYABgBZAQAAlgUAAAAA&#10;">
                      <v:fill on="f" focussize="0,0"/>
                      <v:stroke weight="1.25pt" color="#000000" joinstyle="round" dashstyle="dash" endarrow="open"/>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63360" behindDoc="0" locked="0" layoutInCell="1" allowOverlap="1">
                      <wp:simplePos x="0" y="0"/>
                      <wp:positionH relativeFrom="column">
                        <wp:posOffset>1699260</wp:posOffset>
                      </wp:positionH>
                      <wp:positionV relativeFrom="paragraph">
                        <wp:posOffset>378460</wp:posOffset>
                      </wp:positionV>
                      <wp:extent cx="0" cy="200025"/>
                      <wp:effectExtent l="52070" t="0" r="62230" b="3175"/>
                      <wp:wrapNone/>
                      <wp:docPr id="44" name="自选图形 27"/>
                      <wp:cNvGraphicFramePr/>
                      <a:graphic xmlns:a="http://schemas.openxmlformats.org/drawingml/2006/main">
                        <a:graphicData uri="http://schemas.microsoft.com/office/word/2010/wordprocessingShape">
                          <wps:wsp>
                            <wps:cNvCnPr/>
                            <wps:spPr>
                              <a:xfrm flipV="1">
                                <a:off x="0" y="0"/>
                                <a:ext cx="0" cy="200025"/>
                              </a:xfrm>
                              <a:prstGeom prst="straightConnector1">
                                <a:avLst/>
                              </a:prstGeom>
                              <a:ln w="15875" cap="flat" cmpd="sng">
                                <a:solidFill>
                                  <a:srgbClr val="000000"/>
                                </a:solidFill>
                                <a:prstDash val="dash"/>
                                <a:headEnd type="none" w="med" len="med"/>
                                <a:tailEnd type="arrow" w="med" len="med"/>
                              </a:ln>
                            </wps:spPr>
                            <wps:bodyPr/>
                          </wps:wsp>
                        </a:graphicData>
                      </a:graphic>
                    </wp:anchor>
                  </w:drawing>
                </mc:Choice>
                <mc:Fallback>
                  <w:pict>
                    <v:shape id="自选图形 27" o:spid="_x0000_s1026" o:spt="32" type="#_x0000_t32" style="position:absolute;left:0pt;flip:y;margin-left:133.8pt;margin-top:29.8pt;height:15.75pt;width:0pt;z-index:251663360;mso-width-relative:page;mso-height-relative:page;" filled="f" stroked="t" coordsize="21600,21600" o:gfxdata="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Qn7WHXAAAACQEAAA8AAAAAAAAAAQAgAAAAIgAAAGRycy9kb3du&#10;cmV2LnhtbFBLAQIUABQAAAAIAIdO4kCKGQfSAAIAAO8DAAAOAAAAAAAAAAEAIAAAACYBAABkcnMv&#10;ZTJvRG9jLnhtbFBLBQYAAAAABgAGAFkBAACYBQAAAAA=&#10;">
                      <v:fill on="f" focussize="0,0"/>
                      <v:stroke weight="1.25pt" color="#000000" joinstyle="round" dashstyle="dash" endarrow="open"/>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66432" behindDoc="0" locked="0" layoutInCell="1" allowOverlap="1">
                      <wp:simplePos x="0" y="0"/>
                      <wp:positionH relativeFrom="column">
                        <wp:posOffset>3799205</wp:posOffset>
                      </wp:positionH>
                      <wp:positionV relativeFrom="paragraph">
                        <wp:posOffset>729615</wp:posOffset>
                      </wp:positionV>
                      <wp:extent cx="238760" cy="5080"/>
                      <wp:effectExtent l="0" t="49530" r="2540" b="59690"/>
                      <wp:wrapNone/>
                      <wp:docPr id="47" name="自选图形 39715"/>
                      <wp:cNvGraphicFramePr/>
                      <a:graphic xmlns:a="http://schemas.openxmlformats.org/drawingml/2006/main">
                        <a:graphicData uri="http://schemas.microsoft.com/office/word/2010/wordprocessingShape">
                          <wps:wsp>
                            <wps:cNvCnPr/>
                            <wps:spPr>
                              <a:xfrm>
                                <a:off x="0" y="0"/>
                                <a:ext cx="238760" cy="5080"/>
                              </a:xfrm>
                              <a:prstGeom prst="straightConnector1">
                                <a:avLst/>
                              </a:prstGeom>
                              <a:ln w="15875" cap="flat" cmpd="sng">
                                <a:solidFill>
                                  <a:srgbClr val="000000"/>
                                </a:solidFill>
                                <a:prstDash val="solid"/>
                                <a:headEnd type="none" w="med" len="med"/>
                                <a:tailEnd type="arrow" w="med" len="med"/>
                              </a:ln>
                            </wps:spPr>
                            <wps:bodyPr/>
                          </wps:wsp>
                        </a:graphicData>
                      </a:graphic>
                    </wp:anchor>
                  </w:drawing>
                </mc:Choice>
                <mc:Fallback>
                  <w:pict>
                    <v:shape id="自选图形 39715" o:spid="_x0000_s1026" o:spt="32" type="#_x0000_t32" style="position:absolute;left:0pt;margin-left:299.15pt;margin-top:57.45pt;height:0.4pt;width:18.8pt;z-index:251666432;mso-width-relative:page;mso-height-relative:page;" filled="f" stroked="t" coordsize="21600,21600" o:gfxdata="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Sv1F2AAAAAsBAAAPAAAAAAAAAAEAIAAAACIAAABkcnMv&#10;ZG93bnJldi54bWxQSwECFAAUAAAACACHTuJAWFjx2AMCAADsAwAADgAAAAAAAAABACAAAAAnAQAA&#10;ZHJzL2Uyb0RvYy54bWxQSwUGAAAAAAYABgBZAQAAnAUAAAAA&#10;">
                      <v:fill on="f" focussize="0,0"/>
                      <v:stroke weight="1.25pt" color="#000000" joinstyle="round" endarrow="open"/>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70528" behindDoc="0" locked="0" layoutInCell="1" allowOverlap="1">
                      <wp:simplePos x="0" y="0"/>
                      <wp:positionH relativeFrom="column">
                        <wp:posOffset>965835</wp:posOffset>
                      </wp:positionH>
                      <wp:positionV relativeFrom="paragraph">
                        <wp:posOffset>387985</wp:posOffset>
                      </wp:positionV>
                      <wp:extent cx="0" cy="200025"/>
                      <wp:effectExtent l="52070" t="0" r="62230" b="3175"/>
                      <wp:wrapNone/>
                      <wp:docPr id="51" name="自选图形 6"/>
                      <wp:cNvGraphicFramePr/>
                      <a:graphic xmlns:a="http://schemas.openxmlformats.org/drawingml/2006/main">
                        <a:graphicData uri="http://schemas.microsoft.com/office/word/2010/wordprocessingShape">
                          <wps:wsp>
                            <wps:cNvCnPr/>
                            <wps:spPr>
                              <a:xfrm flipV="1">
                                <a:off x="0" y="0"/>
                                <a:ext cx="0" cy="200025"/>
                              </a:xfrm>
                              <a:prstGeom prst="straightConnector1">
                                <a:avLst/>
                              </a:prstGeom>
                              <a:ln w="15875" cap="flat" cmpd="sng">
                                <a:solidFill>
                                  <a:srgbClr val="000000"/>
                                </a:solidFill>
                                <a:prstDash val="dash"/>
                                <a:headEnd type="none" w="med" len="med"/>
                                <a:tailEnd type="arrow" w="med" len="med"/>
                              </a:ln>
                            </wps:spPr>
                            <wps:bodyPr/>
                          </wps:wsp>
                        </a:graphicData>
                      </a:graphic>
                    </wp:anchor>
                  </w:drawing>
                </mc:Choice>
                <mc:Fallback>
                  <w:pict>
                    <v:shape id="自选图形 6" o:spid="_x0000_s1026" o:spt="32" type="#_x0000_t32" style="position:absolute;left:0pt;flip:y;margin-left:76.05pt;margin-top:30.55pt;height:15.75pt;width:0pt;z-index:251670528;mso-width-relative:page;mso-height-relative:page;" filled="f" stroked="t" coordsize="21600,21600" o:gfxdata="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X1ztDWAAAACQEAAA8AAAAAAAAAAQAgAAAAIgAAAGRycy9kb3ducmV2&#10;LnhtbFBLAQIUABQAAAAIAIdO4kDR/gMW/gEAAO4DAAAOAAAAAAAAAAEAIAAAACUBAABkcnMvZTJv&#10;RG9jLnhtbFBLBQYAAAAABgAGAFkBAACVBQAAAAA=&#10;">
                      <v:fill on="f" focussize="0,0"/>
                      <v:stroke weight="1.25pt" color="#000000" joinstyle="round" dashstyle="dash" endarrow="open"/>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62336" behindDoc="0" locked="0" layoutInCell="1" allowOverlap="1">
                      <wp:simplePos x="0" y="0"/>
                      <wp:positionH relativeFrom="column">
                        <wp:posOffset>5100320</wp:posOffset>
                      </wp:positionH>
                      <wp:positionV relativeFrom="paragraph">
                        <wp:posOffset>878205</wp:posOffset>
                      </wp:positionV>
                      <wp:extent cx="635" cy="252095"/>
                      <wp:effectExtent l="52070" t="0" r="61595" b="1905"/>
                      <wp:wrapNone/>
                      <wp:docPr id="43" name="自选图形 1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15875" cap="flat" cmpd="sng">
                                <a:solidFill>
                                  <a:srgbClr val="000000"/>
                                </a:solidFill>
                                <a:prstDash val="solid"/>
                                <a:headEnd type="none" w="med" len="med"/>
                                <a:tailEnd type="arrow" w="med" len="med"/>
                              </a:ln>
                            </wps:spPr>
                            <wps:bodyPr/>
                          </wps:wsp>
                        </a:graphicData>
                      </a:graphic>
                    </wp:anchor>
                  </w:drawing>
                </mc:Choice>
                <mc:Fallback>
                  <w:pict>
                    <v:shape id="自选图形 10" o:spid="_x0000_s1026" o:spt="32" type="#_x0000_t32" style="position:absolute;left:0pt;margin-left:401.6pt;margin-top:69.15pt;height:19.85pt;width:0.05pt;z-index:251662336;mso-width-relative:page;mso-height-relative:page;" filled="f" stroked="t" coordsize="21600,21600" o:gfxdata="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YtW/7WAAAACwEAAA8AAAAAAAAAAQAgAAAAIgAAAGRycy9kb3ducmV2Lnht&#10;bFBLAQIUABQAAAAIAIdO4kC+szso+wEAAOgDAAAOAAAAAAAAAAEAIAAAACUBAABkcnMvZTJvRG9j&#10;LnhtbFBLBQYAAAAABgAGAFkBAACSBQAAAAA=&#10;">
                      <v:fill on="f" focussize="0,0"/>
                      <v:stroke weight="1.25pt" color="#000000" joinstyle="round" endarrow="open"/>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67456" behindDoc="0" locked="0" layoutInCell="1" allowOverlap="1">
                      <wp:simplePos x="0" y="0"/>
                      <wp:positionH relativeFrom="column">
                        <wp:posOffset>2623185</wp:posOffset>
                      </wp:positionH>
                      <wp:positionV relativeFrom="paragraph">
                        <wp:posOffset>736600</wp:posOffset>
                      </wp:positionV>
                      <wp:extent cx="157480" cy="7620"/>
                      <wp:effectExtent l="635" t="48895" r="6985" b="57785"/>
                      <wp:wrapNone/>
                      <wp:docPr id="48" name="自选图形 39715"/>
                      <wp:cNvGraphicFramePr/>
                      <a:graphic xmlns:a="http://schemas.openxmlformats.org/drawingml/2006/main">
                        <a:graphicData uri="http://schemas.microsoft.com/office/word/2010/wordprocessingShape">
                          <wps:wsp>
                            <wps:cNvCnPr/>
                            <wps:spPr>
                              <a:xfrm>
                                <a:off x="0" y="0"/>
                                <a:ext cx="157480" cy="7620"/>
                              </a:xfrm>
                              <a:prstGeom prst="straightConnector1">
                                <a:avLst/>
                              </a:prstGeom>
                              <a:ln w="15875" cap="flat" cmpd="sng">
                                <a:solidFill>
                                  <a:srgbClr val="000000"/>
                                </a:solidFill>
                                <a:prstDash val="solid"/>
                                <a:headEnd type="none" w="med" len="med"/>
                                <a:tailEnd type="arrow" w="med" len="med"/>
                              </a:ln>
                            </wps:spPr>
                            <wps:bodyPr/>
                          </wps:wsp>
                        </a:graphicData>
                      </a:graphic>
                    </wp:anchor>
                  </w:drawing>
                </mc:Choice>
                <mc:Fallback>
                  <w:pict>
                    <v:shape id="自选图形 39715" o:spid="_x0000_s1026" o:spt="32" type="#_x0000_t32" style="position:absolute;left:0pt;margin-left:206.55pt;margin-top:58pt;height:0.6pt;width:12.4pt;z-index:251667456;mso-width-relative:page;mso-height-relative:page;" filled="f" stroked="t" coordsize="21600,21600" o:gfxdata="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Wn2/bYAAAACwEAAA8AAAAAAAAAAQAgAAAAIgAAAGRycy9k&#10;b3ducmV2LnhtbFBLAQIUABQAAAAIAIdO4kBgR7FTAgIAAOwDAAAOAAAAAAAAAAEAIAAAACcBAABk&#10;cnMvZTJvRG9jLnhtbFBLBQYAAAAABgAGAFkBAACbBQAAAAA=&#10;">
                      <v:fill on="f" focussize="0,0"/>
                      <v:stroke weight="1.25pt" color="#000000" joinstyle="round" endarrow="open"/>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65408" behindDoc="0" locked="0" layoutInCell="1" allowOverlap="1">
                      <wp:simplePos x="0" y="0"/>
                      <wp:positionH relativeFrom="column">
                        <wp:posOffset>1937385</wp:posOffset>
                      </wp:positionH>
                      <wp:positionV relativeFrom="paragraph">
                        <wp:posOffset>717550</wp:posOffset>
                      </wp:positionV>
                      <wp:extent cx="157480" cy="7620"/>
                      <wp:effectExtent l="635" t="48895" r="6985" b="57785"/>
                      <wp:wrapNone/>
                      <wp:docPr id="46" name="自选图形 39715"/>
                      <wp:cNvGraphicFramePr/>
                      <a:graphic xmlns:a="http://schemas.openxmlformats.org/drawingml/2006/main">
                        <a:graphicData uri="http://schemas.microsoft.com/office/word/2010/wordprocessingShape">
                          <wps:wsp>
                            <wps:cNvCnPr/>
                            <wps:spPr>
                              <a:xfrm>
                                <a:off x="0" y="0"/>
                                <a:ext cx="157480" cy="7620"/>
                              </a:xfrm>
                              <a:prstGeom prst="straightConnector1">
                                <a:avLst/>
                              </a:prstGeom>
                              <a:ln w="15875" cap="flat" cmpd="sng">
                                <a:solidFill>
                                  <a:srgbClr val="000000"/>
                                </a:solidFill>
                                <a:prstDash val="solid"/>
                                <a:headEnd type="none" w="med" len="med"/>
                                <a:tailEnd type="arrow" w="med" len="med"/>
                              </a:ln>
                            </wps:spPr>
                            <wps:bodyPr/>
                          </wps:wsp>
                        </a:graphicData>
                      </a:graphic>
                    </wp:anchor>
                  </w:drawing>
                </mc:Choice>
                <mc:Fallback>
                  <w:pict>
                    <v:shape id="自选图形 39715" o:spid="_x0000_s1026" o:spt="32" type="#_x0000_t32" style="position:absolute;left:0pt;margin-left:152.55pt;margin-top:56.5pt;height:0.6pt;width:12.4pt;z-index:251665408;mso-width-relative:page;mso-height-relative:page;" filled="f" stroked="t" coordsize="21600,21600" o:gfxdata="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acL9cAAAALAQAADwAAAAAAAAABACAAAAAiAAAAZHJzL2Rv&#10;d25yZXYueG1sUEsBAhQAFAAAAAgAh07iQO9lspwCAgAA7AMAAA4AAAAAAAAAAQAgAAAAJgEAAGRy&#10;cy9lMm9Eb2MueG1sUEsFBgAAAAAGAAYAWQEAAJoFAAAAAA==&#10;">
                      <v:fill on="f" focussize="0,0"/>
                      <v:stroke weight="1.25pt" color="#000000" joinstyle="round" endarrow="open"/>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64384" behindDoc="0" locked="0" layoutInCell="1" allowOverlap="1">
                      <wp:simplePos x="0" y="0"/>
                      <wp:positionH relativeFrom="column">
                        <wp:posOffset>1232535</wp:posOffset>
                      </wp:positionH>
                      <wp:positionV relativeFrom="paragraph">
                        <wp:posOffset>717550</wp:posOffset>
                      </wp:positionV>
                      <wp:extent cx="157480" cy="7620"/>
                      <wp:effectExtent l="635" t="48895" r="6985" b="57785"/>
                      <wp:wrapNone/>
                      <wp:docPr id="45" name="自选图形 39715"/>
                      <wp:cNvGraphicFramePr/>
                      <a:graphic xmlns:a="http://schemas.openxmlformats.org/drawingml/2006/main">
                        <a:graphicData uri="http://schemas.microsoft.com/office/word/2010/wordprocessingShape">
                          <wps:wsp>
                            <wps:cNvCnPr/>
                            <wps:spPr>
                              <a:xfrm>
                                <a:off x="0" y="0"/>
                                <a:ext cx="157480" cy="7620"/>
                              </a:xfrm>
                              <a:prstGeom prst="straightConnector1">
                                <a:avLst/>
                              </a:prstGeom>
                              <a:ln w="15875" cap="flat" cmpd="sng">
                                <a:solidFill>
                                  <a:srgbClr val="000000"/>
                                </a:solidFill>
                                <a:prstDash val="solid"/>
                                <a:headEnd type="none" w="med" len="med"/>
                                <a:tailEnd type="arrow" w="med" len="med"/>
                              </a:ln>
                            </wps:spPr>
                            <wps:bodyPr/>
                          </wps:wsp>
                        </a:graphicData>
                      </a:graphic>
                    </wp:anchor>
                  </w:drawing>
                </mc:Choice>
                <mc:Fallback>
                  <w:pict>
                    <v:shape id="自选图形 39715" o:spid="_x0000_s1026" o:spt="32" type="#_x0000_t32" style="position:absolute;left:0pt;margin-left:97.05pt;margin-top:56.5pt;height:0.6pt;width:12.4pt;z-index:251664384;mso-width-relative:page;mso-height-relative:page;" filled="f" stroked="t" coordsize="21600,21600" o:gfxdata="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F0qodcAAAALAQAADwAAAAAAAAABACAAAAAiAAAAZHJzL2Rv&#10;d25yZXYueG1sUEsBAhQAFAAAAAgAh07iQCG3LAwCAgAA7AMAAA4AAAAAAAAAAQAgAAAAJgEAAGRy&#10;cy9lMm9Eb2MueG1sUEsFBgAAAAAGAAYAWQEAAJoFAAAAAA==&#10;">
                      <v:fill on="f" focussize="0,0"/>
                      <v:stroke weight="1.25pt" color="#000000" joinstyle="round" endarrow="open"/>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61312" behindDoc="0" locked="0" layoutInCell="1" allowOverlap="1">
                      <wp:simplePos x="0" y="0"/>
                      <wp:positionH relativeFrom="column">
                        <wp:posOffset>546735</wp:posOffset>
                      </wp:positionH>
                      <wp:positionV relativeFrom="paragraph">
                        <wp:posOffset>727075</wp:posOffset>
                      </wp:positionV>
                      <wp:extent cx="157480" cy="7620"/>
                      <wp:effectExtent l="635" t="48895" r="6985" b="57785"/>
                      <wp:wrapNone/>
                      <wp:docPr id="42" name="自选图形 39715"/>
                      <wp:cNvGraphicFramePr/>
                      <a:graphic xmlns:a="http://schemas.openxmlformats.org/drawingml/2006/main">
                        <a:graphicData uri="http://schemas.microsoft.com/office/word/2010/wordprocessingShape">
                          <wps:wsp>
                            <wps:cNvCnPr/>
                            <wps:spPr>
                              <a:xfrm>
                                <a:off x="0" y="0"/>
                                <a:ext cx="157480" cy="7620"/>
                              </a:xfrm>
                              <a:prstGeom prst="straightConnector1">
                                <a:avLst/>
                              </a:prstGeom>
                              <a:ln w="15875" cap="flat" cmpd="sng">
                                <a:solidFill>
                                  <a:srgbClr val="000000"/>
                                </a:solidFill>
                                <a:prstDash val="solid"/>
                                <a:headEnd type="none" w="med" len="med"/>
                                <a:tailEnd type="arrow" w="med" len="med"/>
                              </a:ln>
                            </wps:spPr>
                            <wps:bodyPr/>
                          </wps:wsp>
                        </a:graphicData>
                      </a:graphic>
                    </wp:anchor>
                  </w:drawing>
                </mc:Choice>
                <mc:Fallback>
                  <w:pict>
                    <v:shape id="自选图形 39715" o:spid="_x0000_s1026" o:spt="32" type="#_x0000_t32" style="position:absolute;left:0pt;margin-left:43.05pt;margin-top:57.25pt;height:0.6pt;width:12.4pt;z-index:251661312;mso-width-relative:page;mso-height-relative:page;" filled="f" stroked="t" coordsize="21600,21600" o:gfxdata="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sXDx1gAAAAoBAAAPAAAAAAAAAAEAIAAAACIAAABkcnMvZG93&#10;bnJldi54bWxQSwECFAAUAAAACACHTuJARqUVhgICAADsAwAADgAAAAAAAAABACAAAAAlAQAAZHJz&#10;L2Uyb0RvYy54bWxQSwUGAAAAAAYABgBZAQAAmQUAAAAA&#10;">
                      <v:fill on="f" focussize="0,0"/>
                      <v:stroke weight="1.25pt" color="#000000" joinstyle="round" endarrow="open"/>
                      <v:imagedata o:title=""/>
                      <o:lock v:ext="edit" aspectratio="f"/>
                    </v:shape>
                  </w:pict>
                </mc:Fallback>
              </mc:AlternateContent>
            </w:r>
            <w:r>
              <w:rPr>
                <w:rFonts w:hint="default" w:ascii="Times New Roman" w:hAnsi="Times New Roman" w:cs="Times New Roman"/>
                <w:color w:val="auto"/>
                <w:sz w:val="28"/>
              </w:rPr>
              <mc:AlternateContent>
                <mc:Choice Requires="wpc">
                  <w:drawing>
                    <wp:inline distT="0" distB="0" distL="114300" distR="114300">
                      <wp:extent cx="5628640" cy="1409065"/>
                      <wp:effectExtent l="7620" t="0" r="2540" b="635"/>
                      <wp:docPr id="41" name="画布 39713"/>
                      <wp:cNvGraphicFramePr/>
                      <a:graphic xmlns:a="http://schemas.openxmlformats.org/drawingml/2006/main">
                        <a:graphicData uri="http://schemas.microsoft.com/office/word/2010/wordprocessingCanvas">
                          <wpc:wpc>
                            <wpc:bg>
                              <a:noFill/>
                            </wpc:bg>
                            <wpc:whole>
                              <a:ln>
                                <a:noFill/>
                              </a:ln>
                            </wpc:whole>
                            <wps:wsp>
                              <wps:cNvPr id="29" name="矩形 39717"/>
                              <wps:cNvSpPr/>
                              <wps:spPr>
                                <a:xfrm>
                                  <a:off x="0" y="532130"/>
                                  <a:ext cx="533400" cy="298451"/>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4"/>
                                        <w:szCs w:val="22"/>
                                        <w:lang w:eastAsia="zh-CN"/>
                                      </w:rPr>
                                    </w:pPr>
                                    <w:r>
                                      <w:rPr>
                                        <w:rFonts w:hint="eastAsia"/>
                                        <w:sz w:val="24"/>
                                        <w:szCs w:val="22"/>
                                        <w:lang w:eastAsia="zh-CN"/>
                                      </w:rPr>
                                      <w:t>设计</w:t>
                                    </w:r>
                                  </w:p>
                                </w:txbxContent>
                              </wps:txbx>
                              <wps:bodyPr vert="horz" wrap="square" anchor="t" anchorCtr="0" upright="1"/>
                            </wps:wsp>
                            <wps:wsp>
                              <wps:cNvPr id="30" name="矩形 3"/>
                              <wps:cNvSpPr/>
                              <wps:spPr>
                                <a:xfrm>
                                  <a:off x="694055" y="541655"/>
                                  <a:ext cx="523875" cy="288926"/>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4"/>
                                        <w:szCs w:val="22"/>
                                        <w:lang w:eastAsia="zh-CN"/>
                                      </w:rPr>
                                    </w:pPr>
                                    <w:r>
                                      <w:rPr>
                                        <w:rFonts w:hint="eastAsia"/>
                                        <w:sz w:val="24"/>
                                        <w:szCs w:val="22"/>
                                        <w:lang w:eastAsia="zh-CN"/>
                                      </w:rPr>
                                      <w:t>印刷</w:t>
                                    </w:r>
                                  </w:p>
                                </w:txbxContent>
                              </wps:txbx>
                              <wps:bodyPr vert="horz" wrap="square" anchor="t" anchorCtr="0" upright="1"/>
                            </wps:wsp>
                            <wps:wsp>
                              <wps:cNvPr id="31" name="矩形 5"/>
                              <wps:cNvSpPr/>
                              <wps:spPr>
                                <a:xfrm>
                                  <a:off x="1384935" y="542925"/>
                                  <a:ext cx="533400" cy="288926"/>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4"/>
                                        <w:szCs w:val="22"/>
                                        <w:lang w:eastAsia="zh-CN"/>
                                      </w:rPr>
                                    </w:pPr>
                                    <w:r>
                                      <w:rPr>
                                        <w:rFonts w:hint="eastAsia"/>
                                        <w:sz w:val="24"/>
                                        <w:szCs w:val="22"/>
                                        <w:lang w:eastAsia="zh-CN"/>
                                      </w:rPr>
                                      <w:t>覆膜</w:t>
                                    </w:r>
                                  </w:p>
                                </w:txbxContent>
                              </wps:txbx>
                              <wps:bodyPr vert="horz" wrap="square" anchor="t" anchorCtr="0" upright="1"/>
                            </wps:wsp>
                            <wps:wsp>
                              <wps:cNvPr id="32" name="矩形 7"/>
                              <wps:cNvSpPr/>
                              <wps:spPr>
                                <a:xfrm>
                                  <a:off x="2756535" y="524510"/>
                                  <a:ext cx="1033145" cy="29718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4"/>
                                        <w:szCs w:val="22"/>
                                        <w:lang w:eastAsia="zh-CN"/>
                                      </w:rPr>
                                    </w:pPr>
                                    <w:r>
                                      <w:rPr>
                                        <w:rFonts w:hint="eastAsia"/>
                                        <w:sz w:val="24"/>
                                        <w:szCs w:val="22"/>
                                        <w:lang w:eastAsia="zh-CN"/>
                                      </w:rPr>
                                      <w:t>烫金与模切</w:t>
                                    </w:r>
                                  </w:p>
                                </w:txbxContent>
                              </wps:txbx>
                              <wps:bodyPr vert="horz" wrap="square" anchor="t" anchorCtr="0" upright="1"/>
                            </wps:wsp>
                            <wps:wsp>
                              <wps:cNvPr id="33" name="矩形 11"/>
                              <wps:cNvSpPr/>
                              <wps:spPr>
                                <a:xfrm>
                                  <a:off x="4832985" y="1085850"/>
                                  <a:ext cx="546100" cy="30734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4"/>
                                        <w:szCs w:val="22"/>
                                        <w:lang w:eastAsia="zh-CN"/>
                                      </w:rPr>
                                    </w:pPr>
                                    <w:r>
                                      <w:rPr>
                                        <w:rFonts w:hint="eastAsia"/>
                                        <w:sz w:val="24"/>
                                        <w:szCs w:val="22"/>
                                        <w:lang w:eastAsia="zh-CN"/>
                                      </w:rPr>
                                      <w:t>入库</w:t>
                                    </w:r>
                                  </w:p>
                                </w:txbxContent>
                              </wps:txbx>
                              <wps:bodyPr vert="horz" wrap="square" anchor="t" anchorCtr="0" upright="1"/>
                            </wps:wsp>
                            <wps:wsp>
                              <wps:cNvPr id="34" name="矩形 28"/>
                              <wps:cNvSpPr/>
                              <wps:spPr>
                                <a:xfrm>
                                  <a:off x="1447165" y="74295"/>
                                  <a:ext cx="551180" cy="260350"/>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1"/>
                                        <w:szCs w:val="20"/>
                                        <w:lang w:eastAsia="zh-CN"/>
                                      </w:rPr>
                                    </w:pPr>
                                    <w:r>
                                      <w:rPr>
                                        <w:rFonts w:hint="eastAsia"/>
                                        <w:sz w:val="21"/>
                                        <w:szCs w:val="20"/>
                                        <w:lang w:eastAsia="zh-CN"/>
                                      </w:rPr>
                                      <w:t>噪声</w:t>
                                    </w:r>
                                  </w:p>
                                </w:txbxContent>
                              </wps:txbx>
                              <wps:bodyPr vert="horz" wrap="square" anchor="t" anchorCtr="0" upright="1"/>
                            </wps:wsp>
                            <wps:wsp>
                              <wps:cNvPr id="35" name="矩形 39718"/>
                              <wps:cNvSpPr/>
                              <wps:spPr>
                                <a:xfrm>
                                  <a:off x="2070735" y="523875"/>
                                  <a:ext cx="533400" cy="299086"/>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4"/>
                                        <w:szCs w:val="22"/>
                                        <w:lang w:eastAsia="zh-CN"/>
                                      </w:rPr>
                                    </w:pPr>
                                    <w:r>
                                      <w:rPr>
                                        <w:rFonts w:hint="eastAsia"/>
                                        <w:sz w:val="24"/>
                                        <w:szCs w:val="22"/>
                                        <w:lang w:eastAsia="zh-CN"/>
                                      </w:rPr>
                                      <w:t>裱糊</w:t>
                                    </w:r>
                                  </w:p>
                                </w:txbxContent>
                              </wps:txbx>
                              <wps:bodyPr vert="horz" wrap="square" anchor="t" anchorCtr="0" upright="1"/>
                            </wps:wsp>
                            <wps:wsp>
                              <wps:cNvPr id="36" name="矩形 46"/>
                              <wps:cNvSpPr/>
                              <wps:spPr>
                                <a:xfrm>
                                  <a:off x="4032885" y="534035"/>
                                  <a:ext cx="518795" cy="286385"/>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4"/>
                                        <w:szCs w:val="22"/>
                                        <w:lang w:eastAsia="zh-CN"/>
                                      </w:rPr>
                                    </w:pPr>
                                    <w:r>
                                      <w:rPr>
                                        <w:rFonts w:hint="eastAsia"/>
                                        <w:sz w:val="24"/>
                                        <w:szCs w:val="22"/>
                                        <w:lang w:eastAsia="zh-CN"/>
                                      </w:rPr>
                                      <w:t>压花</w:t>
                                    </w:r>
                                  </w:p>
                                </w:txbxContent>
                              </wps:txbx>
                              <wps:bodyPr vert="horz" wrap="square" anchor="t" anchorCtr="0" upright="1"/>
                            </wps:wsp>
                            <wps:wsp>
                              <wps:cNvPr id="37" name="矩形 56"/>
                              <wps:cNvSpPr/>
                              <wps:spPr>
                                <a:xfrm>
                                  <a:off x="4775835" y="524510"/>
                                  <a:ext cx="838835" cy="29845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4"/>
                                        <w:szCs w:val="22"/>
                                        <w:lang w:eastAsia="zh-CN"/>
                                      </w:rPr>
                                    </w:pPr>
                                    <w:r>
                                      <w:rPr>
                                        <w:rFonts w:hint="eastAsia"/>
                                        <w:sz w:val="24"/>
                                        <w:szCs w:val="22"/>
                                        <w:lang w:eastAsia="zh-CN"/>
                                      </w:rPr>
                                      <w:t>手工粘合</w:t>
                                    </w:r>
                                  </w:p>
                                </w:txbxContent>
                              </wps:txbx>
                              <wps:bodyPr vert="horz" wrap="square" anchor="t" anchorCtr="0" upright="1"/>
                            </wps:wsp>
                            <wps:wsp>
                              <wps:cNvPr id="38" name="矩形 70"/>
                              <wps:cNvSpPr/>
                              <wps:spPr>
                                <a:xfrm>
                                  <a:off x="2923540" y="19050"/>
                                  <a:ext cx="838200" cy="320040"/>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1"/>
                                        <w:szCs w:val="20"/>
                                        <w:lang w:eastAsia="zh-CN"/>
                                      </w:rPr>
                                    </w:pPr>
                                    <w:r>
                                      <w:rPr>
                                        <w:rFonts w:hint="eastAsia"/>
                                        <w:sz w:val="21"/>
                                        <w:szCs w:val="20"/>
                                        <w:lang w:eastAsia="zh-CN"/>
                                      </w:rPr>
                                      <w:t>噪声、固废</w:t>
                                    </w:r>
                                  </w:p>
                                </w:txbxContent>
                              </wps:txbx>
                              <wps:bodyPr vert="horz" wrap="square" anchor="t" anchorCtr="0" upright="1"/>
                            </wps:wsp>
                            <wps:wsp>
                              <wps:cNvPr id="39" name="矩形 8"/>
                              <wps:cNvSpPr/>
                              <wps:spPr>
                                <a:xfrm>
                                  <a:off x="247650" y="71755"/>
                                  <a:ext cx="1294130" cy="323215"/>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1"/>
                                        <w:szCs w:val="20"/>
                                        <w:lang w:eastAsia="zh-CN"/>
                                      </w:rPr>
                                    </w:pPr>
                                    <w:r>
                                      <w:rPr>
                                        <w:rFonts w:hint="eastAsia"/>
                                        <w:sz w:val="21"/>
                                        <w:szCs w:val="20"/>
                                        <w:lang w:eastAsia="zh-CN"/>
                                      </w:rPr>
                                      <w:t>废气、噪声、固废</w:t>
                                    </w:r>
                                  </w:p>
                                </w:txbxContent>
                              </wps:txbx>
                              <wps:bodyPr vert="horz" wrap="square" anchor="t" anchorCtr="0" upright="1"/>
                            </wps:wsp>
                            <wps:wsp>
                              <wps:cNvPr id="40" name="矩形 4"/>
                              <wps:cNvSpPr/>
                              <wps:spPr>
                                <a:xfrm>
                                  <a:off x="4647565" y="10160"/>
                                  <a:ext cx="838200" cy="317500"/>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1"/>
                                        <w:szCs w:val="20"/>
                                        <w:lang w:eastAsia="zh-CN"/>
                                      </w:rPr>
                                    </w:pPr>
                                    <w:r>
                                      <w:rPr>
                                        <w:rFonts w:hint="eastAsia"/>
                                        <w:sz w:val="21"/>
                                        <w:szCs w:val="20"/>
                                        <w:lang w:eastAsia="zh-CN"/>
                                      </w:rPr>
                                      <w:t>废气</w:t>
                                    </w:r>
                                  </w:p>
                                </w:txbxContent>
                              </wps:txbx>
                              <wps:bodyPr vert="horz" wrap="square" anchor="t" anchorCtr="0" upright="1"/>
                            </wps:wsp>
                          </wpc:wpc>
                        </a:graphicData>
                      </a:graphic>
                    </wp:inline>
                  </w:drawing>
                </mc:Choice>
                <mc:Fallback>
                  <w:pict>
                    <v:group id="画布 39713" o:spid="_x0000_s1026" o:spt="203" style="height:110.95pt;width:443.2pt;" coordsize="5628640,1409065" editas="canvas" o:gfxdata="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">
                      <o:lock v:ext="edit" aspectratio="f"/>
                      <v:rect id="画布 39713" o:spid="_x0000_s1026" o:spt="1" style="position:absolute;left:0;top:0;height:1409065;width:5628640;" filled="f" stroked="f" coordsize="21600,21600" o:gfxdata="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">
                        <v:fill on="f" focussize="0,0"/>
                        <v:stroke on="f"/>
                        <v:imagedata o:title=""/>
                        <o:lock v:ext="edit" aspectratio="f"/>
                      </v:rect>
                      <v:rect id="矩形 39717" o:spid="_x0000_s1026" o:spt="1" style="position:absolute;left:0;top:532130;height:298450;width:533400;" fillcolor="#FFFFFF" filled="t" stroked="t" coordsize="21600,21600" o:gfxdata="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R+eAF1QAAAAUBAAAPAAAAAAAAAAEAIAAAACIAAABkcnMvZG93bnJldi54bWxQSwECFAAUAAAA&#10;CACHTuJAq+icvmMCAADtBAAADgAAAAAAAAABACAAAAAkAQAAZHJzL2Uyb0RvYy54bWxQSwUGAAAA&#10;AAYABgBZAQAA+QUAAAAA&#10;">
                        <v:fill type="gradient" on="t" color2="#FFFFFF" angle="90" focus="100%" focussize="0f,0f" focusposition="0f,0f">
                          <o:fill type="gradientUnscaled" v:ext="backwardCompatible"/>
                        </v:fill>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4"/>
                                  <w:szCs w:val="22"/>
                                  <w:lang w:eastAsia="zh-CN"/>
                                </w:rPr>
                              </w:pPr>
                              <w:r>
                                <w:rPr>
                                  <w:rFonts w:hint="eastAsia"/>
                                  <w:sz w:val="24"/>
                                  <w:szCs w:val="22"/>
                                  <w:lang w:eastAsia="zh-CN"/>
                                </w:rPr>
                                <w:t>设计</w:t>
                              </w:r>
                            </w:p>
                          </w:txbxContent>
                        </v:textbox>
                      </v:rect>
                      <v:rect id="矩形 3" o:spid="_x0000_s1026" o:spt="1" style="position:absolute;left:694055;top:541655;height:288925;width:523875;" fillcolor="#FFFFFF" filled="t" stroked="t" coordsize="21600,21600" o:gfxdata="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R+eAF1QAAAAUBAAAPAAAAAAAAAAEAIAAAACIAAABkcnMvZG93bnJldi54bWxQSwECFAAUAAAA&#10;CACHTuJAFYvyuGMCAADuBAAADgAAAAAAAAABACAAAAAkAQAAZHJzL2Uyb0RvYy54bWxQSwUGAAAA&#10;AAYABgBZAQAA+QUAAAAA&#10;">
                        <v:fill type="gradient" on="t" color2="#FFFFFF" angle="90" focus="100%" focussize="0f,0f" focusposition="0f,0f">
                          <o:fill type="gradientUnscaled" v:ext="backwardCompatible"/>
                        </v:fill>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4"/>
                                  <w:szCs w:val="22"/>
                                  <w:lang w:eastAsia="zh-CN"/>
                                </w:rPr>
                              </w:pPr>
                              <w:r>
                                <w:rPr>
                                  <w:rFonts w:hint="eastAsia"/>
                                  <w:sz w:val="24"/>
                                  <w:szCs w:val="22"/>
                                  <w:lang w:eastAsia="zh-CN"/>
                                </w:rPr>
                                <w:t>印刷</w:t>
                              </w:r>
                            </w:p>
                          </w:txbxContent>
                        </v:textbox>
                      </v:rect>
                      <v:rect id="矩形 5" o:spid="_x0000_s1026" o:spt="1" style="position:absolute;left:1384935;top:542925;height:288925;width:533400;" fillcolor="#FFFFFF" filled="t" stroked="t" coordsize="21600,21600" o:gfxdata="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H54AXVAAAABQEAAA8AAAAAAAAAAQAgAAAAIgAAAGRycy9kb3ducmV2LnhtbFBLAQIU&#10;ABQAAAAIAIdO4kBqtRS+aAIAAO8EAAAOAAAAAAAAAAEAIAAAACQBAABkcnMvZTJvRG9jLnhtbFBL&#10;BQYAAAAABgAGAFkBAAD+BQAAAAA=&#10;">
                        <v:fill type="gradient" on="t" color2="#FFFFFF" angle="90" focus="100%" focussize="0f,0f" focusposition="0f,0f">
                          <o:fill type="gradientUnscaled" v:ext="backwardCompatible"/>
                        </v:fill>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4"/>
                                  <w:szCs w:val="22"/>
                                  <w:lang w:eastAsia="zh-CN"/>
                                </w:rPr>
                              </w:pPr>
                              <w:r>
                                <w:rPr>
                                  <w:rFonts w:hint="eastAsia"/>
                                  <w:sz w:val="24"/>
                                  <w:szCs w:val="22"/>
                                  <w:lang w:eastAsia="zh-CN"/>
                                </w:rPr>
                                <w:t>覆膜</w:t>
                              </w:r>
                            </w:p>
                          </w:txbxContent>
                        </v:textbox>
                      </v:rect>
                      <v:rect id="矩形 7" o:spid="_x0000_s1026" o:spt="1" style="position:absolute;left:2756535;top:524510;height:297179;width:1033145;" fillcolor="#FFFFFF" filled="t" stroked="t" coordsize="21600,21600" o:gfxdata="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H54AXVAAAABQEAAA8AAAAAAAAAAQAgAAAAIgAAAGRycy9kb3ducmV2LnhtbFBLAQIUABQA&#10;AAAIAIdO4kC3hW1UZQIAAPAEAAAOAAAAAAAAAAEAIAAAACQBAABkcnMvZTJvRG9jLnhtbFBLBQYA&#10;AAAABgAGAFkBAAD7BQAAAAA=&#10;">
                        <v:fill type="gradient" on="t" color2="#FFFFFF" angle="90" focus="100%" focussize="0f,0f" focusposition="0f,0f">
                          <o:fill type="gradientUnscaled" v:ext="backwardCompatible"/>
                        </v:fill>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4"/>
                                  <w:szCs w:val="22"/>
                                  <w:lang w:eastAsia="zh-CN"/>
                                </w:rPr>
                              </w:pPr>
                              <w:r>
                                <w:rPr>
                                  <w:rFonts w:hint="eastAsia"/>
                                  <w:sz w:val="24"/>
                                  <w:szCs w:val="22"/>
                                  <w:lang w:eastAsia="zh-CN"/>
                                </w:rPr>
                                <w:t>烫金与模切</w:t>
                              </w:r>
                            </w:p>
                          </w:txbxContent>
                        </v:textbox>
                      </v:rect>
                      <v:rect id="矩形 11" o:spid="_x0000_s1026" o:spt="1" style="position:absolute;left:4832985;top:1085850;height:307339;width:546100;" fillcolor="#FFFFFF" filled="t" stroked="t" coordsize="21600,21600" o:gfxdata="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H54AXVAAAABQEAAA8AAAAAAAAAAQAgAAAAIgAAAGRycy9kb3ducmV2LnhtbFBLAQIUABQA&#10;AAAIAIdO4kAYp1pzZQIAAPEEAAAOAAAAAAAAAAEAIAAAACQBAABkcnMvZTJvRG9jLnhtbFBLBQYA&#10;AAAABgAGAFkBAAD7BQAAAAA=&#10;">
                        <v:fill type="gradient" on="t" color2="#FFFFFF" angle="90" focus="100%" focussize="0f,0f" focusposition="0f,0f">
                          <o:fill type="gradientUnscaled" v:ext="backwardCompatible"/>
                        </v:fill>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4"/>
                                  <w:szCs w:val="22"/>
                                  <w:lang w:eastAsia="zh-CN"/>
                                </w:rPr>
                              </w:pPr>
                              <w:r>
                                <w:rPr>
                                  <w:rFonts w:hint="eastAsia"/>
                                  <w:sz w:val="24"/>
                                  <w:szCs w:val="22"/>
                                  <w:lang w:eastAsia="zh-CN"/>
                                </w:rPr>
                                <w:t>入库</w:t>
                              </w:r>
                            </w:p>
                          </w:txbxContent>
                        </v:textbox>
                      </v:rect>
                      <v:rect id="矩形 28" o:spid="_x0000_s1026" o:spt="1" style="position:absolute;left:1447165;top:74295;height:260349;width:551180;" filled="f" stroked="f" coordsize="21600,21600" o:gfxdata="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8N7yl1wAAAAUBAAAPAAAAAAAAAAEA&#10;IAAAACIAAABkcnMvZG93bnJldi54bWxQSwECFAAUAAAACACHTuJAvu+YWdcBAACJAwAADgAAAAAA&#10;AAABACAAAAAmAQAAZHJzL2Uyb0RvYy54bWxQSwUGAAAAAAYABgBZAQAAbwUAAAAA&#10;">
                        <v:fill on="f" focussize="0,0"/>
                        <v:stroke on="f" weight="1.2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1"/>
                                  <w:szCs w:val="20"/>
                                  <w:lang w:eastAsia="zh-CN"/>
                                </w:rPr>
                              </w:pPr>
                              <w:r>
                                <w:rPr>
                                  <w:rFonts w:hint="eastAsia"/>
                                  <w:sz w:val="21"/>
                                  <w:szCs w:val="20"/>
                                  <w:lang w:eastAsia="zh-CN"/>
                                </w:rPr>
                                <w:t>噪声</w:t>
                              </w:r>
                            </w:p>
                          </w:txbxContent>
                        </v:textbox>
                      </v:rect>
                      <v:rect id="矩形 39718" o:spid="_x0000_s1026" o:spt="1" style="position:absolute;left:2070735;top:523875;height:299085;width:533400;" fillcolor="#FFFFFF" filled="t" stroked="t" coordsize="21600,21600" o:gfxdata="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R+eAF1QAAAAUBAAAPAAAAAAAAAAEAIAAAACIAAABkcnMvZG93bnJldi54bWxQSwEC&#10;FAAUAAAACACHTuJAhWG3ImkCAADzBAAADgAAAAAAAAABACAAAAAkAQAAZHJzL2Uyb0RvYy54bWxQ&#10;SwUGAAAAAAYABgBZAQAA/wUAAAAA&#10;">
                        <v:fill type="gradient" on="t" color2="#FFFFFF" angle="90" focus="100%" focussize="0f,0f" focusposition="0f,0f">
                          <o:fill type="gradientUnscaled" v:ext="backwardCompatible"/>
                        </v:fill>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4"/>
                                  <w:szCs w:val="22"/>
                                  <w:lang w:eastAsia="zh-CN"/>
                                </w:rPr>
                              </w:pPr>
                              <w:r>
                                <w:rPr>
                                  <w:rFonts w:hint="eastAsia"/>
                                  <w:sz w:val="24"/>
                                  <w:szCs w:val="22"/>
                                  <w:lang w:eastAsia="zh-CN"/>
                                </w:rPr>
                                <w:t>裱糊</w:t>
                              </w:r>
                            </w:p>
                          </w:txbxContent>
                        </v:textbox>
                      </v:rect>
                      <v:rect id="矩形 46" o:spid="_x0000_s1026" o:spt="1" style="position:absolute;left:4032885;top:534035;height:286384;width:518795;" fillcolor="#FFFFFF" filled="t" stroked="t" coordsize="21600,21600" o:gfxdata="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R+eAF1QAAAAUBAAAPAAAAAAAAAAEAIAAAACIAAABkcnMvZG93bnJldi54bWxQSwECFAAU&#10;AAAACACHTuJANvIWfmYCAADwBAAADgAAAAAAAAABACAAAAAkAQAAZHJzL2Uyb0RvYy54bWxQSwUG&#10;AAAAAAYABgBZAQAA/AUAAAAA&#10;">
                        <v:fill type="gradient" on="t" color2="#FFFFFF" angle="90" focus="100%" focussize="0f,0f" focusposition="0f,0f">
                          <o:fill type="gradientUnscaled" v:ext="backwardCompatible"/>
                        </v:fill>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4"/>
                                  <w:szCs w:val="22"/>
                                  <w:lang w:eastAsia="zh-CN"/>
                                </w:rPr>
                              </w:pPr>
                              <w:r>
                                <w:rPr>
                                  <w:rFonts w:hint="eastAsia"/>
                                  <w:sz w:val="24"/>
                                  <w:szCs w:val="22"/>
                                  <w:lang w:eastAsia="zh-CN"/>
                                </w:rPr>
                                <w:t>压花</w:t>
                              </w:r>
                            </w:p>
                          </w:txbxContent>
                        </v:textbox>
                      </v:rect>
                      <v:rect id="矩形 56" o:spid="_x0000_s1026" o:spt="1" style="position:absolute;left:4775835;top:524510;height:298449;width:838835;" fillcolor="#FFFFFF" filled="t" stroked="t" coordsize="21600,21600" o:gfxdata="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0fngBdUAAAAFAQAADwAAAAAAAAABACAAAAAiAAAAZHJzL2Rvd25yZXYueG1sUEsBAhQAFAAA&#10;AAgAh07iQCfrKJlkAgAA8AQAAA4AAAAAAAAAAQAgAAAAJAEAAGRycy9lMm9Eb2MueG1sUEsFBgAA&#10;AAAGAAYAWQEAAPoFAAAAAA==&#10;">
                        <v:fill type="gradient" on="t" color2="#FFFFFF" angle="90" focus="100%" focussize="0f,0f" focusposition="0f,0f">
                          <o:fill type="gradientUnscaled" v:ext="backwardCompatible"/>
                        </v:fill>
                        <v:stroke weight="1.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4"/>
                                  <w:szCs w:val="22"/>
                                  <w:lang w:eastAsia="zh-CN"/>
                                </w:rPr>
                              </w:pPr>
                              <w:r>
                                <w:rPr>
                                  <w:rFonts w:hint="eastAsia"/>
                                  <w:sz w:val="24"/>
                                  <w:szCs w:val="22"/>
                                  <w:lang w:eastAsia="zh-CN"/>
                                </w:rPr>
                                <w:t>手工粘合</w:t>
                              </w:r>
                            </w:p>
                          </w:txbxContent>
                        </v:textbox>
                      </v:rect>
                      <v:rect id="矩形 70" o:spid="_x0000_s1026" o:spt="1" style="position:absolute;left:2923540;top:19050;height:320039;width:838200;" filled="f" stroked="f" coordsize="21600,21600" o:gfxdata="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De8pdcAAAAFAQAADwAAAAAAAAABACAAAAAi&#10;AAAAZHJzL2Rvd25yZXYueG1sUEsBAhQAFAAAAAgAh07iQKwZR2PSAQAAiQMAAA4AAAAAAAAAAQAg&#10;AAAAJgEAAGRycy9lMm9Eb2MueG1sUEsFBgAAAAAGAAYAWQEAAGoFAAAAAA==&#10;">
                        <v:fill on="f" focussize="0,0"/>
                        <v:stroke on="f" weight="1.2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1"/>
                                  <w:szCs w:val="20"/>
                                  <w:lang w:eastAsia="zh-CN"/>
                                </w:rPr>
                              </w:pPr>
                              <w:r>
                                <w:rPr>
                                  <w:rFonts w:hint="eastAsia"/>
                                  <w:sz w:val="21"/>
                                  <w:szCs w:val="20"/>
                                  <w:lang w:eastAsia="zh-CN"/>
                                </w:rPr>
                                <w:t>噪声、固废</w:t>
                              </w:r>
                            </w:p>
                          </w:txbxContent>
                        </v:textbox>
                      </v:rect>
                      <v:rect id="矩形 8" o:spid="_x0000_s1026" o:spt="1" style="position:absolute;left:247650;top:71755;height:323214;width:1294130;" filled="f" stroked="f" coordsize="21600,21600" o:gfxdata="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w3vKXXAAAABQEAAA8AAAAAAAAAAQAg&#10;AAAAIgAAAGRycy9kb3ducmV2LnhtbFBLAQIUABQAAAAIAIdO4kDUOIJV1gEAAIgDAAAOAAAAAAAA&#10;AAEAIAAAACYBAABkcnMvZTJvRG9jLnhtbFBLBQYAAAAABgAGAFkBAABuBQAAAAA=&#10;">
                        <v:fill on="f" focussize="0,0"/>
                        <v:stroke on="f" weight="1.2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1"/>
                                  <w:szCs w:val="20"/>
                                  <w:lang w:eastAsia="zh-CN"/>
                                </w:rPr>
                              </w:pPr>
                              <w:r>
                                <w:rPr>
                                  <w:rFonts w:hint="eastAsia"/>
                                  <w:sz w:val="21"/>
                                  <w:szCs w:val="20"/>
                                  <w:lang w:eastAsia="zh-CN"/>
                                </w:rPr>
                                <w:t>废气、噪声、固废</w:t>
                              </w:r>
                            </w:p>
                          </w:txbxContent>
                        </v:textbox>
                      </v:rect>
                      <v:rect id="矩形 4" o:spid="_x0000_s1026" o:spt="1" style="position:absolute;left:4647565;top:10160;height:317499;width:838200;" filled="f" stroked="f" coordsize="21600,21600" o:gfxdata="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w3vKXXAAAABQEAAA8AAAAAAAAAAQAgAAAA&#10;IgAAAGRycy9kb3ducmV2LnhtbFBLAQIUABQAAAAIAIdO4kBth54k0wEAAIgDAAAOAAAAAAAAAAEA&#10;IAAAACYBAABkcnMvZTJvRG9jLnhtbFBLBQYAAAAABgAGAFkBAABrBQAAAAA=&#10;">
                        <v:fill on="f" focussize="0,0"/>
                        <v:stroke on="f" weight="1.2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1"/>
                                  <w:szCs w:val="20"/>
                                  <w:lang w:eastAsia="zh-CN"/>
                                </w:rPr>
                              </w:pPr>
                              <w:r>
                                <w:rPr>
                                  <w:rFonts w:hint="eastAsia"/>
                                  <w:sz w:val="21"/>
                                  <w:szCs w:val="20"/>
                                  <w:lang w:eastAsia="zh-CN"/>
                                </w:rPr>
                                <w:t>废气</w:t>
                              </w:r>
                            </w:p>
                          </w:txbxContent>
                        </v:textbox>
                      </v:rect>
                      <w10:wrap type="none"/>
                      <w10:anchorlock/>
                    </v:group>
                  </w:pict>
                </mc:Fallback>
              </mc:AlternateContent>
            </w:r>
          </w:p>
          <w:p>
            <w:pPr>
              <w:spacing w:line="240" w:lineRule="auto"/>
              <w:ind w:firstLine="0" w:firstLineChars="0"/>
              <w:jc w:val="center"/>
              <w:rPr>
                <w:rFonts w:hint="default" w:ascii="Times New Roman" w:hAnsi="Times New Roman" w:cs="Times New Roman"/>
                <w:b/>
                <w:bCs/>
                <w:color w:val="auto"/>
                <w:sz w:val="21"/>
                <w:szCs w:val="20"/>
              </w:rPr>
            </w:pPr>
            <w:r>
              <w:rPr>
                <w:rFonts w:hint="default" w:ascii="Times New Roman" w:hAnsi="Times New Roman" w:cs="Times New Roman"/>
                <w:b/>
                <w:bCs/>
                <w:color w:val="auto"/>
                <w:sz w:val="21"/>
                <w:szCs w:val="20"/>
              </w:rPr>
              <w:t>图5-</w:t>
            </w:r>
            <w:r>
              <w:rPr>
                <w:rFonts w:hint="default" w:ascii="Times New Roman" w:hAnsi="Times New Roman" w:cs="Times New Roman"/>
                <w:b/>
                <w:bCs/>
                <w:color w:val="auto"/>
                <w:sz w:val="21"/>
                <w:szCs w:val="20"/>
                <w:lang w:val="en-US" w:eastAsia="zh-CN"/>
              </w:rPr>
              <w:t>1</w:t>
            </w:r>
            <w:r>
              <w:rPr>
                <w:rFonts w:hint="default" w:ascii="Times New Roman" w:hAnsi="Times New Roman" w:cs="Times New Roman"/>
                <w:b/>
                <w:bCs/>
                <w:color w:val="auto"/>
                <w:sz w:val="21"/>
                <w:szCs w:val="20"/>
              </w:rPr>
              <w:t xml:space="preserve"> </w:t>
            </w:r>
            <w:r>
              <w:rPr>
                <w:rFonts w:hint="default" w:ascii="Times New Roman" w:hAnsi="Times New Roman" w:cs="Times New Roman"/>
                <w:b/>
                <w:bCs/>
                <w:color w:val="auto"/>
                <w:sz w:val="21"/>
                <w:szCs w:val="20"/>
                <w:lang w:val="en-US" w:eastAsia="zh-CN"/>
              </w:rPr>
              <w:t xml:space="preserve"> 运营期</w:t>
            </w:r>
            <w:r>
              <w:rPr>
                <w:rFonts w:hint="default" w:ascii="Times New Roman" w:hAnsi="Times New Roman" w:cs="Times New Roman"/>
                <w:b/>
                <w:bCs/>
                <w:color w:val="auto"/>
                <w:sz w:val="21"/>
                <w:szCs w:val="20"/>
                <w:lang w:eastAsia="zh-CN"/>
              </w:rPr>
              <w:t>生产工艺</w:t>
            </w:r>
            <w:r>
              <w:rPr>
                <w:rFonts w:hint="default" w:ascii="Times New Roman" w:hAnsi="Times New Roman" w:cs="Times New Roman"/>
                <w:b/>
                <w:bCs/>
                <w:color w:val="auto"/>
                <w:sz w:val="21"/>
                <w:szCs w:val="20"/>
              </w:rPr>
              <w:t>流程</w:t>
            </w:r>
            <w:r>
              <w:rPr>
                <w:rFonts w:hint="default" w:ascii="Times New Roman" w:hAnsi="Times New Roman" w:cs="Times New Roman"/>
                <w:b/>
                <w:bCs/>
                <w:color w:val="auto"/>
                <w:sz w:val="21"/>
                <w:szCs w:val="20"/>
                <w:lang w:eastAsia="zh-CN"/>
              </w:rPr>
              <w:t>及产污环节</w:t>
            </w:r>
            <w:r>
              <w:rPr>
                <w:rFonts w:hint="default" w:ascii="Times New Roman" w:hAnsi="Times New Roman" w:cs="Times New Roman"/>
                <w:b/>
                <w:bCs/>
                <w:color w:val="auto"/>
                <w:sz w:val="21"/>
                <w:szCs w:val="20"/>
              </w:rPr>
              <w:t>图</w:t>
            </w:r>
          </w:p>
          <w:p>
            <w:pPr>
              <w:rPr>
                <w:rFonts w:hint="default" w:ascii="Times New Roman" w:hAnsi="Times New Roman" w:cs="Times New Roman"/>
                <w:color w:val="auto"/>
              </w:rPr>
            </w:pPr>
            <w:r>
              <w:rPr>
                <w:rFonts w:hint="default" w:ascii="Times New Roman" w:hAnsi="Times New Roman" w:cs="Times New Roman"/>
                <w:color w:val="auto"/>
              </w:rPr>
              <w:t>工艺流程简述：</w:t>
            </w:r>
          </w:p>
          <w:p>
            <w:pP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）设计：</w:t>
            </w:r>
            <w:r>
              <w:rPr>
                <w:rFonts w:hint="default" w:ascii="Times New Roman" w:hAnsi="Times New Roman" w:cs="Times New Roman"/>
                <w:color w:val="auto"/>
                <w:szCs w:val="21"/>
              </w:rPr>
              <w:t>根据客户的订单信息由公司专业设计师设计产品的外包装</w:t>
            </w:r>
            <w:r>
              <w:rPr>
                <w:rFonts w:hint="default" w:ascii="Times New Roman" w:hAnsi="Times New Roman" w:cs="Times New Roman"/>
                <w:color w:val="auto"/>
                <w:szCs w:val="21"/>
                <w:lang w:eastAsia="zh-CN"/>
              </w:rPr>
              <w:t>。</w:t>
            </w:r>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）印刷：使用印刷机利用大豆油墨将设计好的图案或文字印刷至白卡纸上，该工序主要产生有机废气、噪声以及固废。</w:t>
            </w:r>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highlight w:val="none"/>
                <w:lang w:eastAsia="zh-CN"/>
              </w:rPr>
              <w:t>覆膜：对印刷后</w:t>
            </w:r>
            <w:r>
              <w:rPr>
                <w:rFonts w:hint="default" w:ascii="Times New Roman" w:hAnsi="Times New Roman" w:cs="Times New Roman"/>
                <w:color w:val="auto"/>
                <w:lang w:eastAsia="zh-CN"/>
              </w:rPr>
              <w:t>的纸张在压胶预涂覆膜机上进行覆膜，覆膜经过热压进行。</w:t>
            </w:r>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）裱糊：将瓦楞纸和印刷好的的纸采用玉米淀粉胶粘合，使之复合成型，该工序主要产生噪声。</w:t>
            </w:r>
          </w:p>
          <w:p>
            <w:pPr>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烫金与模切：裱糊完成后的半成品送至烫金模切两用机进行烫金和模切。烫金是将烫金纸加热，将烫金纸在纸板上压印出金色文字或图案达到客户的要求图案。烫金工艺是利用热压转移的原理，将烫金纸中的铝层转印到承印物表面以形成特殊的金属效果，即使用自动烫金机在</w:t>
            </w:r>
            <w:r>
              <w:rPr>
                <w:rFonts w:hint="default" w:ascii="Times New Roman" w:hAnsi="Times New Roman" w:cs="Times New Roman"/>
                <w:color w:val="auto"/>
                <w:lang w:val="en-US" w:eastAsia="zh-CN"/>
              </w:rPr>
              <w:t>130~140℃温度下（加热方式为电加热），将烫金纸上的金粉转移到产品上。烫金后采用模切刀（按照设计好的图形制作成）进行裁切。该工序主要产生废烫金纸、废边角料、设备噪声。</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（6）压花：将衬底的托盒制作材料压制出细条纹。</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（7）手工粘</w:t>
            </w:r>
            <w:r>
              <w:rPr>
                <w:rFonts w:hint="eastAsia" w:ascii="Times New Roman" w:hAnsi="Times New Roman" w:cs="Times New Roman"/>
                <w:color w:val="auto"/>
                <w:lang w:val="en-US" w:eastAsia="zh-CN"/>
              </w:rPr>
              <w:t>合</w:t>
            </w:r>
            <w:r>
              <w:rPr>
                <w:rFonts w:hint="default" w:ascii="Times New Roman" w:hAnsi="Times New Roman" w:cs="Times New Roman"/>
                <w:color w:val="auto"/>
                <w:lang w:val="en-US" w:eastAsia="zh-CN"/>
              </w:rPr>
              <w:t>：使用糊盒机涂上一层玉米淀粉胶进行糊盒，或手工进行粘合，粘合成盒状，手工粘合用到</w:t>
            </w:r>
            <w:r>
              <w:rPr>
                <w:rFonts w:hint="eastAsia" w:ascii="Times New Roman" w:hAnsi="Times New Roman" w:cs="Times New Roman"/>
                <w:color w:val="auto"/>
                <w:lang w:val="en-US" w:eastAsia="zh-CN"/>
              </w:rPr>
              <w:t>水性封口胶</w:t>
            </w:r>
            <w:r>
              <w:rPr>
                <w:rFonts w:hint="default" w:ascii="Times New Roman" w:hAnsi="Times New Roman" w:cs="Times New Roman"/>
                <w:color w:val="auto"/>
                <w:lang w:val="en-US" w:eastAsia="zh-CN"/>
              </w:rPr>
              <w:t>（有非甲烷总烃产生）或果冻胶。</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（8）入库：将加工好的成品检查合格后入库。</w:t>
            </w:r>
          </w:p>
          <w:p>
            <w:pPr>
              <w:spacing w:line="240" w:lineRule="auto"/>
              <w:ind w:firstLine="0" w:firstLineChars="0"/>
              <w:jc w:val="center"/>
              <w:rPr>
                <w:rFonts w:hint="default" w:ascii="Times New Roman" w:hAnsi="Times New Roman" w:cs="Times New Roman"/>
                <w:b/>
                <w:bCs/>
                <w:color w:val="auto"/>
                <w:sz w:val="21"/>
                <w:szCs w:val="20"/>
              </w:rPr>
            </w:pPr>
            <w:r>
              <w:rPr>
                <w:rFonts w:hint="default" w:ascii="Times New Roman" w:hAnsi="Times New Roman" w:cs="Times New Roman"/>
                <w:b/>
                <w:bCs/>
                <w:color w:val="auto"/>
                <w:sz w:val="21"/>
                <w:szCs w:val="20"/>
              </w:rPr>
              <w:t xml:space="preserve">表5-1 </w:t>
            </w:r>
            <w:r>
              <w:rPr>
                <w:rFonts w:hint="default" w:ascii="Times New Roman" w:hAnsi="Times New Roman" w:cs="Times New Roman"/>
                <w:b/>
                <w:bCs/>
                <w:color w:val="auto"/>
                <w:sz w:val="21"/>
                <w:szCs w:val="20"/>
                <w:lang w:val="en-US" w:eastAsia="zh-CN"/>
              </w:rPr>
              <w:t xml:space="preserve"> </w:t>
            </w:r>
            <w:r>
              <w:rPr>
                <w:rFonts w:hint="default" w:ascii="Times New Roman" w:hAnsi="Times New Roman" w:cs="Times New Roman"/>
                <w:b/>
                <w:bCs/>
                <w:color w:val="auto"/>
                <w:sz w:val="21"/>
                <w:szCs w:val="20"/>
              </w:rPr>
              <w:t xml:space="preserve">  项目产污环节表</w:t>
            </w:r>
          </w:p>
          <w:tbl>
            <w:tblPr>
              <w:tblStyle w:val="2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6"/>
              <w:gridCol w:w="1846"/>
              <w:gridCol w:w="2040"/>
              <w:gridCol w:w="37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6"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类别</w:t>
                  </w:r>
                </w:p>
              </w:tc>
              <w:tc>
                <w:tcPr>
                  <w:tcW w:w="1846"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污染源</w:t>
                  </w:r>
                </w:p>
              </w:tc>
              <w:tc>
                <w:tcPr>
                  <w:tcW w:w="2040"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污染物</w:t>
                  </w:r>
                </w:p>
              </w:tc>
              <w:tc>
                <w:tcPr>
                  <w:tcW w:w="3712"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产生环节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6" w:type="dxa"/>
                  <w:vMerge w:val="restart"/>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废气</w:t>
                  </w:r>
                </w:p>
              </w:tc>
              <w:tc>
                <w:tcPr>
                  <w:tcW w:w="1846"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胶印机</w:t>
                  </w:r>
                </w:p>
              </w:tc>
              <w:tc>
                <w:tcPr>
                  <w:tcW w:w="2040"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非甲烷总烃</w:t>
                  </w:r>
                </w:p>
              </w:tc>
              <w:tc>
                <w:tcPr>
                  <w:tcW w:w="3712"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印刷环节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6" w:type="dxa"/>
                  <w:vMerge w:val="continue"/>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p>
              </w:tc>
              <w:tc>
                <w:tcPr>
                  <w:tcW w:w="1846"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lang w:eastAsia="zh-CN"/>
                    </w:rPr>
                    <w:t>手工粘</w:t>
                  </w:r>
                  <w:r>
                    <w:rPr>
                      <w:rFonts w:hint="eastAsia" w:eastAsia="宋体" w:cs="Times New Roman"/>
                      <w:b w:val="0"/>
                      <w:bCs/>
                      <w:color w:val="auto"/>
                      <w:lang w:eastAsia="zh-CN"/>
                    </w:rPr>
                    <w:t>合</w:t>
                  </w:r>
                </w:p>
              </w:tc>
              <w:tc>
                <w:tcPr>
                  <w:tcW w:w="2040"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lang w:eastAsia="zh-CN"/>
                    </w:rPr>
                    <w:t>非甲烷总烃</w:t>
                  </w:r>
                </w:p>
              </w:tc>
              <w:tc>
                <w:tcPr>
                  <w:tcW w:w="3712"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lang w:eastAsia="zh-CN"/>
                    </w:rPr>
                    <w:t>手工</w:t>
                  </w:r>
                  <w:r>
                    <w:rPr>
                      <w:rFonts w:hint="eastAsia" w:ascii="Times New Roman" w:hAnsi="Times New Roman" w:eastAsia="宋体" w:cs="Times New Roman"/>
                      <w:b w:val="0"/>
                      <w:bCs/>
                      <w:color w:val="auto"/>
                      <w:lang w:eastAsia="zh-CN"/>
                    </w:rPr>
                    <w:t>粘</w:t>
                  </w:r>
                  <w:r>
                    <w:rPr>
                      <w:rFonts w:hint="eastAsia" w:eastAsia="宋体" w:cs="Times New Roman"/>
                      <w:b w:val="0"/>
                      <w:bCs/>
                      <w:color w:val="auto"/>
                      <w:lang w:eastAsia="zh-CN"/>
                    </w:rPr>
                    <w:t>合</w:t>
                  </w:r>
                  <w:r>
                    <w:rPr>
                      <w:rFonts w:hint="default" w:ascii="Times New Roman" w:hAnsi="Times New Roman" w:eastAsia="宋体" w:cs="Times New Roman"/>
                      <w:b w:val="0"/>
                      <w:bCs/>
                      <w:color w:val="auto"/>
                      <w:lang w:eastAsia="zh-CN"/>
                    </w:rPr>
                    <w:t>环节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6"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噪声</w:t>
                  </w:r>
                </w:p>
              </w:tc>
              <w:tc>
                <w:tcPr>
                  <w:tcW w:w="1846"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设备噪声</w:t>
                  </w:r>
                </w:p>
              </w:tc>
              <w:tc>
                <w:tcPr>
                  <w:tcW w:w="2040"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37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胶印机、切纸机、凹凸压绞机等设备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6" w:type="dxa"/>
                  <w:vMerge w:val="restart"/>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固废</w:t>
                  </w:r>
                </w:p>
              </w:tc>
              <w:tc>
                <w:tcPr>
                  <w:tcW w:w="3886" w:type="dxa"/>
                  <w:gridSpan w:val="2"/>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边角料及不合格产品</w:t>
                  </w:r>
                </w:p>
              </w:tc>
              <w:tc>
                <w:tcPr>
                  <w:tcW w:w="3712"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烫金与模切环节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6" w:type="dxa"/>
                  <w:vMerge w:val="continue"/>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p>
              </w:tc>
              <w:tc>
                <w:tcPr>
                  <w:tcW w:w="3886" w:type="dxa"/>
                  <w:gridSpan w:val="2"/>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废油墨桶</w:t>
                  </w:r>
                </w:p>
              </w:tc>
              <w:tc>
                <w:tcPr>
                  <w:tcW w:w="3712" w:type="dxa"/>
                  <w:vMerge w:val="restart"/>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lang w:eastAsia="zh-CN"/>
                    </w:rPr>
                    <w:t>印刷环节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6" w:type="dxa"/>
                  <w:vMerge w:val="continue"/>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p>
              </w:tc>
              <w:tc>
                <w:tcPr>
                  <w:tcW w:w="3886" w:type="dxa"/>
                  <w:gridSpan w:val="2"/>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lang w:eastAsia="zh-CN"/>
                    </w:rPr>
                    <w:t>废擦机布</w:t>
                  </w:r>
                </w:p>
              </w:tc>
              <w:tc>
                <w:tcPr>
                  <w:tcW w:w="3712" w:type="dxa"/>
                  <w:vMerge w:val="continue"/>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6" w:type="dxa"/>
                  <w:vMerge w:val="continue"/>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p>
              </w:tc>
              <w:tc>
                <w:tcPr>
                  <w:tcW w:w="3886" w:type="dxa"/>
                  <w:gridSpan w:val="2"/>
                  <w:tcBorders>
                    <w:bottom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lang w:eastAsia="zh-CN"/>
                    </w:rPr>
                    <w:t>废活性炭</w:t>
                  </w:r>
                </w:p>
              </w:tc>
              <w:tc>
                <w:tcPr>
                  <w:tcW w:w="3712" w:type="dxa"/>
                  <w:vMerge w:val="continue"/>
                  <w:tcBorders>
                    <w:bottom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6" w:type="dxa"/>
                  <w:vMerge w:val="continue"/>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p>
              </w:tc>
              <w:tc>
                <w:tcPr>
                  <w:tcW w:w="3886" w:type="dxa"/>
                  <w:gridSpan w:val="2"/>
                  <w:tcBorders>
                    <w:bottom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lang w:eastAsia="zh-CN"/>
                    </w:rPr>
                    <w:t>废机油和废棉纱</w:t>
                  </w:r>
                </w:p>
              </w:tc>
              <w:tc>
                <w:tcPr>
                  <w:tcW w:w="3712" w:type="dxa"/>
                  <w:tcBorders>
                    <w:bottom w:val="single" w:color="auto" w:sz="4" w:space="0"/>
                  </w:tcBorders>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lang w:eastAsia="zh-CN"/>
                    </w:rPr>
                    <w:t>机器保养</w:t>
                  </w:r>
                </w:p>
              </w:tc>
            </w:tr>
          </w:tbl>
          <w:p>
            <w:pPr>
              <w:pStyle w:val="8"/>
              <w:ind w:firstLine="480"/>
              <w:jc w:val="left"/>
              <w:rPr>
                <w:rFonts w:hint="default" w:ascii="Times New Roman" w:hAnsi="Times New Roman" w:cs="Times New Roman"/>
                <w:color w:val="auto"/>
              </w:rPr>
            </w:pPr>
            <w:r>
              <w:rPr>
                <w:rFonts w:hint="default" w:ascii="Times New Roman" w:hAnsi="Times New Roman" w:cs="Times New Roman"/>
                <w:color w:val="auto"/>
              </w:rPr>
              <w:t>3、运营期污染源源强核算</w:t>
            </w:r>
          </w:p>
          <w:p>
            <w:pPr>
              <w:rPr>
                <w:rFonts w:hint="default" w:ascii="Times New Roman" w:hAnsi="Times New Roman" w:cs="Times New Roman"/>
                <w:color w:val="auto"/>
              </w:rPr>
            </w:pPr>
            <w:r>
              <w:rPr>
                <w:rFonts w:hint="default" w:ascii="Times New Roman" w:hAnsi="Times New Roman" w:cs="Times New Roman"/>
                <w:color w:val="auto"/>
              </w:rPr>
              <w:t>（1）废气</w:t>
            </w:r>
          </w:p>
          <w:p>
            <w:pPr>
              <w:rPr>
                <w:rFonts w:hint="default" w:ascii="Times New Roman" w:hAnsi="Times New Roman" w:eastAsia="宋体" w:cs="Times New Roman"/>
                <w:color w:val="auto"/>
                <w:lang w:eastAsia="zh-CN"/>
              </w:rPr>
            </w:pPr>
            <w:r>
              <w:rPr>
                <w:rFonts w:hint="default" w:ascii="Times New Roman" w:hAnsi="Times New Roman" w:cs="Times New Roman"/>
                <w:color w:val="auto"/>
              </w:rPr>
              <w:t>本项目运营期废气主要为</w:t>
            </w:r>
            <w:r>
              <w:rPr>
                <w:rFonts w:hint="default" w:ascii="Times New Roman" w:hAnsi="Times New Roman" w:cs="Times New Roman"/>
                <w:color w:val="auto"/>
                <w:lang w:eastAsia="zh-CN"/>
              </w:rPr>
              <w:t>印刷废气、手工粘</w:t>
            </w:r>
            <w:r>
              <w:rPr>
                <w:rFonts w:hint="eastAsia" w:ascii="Times New Roman" w:hAnsi="Times New Roman" w:cs="Times New Roman"/>
                <w:color w:val="auto"/>
                <w:lang w:eastAsia="zh-CN"/>
              </w:rPr>
              <w:t>合</w:t>
            </w:r>
            <w:r>
              <w:rPr>
                <w:rFonts w:hint="default" w:ascii="Times New Roman" w:hAnsi="Times New Roman" w:cs="Times New Roman"/>
                <w:color w:val="auto"/>
                <w:lang w:eastAsia="zh-CN"/>
              </w:rPr>
              <w:t>废气和员工食堂油烟。</w:t>
            </w:r>
          </w:p>
          <w:p>
            <w:pP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①</w:t>
            </w:r>
            <w:r>
              <w:rPr>
                <w:rFonts w:hint="default" w:ascii="Times New Roman" w:hAnsi="Times New Roman" w:cs="Times New Roman"/>
                <w:color w:val="auto"/>
                <w:lang w:eastAsia="zh-CN"/>
              </w:rPr>
              <w:t>印刷废气</w:t>
            </w:r>
          </w:p>
          <w:p>
            <w:pPr>
              <w:pStyle w:val="5"/>
              <w:numPr>
                <w:ilvl w:val="0"/>
                <w:numId w:val="0"/>
              </w:numPr>
              <w:spacing w:afterLines="0"/>
              <w:ind w:firstLine="480" w:firstLineChars="200"/>
              <w:rPr>
                <w:rFonts w:hint="default" w:ascii="Times New Roman" w:hAnsi="Times New Roman" w:cs="Times New Roman"/>
                <w:b w:val="0"/>
                <w:bCs w:val="0"/>
                <w:color w:val="auto"/>
              </w:rPr>
            </w:pPr>
            <w:r>
              <w:rPr>
                <w:rFonts w:hint="default" w:ascii="Times New Roman" w:hAnsi="Times New Roman" w:cs="Times New Roman"/>
                <w:b w:val="0"/>
                <w:bCs w:val="0"/>
                <w:color w:val="auto"/>
              </w:rPr>
              <w:t>本项目胶印工序过程中使用</w:t>
            </w:r>
            <w:r>
              <w:rPr>
                <w:rFonts w:hint="default" w:ascii="Times New Roman" w:hAnsi="Times New Roman" w:cs="Times New Roman"/>
                <w:b w:val="0"/>
                <w:bCs w:val="0"/>
                <w:color w:val="auto"/>
                <w:lang w:eastAsia="zh-CN"/>
              </w:rPr>
              <w:t>大豆环保</w:t>
            </w:r>
            <w:r>
              <w:rPr>
                <w:rFonts w:hint="default" w:ascii="Times New Roman" w:hAnsi="Times New Roman" w:cs="Times New Roman"/>
                <w:b w:val="0"/>
                <w:bCs w:val="0"/>
                <w:color w:val="auto"/>
              </w:rPr>
              <w:t>油墨作为原料。</w:t>
            </w:r>
            <w:r>
              <w:rPr>
                <w:rFonts w:hint="default" w:ascii="Times New Roman" w:hAnsi="Times New Roman" w:cs="Times New Roman"/>
                <w:b w:val="0"/>
                <w:bCs w:val="0"/>
                <w:color w:val="auto"/>
                <w:lang w:val="en-US" w:eastAsia="zh-CN"/>
              </w:rPr>
              <w:t>根据企业提供资料，以用量最多的黑色油墨为例，项目大豆油墨的配方为：颜料18-25%，树脂 22-28%，植物油 10-25%，油墨溶剂 20-25%，添加剂 1-4%。</w:t>
            </w:r>
            <w:r>
              <w:rPr>
                <w:rFonts w:hint="default" w:ascii="Times New Roman" w:hAnsi="Times New Roman" w:cs="Times New Roman"/>
                <w:b w:val="0"/>
                <w:bCs w:val="0"/>
                <w:color w:val="auto"/>
                <w:lang w:eastAsia="zh-CN"/>
              </w:rPr>
              <w:t>大豆环保</w:t>
            </w:r>
            <w:r>
              <w:rPr>
                <w:rFonts w:hint="default" w:ascii="Times New Roman" w:hAnsi="Times New Roman" w:cs="Times New Roman"/>
                <w:b w:val="0"/>
                <w:bCs w:val="0"/>
                <w:color w:val="auto"/>
              </w:rPr>
              <w:t>油墨印刷过程中会产生少量无组织排放的有机废气，主要成分为非甲烷总烃类挥发性有机化合物（VOCs），本次评价</w:t>
            </w:r>
            <w:r>
              <w:rPr>
                <w:rFonts w:hint="default" w:ascii="Times New Roman" w:hAnsi="Times New Roman" w:cs="Times New Roman"/>
                <w:b w:val="0"/>
                <w:bCs w:val="0"/>
                <w:color w:val="auto"/>
                <w:lang w:eastAsia="zh-CN"/>
              </w:rPr>
              <w:t>以</w:t>
            </w:r>
            <w:r>
              <w:rPr>
                <w:rFonts w:hint="default" w:ascii="Times New Roman" w:hAnsi="Times New Roman" w:cs="Times New Roman"/>
                <w:b w:val="0"/>
                <w:bCs w:val="0"/>
                <w:color w:val="auto"/>
              </w:rPr>
              <w:t>非甲烷总烃计。参照《广东省印刷行业挥发性有机化合物废气治理技术指南》中大豆油墨的VOCs含量为0~20%，本项目</w:t>
            </w:r>
            <w:r>
              <w:rPr>
                <w:rFonts w:hint="default" w:ascii="Times New Roman" w:hAnsi="Times New Roman" w:cs="Times New Roman"/>
                <w:b w:val="0"/>
                <w:bCs w:val="0"/>
                <w:color w:val="auto"/>
                <w:lang w:eastAsia="zh-CN"/>
              </w:rPr>
              <w:t>按</w:t>
            </w:r>
            <w:r>
              <w:rPr>
                <w:rFonts w:hint="default" w:ascii="Times New Roman" w:hAnsi="Times New Roman" w:cs="Times New Roman"/>
                <w:b w:val="0"/>
                <w:bCs w:val="0"/>
                <w:color w:val="auto"/>
                <w:lang w:val="en-US" w:eastAsia="zh-CN"/>
              </w:rPr>
              <w:t>20%计</w:t>
            </w:r>
            <w:r>
              <w:rPr>
                <w:rFonts w:hint="default" w:ascii="Times New Roman" w:hAnsi="Times New Roman" w:cs="Times New Roman"/>
                <w:b w:val="0"/>
                <w:bCs w:val="0"/>
                <w:color w:val="auto"/>
              </w:rPr>
              <w:t>，胶印过程中</w:t>
            </w:r>
            <w:r>
              <w:rPr>
                <w:rFonts w:hint="default" w:ascii="Times New Roman" w:hAnsi="Times New Roman" w:cs="Times New Roman"/>
                <w:b w:val="0"/>
                <w:bCs w:val="0"/>
                <w:color w:val="auto"/>
                <w:lang w:eastAsia="zh-CN"/>
              </w:rPr>
              <w:t>大豆环保</w:t>
            </w:r>
            <w:r>
              <w:rPr>
                <w:rFonts w:hint="default" w:ascii="Times New Roman" w:hAnsi="Times New Roman" w:cs="Times New Roman"/>
                <w:b w:val="0"/>
                <w:bCs w:val="0"/>
                <w:color w:val="auto"/>
              </w:rPr>
              <w:t>油墨中VOCs全部挥发，有机废气占油墨用量的</w:t>
            </w:r>
            <w:r>
              <w:rPr>
                <w:rFonts w:hint="default" w:ascii="Times New Roman" w:hAnsi="Times New Roman" w:cs="Times New Roman"/>
                <w:b w:val="0"/>
                <w:bCs w:val="0"/>
                <w:color w:val="auto"/>
                <w:lang w:val="en-US" w:eastAsia="zh-CN"/>
              </w:rPr>
              <w:t>2</w:t>
            </w:r>
            <w:r>
              <w:rPr>
                <w:rFonts w:hint="default" w:ascii="Times New Roman" w:hAnsi="Times New Roman" w:cs="Times New Roman"/>
                <w:b w:val="0"/>
                <w:bCs w:val="0"/>
                <w:color w:val="auto"/>
              </w:rPr>
              <w:t>0%，本项目油墨使用量为</w:t>
            </w:r>
            <w:r>
              <w:rPr>
                <w:rFonts w:hint="default" w:ascii="Times New Roman" w:hAnsi="Times New Roman" w:cs="Times New Roman"/>
                <w:b w:val="0"/>
                <w:bCs w:val="0"/>
                <w:color w:val="auto"/>
                <w:lang w:val="en-US" w:eastAsia="zh-CN"/>
              </w:rPr>
              <w:t>5.1t</w:t>
            </w:r>
            <w:r>
              <w:rPr>
                <w:rFonts w:hint="default" w:ascii="Times New Roman" w:hAnsi="Times New Roman" w:cs="Times New Roman"/>
                <w:b w:val="0"/>
                <w:bCs w:val="0"/>
                <w:color w:val="auto"/>
              </w:rPr>
              <w:t>/a，则非甲烷总烃产生量为</w:t>
            </w:r>
            <w:r>
              <w:rPr>
                <w:rFonts w:hint="default" w:ascii="Times New Roman" w:hAnsi="Times New Roman" w:cs="Times New Roman"/>
                <w:b w:val="0"/>
                <w:bCs w:val="0"/>
                <w:color w:val="auto"/>
                <w:lang w:val="en-US" w:eastAsia="zh-CN"/>
              </w:rPr>
              <w:t>1.02t</w:t>
            </w:r>
            <w:r>
              <w:rPr>
                <w:rFonts w:hint="default" w:ascii="Times New Roman" w:hAnsi="Times New Roman" w:cs="Times New Roman"/>
                <w:b w:val="0"/>
                <w:bCs w:val="0"/>
                <w:color w:val="auto"/>
              </w:rPr>
              <w:t>/a。</w:t>
            </w:r>
          </w:p>
          <w:p>
            <w:pPr>
              <w:rPr>
                <w:rFonts w:hint="default" w:ascii="Times New Roman" w:hAnsi="Times New Roman" w:cs="Times New Roman"/>
                <w:color w:val="auto"/>
              </w:rPr>
            </w:pPr>
            <w:r>
              <w:rPr>
                <w:rFonts w:hint="default" w:ascii="Times New Roman" w:hAnsi="Times New Roman" w:cs="Times New Roman"/>
                <w:color w:val="auto"/>
              </w:rPr>
              <w:t>另外胶印机墨斗、墨辊需要定期清理，本项目使用抹布沾汽油进行擦拭清理，在清洗墨斗、墨辊时使用的汽油（以非甲烷总烃计）极易挥发，汽油按50%挥发计算。项目根据汽油耗用量计算可知（根据建设方提供资料</w:t>
            </w:r>
            <w:r>
              <w:rPr>
                <w:rFonts w:hint="default" w:ascii="Times New Roman" w:hAnsi="Times New Roman" w:cs="Times New Roman"/>
                <w:color w:val="auto"/>
                <w:lang w:eastAsia="zh-CN"/>
              </w:rPr>
              <w:t>，</w:t>
            </w:r>
            <w:r>
              <w:rPr>
                <w:rFonts w:hint="default" w:ascii="Times New Roman" w:hAnsi="Times New Roman" w:cs="Times New Roman"/>
                <w:color w:val="auto"/>
              </w:rPr>
              <w:t>汽油年用量为</w:t>
            </w:r>
            <w:r>
              <w:rPr>
                <w:rFonts w:hint="default" w:ascii="Times New Roman" w:hAnsi="Times New Roman" w:cs="Times New Roman"/>
                <w:color w:val="auto"/>
                <w:lang w:val="en-US" w:eastAsia="zh-CN"/>
              </w:rPr>
              <w:t>160</w:t>
            </w:r>
            <w:r>
              <w:rPr>
                <w:rFonts w:hint="default" w:ascii="Times New Roman" w:hAnsi="Times New Roman" w:cs="Times New Roman"/>
                <w:color w:val="auto"/>
              </w:rPr>
              <w:t>L/a，汽油的密度为0.739，则汽油年耗量为</w:t>
            </w:r>
            <w:r>
              <w:rPr>
                <w:rFonts w:hint="default" w:ascii="Times New Roman" w:hAnsi="Times New Roman" w:cs="Times New Roman"/>
                <w:color w:val="auto"/>
                <w:lang w:val="en-US" w:eastAsia="zh-CN"/>
              </w:rPr>
              <w:t>118.24</w:t>
            </w:r>
            <w:r>
              <w:rPr>
                <w:rFonts w:hint="default" w:ascii="Times New Roman" w:hAnsi="Times New Roman" w:cs="Times New Roman"/>
                <w:color w:val="auto"/>
              </w:rPr>
              <w:t>kg/a），胶印清理过程中非甲烷总烃产生量为</w:t>
            </w:r>
            <w:r>
              <w:rPr>
                <w:rFonts w:hint="default" w:ascii="Times New Roman" w:hAnsi="Times New Roman" w:cs="Times New Roman"/>
                <w:color w:val="auto"/>
                <w:lang w:val="en-US" w:eastAsia="zh-CN"/>
              </w:rPr>
              <w:t>59.12</w:t>
            </w:r>
            <w:r>
              <w:rPr>
                <w:rFonts w:hint="default" w:ascii="Times New Roman" w:hAnsi="Times New Roman" w:cs="Times New Roman"/>
                <w:color w:val="auto"/>
              </w:rPr>
              <w:t>kg/a。</w:t>
            </w:r>
          </w:p>
          <w:p>
            <w:pPr>
              <w:rPr>
                <w:rFonts w:hint="default" w:ascii="Times New Roman" w:hAnsi="Times New Roman" w:eastAsia="宋体" w:cs="Times New Roman"/>
                <w:color w:val="auto"/>
                <w:lang w:eastAsia="zh-CN"/>
              </w:rPr>
            </w:pPr>
            <w:r>
              <w:rPr>
                <w:rFonts w:hint="default" w:ascii="Times New Roman" w:hAnsi="Times New Roman" w:cs="Times New Roman"/>
                <w:color w:val="auto"/>
              </w:rPr>
              <w:t>综合以上，胶印工序废气非甲烷总烃产生总量为</w:t>
            </w:r>
            <w:r>
              <w:rPr>
                <w:rFonts w:hint="default" w:ascii="Times New Roman" w:hAnsi="Times New Roman" w:cs="Times New Roman"/>
                <w:color w:val="auto"/>
                <w:lang w:val="en-US" w:eastAsia="zh-CN"/>
              </w:rPr>
              <w:t>1.08t</w:t>
            </w:r>
            <w:r>
              <w:rPr>
                <w:rFonts w:hint="default" w:ascii="Times New Roman" w:hAnsi="Times New Roman" w:cs="Times New Roman"/>
                <w:color w:val="auto"/>
              </w:rPr>
              <w:t>/a。本次</w:t>
            </w:r>
            <w:r>
              <w:rPr>
                <w:rFonts w:hint="default" w:ascii="Times New Roman" w:hAnsi="Times New Roman" w:cs="Times New Roman"/>
                <w:color w:val="auto"/>
                <w:lang w:eastAsia="zh-CN"/>
              </w:rPr>
              <w:t>环评</w:t>
            </w:r>
            <w:r>
              <w:rPr>
                <w:rFonts w:hint="default" w:ascii="Times New Roman" w:hAnsi="Times New Roman" w:cs="Times New Roman"/>
                <w:color w:val="auto"/>
              </w:rPr>
              <w:t>要求，建设单位应在胶印机上方设置集气罩</w:t>
            </w:r>
            <w:r>
              <w:rPr>
                <w:rFonts w:hint="default" w:ascii="Times New Roman" w:hAnsi="Times New Roman" w:cs="Times New Roman"/>
                <w:color w:val="auto"/>
                <w:lang w:val="en-US" w:eastAsia="zh-CN"/>
              </w:rPr>
              <w:t>+活性炭吸附后通过15m高排气筒排放</w:t>
            </w:r>
            <w:r>
              <w:rPr>
                <w:rFonts w:hint="default" w:ascii="Times New Roman" w:hAnsi="Times New Roman" w:cs="Times New Roman"/>
                <w:color w:val="auto"/>
              </w:rPr>
              <w:t>，</w:t>
            </w:r>
            <w:r>
              <w:rPr>
                <w:rFonts w:hint="default" w:ascii="Times New Roman" w:hAnsi="Times New Roman" w:cs="Times New Roman"/>
                <w:color w:val="auto"/>
                <w:lang w:eastAsia="zh-CN"/>
              </w:rPr>
              <w:t>废气系统收集效率为</w:t>
            </w:r>
            <w:r>
              <w:rPr>
                <w:rFonts w:hint="default" w:ascii="Times New Roman" w:hAnsi="Times New Roman" w:cs="Times New Roman"/>
                <w:color w:val="auto"/>
                <w:lang w:val="en-US" w:eastAsia="zh-CN"/>
              </w:rPr>
              <w:t>90%，则无组织废气产生量为0.108t/a（0.045kg/h）。</w:t>
            </w:r>
            <w:r>
              <w:rPr>
                <w:rFonts w:hint="default" w:ascii="Times New Roman" w:hAnsi="Times New Roman" w:cs="Times New Roman"/>
                <w:color w:val="auto"/>
              </w:rPr>
              <w:t>引风机风量为</w:t>
            </w:r>
            <w:r>
              <w:rPr>
                <w:rFonts w:hint="default" w:ascii="Times New Roman" w:hAnsi="Times New Roman" w:cs="Times New Roman"/>
                <w:color w:val="auto"/>
                <w:lang w:val="en-US" w:eastAsia="zh-CN"/>
              </w:rPr>
              <w:t>5</w:t>
            </w:r>
            <w:r>
              <w:rPr>
                <w:rFonts w:hint="default" w:ascii="Times New Roman" w:hAnsi="Times New Roman" w:cs="Times New Roman"/>
                <w:color w:val="auto"/>
              </w:rPr>
              <w:t>000m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default" w:ascii="Times New Roman" w:hAnsi="Times New Roman" w:cs="Times New Roman"/>
                <w:color w:val="auto"/>
                <w:lang w:eastAsia="zh-CN"/>
              </w:rPr>
              <w:t>处理效率为</w:t>
            </w:r>
            <w:r>
              <w:rPr>
                <w:rFonts w:hint="default" w:ascii="Times New Roman" w:hAnsi="Times New Roman" w:cs="Times New Roman"/>
                <w:color w:val="auto"/>
                <w:lang w:val="en-US" w:eastAsia="zh-CN"/>
              </w:rPr>
              <w:t>80%，</w:t>
            </w:r>
            <w:r>
              <w:rPr>
                <w:rFonts w:hint="default" w:ascii="Times New Roman" w:hAnsi="Times New Roman" w:cs="Times New Roman"/>
                <w:color w:val="auto"/>
                <w:lang w:eastAsia="zh-CN"/>
              </w:rPr>
              <w:t>项目非甲烷总烃产品情况见表</w:t>
            </w:r>
            <w:r>
              <w:rPr>
                <w:rFonts w:hint="default" w:ascii="Times New Roman" w:hAnsi="Times New Roman" w:cs="Times New Roman"/>
                <w:color w:val="auto"/>
                <w:lang w:val="en-US" w:eastAsia="zh-CN"/>
              </w:rPr>
              <w:t>5-2</w:t>
            </w:r>
            <w:r>
              <w:rPr>
                <w:rFonts w:hint="default" w:ascii="Times New Roman" w:hAnsi="Times New Roman"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0"/>
              </w:rPr>
            </w:pPr>
            <w:r>
              <w:rPr>
                <w:rFonts w:hint="default" w:ascii="Times New Roman" w:hAnsi="Times New Roman" w:cs="Times New Roman"/>
                <w:b/>
                <w:color w:val="auto"/>
                <w:sz w:val="21"/>
                <w:szCs w:val="20"/>
              </w:rPr>
              <w:t>表</w:t>
            </w:r>
            <w:r>
              <w:rPr>
                <w:rFonts w:hint="default" w:ascii="Times New Roman" w:hAnsi="Times New Roman" w:cs="Times New Roman"/>
                <w:b/>
                <w:color w:val="auto"/>
                <w:sz w:val="21"/>
                <w:szCs w:val="20"/>
                <w:lang w:val="en-US" w:eastAsia="zh-CN"/>
              </w:rPr>
              <w:t xml:space="preserve">5-2  </w:t>
            </w:r>
            <w:r>
              <w:rPr>
                <w:rFonts w:hint="default" w:ascii="Times New Roman" w:hAnsi="Times New Roman" w:cs="Times New Roman"/>
                <w:b/>
                <w:color w:val="auto"/>
                <w:sz w:val="21"/>
                <w:szCs w:val="20"/>
              </w:rPr>
              <w:t xml:space="preserve"> </w:t>
            </w:r>
            <w:r>
              <w:rPr>
                <w:rFonts w:hint="default" w:ascii="Times New Roman" w:hAnsi="Times New Roman" w:cs="Times New Roman"/>
                <w:b/>
                <w:color w:val="auto"/>
                <w:sz w:val="21"/>
                <w:szCs w:val="20"/>
                <w:lang w:eastAsia="zh-CN"/>
              </w:rPr>
              <w:t>印刷过程中有组织</w:t>
            </w:r>
            <w:r>
              <w:rPr>
                <w:rFonts w:hint="default" w:ascii="Times New Roman" w:hAnsi="Times New Roman" w:cs="Times New Roman"/>
                <w:b/>
                <w:color w:val="auto"/>
                <w:sz w:val="21"/>
                <w:szCs w:val="20"/>
              </w:rPr>
              <w:t>非甲烷总烃产排情况</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11"/>
              <w:gridCol w:w="753"/>
              <w:gridCol w:w="867"/>
              <w:gridCol w:w="796"/>
              <w:gridCol w:w="889"/>
              <w:gridCol w:w="1561"/>
              <w:gridCol w:w="1174"/>
              <w:gridCol w:w="1078"/>
              <w:gridCol w:w="109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724" w:hRule="atLeast"/>
                <w:tblHeader/>
                <w:jc w:val="center"/>
              </w:trPr>
              <w:tc>
                <w:tcPr>
                  <w:tcW w:w="6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污染物来源</w:t>
                  </w:r>
                </w:p>
              </w:tc>
              <w:tc>
                <w:tcPr>
                  <w:tcW w:w="7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8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风量</w:t>
                  </w:r>
                </w:p>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7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8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5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处理措施、效率，排气筒高度</w:t>
                  </w:r>
                </w:p>
              </w:tc>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排放量（t/a）</w:t>
                  </w: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排放速率</w:t>
                  </w:r>
                </w:p>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（kg/h）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671" w:hRule="atLeast"/>
                <w:jc w:val="center"/>
              </w:trPr>
              <w:tc>
                <w:tcPr>
                  <w:tcW w:w="6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印刷工序</w:t>
                  </w:r>
                </w:p>
              </w:tc>
              <w:tc>
                <w:tcPr>
                  <w:tcW w:w="7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8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5</w:t>
                  </w:r>
                  <w:r>
                    <w:rPr>
                      <w:rFonts w:hint="default" w:ascii="Times New Roman" w:hAnsi="Times New Roman" w:cs="Times New Roman"/>
                      <w:color w:val="auto"/>
                      <w:kern w:val="0"/>
                      <w:sz w:val="21"/>
                      <w:szCs w:val="21"/>
                    </w:rPr>
                    <w:t>000</w:t>
                  </w:r>
                </w:p>
              </w:tc>
              <w:tc>
                <w:tcPr>
                  <w:tcW w:w="7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1.08</w:t>
                  </w:r>
                </w:p>
              </w:tc>
              <w:tc>
                <w:tcPr>
                  <w:tcW w:w="8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90</w:t>
                  </w:r>
                </w:p>
              </w:tc>
              <w:tc>
                <w:tcPr>
                  <w:tcW w:w="15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rPr>
                    <w:t>集气罩收集</w:t>
                  </w:r>
                  <w:r>
                    <w:rPr>
                      <w:rFonts w:hint="default" w:ascii="Times New Roman" w:hAnsi="Times New Roman" w:cs="Times New Roman"/>
                      <w:color w:val="auto"/>
                      <w:kern w:val="0"/>
                      <w:sz w:val="21"/>
                      <w:szCs w:val="21"/>
                      <w:lang w:val="en-US" w:eastAsia="zh-CN"/>
                    </w:rPr>
                    <w:t>90%</w:t>
                  </w:r>
                  <w:r>
                    <w:rPr>
                      <w:rFonts w:hint="default" w:ascii="Times New Roman" w:hAnsi="Times New Roman" w:cs="Times New Roman"/>
                      <w:color w:val="auto"/>
                      <w:kern w:val="0"/>
                      <w:sz w:val="21"/>
                      <w:szCs w:val="21"/>
                    </w:rPr>
                    <w:t>后</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经性炭</w:t>
                  </w:r>
                  <w:r>
                    <w:rPr>
                      <w:rFonts w:hint="default" w:ascii="Times New Roman" w:hAnsi="Times New Roman" w:cs="Times New Roman"/>
                      <w:color w:val="auto"/>
                      <w:kern w:val="0"/>
                      <w:sz w:val="21"/>
                      <w:szCs w:val="21"/>
                      <w:lang w:eastAsia="zh-CN"/>
                    </w:rPr>
                    <w:t>吸附</w:t>
                  </w: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eastAsia="zh-CN"/>
                    </w:rPr>
                    <w:t>处理效率</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0%</w:t>
                  </w:r>
                  <w:r>
                    <w:rPr>
                      <w:rFonts w:hint="default" w:ascii="Times New Roman" w:hAnsi="Times New Roman" w:cs="Times New Roman"/>
                      <w:color w:val="auto"/>
                      <w:kern w:val="0"/>
                      <w:sz w:val="21"/>
                      <w:szCs w:val="21"/>
                      <w:lang w:eastAsia="zh-CN"/>
                    </w:rPr>
                    <w:t>后</w:t>
                  </w:r>
                  <w:r>
                    <w:rPr>
                      <w:rFonts w:hint="default" w:ascii="Times New Roman" w:hAnsi="Times New Roman" w:cs="Times New Roman"/>
                      <w:color w:val="auto"/>
                      <w:kern w:val="0"/>
                      <w:sz w:val="21"/>
                      <w:szCs w:val="21"/>
                    </w:rPr>
                    <w:t>15m</w:t>
                  </w:r>
                  <w:r>
                    <w:rPr>
                      <w:rFonts w:hint="default" w:ascii="Times New Roman" w:hAnsi="Times New Roman" w:cs="Times New Roman"/>
                      <w:color w:val="auto"/>
                      <w:kern w:val="0"/>
                      <w:sz w:val="21"/>
                      <w:szCs w:val="21"/>
                      <w:lang w:eastAsia="zh-CN"/>
                    </w:rPr>
                    <w:t>排气筒排放</w:t>
                  </w:r>
                </w:p>
              </w:tc>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0.194</w:t>
                  </w: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16.16</w:t>
                  </w: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0.081</w:t>
                  </w:r>
                </w:p>
              </w:tc>
            </w:tr>
          </w:tbl>
          <w:p>
            <w:pPr>
              <w:keepNext w:val="0"/>
              <w:keepLines w:val="0"/>
              <w:pageBreakBefore w:val="0"/>
              <w:widowControl w:val="0"/>
              <w:kinsoku/>
              <w:wordWrap/>
              <w:overflowPunct/>
              <w:topLinePunct w:val="0"/>
              <w:autoSpaceDE/>
              <w:autoSpaceDN/>
              <w:bidi w:val="0"/>
              <w:adjustRightInd/>
              <w:snapToGrid/>
              <w:spacing w:before="164" w:beforeLines="5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②</w:t>
            </w:r>
            <w:r>
              <w:rPr>
                <w:rFonts w:hint="default" w:ascii="Times New Roman" w:hAnsi="Times New Roman" w:eastAsia="宋体" w:cs="Times New Roman"/>
                <w:color w:val="auto"/>
                <w:lang w:eastAsia="zh-CN"/>
              </w:rPr>
              <w:t>手工粘</w:t>
            </w:r>
            <w:r>
              <w:rPr>
                <w:rFonts w:hint="eastAsia" w:ascii="Times New Roman" w:hAnsi="Times New Roman" w:eastAsia="宋体" w:cs="Times New Roman"/>
                <w:color w:val="auto"/>
                <w:lang w:eastAsia="zh-CN"/>
              </w:rPr>
              <w:t>合</w:t>
            </w:r>
            <w:r>
              <w:rPr>
                <w:rFonts w:hint="default" w:ascii="Times New Roman" w:hAnsi="Times New Roman" w:eastAsia="宋体" w:cs="Times New Roman"/>
                <w:color w:val="auto"/>
                <w:lang w:eastAsia="zh-CN"/>
              </w:rPr>
              <w:t>废气</w:t>
            </w:r>
          </w:p>
          <w:p>
            <w:pPr>
              <w:pStyle w:val="97"/>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b w:val="0"/>
                <w:bCs w:val="0"/>
                <w:color w:val="auto"/>
                <w:lang w:val="en-US" w:eastAsia="zh-CN"/>
              </w:rPr>
            </w:pPr>
            <w:r>
              <w:rPr>
                <w:rFonts w:hint="default" w:ascii="Times New Roman" w:hAnsi="Times New Roman" w:eastAsia="宋体" w:cs="Times New Roman"/>
                <w:color w:val="auto"/>
                <w:lang w:eastAsia="zh-CN"/>
              </w:rPr>
              <w:t>项目在生产过程的</w:t>
            </w:r>
            <w:r>
              <w:rPr>
                <w:rFonts w:hint="eastAsia" w:ascii="Times New Roman" w:hAnsi="Times New Roman" w:eastAsia="宋体" w:cs="Times New Roman"/>
                <w:color w:val="auto"/>
                <w:lang w:eastAsia="zh-CN"/>
              </w:rPr>
              <w:t>手工粘合</w:t>
            </w:r>
            <w:r>
              <w:rPr>
                <w:rFonts w:hint="default" w:ascii="Times New Roman" w:hAnsi="Times New Roman" w:eastAsia="宋体" w:cs="Times New Roman"/>
                <w:color w:val="auto"/>
                <w:lang w:eastAsia="zh-CN"/>
              </w:rPr>
              <w:t>环节，用到了</w:t>
            </w:r>
            <w:r>
              <w:rPr>
                <w:rFonts w:hint="eastAsia" w:ascii="Times New Roman" w:hAnsi="Times New Roman" w:eastAsia="宋体" w:cs="Times New Roman"/>
                <w:color w:val="auto"/>
                <w:lang w:eastAsia="zh-CN"/>
              </w:rPr>
              <w:t>水性封口胶</w:t>
            </w:r>
            <w:r>
              <w:rPr>
                <w:rFonts w:hint="default" w:ascii="Times New Roman" w:hAnsi="Times New Roman" w:eastAsia="宋体" w:cs="Times New Roman"/>
                <w:color w:val="auto"/>
                <w:lang w:eastAsia="zh-CN"/>
              </w:rPr>
              <w:t>和果冻胶，</w:t>
            </w:r>
            <w:r>
              <w:rPr>
                <w:rFonts w:hint="default" w:ascii="Times New Roman" w:hAnsi="Times New Roman" w:cs="Times New Roman"/>
                <w:b w:val="0"/>
                <w:bCs w:val="0"/>
                <w:color w:val="auto"/>
                <w:lang w:val="en-US" w:eastAsia="zh-CN"/>
              </w:rPr>
              <w:t>果冻胶</w:t>
            </w:r>
            <w:r>
              <w:rPr>
                <w:rFonts w:hint="default" w:ascii="Times New Roman" w:hAnsi="Times New Roman" w:cs="Times New Roman"/>
                <w:color w:val="auto"/>
                <w:highlight w:val="none"/>
                <w:lang w:val="en-US" w:eastAsia="zh-CN"/>
              </w:rPr>
              <w:t>主要成分为85%的工业明胶，15%的水分，其中工业明胶为从动物的结缔或表皮组织中的胶原部分水解出来的蛋白质。因此，将果冻胶溶解涂抹糊盒时不会产生废气；</w:t>
            </w:r>
            <w:r>
              <w:rPr>
                <w:rFonts w:hint="eastAsia" w:ascii="Times New Roman" w:hAnsi="Times New Roman" w:eastAsia="宋体" w:cs="Times New Roman"/>
                <w:color w:val="auto"/>
                <w:lang w:eastAsia="zh-CN"/>
              </w:rPr>
              <w:t>水性封口胶</w:t>
            </w:r>
            <w:r>
              <w:rPr>
                <w:rFonts w:hint="default" w:ascii="Times New Roman" w:hAnsi="Times New Roman" w:eastAsia="宋体" w:cs="Times New Roman"/>
                <w:color w:val="auto"/>
                <w:lang w:eastAsia="zh-CN"/>
              </w:rPr>
              <w:t>的组成成分为</w:t>
            </w:r>
            <w:r>
              <w:rPr>
                <w:rFonts w:hint="default" w:ascii="Times New Roman" w:hAnsi="Times New Roman" w:cs="Times New Roman"/>
                <w:b w:val="0"/>
                <w:bCs w:val="0"/>
                <w:color w:val="auto"/>
                <w:lang w:val="en-US" w:eastAsia="zh-CN"/>
              </w:rPr>
              <w:t>聚醋酸乙烯酯30-50%、水40-50%、树脂、助剂1-5%，有机废气以非甲烷总烃来计，非甲烷总烃含量按照5%计，项目</w:t>
            </w:r>
            <w:r>
              <w:rPr>
                <w:rFonts w:hint="eastAsia" w:ascii="Times New Roman" w:hAnsi="Times New Roman" w:cs="Times New Roman"/>
                <w:b w:val="0"/>
                <w:bCs w:val="0"/>
                <w:color w:val="auto"/>
                <w:lang w:val="en-US" w:eastAsia="zh-CN"/>
              </w:rPr>
              <w:t>水性封口胶</w:t>
            </w:r>
            <w:r>
              <w:rPr>
                <w:rFonts w:hint="default" w:ascii="Times New Roman" w:hAnsi="Times New Roman" w:cs="Times New Roman"/>
                <w:b w:val="0"/>
                <w:bCs w:val="0"/>
                <w:color w:val="auto"/>
                <w:lang w:val="en-US" w:eastAsia="zh-CN"/>
              </w:rPr>
              <w:t>的年用量为2300kg，则非甲烷总烃的产生量为0.12t/a，排放速率为0.05kg/h。建议建设单位设</w:t>
            </w:r>
            <w:r>
              <w:rPr>
                <w:rFonts w:hint="eastAsia" w:ascii="Times New Roman" w:hAnsi="Times New Roman" w:cs="Times New Roman"/>
                <w:b w:val="0"/>
                <w:bCs w:val="0"/>
                <w:color w:val="auto"/>
                <w:lang w:val="en-US" w:eastAsia="zh-CN"/>
              </w:rPr>
              <w:t>密闭车间排风系统</w:t>
            </w:r>
            <w:r>
              <w:rPr>
                <w:rFonts w:hint="default" w:ascii="Times New Roman" w:hAnsi="Times New Roman" w:cs="Times New Roman"/>
                <w:b w:val="0"/>
                <w:bCs w:val="0"/>
                <w:color w:val="auto"/>
                <w:lang w:val="en-US" w:eastAsia="zh-CN"/>
              </w:rPr>
              <w:t>后经管道与印刷废气一同</w:t>
            </w:r>
            <w:r>
              <w:rPr>
                <w:rFonts w:hint="default" w:ascii="Times New Roman" w:hAnsi="Times New Roman" w:eastAsia="宋体" w:cs="Times New Roman"/>
                <w:b w:val="0"/>
                <w:bCs w:val="0"/>
                <w:color w:val="auto"/>
                <w:lang w:val="en-US" w:eastAsia="zh-CN"/>
              </w:rPr>
              <w:t>经“</w:t>
            </w:r>
            <w:r>
              <w:rPr>
                <w:rFonts w:hint="default" w:ascii="Times New Roman" w:hAnsi="Times New Roman" w:cs="Times New Roman"/>
                <w:b w:val="0"/>
                <w:bCs w:val="0"/>
                <w:color w:val="auto"/>
                <w:lang w:val="en-US" w:eastAsia="zh-CN"/>
              </w:rPr>
              <w:t>活性炭吸附+15m排气筒排放</w:t>
            </w:r>
            <w:r>
              <w:rPr>
                <w:rFonts w:hint="default" w:ascii="Times New Roman" w:hAnsi="Times New Roman" w:eastAsia="宋体" w:cs="Times New Roman"/>
                <w:b w:val="0"/>
                <w:bCs w:val="0"/>
                <w:color w:val="auto"/>
                <w:lang w:val="en-US" w:eastAsia="zh-CN"/>
              </w:rPr>
              <w:t>”</w:t>
            </w:r>
            <w:r>
              <w:rPr>
                <w:rFonts w:hint="default" w:ascii="Times New Roman" w:hAnsi="Times New Roman" w:cs="Times New Roman"/>
                <w:b w:val="0"/>
                <w:bCs w:val="0"/>
                <w:color w:val="auto"/>
                <w:lang w:val="en-US" w:eastAsia="zh-CN"/>
              </w:rPr>
              <w:t>。废气系统收集效率为90%，则无组织废气产生量为0.012t/a（0.005kg/h）。引风机风量为</w:t>
            </w:r>
            <w:r>
              <w:rPr>
                <w:rFonts w:hint="default" w:ascii="Times New Roman" w:hAnsi="Times New Roman" w:cs="Times New Roman"/>
                <w:color w:val="auto"/>
              </w:rPr>
              <w:t>引风机风量为</w:t>
            </w:r>
            <w:r>
              <w:rPr>
                <w:rFonts w:hint="default" w:ascii="Times New Roman" w:hAnsi="Times New Roman" w:cs="Times New Roman"/>
                <w:color w:val="auto"/>
                <w:lang w:val="en-US" w:eastAsia="zh-CN"/>
              </w:rPr>
              <w:t>5</w:t>
            </w:r>
            <w:r>
              <w:rPr>
                <w:rFonts w:hint="default" w:ascii="Times New Roman" w:hAnsi="Times New Roman" w:cs="Times New Roman"/>
                <w:color w:val="auto"/>
              </w:rPr>
              <w:t>000m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default" w:ascii="Times New Roman" w:hAnsi="Times New Roman" w:cs="Times New Roman"/>
                <w:color w:val="auto"/>
                <w:lang w:eastAsia="zh-CN"/>
              </w:rPr>
              <w:t>处理效率为</w:t>
            </w:r>
            <w:r>
              <w:rPr>
                <w:rFonts w:hint="default" w:ascii="Times New Roman" w:hAnsi="Times New Roman" w:cs="Times New Roman"/>
                <w:color w:val="auto"/>
                <w:lang w:val="en-US" w:eastAsia="zh-CN"/>
              </w:rPr>
              <w:t>80%，</w:t>
            </w:r>
            <w:r>
              <w:rPr>
                <w:rFonts w:hint="default" w:ascii="Times New Roman" w:hAnsi="Times New Roman" w:cs="Times New Roman"/>
                <w:color w:val="auto"/>
                <w:lang w:eastAsia="zh-CN"/>
              </w:rPr>
              <w:t>项目非甲烷总烃产品情况见表</w:t>
            </w:r>
            <w:r>
              <w:rPr>
                <w:rFonts w:hint="default" w:ascii="Times New Roman" w:hAnsi="Times New Roman" w:cs="Times New Roman"/>
                <w:color w:val="auto"/>
                <w:lang w:val="en-US" w:eastAsia="zh-CN"/>
              </w:rPr>
              <w:t>5-3</w:t>
            </w:r>
            <w:r>
              <w:rPr>
                <w:rFonts w:hint="default" w:ascii="Times New Roman" w:hAnsi="Times New Roman"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0"/>
              </w:rPr>
            </w:pPr>
            <w:r>
              <w:rPr>
                <w:rFonts w:hint="default" w:ascii="Times New Roman" w:hAnsi="Times New Roman" w:cs="Times New Roman"/>
                <w:b/>
                <w:color w:val="auto"/>
                <w:sz w:val="21"/>
                <w:szCs w:val="20"/>
              </w:rPr>
              <w:t>表</w:t>
            </w:r>
            <w:r>
              <w:rPr>
                <w:rFonts w:hint="default" w:ascii="Times New Roman" w:hAnsi="Times New Roman" w:cs="Times New Roman"/>
                <w:b/>
                <w:color w:val="auto"/>
                <w:sz w:val="21"/>
                <w:szCs w:val="20"/>
                <w:lang w:val="en-US" w:eastAsia="zh-CN"/>
              </w:rPr>
              <w:t xml:space="preserve">5-3     </w:t>
            </w:r>
            <w:r>
              <w:rPr>
                <w:rFonts w:hint="default" w:ascii="Times New Roman" w:hAnsi="Times New Roman" w:cs="Times New Roman"/>
                <w:b/>
                <w:color w:val="auto"/>
                <w:sz w:val="21"/>
                <w:szCs w:val="20"/>
              </w:rPr>
              <w:t xml:space="preserve"> </w:t>
            </w:r>
            <w:r>
              <w:rPr>
                <w:rFonts w:hint="eastAsia" w:ascii="Times New Roman" w:hAnsi="Times New Roman" w:cs="Times New Roman"/>
                <w:b/>
                <w:color w:val="auto"/>
                <w:sz w:val="21"/>
                <w:szCs w:val="20"/>
                <w:lang w:eastAsia="zh-CN"/>
              </w:rPr>
              <w:t>手工粘合</w:t>
            </w:r>
            <w:r>
              <w:rPr>
                <w:rFonts w:hint="default" w:ascii="Times New Roman" w:hAnsi="Times New Roman" w:cs="Times New Roman"/>
                <w:b/>
                <w:color w:val="auto"/>
                <w:sz w:val="21"/>
                <w:szCs w:val="20"/>
                <w:lang w:eastAsia="zh-CN"/>
              </w:rPr>
              <w:t>过程中有组织</w:t>
            </w:r>
            <w:r>
              <w:rPr>
                <w:rFonts w:hint="default" w:ascii="Times New Roman" w:hAnsi="Times New Roman" w:cs="Times New Roman"/>
                <w:b/>
                <w:color w:val="auto"/>
                <w:sz w:val="21"/>
                <w:szCs w:val="20"/>
              </w:rPr>
              <w:t>非甲烷总烃产排情况</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11"/>
              <w:gridCol w:w="753"/>
              <w:gridCol w:w="867"/>
              <w:gridCol w:w="796"/>
              <w:gridCol w:w="889"/>
              <w:gridCol w:w="1561"/>
              <w:gridCol w:w="1174"/>
              <w:gridCol w:w="1078"/>
              <w:gridCol w:w="109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tblHeader/>
                <w:jc w:val="center"/>
              </w:trPr>
              <w:tc>
                <w:tcPr>
                  <w:tcW w:w="6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污染物来源</w:t>
                  </w:r>
                </w:p>
              </w:tc>
              <w:tc>
                <w:tcPr>
                  <w:tcW w:w="7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8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风量</w:t>
                  </w:r>
                </w:p>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7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8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处理措施、效率，排气筒高度</w:t>
                  </w:r>
                </w:p>
              </w:tc>
              <w:tc>
                <w:tcPr>
                  <w:tcW w:w="117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排放量（t/a）</w:t>
                  </w:r>
                </w:p>
              </w:tc>
              <w:tc>
                <w:tcPr>
                  <w:tcW w:w="10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0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排放速率</w:t>
                  </w:r>
                </w:p>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（kg/h）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6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印刷工序</w:t>
                  </w:r>
                </w:p>
              </w:tc>
              <w:tc>
                <w:tcPr>
                  <w:tcW w:w="7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8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5</w:t>
                  </w:r>
                  <w:r>
                    <w:rPr>
                      <w:rFonts w:hint="default" w:ascii="Times New Roman" w:hAnsi="Times New Roman" w:cs="Times New Roman"/>
                      <w:color w:val="auto"/>
                      <w:kern w:val="0"/>
                      <w:sz w:val="21"/>
                      <w:szCs w:val="21"/>
                    </w:rPr>
                    <w:t>000</w:t>
                  </w:r>
                </w:p>
              </w:tc>
              <w:tc>
                <w:tcPr>
                  <w:tcW w:w="7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0.12</w:t>
                  </w:r>
                </w:p>
              </w:tc>
              <w:tc>
                <w:tcPr>
                  <w:tcW w:w="8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c>
                <w:tcPr>
                  <w:tcW w:w="1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eastAsia="zh-CN"/>
                    </w:rPr>
                    <w:t>密闭车间</w:t>
                  </w:r>
                  <w:r>
                    <w:rPr>
                      <w:rFonts w:hint="default" w:ascii="Times New Roman" w:hAnsi="Times New Roman" w:cs="Times New Roman"/>
                      <w:color w:val="auto"/>
                      <w:kern w:val="0"/>
                      <w:sz w:val="21"/>
                      <w:szCs w:val="21"/>
                    </w:rPr>
                    <w:t>收集</w:t>
                  </w:r>
                  <w:r>
                    <w:rPr>
                      <w:rFonts w:hint="eastAsia" w:ascii="Times New Roman" w:hAnsi="Times New Roman" w:cs="Times New Roman"/>
                      <w:color w:val="auto"/>
                      <w:kern w:val="0"/>
                      <w:sz w:val="21"/>
                      <w:szCs w:val="21"/>
                      <w:lang w:eastAsia="zh-CN"/>
                    </w:rPr>
                    <w:t>效率</w:t>
                  </w:r>
                  <w:r>
                    <w:rPr>
                      <w:rFonts w:hint="default" w:ascii="Times New Roman" w:hAnsi="Times New Roman" w:cs="Times New Roman"/>
                      <w:color w:val="auto"/>
                      <w:kern w:val="0"/>
                      <w:sz w:val="21"/>
                      <w:szCs w:val="21"/>
                      <w:lang w:val="en-US" w:eastAsia="zh-CN"/>
                    </w:rPr>
                    <w:t>90%</w:t>
                  </w:r>
                  <w:r>
                    <w:rPr>
                      <w:rFonts w:hint="default" w:ascii="Times New Roman" w:hAnsi="Times New Roman" w:cs="Times New Roman"/>
                      <w:color w:val="auto"/>
                      <w:kern w:val="0"/>
                      <w:sz w:val="21"/>
                      <w:szCs w:val="21"/>
                    </w:rPr>
                    <w:t>后</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活性炭</w:t>
                  </w:r>
                  <w:r>
                    <w:rPr>
                      <w:rFonts w:hint="default" w:ascii="Times New Roman" w:hAnsi="Times New Roman" w:cs="Times New Roman"/>
                      <w:color w:val="auto"/>
                      <w:kern w:val="0"/>
                      <w:sz w:val="21"/>
                      <w:szCs w:val="21"/>
                      <w:lang w:eastAsia="zh-CN"/>
                    </w:rPr>
                    <w:t>吸附</w:t>
                  </w: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eastAsia="zh-CN"/>
                    </w:rPr>
                    <w:t>处理效率</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0%</w:t>
                  </w:r>
                  <w:r>
                    <w:rPr>
                      <w:rFonts w:hint="default" w:ascii="Times New Roman" w:hAnsi="Times New Roman" w:cs="Times New Roman"/>
                      <w:color w:val="auto"/>
                      <w:kern w:val="0"/>
                      <w:sz w:val="21"/>
                      <w:szCs w:val="21"/>
                      <w:lang w:eastAsia="zh-CN"/>
                    </w:rPr>
                    <w:t>后</w:t>
                  </w:r>
                  <w:r>
                    <w:rPr>
                      <w:rFonts w:hint="default" w:ascii="Times New Roman" w:hAnsi="Times New Roman" w:cs="Times New Roman"/>
                      <w:color w:val="auto"/>
                      <w:kern w:val="0"/>
                      <w:sz w:val="21"/>
                      <w:szCs w:val="21"/>
                    </w:rPr>
                    <w:t>15m</w:t>
                  </w:r>
                  <w:r>
                    <w:rPr>
                      <w:rFonts w:hint="default" w:ascii="Times New Roman" w:hAnsi="Times New Roman" w:cs="Times New Roman"/>
                      <w:color w:val="auto"/>
                      <w:kern w:val="0"/>
                      <w:sz w:val="21"/>
                      <w:szCs w:val="21"/>
                      <w:lang w:eastAsia="zh-CN"/>
                    </w:rPr>
                    <w:t>排气筒排放</w:t>
                  </w:r>
                </w:p>
              </w:tc>
              <w:tc>
                <w:tcPr>
                  <w:tcW w:w="117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0.022</w:t>
                  </w:r>
                </w:p>
              </w:tc>
              <w:tc>
                <w:tcPr>
                  <w:tcW w:w="10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1.83</w:t>
                  </w:r>
                </w:p>
              </w:tc>
              <w:tc>
                <w:tcPr>
                  <w:tcW w:w="10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有组织：</w:t>
                  </w:r>
                  <w:r>
                    <w:rPr>
                      <w:rFonts w:hint="default" w:ascii="Times New Roman" w:hAnsi="Times New Roman" w:cs="Times New Roman"/>
                      <w:color w:val="auto"/>
                      <w:kern w:val="0"/>
                      <w:sz w:val="21"/>
                      <w:szCs w:val="21"/>
                      <w:lang w:val="en-US" w:eastAsia="zh-CN"/>
                    </w:rPr>
                    <w:t>0.009</w:t>
                  </w:r>
                </w:p>
              </w:tc>
            </w:tr>
          </w:tbl>
          <w:p>
            <w:pPr>
              <w:pStyle w:val="97"/>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③</w:t>
            </w:r>
            <w:r>
              <w:rPr>
                <w:rFonts w:hint="default" w:ascii="Times New Roman" w:hAnsi="Times New Roman" w:eastAsia="宋体" w:cs="Times New Roman"/>
                <w:color w:val="auto"/>
                <w:lang w:eastAsia="zh-CN"/>
              </w:rPr>
              <w:t>食堂油烟</w:t>
            </w:r>
          </w:p>
          <w:p>
            <w:pPr>
              <w:autoSpaceDE w:val="0"/>
              <w:autoSpaceDN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default" w:ascii="Times New Roman" w:hAnsi="Times New Roman" w:cs="Times New Roman"/>
                <w:color w:val="auto"/>
              </w:rPr>
              <w:t>厂内劳动定员</w:t>
            </w:r>
            <w:r>
              <w:rPr>
                <w:rFonts w:hint="default" w:ascii="Times New Roman" w:hAnsi="Times New Roman" w:cs="Times New Roman"/>
                <w:color w:val="auto"/>
                <w:lang w:val="en-US" w:eastAsia="zh-CN"/>
              </w:rPr>
              <w:t>60</w:t>
            </w:r>
            <w:r>
              <w:rPr>
                <w:rFonts w:hint="default" w:ascii="Times New Roman" w:hAnsi="Times New Roman" w:cs="Times New Roman"/>
                <w:color w:val="auto"/>
              </w:rPr>
              <w:t>人，均在厂区用</w:t>
            </w:r>
            <w:r>
              <w:rPr>
                <w:rFonts w:hint="default" w:ascii="Times New Roman" w:hAnsi="Times New Roman" w:cs="Times New Roman"/>
                <w:color w:val="auto"/>
                <w:lang w:eastAsia="zh-CN"/>
              </w:rPr>
              <w:t>一</w:t>
            </w:r>
            <w:r>
              <w:rPr>
                <w:rFonts w:hint="default" w:ascii="Times New Roman" w:hAnsi="Times New Roman" w:cs="Times New Roman"/>
                <w:color w:val="auto"/>
              </w:rPr>
              <w:t>餐</w:t>
            </w:r>
            <w:r>
              <w:rPr>
                <w:rFonts w:hint="default" w:ascii="Times New Roman" w:hAnsi="Times New Roman" w:cs="Times New Roman"/>
                <w:color w:val="auto"/>
                <w:lang w:eastAsia="zh-CN"/>
              </w:rPr>
              <w:t>。</w:t>
            </w:r>
            <w:r>
              <w:rPr>
                <w:rFonts w:hint="default" w:ascii="Times New Roman" w:hAnsi="Times New Roman" w:cs="Times New Roman"/>
                <w:color w:val="auto"/>
                <w:sz w:val="24"/>
                <w:szCs w:val="24"/>
              </w:rPr>
              <w:t>食物在烹饪、加工过程中挥发的油脂、有机质热分解或裂解，产生油烟废气。根据类比调查，目前居民人均日食用油用量约30g/人·d，一般油烟挥发量占耗油量的2~4%，平均为2.83%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本项目耗油量为</w:t>
            </w:r>
            <w:r>
              <w:rPr>
                <w:rFonts w:hint="default" w:ascii="Times New Roman" w:hAnsi="Times New Roman" w:cs="Times New Roman"/>
                <w:color w:val="auto"/>
                <w:sz w:val="24"/>
                <w:szCs w:val="24"/>
                <w:lang w:val="en-US" w:eastAsia="zh-CN"/>
              </w:rPr>
              <w:t>1.8</w:t>
            </w:r>
            <w:r>
              <w:rPr>
                <w:rFonts w:hint="default" w:ascii="Times New Roman" w:hAnsi="Times New Roman" w:cs="Times New Roman"/>
                <w:color w:val="auto"/>
                <w:sz w:val="24"/>
                <w:szCs w:val="24"/>
              </w:rPr>
              <w:t>kg/d（</w:t>
            </w:r>
            <w:r>
              <w:rPr>
                <w:rFonts w:hint="default" w:ascii="Times New Roman" w:hAnsi="Times New Roman" w:cs="Times New Roman"/>
                <w:color w:val="auto"/>
                <w:sz w:val="24"/>
                <w:szCs w:val="24"/>
                <w:lang w:val="en-US" w:eastAsia="zh-CN"/>
              </w:rPr>
              <w:t>540</w:t>
            </w:r>
            <w:r>
              <w:rPr>
                <w:rFonts w:hint="default" w:ascii="Times New Roman" w:hAnsi="Times New Roman" w:cs="Times New Roman"/>
                <w:color w:val="auto"/>
                <w:sz w:val="24"/>
                <w:szCs w:val="24"/>
              </w:rPr>
              <w:t>kg/a）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油烟产生量为</w:t>
            </w:r>
            <w:r>
              <w:rPr>
                <w:rFonts w:hint="default" w:ascii="Times New Roman" w:hAnsi="Times New Roman" w:cs="Times New Roman"/>
                <w:color w:val="auto"/>
                <w:sz w:val="24"/>
                <w:szCs w:val="24"/>
                <w:lang w:val="en-US" w:eastAsia="zh-CN"/>
              </w:rPr>
              <w:t>0.051</w:t>
            </w:r>
            <w:r>
              <w:rPr>
                <w:rFonts w:hint="default" w:ascii="Times New Roman" w:hAnsi="Times New Roman" w:cs="Times New Roman"/>
                <w:color w:val="auto"/>
                <w:sz w:val="24"/>
                <w:szCs w:val="24"/>
              </w:rPr>
              <w:t>kg/d（</w:t>
            </w:r>
            <w:r>
              <w:rPr>
                <w:rFonts w:hint="default" w:ascii="Times New Roman" w:hAnsi="Times New Roman" w:cs="Times New Roman"/>
                <w:color w:val="auto"/>
                <w:sz w:val="24"/>
                <w:szCs w:val="24"/>
                <w:lang w:val="en-US" w:eastAsia="zh-CN"/>
              </w:rPr>
              <w:t>15.3</w:t>
            </w:r>
            <w:r>
              <w:rPr>
                <w:rFonts w:hint="default" w:ascii="Times New Roman" w:hAnsi="Times New Roman" w:cs="Times New Roman"/>
                <w:color w:val="auto"/>
                <w:sz w:val="24"/>
                <w:szCs w:val="24"/>
              </w:rPr>
              <w:t>kg/a），厨房每日工作</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小时，</w:t>
            </w: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rPr>
              <w:t>食堂厨房</w:t>
            </w:r>
            <w:r>
              <w:rPr>
                <w:rFonts w:hint="default" w:ascii="Times New Roman" w:hAnsi="Times New Roman" w:cs="Times New Roman"/>
                <w:color w:val="auto"/>
                <w:sz w:val="24"/>
                <w:szCs w:val="24"/>
                <w:lang w:eastAsia="zh-CN"/>
              </w:rPr>
              <w:t>已</w:t>
            </w:r>
            <w:r>
              <w:rPr>
                <w:rFonts w:hint="default" w:ascii="Times New Roman" w:hAnsi="Times New Roman" w:cs="Times New Roman"/>
                <w:color w:val="auto"/>
                <w:sz w:val="24"/>
                <w:szCs w:val="24"/>
              </w:rPr>
              <w:t>安装油烟净化器（处理效率</w:t>
            </w:r>
            <w:r>
              <w:rPr>
                <w:rFonts w:hint="default" w:ascii="Times New Roman" w:hAnsi="Times New Roman" w:cs="Times New Roman"/>
                <w:color w:val="auto"/>
                <w:sz w:val="24"/>
                <w:szCs w:val="24"/>
                <w:lang w:eastAsia="zh-CN"/>
              </w:rPr>
              <w:t>为</w:t>
            </w:r>
            <w:r>
              <w:rPr>
                <w:rFonts w:hint="default" w:ascii="Times New Roman" w:hAnsi="Times New Roman" w:cs="Times New Roman"/>
                <w:color w:val="auto"/>
                <w:sz w:val="24"/>
                <w:szCs w:val="24"/>
              </w:rPr>
              <w:t>75%</w:t>
            </w:r>
            <w:r>
              <w:rPr>
                <w:rFonts w:hint="default" w:ascii="Times New Roman" w:hAnsi="Times New Roman" w:cs="Times New Roman"/>
                <w:color w:val="auto"/>
                <w:sz w:val="24"/>
                <w:szCs w:val="24"/>
                <w:lang w:eastAsia="zh-CN"/>
              </w:rPr>
              <w:t>，风机风量为</w:t>
            </w:r>
            <w:r>
              <w:rPr>
                <w:rFonts w:hint="default" w:ascii="Times New Roman" w:hAnsi="Times New Roman" w:cs="Times New Roman"/>
                <w:color w:val="auto"/>
                <w:sz w:val="24"/>
                <w:szCs w:val="24"/>
                <w:lang w:val="en-US" w:eastAsia="zh-CN"/>
              </w:rPr>
              <w:t>5000m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w:t>
            </w:r>
            <w:r>
              <w:rPr>
                <w:rFonts w:hint="default" w:ascii="Times New Roman" w:hAnsi="Times New Roman" w:cs="Times New Roman"/>
                <w:color w:val="auto"/>
                <w:sz w:val="24"/>
                <w:szCs w:val="24"/>
              </w:rPr>
              <w:t>），产生浓度为</w:t>
            </w:r>
            <w:r>
              <w:rPr>
                <w:rFonts w:hint="default" w:ascii="Times New Roman" w:hAnsi="Times New Roman" w:cs="Times New Roman"/>
                <w:color w:val="auto"/>
                <w:sz w:val="24"/>
                <w:szCs w:val="24"/>
                <w:lang w:val="en-US" w:eastAsia="zh-CN"/>
              </w:rPr>
              <w:t>3.4</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rPr>
                <w:rFonts w:hint="default" w:ascii="Times New Roman" w:hAnsi="Times New Roman" w:cs="Times New Roman"/>
                <w:color w:val="auto"/>
              </w:rPr>
            </w:pPr>
            <w:r>
              <w:rPr>
                <w:rFonts w:hint="default" w:ascii="Times New Roman" w:hAnsi="Times New Roman" w:cs="Times New Roman"/>
                <w:color w:val="auto"/>
              </w:rPr>
              <w:t>（2）废水</w:t>
            </w:r>
          </w:p>
          <w:p>
            <w:pPr>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eastAsia="zh-CN"/>
              </w:rPr>
              <w:t>生产过程中无</w:t>
            </w:r>
            <w:r>
              <w:rPr>
                <w:rFonts w:hint="default" w:ascii="Times New Roman" w:hAnsi="Times New Roman" w:cs="Times New Roman"/>
                <w:color w:val="auto"/>
              </w:rPr>
              <w:t>废水</w:t>
            </w:r>
            <w:r>
              <w:rPr>
                <w:rFonts w:hint="default" w:ascii="Times New Roman" w:hAnsi="Times New Roman" w:cs="Times New Roman"/>
                <w:color w:val="auto"/>
                <w:lang w:eastAsia="zh-CN"/>
              </w:rPr>
              <w:t>产生，项目产生的废水</w:t>
            </w:r>
            <w:r>
              <w:rPr>
                <w:rFonts w:hint="default" w:ascii="Times New Roman" w:hAnsi="Times New Roman" w:cs="Times New Roman"/>
                <w:color w:val="auto"/>
              </w:rPr>
              <w:t>主要为职工生活污水</w:t>
            </w:r>
            <w:r>
              <w:rPr>
                <w:rFonts w:hint="default" w:ascii="Times New Roman" w:hAnsi="Times New Roman" w:cs="Times New Roman"/>
                <w:color w:val="auto"/>
                <w:lang w:eastAsia="zh-CN"/>
              </w:rPr>
              <w:t>和食堂的餐饮废水</w:t>
            </w:r>
            <w:r>
              <w:rPr>
                <w:rFonts w:hint="default" w:ascii="Times New Roman" w:hAnsi="Times New Roman" w:cs="Times New Roman"/>
                <w:color w:val="auto"/>
              </w:rPr>
              <w:t>，</w:t>
            </w:r>
            <w:r>
              <w:rPr>
                <w:rFonts w:hint="default" w:ascii="Times New Roman" w:hAnsi="Times New Roman" w:cs="Times New Roman"/>
                <w:color w:val="auto"/>
                <w:lang w:eastAsia="zh-CN"/>
              </w:rPr>
              <w:t>生活污水</w:t>
            </w:r>
            <w:r>
              <w:rPr>
                <w:rFonts w:hint="default" w:ascii="Times New Roman" w:hAnsi="Times New Roman" w:cs="Times New Roman"/>
                <w:color w:val="auto"/>
              </w:rPr>
              <w:t>产生量为</w:t>
            </w:r>
            <w:r>
              <w:rPr>
                <w:rFonts w:hint="default" w:ascii="Times New Roman" w:hAnsi="Times New Roman" w:cs="Times New Roman"/>
                <w:color w:val="auto"/>
                <w:lang w:val="en-US" w:eastAsia="zh-CN"/>
              </w:rPr>
              <w:t>2.2</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lang w:val="en-US" w:eastAsia="zh-CN"/>
              </w:rPr>
              <w:t>660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r>
              <w:rPr>
                <w:rFonts w:hint="default" w:ascii="Times New Roman" w:hAnsi="Times New Roman" w:cs="Times New Roman"/>
                <w:color w:val="auto"/>
                <w:lang w:eastAsia="zh-CN"/>
              </w:rPr>
              <w:t>；食堂</w:t>
            </w:r>
            <w:r>
              <w:rPr>
                <w:rFonts w:hint="default" w:ascii="Times New Roman" w:hAnsi="Times New Roman" w:cs="Times New Roman"/>
                <w:color w:val="auto"/>
                <w:lang w:val="en-US" w:eastAsia="zh-CN"/>
              </w:rPr>
              <w:t>废水产生量为0.86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lang w:val="en-US" w:eastAsia="zh-CN"/>
              </w:rPr>
              <w:t>、258</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食堂废水经隔油池后与</w:t>
            </w:r>
            <w:r>
              <w:rPr>
                <w:rFonts w:hint="default" w:ascii="Times New Roman" w:hAnsi="Times New Roman" w:cs="Times New Roman"/>
                <w:color w:val="auto"/>
              </w:rPr>
              <w:t>生活污水</w:t>
            </w:r>
            <w:r>
              <w:rPr>
                <w:rFonts w:hint="default" w:ascii="Times New Roman" w:hAnsi="Times New Roman" w:cs="Times New Roman"/>
                <w:color w:val="auto"/>
                <w:lang w:eastAsia="zh-CN"/>
              </w:rPr>
              <w:t>一同排入</w:t>
            </w:r>
            <w:r>
              <w:rPr>
                <w:rFonts w:hint="default" w:ascii="Times New Roman" w:hAnsi="Times New Roman" w:cs="Times New Roman"/>
                <w:color w:val="auto"/>
              </w:rPr>
              <w:t>化粪池处理后，</w:t>
            </w:r>
            <w:r>
              <w:rPr>
                <w:rFonts w:hint="default" w:ascii="Times New Roman" w:hAnsi="Times New Roman" w:cs="Times New Roman"/>
                <w:color w:val="auto"/>
                <w:lang w:eastAsia="zh-CN"/>
              </w:rPr>
              <w:t>通过市政管道进入高桥污水处理厂。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依据典型生活污水水质类比，并结合本项目特点，确定本项目污染物产生浓度分别为：COD、BOD</w:t>
            </w:r>
            <w:r>
              <w:rPr>
                <w:rFonts w:hint="default" w:ascii="Times New Roman" w:hAnsi="Times New Roman" w:cs="Times New Roman"/>
                <w:color w:val="auto"/>
                <w:vertAlign w:val="subscript"/>
              </w:rPr>
              <w:t>5</w:t>
            </w:r>
            <w:r>
              <w:rPr>
                <w:rFonts w:hint="default" w:ascii="Times New Roman" w:hAnsi="Times New Roman" w:cs="Times New Roman"/>
                <w:color w:val="auto"/>
              </w:rPr>
              <w:t>、SS、氨氮、</w:t>
            </w:r>
            <w:r>
              <w:rPr>
                <w:rFonts w:hint="default" w:ascii="Times New Roman" w:hAnsi="Times New Roman" w:cs="Times New Roman"/>
                <w:color w:val="auto"/>
                <w:lang w:eastAsia="zh-CN"/>
              </w:rPr>
              <w:t>动植物油</w:t>
            </w:r>
            <w:r>
              <w:rPr>
                <w:rFonts w:hint="default" w:ascii="Times New Roman" w:hAnsi="Times New Roman" w:cs="Times New Roman"/>
                <w:color w:val="auto"/>
              </w:rPr>
              <w:t>。则本项目生活污水中主要污染物产生与排放情况见下表：</w:t>
            </w:r>
          </w:p>
          <w:p>
            <w:pPr>
              <w:spacing w:line="240" w:lineRule="auto"/>
              <w:ind w:firstLine="0" w:firstLineChars="0"/>
              <w:jc w:val="center"/>
              <w:rPr>
                <w:rFonts w:hint="default" w:ascii="Times New Roman" w:hAnsi="Times New Roman" w:cs="Times New Roman"/>
                <w:b/>
                <w:bCs/>
                <w:color w:val="auto"/>
                <w:sz w:val="21"/>
                <w:szCs w:val="20"/>
              </w:rPr>
            </w:pPr>
            <w:r>
              <w:rPr>
                <w:rFonts w:hint="default" w:ascii="Times New Roman" w:hAnsi="Times New Roman" w:cs="Times New Roman"/>
                <w:b/>
                <w:bCs/>
                <w:color w:val="auto"/>
                <w:sz w:val="21"/>
                <w:szCs w:val="20"/>
              </w:rPr>
              <w:t>表5-</w:t>
            </w:r>
            <w:r>
              <w:rPr>
                <w:rFonts w:hint="default" w:ascii="Times New Roman" w:hAnsi="Times New Roman" w:cs="Times New Roman"/>
                <w:b/>
                <w:bCs/>
                <w:color w:val="auto"/>
                <w:sz w:val="21"/>
                <w:szCs w:val="20"/>
                <w:lang w:val="en-US" w:eastAsia="zh-CN"/>
              </w:rPr>
              <w:t>4</w:t>
            </w:r>
            <w:r>
              <w:rPr>
                <w:rFonts w:hint="default" w:ascii="Times New Roman" w:hAnsi="Times New Roman" w:cs="Times New Roman"/>
                <w:b/>
                <w:bCs/>
                <w:color w:val="auto"/>
                <w:sz w:val="21"/>
                <w:szCs w:val="20"/>
              </w:rPr>
              <w:t xml:space="preserve">  项目废水产排情况</w:t>
            </w:r>
          </w:p>
          <w:tbl>
            <w:tblPr>
              <w:tblStyle w:val="2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57"/>
              <w:gridCol w:w="915"/>
              <w:gridCol w:w="915"/>
              <w:gridCol w:w="705"/>
              <w:gridCol w:w="690"/>
              <w:gridCol w:w="1095"/>
              <w:gridCol w:w="11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5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食堂废水</w:t>
                  </w:r>
                </w:p>
              </w:tc>
              <w:tc>
                <w:tcPr>
                  <w:tcW w:w="4320"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主要污染物</w:t>
                  </w:r>
                </w:p>
              </w:tc>
              <w:tc>
                <w:tcPr>
                  <w:tcW w:w="114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废水产生量（m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5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9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9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6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10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动植物油</w:t>
                  </w:r>
                </w:p>
              </w:tc>
              <w:tc>
                <w:tcPr>
                  <w:tcW w:w="11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产生浓度（mg/L）</w:t>
                  </w:r>
                </w:p>
              </w:tc>
              <w:tc>
                <w:tcPr>
                  <w:tcW w:w="9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400</w:t>
                  </w:r>
                </w:p>
              </w:tc>
              <w:tc>
                <w:tcPr>
                  <w:tcW w:w="9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50</w:t>
                  </w:r>
                </w:p>
              </w:tc>
              <w:tc>
                <w:tcPr>
                  <w:tcW w:w="6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c>
                <w:tcPr>
                  <w:tcW w:w="10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w:t>
                  </w:r>
                </w:p>
              </w:tc>
              <w:tc>
                <w:tcPr>
                  <w:tcW w:w="114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918</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9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0.37</w:t>
                  </w:r>
                </w:p>
              </w:tc>
              <w:tc>
                <w:tcPr>
                  <w:tcW w:w="9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0.18</w:t>
                  </w:r>
                </w:p>
              </w:tc>
              <w:tc>
                <w:tcPr>
                  <w:tcW w:w="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0.23</w:t>
                  </w:r>
                </w:p>
              </w:tc>
              <w:tc>
                <w:tcPr>
                  <w:tcW w:w="6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0.037</w:t>
                  </w:r>
                </w:p>
              </w:tc>
              <w:tc>
                <w:tcPr>
                  <w:tcW w:w="10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0.046</w:t>
                  </w:r>
                </w:p>
              </w:tc>
              <w:tc>
                <w:tcPr>
                  <w:tcW w:w="11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33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处理方式</w:t>
                  </w:r>
                </w:p>
              </w:tc>
              <w:tc>
                <w:tcPr>
                  <w:tcW w:w="4320"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隔油池</w:t>
                  </w:r>
                  <w:r>
                    <w:rPr>
                      <w:rFonts w:hint="default" w:ascii="Times New Roman" w:hAnsi="Times New Roman" w:cs="Times New Roman"/>
                      <w:color w:val="auto"/>
                      <w:sz w:val="21"/>
                      <w:szCs w:val="21"/>
                      <w:lang w:val="en-US" w:eastAsia="zh-CN"/>
                    </w:rPr>
                    <w:t>+化粪池</w:t>
                  </w:r>
                </w:p>
              </w:tc>
              <w:tc>
                <w:tcPr>
                  <w:tcW w:w="11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排放</w:t>
                  </w:r>
                  <w:r>
                    <w:rPr>
                      <w:rFonts w:hint="default" w:ascii="Times New Roman" w:hAnsi="Times New Roman" w:cs="Times New Roman"/>
                      <w:color w:val="auto"/>
                      <w:sz w:val="21"/>
                      <w:szCs w:val="21"/>
                    </w:rPr>
                    <w:t>浓度（mg/L）</w:t>
                  </w:r>
                </w:p>
              </w:tc>
              <w:tc>
                <w:tcPr>
                  <w:tcW w:w="9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9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6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11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排放</w:t>
                  </w:r>
                  <w:r>
                    <w:rPr>
                      <w:rFonts w:hint="default" w:ascii="Times New Roman" w:hAnsi="Times New Roman" w:cs="Times New Roman"/>
                      <w:color w:val="auto"/>
                      <w:sz w:val="21"/>
                      <w:szCs w:val="21"/>
                    </w:rPr>
                    <w:t>量（t/a）</w:t>
                  </w:r>
                </w:p>
              </w:tc>
              <w:tc>
                <w:tcPr>
                  <w:tcW w:w="9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p>
              </w:tc>
              <w:tc>
                <w:tcPr>
                  <w:tcW w:w="9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0.14</w:t>
                  </w:r>
                </w:p>
              </w:tc>
              <w:tc>
                <w:tcPr>
                  <w:tcW w:w="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p>
              </w:tc>
              <w:tc>
                <w:tcPr>
                  <w:tcW w:w="6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0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0.018</w:t>
                  </w:r>
                </w:p>
              </w:tc>
              <w:tc>
                <w:tcPr>
                  <w:tcW w:w="11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57" w:type="dxa"/>
                  <w:noWrap w:val="0"/>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《污水综合排放标准》（GB8978-1996）中的三级标准</w:t>
                  </w:r>
                </w:p>
              </w:tc>
              <w:tc>
                <w:tcPr>
                  <w:tcW w:w="915" w:type="dxa"/>
                  <w:noWrap w:val="0"/>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500</w:t>
                  </w:r>
                </w:p>
              </w:tc>
              <w:tc>
                <w:tcPr>
                  <w:tcW w:w="915" w:type="dxa"/>
                  <w:noWrap w:val="0"/>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300</w:t>
                  </w:r>
                </w:p>
              </w:tc>
              <w:tc>
                <w:tcPr>
                  <w:tcW w:w="705" w:type="dxa"/>
                  <w:noWrap w:val="0"/>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400</w:t>
                  </w:r>
                </w:p>
              </w:tc>
              <w:tc>
                <w:tcPr>
                  <w:tcW w:w="690" w:type="dxa"/>
                  <w:noWrap w:val="0"/>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95" w:type="dxa"/>
                  <w:noWrap w:val="0"/>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11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《污水排入城镇下水道水质标准》（GB/T 31962-2015）B级标准</w:t>
                  </w:r>
                </w:p>
              </w:tc>
              <w:tc>
                <w:tcPr>
                  <w:tcW w:w="9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6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10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1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是否达标</w:t>
                  </w:r>
                </w:p>
              </w:tc>
              <w:tc>
                <w:tcPr>
                  <w:tcW w:w="9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9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6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0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1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bl>
          <w:p>
            <w:pPr>
              <w:spacing w:line="240" w:lineRule="auto"/>
              <w:ind w:firstLine="422"/>
              <w:rPr>
                <w:rFonts w:hint="default" w:ascii="Times New Roman" w:hAnsi="Times New Roman" w:eastAsia="宋体" w:cs="Times New Roman"/>
                <w:b/>
                <w:bCs/>
                <w:color w:val="auto"/>
                <w:sz w:val="21"/>
                <w:szCs w:val="20"/>
                <w:lang w:val="en-US" w:eastAsia="zh-CN"/>
              </w:rPr>
            </w:pPr>
            <w:r>
              <w:rPr>
                <w:rFonts w:hint="default" w:ascii="Times New Roman" w:hAnsi="Times New Roman" w:cs="Times New Roman"/>
                <w:b/>
                <w:bCs/>
                <w:color w:val="auto"/>
                <w:sz w:val="21"/>
                <w:szCs w:val="20"/>
              </w:rPr>
              <w:t>注：化粪池处理效率按COD 15%，BOD</w:t>
            </w:r>
            <w:r>
              <w:rPr>
                <w:rFonts w:hint="default" w:ascii="Times New Roman" w:hAnsi="Times New Roman" w:cs="Times New Roman"/>
                <w:b/>
                <w:bCs/>
                <w:color w:val="auto"/>
                <w:sz w:val="21"/>
                <w:szCs w:val="20"/>
                <w:vertAlign w:val="subscript"/>
              </w:rPr>
              <w:t>5</w:t>
            </w:r>
            <w:r>
              <w:rPr>
                <w:rFonts w:hint="default" w:ascii="Times New Roman" w:hAnsi="Times New Roman" w:cs="Times New Roman"/>
                <w:b/>
                <w:bCs/>
                <w:color w:val="auto"/>
                <w:sz w:val="21"/>
                <w:szCs w:val="20"/>
              </w:rPr>
              <w:t xml:space="preserve"> 25%，SS 40%，氨氮 0计</w:t>
            </w:r>
            <w:r>
              <w:rPr>
                <w:rFonts w:hint="default" w:ascii="Times New Roman" w:hAnsi="Times New Roman" w:cs="Times New Roman"/>
                <w:b/>
                <w:bCs/>
                <w:color w:val="auto"/>
                <w:sz w:val="21"/>
                <w:szCs w:val="20"/>
                <w:lang w:eastAsia="zh-CN"/>
              </w:rPr>
              <w:t>；隔油池处理动植物油效率按</w:t>
            </w:r>
            <w:r>
              <w:rPr>
                <w:rFonts w:hint="default" w:ascii="Times New Roman" w:hAnsi="Times New Roman" w:cs="Times New Roman"/>
                <w:b/>
                <w:bCs/>
                <w:color w:val="auto"/>
                <w:sz w:val="21"/>
                <w:szCs w:val="20"/>
                <w:lang w:val="en-US" w:eastAsia="zh-CN"/>
              </w:rPr>
              <w:t>60%计。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综上所述，</w:t>
            </w:r>
            <w:r>
              <w:rPr>
                <w:rFonts w:hint="default" w:ascii="Times New Roman" w:hAnsi="Times New Roman" w:cs="Times New Roman"/>
                <w:color w:val="auto"/>
                <w:lang w:eastAsia="zh-CN"/>
              </w:rPr>
              <w:t>食堂废水经隔油池后与生活污水一同排入化粪池预</w:t>
            </w:r>
            <w:r>
              <w:rPr>
                <w:rFonts w:hint="default" w:ascii="Times New Roman" w:hAnsi="Times New Roman" w:cs="Times New Roman"/>
                <w:color w:val="auto"/>
              </w:rPr>
              <w:t>处理后排水浓度可满足《污水综合排放标准》（GB8978-1996）中的三级标准，</w:t>
            </w:r>
            <w:r>
              <w:rPr>
                <w:rFonts w:hint="default" w:ascii="Times New Roman" w:hAnsi="Times New Roman" w:cs="Times New Roman"/>
                <w:color w:val="auto"/>
                <w:lang w:eastAsia="zh-CN"/>
              </w:rPr>
              <w:t>氨氮可满足</w:t>
            </w:r>
            <w:r>
              <w:rPr>
                <w:rFonts w:hint="default" w:ascii="Times New Roman" w:hAnsi="Times New Roman" w:cs="Times New Roman"/>
                <w:color w:val="auto"/>
              </w:rPr>
              <w:t>《</w:t>
            </w:r>
            <w:r>
              <w:rPr>
                <w:rFonts w:hint="default" w:ascii="Times New Roman" w:hAnsi="Times New Roman" w:cs="Times New Roman"/>
                <w:color w:val="auto"/>
                <w:lang w:eastAsia="zh-CN"/>
              </w:rPr>
              <w:t>污水排入城镇下水道水质标准</w:t>
            </w:r>
            <w:r>
              <w:rPr>
                <w:rFonts w:hint="default" w:ascii="Times New Roman" w:hAnsi="Times New Roman" w:cs="Times New Roman"/>
                <w:color w:val="auto"/>
              </w:rPr>
              <w:t>》（GB/T31962-2015）表1中B级标准</w:t>
            </w:r>
            <w:r>
              <w:rPr>
                <w:rFonts w:hint="default" w:ascii="Times New Roman" w:hAnsi="Times New Roman"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（3）噪声</w:t>
            </w:r>
          </w:p>
          <w:p>
            <w:pPr>
              <w:tabs>
                <w:tab w:val="left" w:pos="6000"/>
              </w:tabs>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eastAsia="zh-CN"/>
              </w:rPr>
              <w:t>为噪声主要来源于切纸机、胶印机、锯床等设备，</w:t>
            </w:r>
            <w:r>
              <w:rPr>
                <w:rFonts w:hint="default" w:ascii="Times New Roman" w:hAnsi="Times New Roman" w:cs="Times New Roman"/>
                <w:color w:val="auto"/>
              </w:rPr>
              <w:t>通过类比调查结果分析，本项目主要噪声源强见</w:t>
            </w:r>
            <w:r>
              <w:rPr>
                <w:rFonts w:hint="default" w:ascii="Times New Roman" w:hAnsi="Times New Roman" w:cs="Times New Roman"/>
                <w:color w:val="auto"/>
                <w:lang w:eastAsia="zh-CN"/>
              </w:rPr>
              <w:t>下</w:t>
            </w:r>
            <w:r>
              <w:rPr>
                <w:rFonts w:hint="default" w:ascii="Times New Roman" w:hAnsi="Times New Roman" w:cs="Times New Roman"/>
                <w:color w:val="auto"/>
              </w:rPr>
              <w:t>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0"/>
              </w:rPr>
            </w:pPr>
            <w:r>
              <w:rPr>
                <w:rFonts w:hint="default" w:ascii="Times New Roman" w:hAnsi="Times New Roman" w:cs="Times New Roman"/>
                <w:b/>
                <w:bCs/>
                <w:color w:val="auto"/>
                <w:sz w:val="21"/>
                <w:szCs w:val="20"/>
              </w:rPr>
              <w:t>表5-</w:t>
            </w:r>
            <w:r>
              <w:rPr>
                <w:rFonts w:hint="default" w:ascii="Times New Roman" w:hAnsi="Times New Roman" w:cs="Times New Roman"/>
                <w:b/>
                <w:bCs/>
                <w:color w:val="auto"/>
                <w:sz w:val="21"/>
                <w:szCs w:val="20"/>
                <w:lang w:val="en-US" w:eastAsia="zh-CN"/>
              </w:rPr>
              <w:t>5</w:t>
            </w:r>
            <w:r>
              <w:rPr>
                <w:rFonts w:hint="default" w:ascii="Times New Roman" w:hAnsi="Times New Roman" w:cs="Times New Roman"/>
                <w:b/>
                <w:bCs/>
                <w:color w:val="auto"/>
                <w:sz w:val="21"/>
                <w:szCs w:val="20"/>
              </w:rPr>
              <w:t xml:space="preserve">   主要噪声源一览表dB</w:t>
            </w:r>
            <w:r>
              <w:rPr>
                <w:rFonts w:hint="default" w:ascii="Times New Roman" w:hAnsi="Times New Roman" w:eastAsia="宋体" w:cs="Times New Roman"/>
                <w:b/>
                <w:bCs/>
                <w:color w:val="auto"/>
                <w:sz w:val="21"/>
                <w:szCs w:val="20"/>
              </w:rPr>
              <w:t>(</w:t>
            </w:r>
            <w:r>
              <w:rPr>
                <w:rFonts w:hint="default" w:ascii="Times New Roman" w:hAnsi="Times New Roman" w:cs="Times New Roman"/>
                <w:b/>
                <w:bCs/>
                <w:color w:val="auto"/>
                <w:sz w:val="21"/>
                <w:szCs w:val="20"/>
              </w:rPr>
              <w:t>A</w:t>
            </w:r>
            <w:r>
              <w:rPr>
                <w:rFonts w:hint="default" w:ascii="Times New Roman" w:hAnsi="Times New Roman" w:eastAsia="宋体" w:cs="Times New Roman"/>
                <w:b/>
                <w:bCs/>
                <w:color w:val="auto"/>
                <w:sz w:val="21"/>
                <w:szCs w:val="20"/>
              </w:rPr>
              <w:t>)</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2686"/>
              <w:gridCol w:w="2105"/>
              <w:gridCol w:w="2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1088"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序号</w:t>
                  </w:r>
                </w:p>
              </w:tc>
              <w:tc>
                <w:tcPr>
                  <w:tcW w:w="2686"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声源名称</w:t>
                  </w:r>
                </w:p>
              </w:tc>
              <w:tc>
                <w:tcPr>
                  <w:tcW w:w="2105"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数量（台/套）</w:t>
                  </w:r>
                </w:p>
              </w:tc>
              <w:tc>
                <w:tcPr>
                  <w:tcW w:w="2943"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噪声源强（dB(A)）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1088"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w:t>
                  </w:r>
                </w:p>
              </w:tc>
              <w:tc>
                <w:tcPr>
                  <w:tcW w:w="2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sz w:val="21"/>
                      <w:szCs w:val="21"/>
                      <w:lang w:eastAsia="zh-CN"/>
                    </w:rPr>
                    <w:t>全自动高速切纸机</w:t>
                  </w:r>
                </w:p>
              </w:tc>
              <w:tc>
                <w:tcPr>
                  <w:tcW w:w="2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sz w:val="21"/>
                      <w:szCs w:val="21"/>
                      <w:lang w:val="en-US" w:eastAsia="zh-CN"/>
                    </w:rPr>
                    <w:t>1</w:t>
                  </w:r>
                </w:p>
              </w:tc>
              <w:tc>
                <w:tcPr>
                  <w:tcW w:w="2943"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1088"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2</w:t>
                  </w:r>
                </w:p>
              </w:tc>
              <w:tc>
                <w:tcPr>
                  <w:tcW w:w="2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sz w:val="21"/>
                      <w:szCs w:val="21"/>
                      <w:lang w:eastAsia="zh-CN"/>
                    </w:rPr>
                    <w:t>六色胶印机</w:t>
                  </w:r>
                </w:p>
              </w:tc>
              <w:tc>
                <w:tcPr>
                  <w:tcW w:w="2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sz w:val="21"/>
                      <w:szCs w:val="21"/>
                      <w:lang w:val="en-US" w:eastAsia="zh-CN"/>
                    </w:rPr>
                    <w:t>2</w:t>
                  </w:r>
                </w:p>
              </w:tc>
              <w:tc>
                <w:tcPr>
                  <w:tcW w:w="2943"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1088"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3</w:t>
                  </w:r>
                </w:p>
              </w:tc>
              <w:tc>
                <w:tcPr>
                  <w:tcW w:w="2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sz w:val="21"/>
                      <w:szCs w:val="21"/>
                      <w:lang w:eastAsia="zh-CN"/>
                    </w:rPr>
                    <w:t>双色胶印机</w:t>
                  </w:r>
                </w:p>
              </w:tc>
              <w:tc>
                <w:tcPr>
                  <w:tcW w:w="2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sz w:val="21"/>
                      <w:szCs w:val="21"/>
                      <w:lang w:val="en-US" w:eastAsia="zh-CN"/>
                    </w:rPr>
                    <w:t>1</w:t>
                  </w:r>
                </w:p>
              </w:tc>
              <w:tc>
                <w:tcPr>
                  <w:tcW w:w="2943"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1088"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4</w:t>
                  </w:r>
                </w:p>
              </w:tc>
              <w:tc>
                <w:tcPr>
                  <w:tcW w:w="2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eastAsia="zh-CN"/>
                    </w:rPr>
                  </w:pPr>
                  <w:r>
                    <w:rPr>
                      <w:rFonts w:hint="default" w:ascii="Times New Roman" w:hAnsi="Times New Roman" w:eastAsia="宋体" w:cs="Times New Roman"/>
                      <w:b w:val="0"/>
                      <w:bCs/>
                      <w:color w:val="auto"/>
                      <w:sz w:val="21"/>
                      <w:szCs w:val="21"/>
                      <w:lang w:val="en-US" w:eastAsia="zh-CN"/>
                    </w:rPr>
                    <w:t>全自动裱纸机</w:t>
                  </w:r>
                </w:p>
              </w:tc>
              <w:tc>
                <w:tcPr>
                  <w:tcW w:w="2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eastAsia="宋体" w:cs="Times New Roman"/>
                      <w:b w:val="0"/>
                      <w:bCs/>
                      <w:color w:val="auto"/>
                      <w:sz w:val="21"/>
                      <w:szCs w:val="21"/>
                      <w:lang w:val="en-US" w:eastAsia="zh-CN"/>
                    </w:rPr>
                    <w:t>1</w:t>
                  </w:r>
                </w:p>
              </w:tc>
              <w:tc>
                <w:tcPr>
                  <w:tcW w:w="2943"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1088"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5</w:t>
                  </w:r>
                </w:p>
              </w:tc>
              <w:tc>
                <w:tcPr>
                  <w:tcW w:w="2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纸箱纸盒打样机</w:t>
                  </w:r>
                </w:p>
              </w:tc>
              <w:tc>
                <w:tcPr>
                  <w:tcW w:w="2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1</w:t>
                  </w:r>
                </w:p>
              </w:tc>
              <w:tc>
                <w:tcPr>
                  <w:tcW w:w="2943"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1088"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6</w:t>
                  </w:r>
                </w:p>
              </w:tc>
              <w:tc>
                <w:tcPr>
                  <w:tcW w:w="2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锯床</w:t>
                  </w:r>
                </w:p>
              </w:tc>
              <w:tc>
                <w:tcPr>
                  <w:tcW w:w="2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1</w:t>
                  </w:r>
                </w:p>
              </w:tc>
              <w:tc>
                <w:tcPr>
                  <w:tcW w:w="2943"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1088"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w:t>
                  </w:r>
                </w:p>
              </w:tc>
              <w:tc>
                <w:tcPr>
                  <w:tcW w:w="2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烫金模切两用机</w:t>
                  </w:r>
                </w:p>
              </w:tc>
              <w:tc>
                <w:tcPr>
                  <w:tcW w:w="2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3</w:t>
                  </w:r>
                </w:p>
              </w:tc>
              <w:tc>
                <w:tcPr>
                  <w:tcW w:w="2943"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1088"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8</w:t>
                  </w:r>
                </w:p>
              </w:tc>
              <w:tc>
                <w:tcPr>
                  <w:tcW w:w="2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多用冲孔机</w:t>
                  </w:r>
                </w:p>
              </w:tc>
              <w:tc>
                <w:tcPr>
                  <w:tcW w:w="2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2</w:t>
                  </w:r>
                </w:p>
              </w:tc>
              <w:tc>
                <w:tcPr>
                  <w:tcW w:w="2943"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1088"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9</w:t>
                  </w:r>
                </w:p>
              </w:tc>
              <w:tc>
                <w:tcPr>
                  <w:tcW w:w="2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全张数显切纸机</w:t>
                  </w:r>
                </w:p>
              </w:tc>
              <w:tc>
                <w:tcPr>
                  <w:tcW w:w="2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1</w:t>
                  </w:r>
                </w:p>
              </w:tc>
              <w:tc>
                <w:tcPr>
                  <w:tcW w:w="2943"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1088"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10</w:t>
                  </w:r>
                </w:p>
              </w:tc>
              <w:tc>
                <w:tcPr>
                  <w:tcW w:w="2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糊盒机</w:t>
                  </w:r>
                </w:p>
              </w:tc>
              <w:tc>
                <w:tcPr>
                  <w:tcW w:w="2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4</w:t>
                  </w:r>
                </w:p>
              </w:tc>
              <w:tc>
                <w:tcPr>
                  <w:tcW w:w="2943"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1088"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11</w:t>
                  </w:r>
                </w:p>
              </w:tc>
              <w:tc>
                <w:tcPr>
                  <w:tcW w:w="2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贴窗机</w:t>
                  </w:r>
                </w:p>
              </w:tc>
              <w:tc>
                <w:tcPr>
                  <w:tcW w:w="2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2</w:t>
                  </w:r>
                </w:p>
              </w:tc>
              <w:tc>
                <w:tcPr>
                  <w:tcW w:w="2943"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1088"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12</w:t>
                  </w:r>
                </w:p>
              </w:tc>
              <w:tc>
                <w:tcPr>
                  <w:tcW w:w="2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皮卡裱纸机</w:t>
                  </w:r>
                </w:p>
              </w:tc>
              <w:tc>
                <w:tcPr>
                  <w:tcW w:w="2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3</w:t>
                  </w:r>
                </w:p>
              </w:tc>
              <w:tc>
                <w:tcPr>
                  <w:tcW w:w="2943"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1088"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13</w:t>
                  </w:r>
                </w:p>
              </w:tc>
              <w:tc>
                <w:tcPr>
                  <w:tcW w:w="2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压力机</w:t>
                  </w:r>
                </w:p>
              </w:tc>
              <w:tc>
                <w:tcPr>
                  <w:tcW w:w="2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6</w:t>
                  </w:r>
                </w:p>
              </w:tc>
              <w:tc>
                <w:tcPr>
                  <w:tcW w:w="2943"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80</w:t>
                  </w:r>
                </w:p>
              </w:tc>
            </w:tr>
          </w:tbl>
          <w:p>
            <w:pPr>
              <w:ind w:firstLine="477" w:firstLineChars="199"/>
              <w:rPr>
                <w:rFonts w:hint="default" w:ascii="Times New Roman" w:hAnsi="Times New Roman" w:cs="Times New Roman"/>
                <w:color w:val="auto"/>
                <w:highlight w:val="none"/>
              </w:rPr>
            </w:pPr>
            <w:r>
              <w:rPr>
                <w:rFonts w:hint="default" w:ascii="Times New Roman" w:hAnsi="Times New Roman" w:cs="Times New Roman"/>
                <w:color w:val="auto"/>
                <w:highlight w:val="none"/>
              </w:rPr>
              <w:t>（4）固体废物</w:t>
            </w:r>
          </w:p>
          <w:p>
            <w:pPr>
              <w:keepNext w:val="0"/>
              <w:keepLines w:val="0"/>
              <w:pageBreakBefore w:val="0"/>
              <w:widowControl w:val="0"/>
              <w:tabs>
                <w:tab w:val="left" w:pos="720"/>
              </w:tabs>
              <w:kinsoku/>
              <w:wordWrap/>
              <w:overflowPunct/>
              <w:topLinePunct w:val="0"/>
              <w:bidi w:val="0"/>
              <w:adjustRightInd/>
              <w:snapToGrid/>
              <w:spacing w:line="460" w:lineRule="exact"/>
              <w:textAlignment w:val="auto"/>
              <w:rPr>
                <w:rFonts w:hint="default" w:ascii="Times New Roman" w:hAnsi="Times New Roman" w:cs="Times New Roman"/>
                <w:color w:val="auto"/>
              </w:rPr>
            </w:pPr>
            <w:r>
              <w:rPr>
                <w:rFonts w:hint="default" w:ascii="Times New Roman" w:hAnsi="Times New Roman" w:cs="Times New Roman"/>
                <w:color w:val="auto"/>
              </w:rPr>
              <w:t>本项目运营期间产生的固体废弃物主要包括</w:t>
            </w:r>
            <w:r>
              <w:rPr>
                <w:rFonts w:hint="default" w:ascii="Times New Roman" w:hAnsi="Times New Roman" w:cs="Times New Roman"/>
                <w:color w:val="auto"/>
                <w:lang w:eastAsia="zh-CN"/>
              </w:rPr>
              <w:t>生活垃圾、</w:t>
            </w:r>
            <w:r>
              <w:rPr>
                <w:rFonts w:hint="default" w:ascii="Times New Roman" w:hAnsi="Times New Roman" w:cs="Times New Roman"/>
                <w:color w:val="auto"/>
              </w:rPr>
              <w:t>产品制作过程中的边角废料</w:t>
            </w:r>
            <w:r>
              <w:rPr>
                <w:rFonts w:hint="default" w:ascii="Times New Roman" w:hAnsi="Times New Roman" w:cs="Times New Roman"/>
                <w:color w:val="auto"/>
                <w:lang w:eastAsia="zh-CN"/>
              </w:rPr>
              <w:t>及</w:t>
            </w:r>
            <w:r>
              <w:rPr>
                <w:rFonts w:hint="default" w:ascii="Times New Roman" w:hAnsi="Times New Roman" w:cs="Times New Roman"/>
                <w:color w:val="auto"/>
              </w:rPr>
              <w:t>不合格产品、</w:t>
            </w:r>
            <w:r>
              <w:rPr>
                <w:rFonts w:hint="default" w:ascii="Times New Roman" w:hAnsi="Times New Roman" w:cs="Times New Roman"/>
                <w:color w:val="auto"/>
                <w:lang w:eastAsia="zh-CN"/>
              </w:rPr>
              <w:t>餐厨垃圾和废油脂、</w:t>
            </w:r>
            <w:r>
              <w:rPr>
                <w:rFonts w:hint="default" w:ascii="Times New Roman" w:hAnsi="Times New Roman" w:cs="Times New Roman"/>
                <w:color w:val="auto"/>
              </w:rPr>
              <w:t>废油墨桶、废擦机布、废机油</w:t>
            </w:r>
            <w:r>
              <w:rPr>
                <w:rFonts w:hint="default" w:ascii="Times New Roman" w:hAnsi="Times New Roman" w:cs="Times New Roman"/>
                <w:color w:val="auto"/>
                <w:lang w:eastAsia="zh-CN"/>
              </w:rPr>
              <w:t>、废活性炭</w:t>
            </w:r>
            <w:r>
              <w:rPr>
                <w:rFonts w:hint="default" w:ascii="Times New Roman" w:hAnsi="Times New Roman" w:cs="Times New Roman"/>
                <w:color w:val="auto"/>
              </w:rPr>
              <w:t>。</w:t>
            </w:r>
          </w:p>
          <w:p>
            <w:pPr>
              <w:keepNext w:val="0"/>
              <w:keepLines w:val="0"/>
              <w:pageBreakBefore w:val="0"/>
              <w:widowControl w:val="0"/>
              <w:tabs>
                <w:tab w:val="left" w:pos="720"/>
              </w:tabs>
              <w:kinsoku/>
              <w:wordWrap/>
              <w:overflowPunct/>
              <w:topLinePunct w:val="0"/>
              <w:bidi w:val="0"/>
              <w:adjustRightInd/>
              <w:snapToGrid/>
              <w:spacing w:line="46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生活垃圾</w:t>
            </w:r>
          </w:p>
          <w:p>
            <w:pPr>
              <w:keepNext w:val="0"/>
              <w:keepLines w:val="0"/>
              <w:pageBreakBefore w:val="0"/>
              <w:widowControl w:val="0"/>
              <w:tabs>
                <w:tab w:val="left" w:pos="720"/>
              </w:tabs>
              <w:kinsoku/>
              <w:wordWrap/>
              <w:overflowPunct/>
              <w:topLinePunct w:val="0"/>
              <w:bidi w:val="0"/>
              <w:adjustRightInd/>
              <w:snapToGrid/>
              <w:spacing w:line="460" w:lineRule="exact"/>
              <w:textAlignment w:val="auto"/>
              <w:rPr>
                <w:rFonts w:hint="default" w:ascii="Times New Roman" w:hAnsi="Times New Roman" w:cs="Times New Roman"/>
                <w:color w:val="auto"/>
                <w:lang w:eastAsia="zh-CN"/>
              </w:rPr>
            </w:pPr>
            <w:r>
              <w:rPr>
                <w:rFonts w:hint="default" w:ascii="Times New Roman" w:hAnsi="Times New Roman" w:cs="Times New Roman"/>
                <w:color w:val="auto"/>
              </w:rPr>
              <w:t>项目劳动定员</w:t>
            </w:r>
            <w:r>
              <w:rPr>
                <w:rFonts w:hint="default" w:ascii="Times New Roman" w:hAnsi="Times New Roman" w:cs="Times New Roman"/>
                <w:color w:val="auto"/>
                <w:lang w:val="en-US" w:eastAsia="zh-CN"/>
              </w:rPr>
              <w:t>60</w:t>
            </w:r>
            <w:r>
              <w:rPr>
                <w:rFonts w:hint="default" w:ascii="Times New Roman" w:hAnsi="Times New Roman" w:cs="Times New Roman"/>
                <w:color w:val="auto"/>
              </w:rPr>
              <w:t>人，生活垃圾产生量按0.5kg/(人·天)计算，则项目生活垃圾产生量为</w:t>
            </w:r>
            <w:r>
              <w:rPr>
                <w:rFonts w:hint="default" w:ascii="Times New Roman" w:hAnsi="Times New Roman" w:cs="Times New Roman"/>
                <w:color w:val="auto"/>
                <w:lang w:val="en-US" w:eastAsia="zh-CN"/>
              </w:rPr>
              <w:t>9</w:t>
            </w:r>
            <w:r>
              <w:rPr>
                <w:rFonts w:hint="default" w:ascii="Times New Roman" w:hAnsi="Times New Roman" w:cs="Times New Roman"/>
                <w:color w:val="auto"/>
              </w:rPr>
              <w:t>t/a，属于一般固废，</w:t>
            </w:r>
            <w:r>
              <w:rPr>
                <w:rFonts w:hint="default" w:ascii="Times New Roman" w:hAnsi="Times New Roman" w:cs="Times New Roman"/>
                <w:color w:val="auto"/>
                <w:lang w:eastAsia="zh-CN"/>
              </w:rPr>
              <w:t>集中收集，</w:t>
            </w:r>
            <w:r>
              <w:rPr>
                <w:rFonts w:hint="default" w:ascii="Times New Roman" w:hAnsi="Times New Roman" w:cs="Times New Roman"/>
                <w:color w:val="auto"/>
              </w:rPr>
              <w:t>由环卫部门定期清运</w:t>
            </w:r>
            <w:r>
              <w:rPr>
                <w:rFonts w:hint="default" w:ascii="Times New Roman" w:hAnsi="Times New Roman" w:cs="Times New Roman"/>
                <w:color w:val="auto"/>
                <w:lang w:eastAsia="zh-CN"/>
              </w:rPr>
              <w:t>。</w:t>
            </w:r>
          </w:p>
          <w:p>
            <w:pPr>
              <w:keepNext w:val="0"/>
              <w:keepLines w:val="0"/>
              <w:pageBreakBefore w:val="0"/>
              <w:widowControl w:val="0"/>
              <w:tabs>
                <w:tab w:val="left" w:pos="720"/>
              </w:tabs>
              <w:kinsoku/>
              <w:wordWrap/>
              <w:overflowPunct/>
              <w:topLinePunct w:val="0"/>
              <w:bidi w:val="0"/>
              <w:adjustRightInd/>
              <w:snapToGrid/>
              <w:spacing w:line="46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边角料及不合格产品</w:t>
            </w:r>
          </w:p>
          <w:p>
            <w:pPr>
              <w:keepNext w:val="0"/>
              <w:keepLines w:val="0"/>
              <w:pageBreakBefore w:val="0"/>
              <w:widowControl w:val="0"/>
              <w:tabs>
                <w:tab w:val="left" w:pos="720"/>
              </w:tabs>
              <w:kinsoku/>
              <w:wordWrap/>
              <w:overflowPunct/>
              <w:topLinePunct w:val="0"/>
              <w:bidi w:val="0"/>
              <w:adjustRightInd/>
              <w:snapToGrid/>
              <w:spacing w:line="460" w:lineRule="exact"/>
              <w:textAlignment w:val="auto"/>
              <w:rPr>
                <w:rFonts w:hint="default" w:ascii="Times New Roman" w:hAnsi="Times New Roman" w:cs="Times New Roman"/>
                <w:color w:val="auto"/>
              </w:rPr>
            </w:pPr>
            <w:r>
              <w:rPr>
                <w:rFonts w:hint="default" w:ascii="Times New Roman" w:hAnsi="Times New Roman" w:cs="Times New Roman"/>
                <w:color w:val="auto"/>
              </w:rPr>
              <w:t>主要包括纸张裁切过程中产生的边角废料和印刷过程产生的次品。根据建设方提供资料，产生量以成品量的3%计，约</w:t>
            </w:r>
            <w:r>
              <w:rPr>
                <w:rFonts w:hint="default" w:ascii="Times New Roman" w:hAnsi="Times New Roman" w:cs="Times New Roman"/>
                <w:color w:val="auto"/>
                <w:lang w:val="en-US" w:eastAsia="zh-CN"/>
              </w:rPr>
              <w:t>26</w:t>
            </w:r>
            <w:r>
              <w:rPr>
                <w:rFonts w:hint="default" w:ascii="Times New Roman" w:hAnsi="Times New Roman" w:cs="Times New Roman"/>
                <w:color w:val="auto"/>
              </w:rPr>
              <w:t>t/a，属于一般固废。这部分固体废物收集暂存后出售给废品回收站，回收再利用。</w:t>
            </w:r>
          </w:p>
          <w:p>
            <w:pPr>
              <w:keepNext w:val="0"/>
              <w:keepLines w:val="0"/>
              <w:pageBreakBefore w:val="0"/>
              <w:widowControl w:val="0"/>
              <w:tabs>
                <w:tab w:val="left" w:pos="720"/>
              </w:tabs>
              <w:kinsoku/>
              <w:wordWrap/>
              <w:overflowPunct/>
              <w:topLinePunct w:val="0"/>
              <w:bidi w:val="0"/>
              <w:adjustRightInd/>
              <w:snapToGrid/>
              <w:spacing w:line="460" w:lineRule="exact"/>
              <w:textAlignment w:val="auto"/>
              <w:rPr>
                <w:rFonts w:hint="default" w:ascii="Times New Roman" w:hAnsi="Times New Roman" w:cs="Times New Roman"/>
                <w:color w:val="auto"/>
                <w:lang w:eastAsia="zh-CN"/>
              </w:rPr>
            </w:pPr>
            <w:r>
              <w:rPr>
                <w:rFonts w:hint="default" w:ascii="Times New Roman" w:hAnsi="Times New Roman" w:eastAsia="宋体" w:cs="Times New Roman"/>
                <w:color w:val="auto"/>
              </w:rPr>
              <w:t>③</w:t>
            </w:r>
            <w:r>
              <w:rPr>
                <w:rFonts w:hint="default" w:ascii="Times New Roman" w:hAnsi="Times New Roman" w:cs="Times New Roman"/>
                <w:color w:val="auto"/>
              </w:rPr>
              <w:t>餐厨</w:t>
            </w:r>
            <w:r>
              <w:rPr>
                <w:rFonts w:hint="default" w:ascii="Times New Roman" w:hAnsi="Times New Roman" w:cs="Times New Roman"/>
                <w:color w:val="auto"/>
                <w:lang w:eastAsia="zh-CN"/>
              </w:rPr>
              <w:t>垃圾和废油脂</w:t>
            </w:r>
          </w:p>
          <w:p>
            <w:pPr>
              <w:keepNext w:val="0"/>
              <w:keepLines w:val="0"/>
              <w:pageBreakBefore w:val="0"/>
              <w:widowControl w:val="0"/>
              <w:kinsoku/>
              <w:wordWrap/>
              <w:overflowPunct/>
              <w:topLinePunct w:val="0"/>
              <w:autoSpaceDE w:val="0"/>
              <w:autoSpaceDN w:val="0"/>
              <w:bidi w:val="0"/>
              <w:adjustRightInd/>
              <w:snapToGrid/>
              <w:spacing w:line="460" w:lineRule="exact"/>
              <w:ind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kern w:val="0"/>
                <w:sz w:val="24"/>
                <w:szCs w:val="24"/>
              </w:rPr>
              <w:t>食堂产生的餐厨垃圾和废油脂，类比餐饮行业数据，餐厨垃圾产生量约为0.5kg/人·天，废油脂产生量一般占食用油消耗量20%-30%，本项目</w:t>
            </w:r>
            <w:r>
              <w:rPr>
                <w:rFonts w:hint="default" w:ascii="Times New Roman" w:hAnsi="Times New Roman" w:cs="Times New Roman"/>
                <w:color w:val="auto"/>
                <w:kern w:val="0"/>
                <w:sz w:val="24"/>
                <w:szCs w:val="24"/>
                <w:lang w:eastAsia="zh-CN"/>
              </w:rPr>
              <w:t>食堂</w:t>
            </w:r>
            <w:r>
              <w:rPr>
                <w:rFonts w:hint="default" w:ascii="Times New Roman" w:hAnsi="Times New Roman" w:cs="Times New Roman"/>
                <w:color w:val="auto"/>
                <w:kern w:val="0"/>
                <w:sz w:val="24"/>
                <w:szCs w:val="24"/>
              </w:rPr>
              <w:t>就餐人数</w:t>
            </w:r>
            <w:r>
              <w:rPr>
                <w:rFonts w:hint="default" w:ascii="Times New Roman" w:hAnsi="Times New Roman" w:cs="Times New Roman"/>
                <w:color w:val="auto"/>
                <w:kern w:val="0"/>
                <w:sz w:val="24"/>
                <w:szCs w:val="24"/>
                <w:lang w:val="en-US" w:eastAsia="zh-CN"/>
              </w:rPr>
              <w:t>60</w:t>
            </w:r>
            <w:r>
              <w:rPr>
                <w:rFonts w:hint="default" w:ascii="Times New Roman" w:hAnsi="Times New Roman" w:cs="Times New Roman"/>
                <w:color w:val="auto"/>
                <w:kern w:val="0"/>
                <w:sz w:val="24"/>
                <w:szCs w:val="24"/>
              </w:rPr>
              <w:t>人/d，则餐厨垃圾产生量</w:t>
            </w:r>
            <w:r>
              <w:rPr>
                <w:rFonts w:hint="default" w:ascii="Times New Roman" w:hAnsi="Times New Roman" w:cs="Times New Roman"/>
                <w:color w:val="auto"/>
                <w:kern w:val="0"/>
                <w:sz w:val="24"/>
                <w:szCs w:val="24"/>
                <w:lang w:eastAsia="zh-CN"/>
              </w:rPr>
              <w:t>为</w:t>
            </w:r>
            <w:r>
              <w:rPr>
                <w:rFonts w:hint="default" w:ascii="Times New Roman" w:hAnsi="Times New Roman" w:cs="Times New Roman"/>
                <w:color w:val="auto"/>
                <w:kern w:val="0"/>
                <w:sz w:val="24"/>
                <w:szCs w:val="24"/>
                <w:lang w:val="en-US" w:eastAsia="zh-CN"/>
              </w:rPr>
              <w:t>9</w:t>
            </w:r>
            <w:r>
              <w:rPr>
                <w:rFonts w:hint="default" w:ascii="Times New Roman" w:hAnsi="Times New Roman" w:cs="Times New Roman"/>
                <w:color w:val="auto"/>
                <w:kern w:val="0"/>
                <w:sz w:val="24"/>
                <w:szCs w:val="24"/>
              </w:rPr>
              <w:t>t/a；本项目食用油消耗量</w:t>
            </w:r>
            <w:r>
              <w:rPr>
                <w:rFonts w:hint="default" w:ascii="Times New Roman" w:hAnsi="Times New Roman" w:cs="Times New Roman"/>
                <w:color w:val="auto"/>
                <w:kern w:val="0"/>
                <w:sz w:val="24"/>
                <w:szCs w:val="24"/>
                <w:lang w:eastAsia="zh-CN"/>
              </w:rPr>
              <w:t>为</w:t>
            </w:r>
            <w:r>
              <w:rPr>
                <w:rFonts w:hint="default" w:ascii="Times New Roman" w:hAnsi="Times New Roman" w:cs="Times New Roman"/>
                <w:color w:val="auto"/>
                <w:sz w:val="24"/>
                <w:szCs w:val="24"/>
                <w:lang w:val="en-US" w:eastAsia="zh-CN"/>
              </w:rPr>
              <w:t>1.8</w:t>
            </w:r>
            <w:r>
              <w:rPr>
                <w:rFonts w:hint="default" w:ascii="Times New Roman" w:hAnsi="Times New Roman" w:cs="Times New Roman"/>
                <w:color w:val="auto"/>
                <w:sz w:val="24"/>
                <w:szCs w:val="24"/>
              </w:rPr>
              <w:t>kg/d（</w:t>
            </w:r>
            <w:r>
              <w:rPr>
                <w:rFonts w:hint="default" w:ascii="Times New Roman" w:hAnsi="Times New Roman" w:cs="Times New Roman"/>
                <w:color w:val="auto"/>
                <w:sz w:val="24"/>
                <w:szCs w:val="24"/>
                <w:lang w:val="en-US" w:eastAsia="zh-CN"/>
              </w:rPr>
              <w:t>540</w:t>
            </w:r>
            <w:r>
              <w:rPr>
                <w:rFonts w:hint="default" w:ascii="Times New Roman" w:hAnsi="Times New Roman" w:cs="Times New Roman"/>
                <w:color w:val="auto"/>
                <w:sz w:val="24"/>
                <w:szCs w:val="24"/>
              </w:rPr>
              <w:t>kg/a）</w:t>
            </w:r>
            <w:r>
              <w:rPr>
                <w:rFonts w:hint="default" w:ascii="Times New Roman" w:hAnsi="Times New Roman" w:cs="Times New Roman"/>
                <w:color w:val="auto"/>
                <w:kern w:val="0"/>
                <w:sz w:val="24"/>
                <w:szCs w:val="24"/>
              </w:rPr>
              <w:t>，则废油脂产生量约</w:t>
            </w:r>
            <w:r>
              <w:rPr>
                <w:rFonts w:hint="default" w:ascii="Times New Roman" w:hAnsi="Times New Roman" w:cs="Times New Roman"/>
                <w:color w:val="auto"/>
                <w:kern w:val="0"/>
                <w:sz w:val="24"/>
                <w:szCs w:val="24"/>
                <w:lang w:val="en-US" w:eastAsia="zh-CN"/>
              </w:rPr>
              <w:t>0.16</w:t>
            </w:r>
            <w:r>
              <w:rPr>
                <w:rFonts w:hint="default" w:ascii="Times New Roman" w:hAnsi="Times New Roman" w:cs="Times New Roman"/>
                <w:color w:val="auto"/>
                <w:kern w:val="0"/>
                <w:sz w:val="24"/>
                <w:szCs w:val="24"/>
              </w:rPr>
              <w:t>t/a。</w:t>
            </w:r>
          </w:p>
          <w:p>
            <w:pPr>
              <w:keepNext w:val="0"/>
              <w:keepLines w:val="0"/>
              <w:pageBreakBefore w:val="0"/>
              <w:widowControl w:val="0"/>
              <w:tabs>
                <w:tab w:val="left" w:pos="720"/>
              </w:tabs>
              <w:kinsoku/>
              <w:wordWrap/>
              <w:overflowPunct/>
              <w:topLinePunct w:val="0"/>
              <w:bidi w:val="0"/>
              <w:adjustRightInd/>
              <w:snapToGrid/>
              <w:spacing w:line="46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t>④</w:t>
            </w:r>
            <w:r>
              <w:rPr>
                <w:rFonts w:hint="default" w:ascii="Times New Roman" w:hAnsi="Times New Roman" w:cs="Times New Roman"/>
                <w:color w:val="auto"/>
              </w:rPr>
              <w:t>危险废物</w:t>
            </w:r>
          </w:p>
          <w:p>
            <w:pPr>
              <w:keepNext w:val="0"/>
              <w:keepLines w:val="0"/>
              <w:pageBreakBefore w:val="0"/>
              <w:widowControl w:val="0"/>
              <w:tabs>
                <w:tab w:val="left" w:pos="720"/>
              </w:tabs>
              <w:kinsoku/>
              <w:wordWrap/>
              <w:overflowPunct/>
              <w:topLinePunct w:val="0"/>
              <w:bidi w:val="0"/>
              <w:adjustRightInd/>
              <w:snapToGrid/>
              <w:spacing w:line="460" w:lineRule="exact"/>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废油墨桶：印刷过程中产生的废油墨桶</w:t>
            </w:r>
            <w:r>
              <w:rPr>
                <w:rFonts w:hint="default" w:ascii="Times New Roman" w:hAnsi="Times New Roman" w:cs="Times New Roman"/>
                <w:color w:val="auto"/>
                <w:lang w:eastAsia="zh-CN"/>
              </w:rPr>
              <w:t>，产生量为</w:t>
            </w:r>
            <w:r>
              <w:rPr>
                <w:rFonts w:hint="default" w:ascii="Times New Roman" w:hAnsi="Times New Roman" w:cs="Times New Roman"/>
                <w:color w:val="auto"/>
                <w:lang w:val="en-US" w:eastAsia="zh-CN"/>
              </w:rPr>
              <w:t>0.1t/a，属于危险固废（HW49：900-041-49）</w:t>
            </w:r>
          </w:p>
          <w:p>
            <w:pPr>
              <w:keepNext w:val="0"/>
              <w:keepLines w:val="0"/>
              <w:pageBreakBefore w:val="0"/>
              <w:widowControl w:val="0"/>
              <w:tabs>
                <w:tab w:val="left" w:pos="720"/>
              </w:tabs>
              <w:kinsoku/>
              <w:wordWrap/>
              <w:overflowPunct/>
              <w:topLinePunct w:val="0"/>
              <w:bidi w:val="0"/>
              <w:adjustRightInd/>
              <w:snapToGrid/>
              <w:spacing w:line="460" w:lineRule="exact"/>
              <w:textAlignment w:val="auto"/>
              <w:rPr>
                <w:rFonts w:hint="default" w:ascii="Times New Roman" w:hAnsi="Times New Roman" w:cs="Times New Roman"/>
                <w:color w:val="auto"/>
              </w:rPr>
            </w:pPr>
            <w:r>
              <w:rPr>
                <w:rFonts w:hint="default" w:ascii="Times New Roman" w:hAnsi="Times New Roman" w:cs="Times New Roman"/>
                <w:color w:val="auto"/>
              </w:rPr>
              <w:t>废擦机布：擦拭墨斗、墨辊的废布，属于危险固废（HW</w:t>
            </w:r>
            <w:r>
              <w:rPr>
                <w:rFonts w:hint="default" w:ascii="Times New Roman" w:hAnsi="Times New Roman" w:cs="Times New Roman"/>
                <w:color w:val="auto"/>
                <w:lang w:val="en-US" w:eastAsia="zh-CN"/>
              </w:rPr>
              <w:t>49-900-041-49</w:t>
            </w:r>
            <w:r>
              <w:rPr>
                <w:rFonts w:hint="default" w:ascii="Times New Roman" w:hAnsi="Times New Roman" w:cs="Times New Roman"/>
                <w:color w:val="auto"/>
              </w:rPr>
              <w:t>），根据建设方提供资料，其产生量为</w:t>
            </w:r>
            <w:r>
              <w:rPr>
                <w:rFonts w:hint="default" w:ascii="Times New Roman" w:hAnsi="Times New Roman" w:cs="Times New Roman"/>
                <w:color w:val="auto"/>
                <w:lang w:val="en-US" w:eastAsia="zh-CN"/>
              </w:rPr>
              <w:t>0.25t</w:t>
            </w:r>
            <w:r>
              <w:rPr>
                <w:rFonts w:hint="default" w:ascii="Times New Roman" w:hAnsi="Times New Roman" w:cs="Times New Roman"/>
                <w:color w:val="auto"/>
              </w:rPr>
              <w:t>/a。</w:t>
            </w:r>
          </w:p>
          <w:p>
            <w:pPr>
              <w:keepNext w:val="0"/>
              <w:keepLines w:val="0"/>
              <w:pageBreakBefore w:val="0"/>
              <w:widowControl w:val="0"/>
              <w:tabs>
                <w:tab w:val="left" w:pos="720"/>
              </w:tabs>
              <w:kinsoku/>
              <w:wordWrap/>
              <w:overflowPunct/>
              <w:topLinePunct w:val="0"/>
              <w:bidi w:val="0"/>
              <w:adjustRightInd/>
              <w:snapToGrid/>
              <w:spacing w:line="460" w:lineRule="exact"/>
              <w:textAlignment w:val="auto"/>
              <w:rPr>
                <w:rFonts w:hint="default" w:ascii="Times New Roman" w:hAnsi="Times New Roman" w:cs="Times New Roman"/>
                <w:color w:val="auto"/>
              </w:rPr>
            </w:pPr>
            <w:r>
              <w:rPr>
                <w:rFonts w:hint="default" w:ascii="Times New Roman" w:hAnsi="Times New Roman" w:cs="Times New Roman"/>
                <w:color w:val="auto"/>
              </w:rPr>
              <w:t>废机油</w:t>
            </w:r>
            <w:r>
              <w:rPr>
                <w:rFonts w:hint="default" w:ascii="Times New Roman" w:hAnsi="Times New Roman" w:cs="Times New Roman"/>
                <w:color w:val="auto"/>
                <w:lang w:eastAsia="zh-CN"/>
              </w:rPr>
              <w:t>和废棉纱</w:t>
            </w:r>
            <w:r>
              <w:rPr>
                <w:rFonts w:hint="default" w:ascii="Times New Roman" w:hAnsi="Times New Roman" w:cs="Times New Roman"/>
                <w:color w:val="auto"/>
              </w:rPr>
              <w:t>：生产过程中设备维修产生的少量废机油</w:t>
            </w:r>
            <w:r>
              <w:rPr>
                <w:rFonts w:hint="default" w:ascii="Times New Roman" w:hAnsi="Times New Roman" w:cs="Times New Roman"/>
                <w:color w:val="auto"/>
                <w:lang w:eastAsia="zh-CN"/>
              </w:rPr>
              <w:t>和废棉纱</w:t>
            </w:r>
            <w:r>
              <w:rPr>
                <w:rFonts w:hint="default" w:ascii="Times New Roman" w:hAnsi="Times New Roman" w:cs="Times New Roman"/>
                <w:color w:val="auto"/>
              </w:rPr>
              <w:t>属于危险废物，根据建设方提供资料，</w:t>
            </w:r>
            <w:r>
              <w:rPr>
                <w:rFonts w:hint="default" w:ascii="Times New Roman" w:hAnsi="Times New Roman" w:cs="Times New Roman"/>
                <w:color w:val="auto"/>
                <w:lang w:eastAsia="zh-CN"/>
              </w:rPr>
              <w:t>废机油</w:t>
            </w:r>
            <w:r>
              <w:rPr>
                <w:rFonts w:hint="default" w:ascii="Times New Roman" w:hAnsi="Times New Roman" w:cs="Times New Roman"/>
                <w:color w:val="auto"/>
              </w:rPr>
              <w:t>产生量为0.</w:t>
            </w:r>
            <w:r>
              <w:rPr>
                <w:rFonts w:hint="default" w:ascii="Times New Roman" w:hAnsi="Times New Roman" w:cs="Times New Roman"/>
                <w:color w:val="auto"/>
                <w:lang w:val="en-US" w:eastAsia="zh-CN"/>
              </w:rPr>
              <w:t>6</w:t>
            </w:r>
            <w:r>
              <w:rPr>
                <w:rFonts w:hint="default" w:ascii="Times New Roman" w:hAnsi="Times New Roman" w:cs="Times New Roman"/>
                <w:color w:val="auto"/>
              </w:rPr>
              <w:t>t/a</w:t>
            </w:r>
            <w:r>
              <w:rPr>
                <w:rFonts w:hint="default" w:ascii="Times New Roman" w:hAnsi="Times New Roman" w:cs="Times New Roman"/>
                <w:color w:val="auto"/>
                <w:lang w:eastAsia="zh-CN"/>
              </w:rPr>
              <w:t>；废棉纱产生量为</w:t>
            </w:r>
            <w:r>
              <w:rPr>
                <w:rFonts w:hint="default" w:ascii="Times New Roman" w:hAnsi="Times New Roman" w:cs="Times New Roman"/>
                <w:color w:val="auto"/>
                <w:lang w:val="en-US" w:eastAsia="zh-CN"/>
              </w:rPr>
              <w:t>0.01t/a</w:t>
            </w:r>
            <w:r>
              <w:rPr>
                <w:rFonts w:hint="default" w:ascii="Times New Roman" w:hAnsi="Times New Roman" w:cs="Times New Roman"/>
                <w:color w:val="auto"/>
              </w:rPr>
              <w:t>。</w:t>
            </w:r>
          </w:p>
          <w:p>
            <w:pPr>
              <w:pStyle w:val="97"/>
              <w:keepNext w:val="0"/>
              <w:keepLines w:val="0"/>
              <w:pageBreakBefore w:val="0"/>
              <w:widowControl w:val="0"/>
              <w:kinsoku/>
              <w:wordWrap/>
              <w:overflowPunct/>
              <w:topLinePunct w:val="0"/>
              <w:autoSpaceDE w:val="0"/>
              <w:autoSpaceDN w:val="0"/>
              <w:bidi w:val="0"/>
              <w:adjustRightInd/>
              <w:snapToGrid/>
              <w:spacing w:line="460" w:lineRule="exact"/>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废活性炭：</w:t>
            </w:r>
            <w:r>
              <w:rPr>
                <w:rFonts w:hint="default" w:ascii="Times New Roman" w:hAnsi="Times New Roman" w:eastAsia="宋体" w:cs="Times New Roman"/>
                <w:color w:val="auto"/>
              </w:rPr>
              <w:t>根据杨芬、刘品华《活性炭纤维在挥发性有机废气处理中应用》的实验结果表明，每公斤活性炭可吸附0.22~0.25kg的有机废气，本次环评取每公斤活性炭吸附有机废气量为0.22kg，</w:t>
            </w:r>
            <w:r>
              <w:rPr>
                <w:rFonts w:hint="default" w:ascii="Times New Roman" w:hAnsi="Times New Roman" w:eastAsia="宋体" w:cs="Times New Roman"/>
                <w:color w:val="auto"/>
                <w:lang w:eastAsia="zh-CN"/>
              </w:rPr>
              <w:t>由工程分析可知，项目处理有机废气的量为</w:t>
            </w:r>
            <w:r>
              <w:rPr>
                <w:rFonts w:hint="default" w:ascii="Times New Roman" w:hAnsi="Times New Roman" w:eastAsia="宋体" w:cs="Times New Roman"/>
                <w:color w:val="auto"/>
                <w:lang w:val="en-US" w:eastAsia="zh-CN"/>
              </w:rPr>
              <w:t>0.864t/a。</w:t>
            </w:r>
            <w:r>
              <w:rPr>
                <w:rFonts w:hint="default" w:ascii="Times New Roman" w:hAnsi="Times New Roman" w:eastAsia="宋体" w:cs="Times New Roman"/>
                <w:color w:val="auto"/>
              </w:rPr>
              <w:t>活性炭吸附装置处理有机废气总量的40%为</w:t>
            </w:r>
            <w:r>
              <w:rPr>
                <w:rFonts w:hint="default" w:ascii="Times New Roman" w:hAnsi="Times New Roman" w:eastAsia="宋体" w:cs="Times New Roman"/>
                <w:color w:val="auto"/>
                <w:lang w:val="en-US" w:eastAsia="zh-CN"/>
              </w:rPr>
              <w:t>0.52</w:t>
            </w:r>
            <w:r>
              <w:rPr>
                <w:rFonts w:hint="default" w:ascii="Times New Roman" w:hAnsi="Times New Roman" w:eastAsia="宋体" w:cs="Times New Roman"/>
                <w:color w:val="auto"/>
              </w:rPr>
              <w:t>t/a，经计算共产生失效的活性炭约为</w:t>
            </w:r>
            <w:r>
              <w:rPr>
                <w:rFonts w:hint="default" w:ascii="Times New Roman" w:hAnsi="Times New Roman" w:eastAsia="宋体" w:cs="Times New Roman"/>
                <w:color w:val="auto"/>
                <w:lang w:val="en-US" w:eastAsia="zh-CN"/>
              </w:rPr>
              <w:t>2.36</w:t>
            </w:r>
            <w:r>
              <w:rPr>
                <w:rFonts w:hint="default" w:ascii="Times New Roman" w:hAnsi="Times New Roman" w:eastAsia="宋体" w:cs="Times New Roman"/>
                <w:color w:val="auto"/>
              </w:rPr>
              <w:t>t/a。属于危险废物，危废代码为900-041-49，委托有资质的单位进行处理。</w:t>
            </w:r>
          </w:p>
          <w:p>
            <w:pPr>
              <w:rPr>
                <w:rFonts w:hint="default" w:ascii="Times New Roman" w:hAnsi="Times New Roman" w:cs="Times New Roman"/>
                <w:color w:val="auto"/>
                <w:lang w:eastAsia="zh-CN"/>
              </w:rPr>
            </w:pPr>
            <w:r>
              <w:rPr>
                <w:rFonts w:hint="default" w:ascii="Times New Roman" w:hAnsi="Times New Roman" w:cs="Times New Roman"/>
                <w:color w:val="auto"/>
              </w:rPr>
              <w:t>项目固废产排情况如下表</w:t>
            </w:r>
            <w:r>
              <w:rPr>
                <w:rFonts w:hint="default" w:ascii="Times New Roman" w:hAnsi="Times New Roman"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0"/>
              </w:rPr>
            </w:pPr>
            <w:r>
              <w:rPr>
                <w:rFonts w:hint="default" w:ascii="Times New Roman" w:hAnsi="Times New Roman" w:cs="Times New Roman"/>
                <w:b/>
                <w:bCs/>
                <w:color w:val="auto"/>
                <w:sz w:val="21"/>
                <w:szCs w:val="20"/>
              </w:rPr>
              <w:t>表5-</w:t>
            </w:r>
            <w:r>
              <w:rPr>
                <w:rFonts w:hint="default" w:ascii="Times New Roman" w:hAnsi="Times New Roman" w:cs="Times New Roman"/>
                <w:b/>
                <w:bCs/>
                <w:color w:val="auto"/>
                <w:sz w:val="21"/>
                <w:szCs w:val="20"/>
                <w:lang w:val="en-US" w:eastAsia="zh-CN"/>
              </w:rPr>
              <w:t>6</w:t>
            </w:r>
            <w:r>
              <w:rPr>
                <w:rFonts w:hint="default" w:ascii="Times New Roman" w:hAnsi="Times New Roman" w:cs="Times New Roman"/>
                <w:b/>
                <w:bCs/>
                <w:color w:val="auto"/>
                <w:sz w:val="21"/>
                <w:szCs w:val="20"/>
              </w:rPr>
              <w:t xml:space="preserve">   项目固废产排情况表</w:t>
            </w:r>
          </w:p>
          <w:tbl>
            <w:tblPr>
              <w:tblStyle w:val="27"/>
              <w:tblpPr w:leftFromText="180" w:rightFromText="180" w:vertAnchor="text" w:horzAnchor="page" w:tblpX="93" w:tblpY="2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6"/>
              <w:gridCol w:w="1585"/>
              <w:gridCol w:w="2327"/>
              <w:gridCol w:w="2017"/>
              <w:gridCol w:w="18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6"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序号</w:t>
                  </w:r>
                </w:p>
              </w:tc>
              <w:tc>
                <w:tcPr>
                  <w:tcW w:w="1585"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固废名称</w:t>
                  </w:r>
                </w:p>
              </w:tc>
              <w:tc>
                <w:tcPr>
                  <w:tcW w:w="232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来源</w:t>
                  </w:r>
                </w:p>
              </w:tc>
              <w:tc>
                <w:tcPr>
                  <w:tcW w:w="201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类别</w:t>
                  </w:r>
                </w:p>
              </w:tc>
              <w:tc>
                <w:tcPr>
                  <w:tcW w:w="188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产生量（t/a）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6"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1</w:t>
                  </w:r>
                </w:p>
              </w:tc>
              <w:tc>
                <w:tcPr>
                  <w:tcW w:w="1585"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生活垃圾</w:t>
                  </w:r>
                </w:p>
              </w:tc>
              <w:tc>
                <w:tcPr>
                  <w:tcW w:w="232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员工日常生活</w:t>
                  </w:r>
                </w:p>
              </w:tc>
              <w:tc>
                <w:tcPr>
                  <w:tcW w:w="201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w:t>
                  </w:r>
                </w:p>
              </w:tc>
              <w:tc>
                <w:tcPr>
                  <w:tcW w:w="188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6"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2</w:t>
                  </w:r>
                </w:p>
              </w:tc>
              <w:tc>
                <w:tcPr>
                  <w:tcW w:w="1585"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边角废料及不合格产品</w:t>
                  </w:r>
                </w:p>
              </w:tc>
              <w:tc>
                <w:tcPr>
                  <w:tcW w:w="232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rPr>
                    <w:t>边角废料和印刷过程产生的次品</w:t>
                  </w:r>
                </w:p>
              </w:tc>
              <w:tc>
                <w:tcPr>
                  <w:tcW w:w="201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一般固废</w:t>
                  </w:r>
                </w:p>
              </w:tc>
              <w:tc>
                <w:tcPr>
                  <w:tcW w:w="188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6"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3</w:t>
                  </w:r>
                </w:p>
              </w:tc>
              <w:tc>
                <w:tcPr>
                  <w:tcW w:w="1585"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餐厨垃圾</w:t>
                  </w:r>
                </w:p>
              </w:tc>
              <w:tc>
                <w:tcPr>
                  <w:tcW w:w="2327" w:type="dxa"/>
                  <w:vMerge w:val="restart"/>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员工食堂</w:t>
                  </w:r>
                </w:p>
              </w:tc>
              <w:tc>
                <w:tcPr>
                  <w:tcW w:w="201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一般固废</w:t>
                  </w:r>
                </w:p>
              </w:tc>
              <w:tc>
                <w:tcPr>
                  <w:tcW w:w="188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6"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4</w:t>
                  </w:r>
                </w:p>
              </w:tc>
              <w:tc>
                <w:tcPr>
                  <w:tcW w:w="1585"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废油脂</w:t>
                  </w:r>
                </w:p>
              </w:tc>
              <w:tc>
                <w:tcPr>
                  <w:tcW w:w="2327" w:type="dxa"/>
                  <w:vMerge w:val="continue"/>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p>
              </w:tc>
              <w:tc>
                <w:tcPr>
                  <w:tcW w:w="201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一般固废</w:t>
                  </w:r>
                </w:p>
              </w:tc>
              <w:tc>
                <w:tcPr>
                  <w:tcW w:w="188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6"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5</w:t>
                  </w:r>
                </w:p>
              </w:tc>
              <w:tc>
                <w:tcPr>
                  <w:tcW w:w="1585"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废油墨桶</w:t>
                  </w:r>
                </w:p>
              </w:tc>
              <w:tc>
                <w:tcPr>
                  <w:tcW w:w="232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印刷阶段产生</w:t>
                  </w:r>
                </w:p>
              </w:tc>
              <w:tc>
                <w:tcPr>
                  <w:tcW w:w="201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HW49其它废物（900-041-49）</w:t>
                  </w:r>
                </w:p>
              </w:tc>
              <w:tc>
                <w:tcPr>
                  <w:tcW w:w="188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6"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6</w:t>
                  </w:r>
                </w:p>
              </w:tc>
              <w:tc>
                <w:tcPr>
                  <w:tcW w:w="1585"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废擦机布</w:t>
                  </w:r>
                </w:p>
              </w:tc>
              <w:tc>
                <w:tcPr>
                  <w:tcW w:w="232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擦拭墨斗、墨辊的废布</w:t>
                  </w:r>
                </w:p>
              </w:tc>
              <w:tc>
                <w:tcPr>
                  <w:tcW w:w="201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HW49其它废物（900-041-49）</w:t>
                  </w:r>
                </w:p>
              </w:tc>
              <w:tc>
                <w:tcPr>
                  <w:tcW w:w="188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6"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7</w:t>
                  </w:r>
                </w:p>
              </w:tc>
              <w:tc>
                <w:tcPr>
                  <w:tcW w:w="1585"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rPr>
                    <w:t>废机油</w:t>
                  </w:r>
                </w:p>
              </w:tc>
              <w:tc>
                <w:tcPr>
                  <w:tcW w:w="2327" w:type="dxa"/>
                  <w:vMerge w:val="restart"/>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rPr>
                    <w:t>机器设备</w:t>
                  </w:r>
                  <w:r>
                    <w:rPr>
                      <w:rFonts w:hint="default" w:ascii="Times New Roman" w:hAnsi="Times New Roman" w:cs="Times New Roman"/>
                      <w:b w:val="0"/>
                      <w:bCs/>
                      <w:color w:val="auto"/>
                      <w:lang w:eastAsia="zh-CN"/>
                    </w:rPr>
                    <w:t>维护、维修</w:t>
                  </w:r>
                </w:p>
              </w:tc>
              <w:tc>
                <w:tcPr>
                  <w:tcW w:w="201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HW08废矿物油与含矿物油废物</w:t>
                  </w:r>
                  <w:r>
                    <w:rPr>
                      <w:rFonts w:hint="default" w:ascii="Times New Roman" w:hAnsi="Times New Roman" w:cs="Times New Roman"/>
                      <w:b w:val="0"/>
                      <w:bCs/>
                      <w:color w:val="auto"/>
                    </w:rPr>
                    <w:t>（900-218-08）</w:t>
                  </w:r>
                </w:p>
              </w:tc>
              <w:tc>
                <w:tcPr>
                  <w:tcW w:w="188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6"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8</w:t>
                  </w:r>
                </w:p>
              </w:tc>
              <w:tc>
                <w:tcPr>
                  <w:tcW w:w="1585"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r>
                    <w:rPr>
                      <w:rFonts w:hint="default" w:ascii="Times New Roman" w:hAnsi="Times New Roman" w:cs="Times New Roman"/>
                      <w:b w:val="0"/>
                      <w:bCs/>
                      <w:color w:val="auto"/>
                      <w:lang w:eastAsia="zh-CN"/>
                    </w:rPr>
                    <w:t>废棉纱</w:t>
                  </w:r>
                </w:p>
              </w:tc>
              <w:tc>
                <w:tcPr>
                  <w:tcW w:w="2327" w:type="dxa"/>
                  <w:vMerge w:val="continue"/>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rPr>
                  </w:pPr>
                </w:p>
              </w:tc>
              <w:tc>
                <w:tcPr>
                  <w:tcW w:w="201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HW09其它废物（900-041-49）</w:t>
                  </w:r>
                </w:p>
              </w:tc>
              <w:tc>
                <w:tcPr>
                  <w:tcW w:w="188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6"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9</w:t>
                  </w:r>
                </w:p>
              </w:tc>
              <w:tc>
                <w:tcPr>
                  <w:tcW w:w="1585"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废活性炭</w:t>
                  </w:r>
                </w:p>
              </w:tc>
              <w:tc>
                <w:tcPr>
                  <w:tcW w:w="232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废气处理</w:t>
                  </w:r>
                </w:p>
              </w:tc>
              <w:tc>
                <w:tcPr>
                  <w:tcW w:w="201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HW49其它废物（900-041-49）</w:t>
                  </w:r>
                </w:p>
              </w:tc>
              <w:tc>
                <w:tcPr>
                  <w:tcW w:w="1887" w:type="dxa"/>
                  <w:noWrap w:val="0"/>
                  <w:vAlign w:val="center"/>
                </w:tcPr>
                <w:p>
                  <w:pPr>
                    <w:pStyle w:val="79"/>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2.36</w:t>
                  </w:r>
                </w:p>
              </w:tc>
            </w:tr>
          </w:tbl>
          <w:p>
            <w:pPr>
              <w:pStyle w:val="97"/>
              <w:rPr>
                <w:rFonts w:hint="default" w:ascii="Times New Roman" w:hAnsi="Times New Roman" w:cs="Times New Roman"/>
                <w:color w:val="auto"/>
              </w:rPr>
            </w:pPr>
          </w:p>
        </w:tc>
      </w:tr>
    </w:tbl>
    <w:p>
      <w:pPr>
        <w:pStyle w:val="3"/>
        <w:numPr>
          <w:ilvl w:val="0"/>
          <w:numId w:val="0"/>
        </w:numPr>
        <w:spacing w:before="163"/>
        <w:ind w:left="420" w:leftChars="0"/>
        <w:rPr>
          <w:rFonts w:hint="default" w:ascii="Times New Roman" w:hAnsi="Times New Roman" w:cs="Times New Roman"/>
          <w:color w:val="auto"/>
        </w:rPr>
      </w:pPr>
      <w:r>
        <w:rPr>
          <w:rFonts w:hint="default" w:ascii="Times New Roman" w:hAnsi="Times New Roman" w:cs="Times New Roman"/>
          <w:color w:val="auto"/>
          <w:lang w:val="en-US" w:eastAsia="zh-CN"/>
        </w:rPr>
        <w:t>6.</w:t>
      </w:r>
      <w:r>
        <w:rPr>
          <w:rFonts w:hint="default" w:ascii="Times New Roman" w:hAnsi="Times New Roman" w:cs="Times New Roman"/>
          <w:color w:val="auto"/>
        </w:rPr>
        <w:t>项目主要污染物产生及预计排放情况</w:t>
      </w:r>
    </w:p>
    <w:tbl>
      <w:tblPr>
        <w:tblStyle w:val="2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0"/>
        <w:gridCol w:w="989"/>
        <w:gridCol w:w="1073"/>
        <w:gridCol w:w="2913"/>
        <w:gridCol w:w="31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noWrap w:val="0"/>
            <w:vAlign w:val="center"/>
          </w:tcPr>
          <w:p>
            <w:pPr>
              <w:pStyle w:val="1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内容</w:t>
            </w:r>
          </w:p>
          <w:p>
            <w:pPr>
              <w:pStyle w:val="1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类型</w:t>
            </w:r>
          </w:p>
        </w:tc>
        <w:tc>
          <w:tcPr>
            <w:tcW w:w="989" w:type="dxa"/>
            <w:tcBorders>
              <w:bottom w:val="single" w:color="auto" w:sz="4" w:space="0"/>
            </w:tcBorders>
            <w:noWrap w:val="0"/>
            <w:vAlign w:val="center"/>
          </w:tcPr>
          <w:p>
            <w:pPr>
              <w:pStyle w:val="1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排放源</w:t>
            </w:r>
          </w:p>
        </w:tc>
        <w:tc>
          <w:tcPr>
            <w:tcW w:w="1073" w:type="dxa"/>
            <w:noWrap w:val="0"/>
            <w:vAlign w:val="center"/>
          </w:tcPr>
          <w:p>
            <w:pPr>
              <w:pStyle w:val="1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污染物名称</w:t>
            </w:r>
          </w:p>
        </w:tc>
        <w:tc>
          <w:tcPr>
            <w:tcW w:w="2913" w:type="dxa"/>
            <w:tcBorders>
              <w:right w:val="single" w:color="auto" w:sz="4" w:space="0"/>
            </w:tcBorders>
            <w:noWrap w:val="0"/>
            <w:vAlign w:val="center"/>
          </w:tcPr>
          <w:p>
            <w:pPr>
              <w:pStyle w:val="1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处理前产生浓度及产生量</w:t>
            </w:r>
          </w:p>
        </w:tc>
        <w:tc>
          <w:tcPr>
            <w:tcW w:w="3102" w:type="dxa"/>
            <w:tcBorders>
              <w:left w:val="single" w:color="auto" w:sz="4" w:space="0"/>
            </w:tcBorders>
            <w:noWrap w:val="0"/>
            <w:vAlign w:val="center"/>
          </w:tcPr>
          <w:p>
            <w:pPr>
              <w:pStyle w:val="1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排放浓度及排放量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restart"/>
            <w:noWrap w:val="0"/>
            <w:vAlign w:val="center"/>
          </w:tcPr>
          <w:p>
            <w:pPr>
              <w:pStyle w:val="19"/>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废气</w:t>
            </w:r>
          </w:p>
        </w:tc>
        <w:tc>
          <w:tcPr>
            <w:tcW w:w="989" w:type="dxa"/>
            <w:vMerge w:val="restart"/>
            <w:tcBorders>
              <w:top w:val="single" w:color="auto" w:sz="4" w:space="0"/>
            </w:tcBorders>
            <w:noWrap w:val="0"/>
            <w:vAlign w:val="center"/>
          </w:tcPr>
          <w:p>
            <w:pPr>
              <w:pStyle w:val="19"/>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印刷</w:t>
            </w:r>
          </w:p>
        </w:tc>
        <w:tc>
          <w:tcPr>
            <w:tcW w:w="1073" w:type="dxa"/>
            <w:vMerge w:val="restart"/>
            <w:tcBorders>
              <w:top w:val="single" w:color="auto" w:sz="4" w:space="0"/>
            </w:tcBorders>
            <w:noWrap w:val="0"/>
            <w:vAlign w:val="center"/>
          </w:tcPr>
          <w:p>
            <w:pPr>
              <w:pStyle w:val="1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非甲烷总烃</w:t>
            </w:r>
          </w:p>
        </w:tc>
        <w:tc>
          <w:tcPr>
            <w:tcW w:w="2913" w:type="dxa"/>
            <w:tcBorders>
              <w:top w:val="single" w:color="auto" w:sz="4" w:space="0"/>
              <w:right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有组织90</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1.08</w:t>
            </w:r>
            <w:r>
              <w:rPr>
                <w:rFonts w:hint="default" w:ascii="Times New Roman" w:hAnsi="Times New Roman" w:cs="Times New Roman"/>
                <w:color w:val="auto"/>
              </w:rPr>
              <w:t>t/a</w:t>
            </w:r>
          </w:p>
        </w:tc>
        <w:tc>
          <w:tcPr>
            <w:tcW w:w="3102" w:type="dxa"/>
            <w:tcBorders>
              <w:top w:val="single" w:color="auto" w:sz="4" w:space="0"/>
              <w:left w:val="single" w:color="auto" w:sz="4" w:space="0"/>
              <w:bottom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有组织16.16</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，0.</w:t>
            </w:r>
            <w:r>
              <w:rPr>
                <w:rFonts w:hint="default" w:ascii="Times New Roman" w:hAnsi="Times New Roman" w:cs="Times New Roman"/>
                <w:color w:val="auto"/>
                <w:lang w:val="en-US" w:eastAsia="zh-CN"/>
              </w:rPr>
              <w:t>194</w:t>
            </w:r>
            <w:r>
              <w:rPr>
                <w:rFonts w:hint="default" w:ascii="Times New Roman" w:hAnsi="Times New Roman" w:cs="Times New Roman"/>
                <w:color w:val="auto"/>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continue"/>
            <w:noWrap w:val="0"/>
            <w:vAlign w:val="center"/>
          </w:tcPr>
          <w:p>
            <w:pPr>
              <w:pStyle w:val="19"/>
              <w:rPr>
                <w:rFonts w:hint="default" w:ascii="Times New Roman" w:hAnsi="Times New Roman" w:cs="Times New Roman"/>
                <w:color w:val="auto"/>
                <w:sz w:val="24"/>
                <w:szCs w:val="24"/>
              </w:rPr>
            </w:pPr>
          </w:p>
        </w:tc>
        <w:tc>
          <w:tcPr>
            <w:tcW w:w="989" w:type="dxa"/>
            <w:vMerge w:val="continue"/>
            <w:tcBorders>
              <w:bottom w:val="single" w:color="auto" w:sz="4" w:space="0"/>
            </w:tcBorders>
            <w:noWrap w:val="0"/>
            <w:vAlign w:val="center"/>
          </w:tcPr>
          <w:p>
            <w:pPr>
              <w:pStyle w:val="19"/>
              <w:rPr>
                <w:rFonts w:hint="default" w:ascii="Times New Roman" w:hAnsi="Times New Roman" w:cs="Times New Roman"/>
                <w:color w:val="auto"/>
                <w:sz w:val="24"/>
                <w:szCs w:val="24"/>
              </w:rPr>
            </w:pPr>
          </w:p>
        </w:tc>
        <w:tc>
          <w:tcPr>
            <w:tcW w:w="1073" w:type="dxa"/>
            <w:vMerge w:val="continue"/>
            <w:tcBorders>
              <w:bottom w:val="single" w:color="auto" w:sz="4" w:space="0"/>
            </w:tcBorders>
            <w:noWrap w:val="0"/>
            <w:vAlign w:val="center"/>
          </w:tcPr>
          <w:p>
            <w:pPr>
              <w:pStyle w:val="19"/>
              <w:rPr>
                <w:rFonts w:hint="default" w:ascii="Times New Roman" w:hAnsi="Times New Roman" w:cs="Times New Roman"/>
                <w:color w:val="auto"/>
                <w:sz w:val="24"/>
                <w:szCs w:val="24"/>
              </w:rPr>
            </w:pPr>
          </w:p>
        </w:tc>
        <w:tc>
          <w:tcPr>
            <w:tcW w:w="2913" w:type="dxa"/>
            <w:tcBorders>
              <w:right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无组织排放0.</w:t>
            </w:r>
            <w:r>
              <w:rPr>
                <w:rFonts w:hint="default" w:ascii="Times New Roman" w:hAnsi="Times New Roman" w:cs="Times New Roman"/>
                <w:color w:val="auto"/>
                <w:lang w:val="en-US" w:eastAsia="zh-CN"/>
              </w:rPr>
              <w:t>108</w:t>
            </w:r>
            <w:r>
              <w:rPr>
                <w:rFonts w:hint="default" w:ascii="Times New Roman" w:hAnsi="Times New Roman" w:cs="Times New Roman"/>
                <w:color w:val="auto"/>
              </w:rPr>
              <w:t>t/a</w:t>
            </w:r>
          </w:p>
        </w:tc>
        <w:tc>
          <w:tcPr>
            <w:tcW w:w="3102" w:type="dxa"/>
            <w:tcBorders>
              <w:top w:val="single" w:color="auto" w:sz="4" w:space="0"/>
              <w:left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无组织排放0.</w:t>
            </w:r>
            <w:r>
              <w:rPr>
                <w:rFonts w:hint="default" w:ascii="Times New Roman" w:hAnsi="Times New Roman" w:cs="Times New Roman"/>
                <w:color w:val="auto"/>
                <w:lang w:val="en-US" w:eastAsia="zh-CN"/>
              </w:rPr>
              <w:t>108</w:t>
            </w:r>
            <w:r>
              <w:rPr>
                <w:rFonts w:hint="default" w:ascii="Times New Roman" w:hAnsi="Times New Roman" w:cs="Times New Roman"/>
                <w:color w:val="auto"/>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continue"/>
            <w:noWrap w:val="0"/>
            <w:vAlign w:val="center"/>
          </w:tcPr>
          <w:p>
            <w:pPr>
              <w:pStyle w:val="19"/>
              <w:rPr>
                <w:rFonts w:hint="default" w:ascii="Times New Roman" w:hAnsi="Times New Roman" w:cs="Times New Roman"/>
                <w:color w:val="auto"/>
                <w:sz w:val="24"/>
                <w:szCs w:val="24"/>
              </w:rPr>
            </w:pPr>
          </w:p>
        </w:tc>
        <w:tc>
          <w:tcPr>
            <w:tcW w:w="989" w:type="dxa"/>
            <w:vMerge w:val="restart"/>
            <w:tcBorders>
              <w:top w:val="single" w:color="auto" w:sz="4" w:space="0"/>
              <w:right w:val="single" w:color="auto" w:sz="4" w:space="0"/>
            </w:tcBorders>
            <w:noWrap w:val="0"/>
            <w:vAlign w:val="center"/>
          </w:tcPr>
          <w:p>
            <w:pPr>
              <w:pStyle w:val="1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手工</w:t>
            </w:r>
          </w:p>
          <w:p>
            <w:pPr>
              <w:pStyle w:val="1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粘</w:t>
            </w:r>
            <w:r>
              <w:rPr>
                <w:rFonts w:hint="eastAsia" w:ascii="Times New Roman" w:hAnsi="Times New Roman" w:eastAsia="宋体" w:cs="Times New Roman"/>
                <w:color w:val="auto"/>
                <w:sz w:val="24"/>
                <w:szCs w:val="24"/>
                <w:lang w:eastAsia="zh-CN"/>
              </w:rPr>
              <w:t>合</w:t>
            </w:r>
          </w:p>
        </w:tc>
        <w:tc>
          <w:tcPr>
            <w:tcW w:w="1073" w:type="dxa"/>
            <w:vMerge w:val="restart"/>
            <w:tcBorders>
              <w:top w:val="single" w:color="auto" w:sz="4" w:space="0"/>
              <w:left w:val="single" w:color="auto" w:sz="4" w:space="0"/>
              <w:right w:val="single" w:color="auto" w:sz="4" w:space="0"/>
            </w:tcBorders>
            <w:noWrap w:val="0"/>
            <w:vAlign w:val="center"/>
          </w:tcPr>
          <w:p>
            <w:pPr>
              <w:pStyle w:val="1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非甲烷总烃</w:t>
            </w:r>
          </w:p>
        </w:tc>
        <w:tc>
          <w:tcPr>
            <w:tcW w:w="2913" w:type="dxa"/>
            <w:tcBorders>
              <w:top w:val="single" w:color="auto" w:sz="4" w:space="0"/>
              <w:left w:val="single" w:color="auto" w:sz="4" w:space="0"/>
              <w:right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有组织10</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lang w:val="en-US" w:eastAsia="zh-CN"/>
              </w:rPr>
              <w:t>，0.12t/a</w:t>
            </w:r>
          </w:p>
        </w:tc>
        <w:tc>
          <w:tcPr>
            <w:tcW w:w="3102" w:type="dxa"/>
            <w:tcBorders>
              <w:top w:val="single" w:color="auto" w:sz="4" w:space="0"/>
              <w:left w:val="single" w:color="auto" w:sz="4" w:space="0"/>
              <w:bottom w:val="single" w:color="auto" w:sz="4" w:space="0"/>
            </w:tcBorders>
            <w:noWrap w:val="0"/>
            <w:vAlign w:val="center"/>
          </w:tcPr>
          <w:p>
            <w:pPr>
              <w:tabs>
                <w:tab w:val="center" w:pos="1429"/>
                <w:tab w:val="right" w:pos="2739"/>
              </w:tabs>
              <w:adjustRightInd w:val="0"/>
              <w:snapToGrid w:val="0"/>
              <w:spacing w:line="240" w:lineRule="auto"/>
              <w:ind w:firstLine="0" w:firstLineChars="0"/>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ab/>
            </w:r>
            <w:r>
              <w:rPr>
                <w:rFonts w:hint="default" w:ascii="Times New Roman" w:hAnsi="Times New Roman" w:cs="Times New Roman"/>
                <w:color w:val="auto"/>
                <w:lang w:eastAsia="zh-CN"/>
              </w:rPr>
              <w:t>有组织</w:t>
            </w:r>
            <w:r>
              <w:rPr>
                <w:rFonts w:hint="default" w:ascii="Times New Roman" w:hAnsi="Times New Roman" w:cs="Times New Roman"/>
                <w:color w:val="auto"/>
                <w:lang w:val="en-US" w:eastAsia="zh-CN"/>
              </w:rPr>
              <w:t>1.83</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0.022t/a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continue"/>
            <w:tcBorders>
              <w:bottom w:val="single" w:color="auto" w:sz="4" w:space="0"/>
            </w:tcBorders>
            <w:noWrap w:val="0"/>
            <w:vAlign w:val="center"/>
          </w:tcPr>
          <w:p>
            <w:pPr>
              <w:pStyle w:val="19"/>
              <w:rPr>
                <w:rFonts w:hint="default" w:ascii="Times New Roman" w:hAnsi="Times New Roman" w:cs="Times New Roman"/>
                <w:color w:val="auto"/>
                <w:sz w:val="24"/>
                <w:szCs w:val="24"/>
              </w:rPr>
            </w:pPr>
          </w:p>
        </w:tc>
        <w:tc>
          <w:tcPr>
            <w:tcW w:w="989" w:type="dxa"/>
            <w:vMerge w:val="continue"/>
            <w:tcBorders>
              <w:bottom w:val="single" w:color="auto" w:sz="4" w:space="0"/>
              <w:right w:val="single" w:color="auto" w:sz="4" w:space="0"/>
            </w:tcBorders>
            <w:noWrap w:val="0"/>
            <w:vAlign w:val="center"/>
          </w:tcPr>
          <w:p>
            <w:pPr>
              <w:pStyle w:val="19"/>
              <w:rPr>
                <w:rFonts w:hint="default" w:ascii="Times New Roman" w:hAnsi="Times New Roman" w:eastAsia="宋体" w:cs="Times New Roman"/>
                <w:color w:val="auto"/>
                <w:sz w:val="24"/>
                <w:szCs w:val="24"/>
                <w:lang w:eastAsia="zh-CN"/>
              </w:rPr>
            </w:pPr>
          </w:p>
        </w:tc>
        <w:tc>
          <w:tcPr>
            <w:tcW w:w="1073" w:type="dxa"/>
            <w:vMerge w:val="continue"/>
            <w:tcBorders>
              <w:left w:val="single" w:color="auto" w:sz="4" w:space="0"/>
              <w:bottom w:val="single" w:color="auto" w:sz="4" w:space="0"/>
              <w:right w:val="single" w:color="auto" w:sz="4" w:space="0"/>
            </w:tcBorders>
            <w:noWrap w:val="0"/>
            <w:vAlign w:val="center"/>
          </w:tcPr>
          <w:p>
            <w:pPr>
              <w:pStyle w:val="19"/>
              <w:rPr>
                <w:rFonts w:hint="default" w:ascii="Times New Roman" w:hAnsi="Times New Roman" w:eastAsia="宋体" w:cs="Times New Roman"/>
                <w:color w:val="auto"/>
                <w:sz w:val="24"/>
                <w:szCs w:val="24"/>
                <w:lang w:eastAsia="zh-CN"/>
              </w:rPr>
            </w:pPr>
          </w:p>
        </w:tc>
        <w:tc>
          <w:tcPr>
            <w:tcW w:w="2913" w:type="dxa"/>
            <w:tcBorders>
              <w:left w:val="single" w:color="auto" w:sz="4" w:space="0"/>
              <w:right w:val="single" w:color="auto" w:sz="4" w:space="0"/>
            </w:tcBorders>
            <w:noWrap w:val="0"/>
            <w:vAlign w:val="center"/>
          </w:tcPr>
          <w:p>
            <w:pPr>
              <w:adjustRightInd w:val="0"/>
              <w:snapToGrid w:val="0"/>
              <w:spacing w:line="240" w:lineRule="auto"/>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无组织排放，</w:t>
            </w:r>
            <w:r>
              <w:rPr>
                <w:rFonts w:hint="default" w:ascii="Times New Roman" w:hAnsi="Times New Roman" w:cs="Times New Roman"/>
                <w:color w:val="auto"/>
                <w:lang w:val="en-US" w:eastAsia="zh-CN"/>
              </w:rPr>
              <w:t>0.012t/a</w:t>
            </w:r>
          </w:p>
        </w:tc>
        <w:tc>
          <w:tcPr>
            <w:tcW w:w="3102" w:type="dxa"/>
            <w:tcBorders>
              <w:top w:val="single" w:color="auto" w:sz="4" w:space="0"/>
              <w:left w:val="single" w:color="auto" w:sz="4" w:space="0"/>
              <w:bottom w:val="single" w:color="auto" w:sz="4" w:space="0"/>
            </w:tcBorders>
            <w:noWrap w:val="0"/>
            <w:vAlign w:val="center"/>
          </w:tcPr>
          <w:p>
            <w:pPr>
              <w:tabs>
                <w:tab w:val="center" w:pos="1429"/>
                <w:tab w:val="right" w:pos="2739"/>
              </w:tabs>
              <w:adjustRightInd w:val="0"/>
              <w:snapToGrid w:val="0"/>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无组织排放，</w:t>
            </w:r>
            <w:r>
              <w:rPr>
                <w:rFonts w:hint="default" w:ascii="Times New Roman" w:hAnsi="Times New Roman" w:cs="Times New Roman"/>
                <w:color w:val="auto"/>
                <w:lang w:val="en-US" w:eastAsia="zh-CN"/>
              </w:rPr>
              <w:t>0.012t/a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restart"/>
            <w:tcBorders>
              <w:top w:val="single" w:color="auto" w:sz="4" w:space="0"/>
            </w:tcBorders>
            <w:noWrap w:val="0"/>
            <w:vAlign w:val="center"/>
          </w:tcPr>
          <w:p>
            <w:pPr>
              <w:pStyle w:val="19"/>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废水</w:t>
            </w:r>
          </w:p>
        </w:tc>
        <w:tc>
          <w:tcPr>
            <w:tcW w:w="989" w:type="dxa"/>
            <w:vMerge w:val="restart"/>
            <w:tcBorders>
              <w:top w:val="single" w:color="auto" w:sz="4" w:space="0"/>
              <w:right w:val="single" w:color="auto" w:sz="4" w:space="0"/>
            </w:tcBorders>
            <w:noWrap w:val="0"/>
            <w:vAlign w:val="center"/>
          </w:tcPr>
          <w:p>
            <w:pPr>
              <w:pStyle w:val="19"/>
              <w:adjustRightInd/>
              <w:snapToGrid/>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生活污水</w:t>
            </w:r>
            <w:r>
              <w:rPr>
                <w:rFonts w:hint="default" w:ascii="Times New Roman" w:hAnsi="Times New Roman" w:eastAsia="宋体" w:cs="Times New Roman"/>
                <w:color w:val="auto"/>
                <w:sz w:val="24"/>
                <w:szCs w:val="24"/>
                <w:lang w:val="en-US" w:eastAsia="zh-CN"/>
              </w:rPr>
              <w:t>+食堂餐饮废水</w:t>
            </w:r>
          </w:p>
        </w:tc>
        <w:tc>
          <w:tcPr>
            <w:tcW w:w="1073" w:type="dxa"/>
            <w:tcBorders>
              <w:top w:val="single" w:color="auto" w:sz="4" w:space="0"/>
              <w:left w:val="single" w:color="auto" w:sz="4" w:space="0"/>
              <w:right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废水量</w:t>
            </w:r>
          </w:p>
        </w:tc>
        <w:tc>
          <w:tcPr>
            <w:tcW w:w="2913" w:type="dxa"/>
            <w:tcBorders>
              <w:top w:val="single" w:color="auto" w:sz="4" w:space="0"/>
              <w:left w:val="single" w:color="auto" w:sz="4" w:space="0"/>
              <w:right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918</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/a</w:t>
            </w:r>
          </w:p>
        </w:tc>
        <w:tc>
          <w:tcPr>
            <w:tcW w:w="3102" w:type="dxa"/>
            <w:tcBorders>
              <w:top w:val="single" w:color="auto" w:sz="4" w:space="0"/>
              <w:left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918</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continue"/>
            <w:noWrap w:val="0"/>
            <w:vAlign w:val="center"/>
          </w:tcPr>
          <w:p>
            <w:pPr>
              <w:pStyle w:val="19"/>
              <w:rPr>
                <w:rFonts w:hint="default" w:ascii="Times New Roman" w:hAnsi="Times New Roman" w:cs="Times New Roman"/>
                <w:color w:val="auto"/>
                <w:sz w:val="24"/>
                <w:szCs w:val="24"/>
                <w:lang w:eastAsia="zh-CN"/>
              </w:rPr>
            </w:pPr>
          </w:p>
        </w:tc>
        <w:tc>
          <w:tcPr>
            <w:tcW w:w="989" w:type="dxa"/>
            <w:vMerge w:val="continue"/>
            <w:tcBorders>
              <w:right w:val="single" w:color="auto" w:sz="4" w:space="0"/>
            </w:tcBorders>
            <w:noWrap w:val="0"/>
            <w:vAlign w:val="center"/>
          </w:tcPr>
          <w:p>
            <w:pPr>
              <w:pStyle w:val="19"/>
              <w:adjustRightInd/>
              <w:snapToGrid/>
              <w:rPr>
                <w:rFonts w:hint="default" w:ascii="Times New Roman" w:hAnsi="Times New Roman" w:eastAsia="宋体" w:cs="Times New Roman"/>
                <w:color w:val="auto"/>
                <w:sz w:val="24"/>
                <w:szCs w:val="24"/>
                <w:lang w:eastAsia="zh-CN"/>
              </w:rPr>
            </w:pPr>
          </w:p>
        </w:tc>
        <w:tc>
          <w:tcPr>
            <w:tcW w:w="1073" w:type="dxa"/>
            <w:tcBorders>
              <w:top w:val="single" w:color="auto" w:sz="4" w:space="0"/>
              <w:left w:val="single" w:color="auto" w:sz="4" w:space="0"/>
              <w:right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COD</w:t>
            </w:r>
          </w:p>
        </w:tc>
        <w:tc>
          <w:tcPr>
            <w:tcW w:w="2913" w:type="dxa"/>
            <w:tcBorders>
              <w:top w:val="single" w:color="auto" w:sz="4" w:space="0"/>
              <w:left w:val="single" w:color="auto" w:sz="4" w:space="0"/>
              <w:right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350mg/m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vertAlign w:val="baseline"/>
                <w:lang w:val="en-US" w:eastAsia="zh-CN"/>
              </w:rPr>
              <w:t>0.32t/a</w:t>
            </w:r>
          </w:p>
        </w:tc>
        <w:tc>
          <w:tcPr>
            <w:tcW w:w="3102" w:type="dxa"/>
            <w:tcBorders>
              <w:top w:val="single" w:color="auto" w:sz="4" w:space="0"/>
              <w:left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297.5</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vertAlign w:val="baseline"/>
                <w:lang w:val="en-US" w:eastAsia="zh-CN"/>
              </w:rPr>
              <w:t>0.27t/a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continue"/>
            <w:noWrap w:val="0"/>
            <w:vAlign w:val="center"/>
          </w:tcPr>
          <w:p>
            <w:pPr>
              <w:pStyle w:val="19"/>
              <w:rPr>
                <w:rFonts w:hint="default" w:ascii="Times New Roman" w:hAnsi="Times New Roman" w:cs="Times New Roman"/>
                <w:color w:val="auto"/>
                <w:sz w:val="24"/>
                <w:szCs w:val="24"/>
                <w:lang w:eastAsia="zh-CN"/>
              </w:rPr>
            </w:pPr>
          </w:p>
        </w:tc>
        <w:tc>
          <w:tcPr>
            <w:tcW w:w="989" w:type="dxa"/>
            <w:vMerge w:val="continue"/>
            <w:tcBorders>
              <w:right w:val="single" w:color="auto" w:sz="4" w:space="0"/>
            </w:tcBorders>
            <w:noWrap w:val="0"/>
            <w:vAlign w:val="center"/>
          </w:tcPr>
          <w:p>
            <w:pPr>
              <w:pStyle w:val="19"/>
              <w:adjustRightInd/>
              <w:snapToGrid/>
              <w:rPr>
                <w:rFonts w:hint="default" w:ascii="Times New Roman" w:hAnsi="Times New Roman" w:eastAsia="宋体" w:cs="Times New Roman"/>
                <w:color w:val="auto"/>
                <w:sz w:val="24"/>
                <w:szCs w:val="24"/>
                <w:lang w:eastAsia="zh-CN"/>
              </w:rPr>
            </w:pPr>
          </w:p>
        </w:tc>
        <w:tc>
          <w:tcPr>
            <w:tcW w:w="1073" w:type="dxa"/>
            <w:tcBorders>
              <w:top w:val="single" w:color="auto" w:sz="4" w:space="0"/>
              <w:left w:val="single" w:color="auto" w:sz="4" w:space="0"/>
              <w:right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BOD</w:t>
            </w:r>
            <w:r>
              <w:rPr>
                <w:rFonts w:hint="default" w:ascii="Times New Roman" w:hAnsi="Times New Roman" w:cs="Times New Roman"/>
                <w:color w:val="auto"/>
                <w:sz w:val="24"/>
                <w:szCs w:val="24"/>
                <w:vertAlign w:val="subscript"/>
                <w:lang w:val="en-US" w:eastAsia="zh-CN"/>
              </w:rPr>
              <w:t>5</w:t>
            </w:r>
          </w:p>
        </w:tc>
        <w:tc>
          <w:tcPr>
            <w:tcW w:w="2913" w:type="dxa"/>
            <w:tcBorders>
              <w:top w:val="single" w:color="auto" w:sz="4" w:space="0"/>
              <w:left w:val="single" w:color="auto" w:sz="4" w:space="0"/>
              <w:right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200mg/m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vertAlign w:val="baseline"/>
                <w:lang w:val="en-US" w:eastAsia="zh-CN"/>
              </w:rPr>
              <w:t>0.18t/a</w:t>
            </w:r>
          </w:p>
        </w:tc>
        <w:tc>
          <w:tcPr>
            <w:tcW w:w="3102" w:type="dxa"/>
            <w:tcBorders>
              <w:top w:val="single" w:color="auto" w:sz="4" w:space="0"/>
              <w:left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150</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vertAlign w:val="baseline"/>
                <w:lang w:val="en-US" w:eastAsia="zh-CN"/>
              </w:rPr>
              <w:t>0.14t/a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continue"/>
            <w:noWrap w:val="0"/>
            <w:vAlign w:val="center"/>
          </w:tcPr>
          <w:p>
            <w:pPr>
              <w:pStyle w:val="19"/>
              <w:rPr>
                <w:rFonts w:hint="default" w:ascii="Times New Roman" w:hAnsi="Times New Roman" w:cs="Times New Roman"/>
                <w:color w:val="auto"/>
                <w:sz w:val="24"/>
                <w:szCs w:val="24"/>
                <w:lang w:eastAsia="zh-CN"/>
              </w:rPr>
            </w:pPr>
          </w:p>
        </w:tc>
        <w:tc>
          <w:tcPr>
            <w:tcW w:w="989" w:type="dxa"/>
            <w:vMerge w:val="continue"/>
            <w:tcBorders>
              <w:right w:val="single" w:color="auto" w:sz="4" w:space="0"/>
            </w:tcBorders>
            <w:noWrap w:val="0"/>
            <w:vAlign w:val="center"/>
          </w:tcPr>
          <w:p>
            <w:pPr>
              <w:pStyle w:val="19"/>
              <w:adjustRightInd/>
              <w:snapToGrid/>
              <w:rPr>
                <w:rFonts w:hint="default" w:ascii="Times New Roman" w:hAnsi="Times New Roman" w:eastAsia="宋体" w:cs="Times New Roman"/>
                <w:color w:val="auto"/>
                <w:sz w:val="24"/>
                <w:szCs w:val="24"/>
                <w:lang w:eastAsia="zh-CN"/>
              </w:rPr>
            </w:pPr>
          </w:p>
        </w:tc>
        <w:tc>
          <w:tcPr>
            <w:tcW w:w="1073" w:type="dxa"/>
            <w:tcBorders>
              <w:top w:val="single" w:color="auto" w:sz="4" w:space="0"/>
              <w:left w:val="single" w:color="auto" w:sz="4" w:space="0"/>
              <w:right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SS</w:t>
            </w:r>
          </w:p>
        </w:tc>
        <w:tc>
          <w:tcPr>
            <w:tcW w:w="2913" w:type="dxa"/>
            <w:tcBorders>
              <w:top w:val="single" w:color="auto" w:sz="4" w:space="0"/>
              <w:left w:val="single" w:color="auto" w:sz="4" w:space="0"/>
              <w:right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220mg/m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vertAlign w:val="baseline"/>
                <w:lang w:val="en-US" w:eastAsia="zh-CN"/>
              </w:rPr>
              <w:t>0.20t/a</w:t>
            </w:r>
          </w:p>
        </w:tc>
        <w:tc>
          <w:tcPr>
            <w:tcW w:w="3102" w:type="dxa"/>
            <w:tcBorders>
              <w:top w:val="single" w:color="auto" w:sz="4" w:space="0"/>
              <w:left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132</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vertAlign w:val="baseline"/>
                <w:lang w:val="en-US" w:eastAsia="zh-CN"/>
              </w:rPr>
              <w:t>0.12t/a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continue"/>
            <w:noWrap w:val="0"/>
            <w:vAlign w:val="center"/>
          </w:tcPr>
          <w:p>
            <w:pPr>
              <w:pStyle w:val="19"/>
              <w:rPr>
                <w:rFonts w:hint="default" w:ascii="Times New Roman" w:hAnsi="Times New Roman" w:cs="Times New Roman"/>
                <w:color w:val="auto"/>
                <w:sz w:val="24"/>
                <w:szCs w:val="24"/>
                <w:lang w:eastAsia="zh-CN"/>
              </w:rPr>
            </w:pPr>
          </w:p>
        </w:tc>
        <w:tc>
          <w:tcPr>
            <w:tcW w:w="989" w:type="dxa"/>
            <w:vMerge w:val="continue"/>
            <w:tcBorders>
              <w:right w:val="single" w:color="auto" w:sz="4" w:space="0"/>
            </w:tcBorders>
            <w:noWrap w:val="0"/>
            <w:vAlign w:val="center"/>
          </w:tcPr>
          <w:p>
            <w:pPr>
              <w:pStyle w:val="19"/>
              <w:adjustRightInd/>
              <w:snapToGrid/>
              <w:rPr>
                <w:rFonts w:hint="default" w:ascii="Times New Roman" w:hAnsi="Times New Roman" w:eastAsia="宋体" w:cs="Times New Roman"/>
                <w:color w:val="auto"/>
                <w:sz w:val="24"/>
                <w:szCs w:val="24"/>
                <w:lang w:eastAsia="zh-CN"/>
              </w:rPr>
            </w:pPr>
          </w:p>
        </w:tc>
        <w:tc>
          <w:tcPr>
            <w:tcW w:w="1073" w:type="dxa"/>
            <w:tcBorders>
              <w:top w:val="single" w:color="auto" w:sz="4" w:space="0"/>
              <w:left w:val="single" w:color="auto" w:sz="4" w:space="0"/>
              <w:right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氨氮</w:t>
            </w:r>
          </w:p>
        </w:tc>
        <w:tc>
          <w:tcPr>
            <w:tcW w:w="2913" w:type="dxa"/>
            <w:tcBorders>
              <w:top w:val="single" w:color="auto" w:sz="4" w:space="0"/>
              <w:left w:val="single" w:color="auto" w:sz="4" w:space="0"/>
              <w:right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25mg/m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vertAlign w:val="baseline"/>
                <w:lang w:val="en-US" w:eastAsia="zh-CN"/>
              </w:rPr>
              <w:t>0.023t/a</w:t>
            </w:r>
          </w:p>
        </w:tc>
        <w:tc>
          <w:tcPr>
            <w:tcW w:w="3102" w:type="dxa"/>
            <w:tcBorders>
              <w:top w:val="single" w:color="auto" w:sz="4" w:space="0"/>
              <w:left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25mg/m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vertAlign w:val="baseline"/>
                <w:lang w:val="en-US" w:eastAsia="zh-CN"/>
              </w:rPr>
              <w:t>0.023t/a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continue"/>
            <w:noWrap w:val="0"/>
            <w:vAlign w:val="center"/>
          </w:tcPr>
          <w:p>
            <w:pPr>
              <w:pStyle w:val="19"/>
              <w:rPr>
                <w:rFonts w:hint="default" w:ascii="Times New Roman" w:hAnsi="Times New Roman" w:cs="Times New Roman"/>
                <w:color w:val="auto"/>
                <w:sz w:val="24"/>
                <w:szCs w:val="24"/>
                <w:lang w:eastAsia="zh-CN"/>
              </w:rPr>
            </w:pPr>
          </w:p>
        </w:tc>
        <w:tc>
          <w:tcPr>
            <w:tcW w:w="989" w:type="dxa"/>
            <w:vMerge w:val="continue"/>
            <w:tcBorders>
              <w:right w:val="single" w:color="auto" w:sz="4" w:space="0"/>
            </w:tcBorders>
            <w:noWrap w:val="0"/>
            <w:vAlign w:val="center"/>
          </w:tcPr>
          <w:p>
            <w:pPr>
              <w:pStyle w:val="19"/>
              <w:adjustRightInd/>
              <w:snapToGrid/>
              <w:rPr>
                <w:rFonts w:hint="default" w:ascii="Times New Roman" w:hAnsi="Times New Roman" w:eastAsia="宋体" w:cs="Times New Roman"/>
                <w:color w:val="auto"/>
                <w:sz w:val="24"/>
                <w:szCs w:val="24"/>
                <w:lang w:eastAsia="zh-CN"/>
              </w:rPr>
            </w:pPr>
          </w:p>
        </w:tc>
        <w:tc>
          <w:tcPr>
            <w:tcW w:w="1073" w:type="dxa"/>
            <w:tcBorders>
              <w:top w:val="single" w:color="auto" w:sz="4" w:space="0"/>
              <w:left w:val="single" w:color="auto" w:sz="4" w:space="0"/>
              <w:right w:val="single" w:color="auto" w:sz="4" w:space="0"/>
            </w:tcBorders>
            <w:noWrap w:val="0"/>
            <w:vAlign w:val="center"/>
          </w:tcPr>
          <w:p>
            <w:pPr>
              <w:pStyle w:val="19"/>
              <w:adjustRightInd/>
              <w:snapToGrid/>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动植</w:t>
            </w:r>
          </w:p>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物油</w:t>
            </w:r>
          </w:p>
        </w:tc>
        <w:tc>
          <w:tcPr>
            <w:tcW w:w="2913" w:type="dxa"/>
            <w:tcBorders>
              <w:top w:val="single" w:color="auto" w:sz="4" w:space="0"/>
              <w:left w:val="single" w:color="auto" w:sz="4" w:space="0"/>
              <w:right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5</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vertAlign w:val="baseline"/>
                <w:lang w:val="en-US" w:eastAsia="zh-CN"/>
              </w:rPr>
              <w:t>0.046t/a</w:t>
            </w:r>
          </w:p>
        </w:tc>
        <w:tc>
          <w:tcPr>
            <w:tcW w:w="3102" w:type="dxa"/>
            <w:tcBorders>
              <w:top w:val="single" w:color="auto" w:sz="4" w:space="0"/>
              <w:left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vertAlign w:val="baseline"/>
                <w:lang w:val="en-US" w:eastAsia="zh-CN"/>
              </w:rPr>
              <w:t>0.018t/a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restart"/>
            <w:noWrap w:val="0"/>
            <w:vAlign w:val="center"/>
          </w:tcPr>
          <w:p>
            <w:pPr>
              <w:pStyle w:val="1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固体废物</w:t>
            </w:r>
          </w:p>
        </w:tc>
        <w:tc>
          <w:tcPr>
            <w:tcW w:w="2062" w:type="dxa"/>
            <w:gridSpan w:val="2"/>
            <w:tcBorders>
              <w:bottom w:val="single" w:color="auto" w:sz="4" w:space="0"/>
            </w:tcBorders>
            <w:noWrap w:val="0"/>
            <w:vAlign w:val="center"/>
          </w:tcPr>
          <w:p>
            <w:pPr>
              <w:pStyle w:val="19"/>
              <w:adjustRightInd/>
              <w:snapToGrid/>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生活垃圾</w:t>
            </w:r>
          </w:p>
        </w:tc>
        <w:tc>
          <w:tcPr>
            <w:tcW w:w="2913" w:type="dxa"/>
            <w:tcBorders>
              <w:bottom w:val="single" w:color="auto" w:sz="4" w:space="0"/>
              <w:right w:val="single" w:color="auto" w:sz="4" w:space="0"/>
            </w:tcBorders>
            <w:noWrap w:val="0"/>
            <w:vAlign w:val="center"/>
          </w:tcPr>
          <w:p>
            <w:pPr>
              <w:pStyle w:val="19"/>
              <w:adjustRightInd/>
              <w:snapToGrid/>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9t/a</w:t>
            </w:r>
          </w:p>
        </w:tc>
        <w:tc>
          <w:tcPr>
            <w:tcW w:w="3102" w:type="dxa"/>
            <w:tcBorders>
              <w:left w:val="single" w:color="auto" w:sz="4" w:space="0"/>
              <w:bottom w:val="single" w:color="auto" w:sz="4" w:space="0"/>
            </w:tcBorders>
            <w:noWrap w:val="0"/>
            <w:vAlign w:val="center"/>
          </w:tcPr>
          <w:p>
            <w:pPr>
              <w:pStyle w:val="19"/>
              <w:adjustRightInd/>
              <w:snapToGrid/>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分类收集，由环卫部门定期清运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continue"/>
            <w:noWrap w:val="0"/>
            <w:vAlign w:val="center"/>
          </w:tcPr>
          <w:p>
            <w:pPr>
              <w:pStyle w:val="19"/>
              <w:rPr>
                <w:rFonts w:hint="default" w:ascii="Times New Roman" w:hAnsi="Times New Roman" w:cs="Times New Roman"/>
                <w:color w:val="auto"/>
                <w:sz w:val="24"/>
                <w:szCs w:val="24"/>
              </w:rPr>
            </w:pPr>
          </w:p>
        </w:tc>
        <w:tc>
          <w:tcPr>
            <w:tcW w:w="2062" w:type="dxa"/>
            <w:gridSpan w:val="2"/>
            <w:tcBorders>
              <w:bottom w:val="single" w:color="auto" w:sz="4" w:space="0"/>
            </w:tcBorders>
            <w:noWrap w:val="0"/>
            <w:vAlign w:val="center"/>
          </w:tcPr>
          <w:p>
            <w:pPr>
              <w:pStyle w:val="19"/>
              <w:adjustRightInd/>
              <w:snapToGrid/>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边角料及不合格产品</w:t>
            </w:r>
          </w:p>
        </w:tc>
        <w:tc>
          <w:tcPr>
            <w:tcW w:w="2913" w:type="dxa"/>
            <w:tcBorders>
              <w:bottom w:val="single" w:color="auto" w:sz="4" w:space="0"/>
              <w:right w:val="single" w:color="auto" w:sz="4" w:space="0"/>
            </w:tcBorders>
            <w:noWrap w:val="0"/>
            <w:vAlign w:val="center"/>
          </w:tcPr>
          <w:p>
            <w:pPr>
              <w:pStyle w:val="19"/>
              <w:adjustRightInd/>
              <w:snapToGrid/>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26t/a</w:t>
            </w:r>
          </w:p>
        </w:tc>
        <w:tc>
          <w:tcPr>
            <w:tcW w:w="3102" w:type="dxa"/>
            <w:tcBorders>
              <w:left w:val="single" w:color="auto" w:sz="4" w:space="0"/>
              <w:bottom w:val="single" w:color="auto" w:sz="4" w:space="0"/>
            </w:tcBorders>
            <w:noWrap w:val="0"/>
            <w:vAlign w:val="center"/>
          </w:tcPr>
          <w:p>
            <w:pPr>
              <w:pStyle w:val="19"/>
              <w:adjustRightInd/>
              <w:snapToGrid/>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集中收集，</w:t>
            </w:r>
            <w:r>
              <w:rPr>
                <w:rFonts w:hint="default" w:ascii="Times New Roman" w:hAnsi="Times New Roman" w:cs="Times New Roman"/>
                <w:color w:val="auto"/>
                <w:sz w:val="24"/>
                <w:szCs w:val="24"/>
              </w:rPr>
              <w:t>定期外售废品收购站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continue"/>
            <w:noWrap w:val="0"/>
            <w:vAlign w:val="center"/>
          </w:tcPr>
          <w:p>
            <w:pPr>
              <w:pStyle w:val="19"/>
              <w:rPr>
                <w:rFonts w:hint="default" w:ascii="Times New Roman" w:hAnsi="Times New Roman" w:cs="Times New Roman"/>
                <w:color w:val="auto"/>
                <w:sz w:val="24"/>
                <w:szCs w:val="24"/>
              </w:rPr>
            </w:pPr>
          </w:p>
        </w:tc>
        <w:tc>
          <w:tcPr>
            <w:tcW w:w="2062" w:type="dxa"/>
            <w:gridSpan w:val="2"/>
            <w:tcBorders>
              <w:bottom w:val="single" w:color="auto" w:sz="4" w:space="0"/>
            </w:tcBorders>
            <w:noWrap w:val="0"/>
            <w:vAlign w:val="center"/>
          </w:tcPr>
          <w:p>
            <w:pPr>
              <w:pStyle w:val="19"/>
              <w:adjustRightInd/>
              <w:snapToGrid/>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餐厨垃圾</w:t>
            </w:r>
          </w:p>
        </w:tc>
        <w:tc>
          <w:tcPr>
            <w:tcW w:w="2913" w:type="dxa"/>
            <w:tcBorders>
              <w:top w:val="single" w:color="auto" w:sz="4" w:space="0"/>
              <w:bottom w:val="single" w:color="auto" w:sz="4" w:space="0"/>
              <w:right w:val="single" w:color="auto" w:sz="4" w:space="0"/>
            </w:tcBorders>
            <w:noWrap w:val="0"/>
            <w:vAlign w:val="center"/>
          </w:tcPr>
          <w:p>
            <w:pPr>
              <w:pStyle w:val="19"/>
              <w:adjustRightInd/>
              <w:snapToGrid/>
              <w:rPr>
                <w:rFonts w:hint="default" w:ascii="Times New Roman" w:hAnsi="Times New Roman" w:cs="Times New Roman"/>
                <w:color w:val="auto"/>
                <w:sz w:val="24"/>
                <w:szCs w:val="24"/>
              </w:rPr>
            </w:pP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szCs w:val="24"/>
              </w:rPr>
              <w:t>t/a</w:t>
            </w:r>
          </w:p>
        </w:tc>
        <w:tc>
          <w:tcPr>
            <w:tcW w:w="3102" w:type="dxa"/>
            <w:tcBorders>
              <w:top w:val="single" w:color="auto" w:sz="4" w:space="0"/>
              <w:left w:val="single" w:color="auto" w:sz="4" w:space="0"/>
              <w:bottom w:val="single" w:color="auto" w:sz="4" w:space="0"/>
            </w:tcBorders>
            <w:noWrap w:val="0"/>
            <w:vAlign w:val="center"/>
          </w:tcPr>
          <w:p>
            <w:pPr>
              <w:pStyle w:val="19"/>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与生活垃圾一同处理，交由环卫部门定期清运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continue"/>
            <w:noWrap w:val="0"/>
            <w:vAlign w:val="center"/>
          </w:tcPr>
          <w:p>
            <w:pPr>
              <w:pStyle w:val="19"/>
              <w:rPr>
                <w:rFonts w:hint="default" w:ascii="Times New Roman" w:hAnsi="Times New Roman" w:cs="Times New Roman"/>
                <w:color w:val="auto"/>
                <w:sz w:val="24"/>
                <w:szCs w:val="24"/>
              </w:rPr>
            </w:pPr>
          </w:p>
        </w:tc>
        <w:tc>
          <w:tcPr>
            <w:tcW w:w="2062" w:type="dxa"/>
            <w:gridSpan w:val="2"/>
            <w:tcBorders>
              <w:bottom w:val="single" w:color="auto" w:sz="4" w:space="0"/>
            </w:tcBorders>
            <w:noWrap w:val="0"/>
            <w:vAlign w:val="center"/>
          </w:tcPr>
          <w:p>
            <w:pPr>
              <w:pStyle w:val="19"/>
              <w:adjustRightInd/>
              <w:snapToGrid/>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废油脂</w:t>
            </w:r>
          </w:p>
        </w:tc>
        <w:tc>
          <w:tcPr>
            <w:tcW w:w="2913" w:type="dxa"/>
            <w:tcBorders>
              <w:top w:val="single" w:color="auto" w:sz="4" w:space="0"/>
              <w:bottom w:val="single" w:color="auto" w:sz="4" w:space="0"/>
              <w:right w:val="single" w:color="auto" w:sz="4" w:space="0"/>
            </w:tcBorders>
            <w:noWrap w:val="0"/>
            <w:vAlign w:val="center"/>
          </w:tcPr>
          <w:p>
            <w:pPr>
              <w:pStyle w:val="19"/>
              <w:adjustRightInd/>
              <w:snapToGrid/>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rPr>
              <w:t>t/a</w:t>
            </w:r>
          </w:p>
        </w:tc>
        <w:tc>
          <w:tcPr>
            <w:tcW w:w="3102" w:type="dxa"/>
            <w:tcBorders>
              <w:top w:val="single" w:color="auto" w:sz="4" w:space="0"/>
              <w:left w:val="single" w:color="auto" w:sz="4" w:space="0"/>
              <w:bottom w:val="single" w:color="auto" w:sz="4" w:space="0"/>
            </w:tcBorders>
            <w:noWrap w:val="0"/>
            <w:vAlign w:val="center"/>
          </w:tcPr>
          <w:p>
            <w:pPr>
              <w:pStyle w:val="19"/>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委托有资质单位处理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continue"/>
            <w:noWrap w:val="0"/>
            <w:vAlign w:val="center"/>
          </w:tcPr>
          <w:p>
            <w:pPr>
              <w:pStyle w:val="19"/>
              <w:rPr>
                <w:rFonts w:hint="default" w:ascii="Times New Roman" w:hAnsi="Times New Roman" w:cs="Times New Roman"/>
                <w:color w:val="auto"/>
                <w:sz w:val="24"/>
                <w:szCs w:val="24"/>
              </w:rPr>
            </w:pPr>
          </w:p>
        </w:tc>
        <w:tc>
          <w:tcPr>
            <w:tcW w:w="2062" w:type="dxa"/>
            <w:gridSpan w:val="2"/>
            <w:tcBorders>
              <w:bottom w:val="single" w:color="auto" w:sz="4" w:space="0"/>
            </w:tcBorders>
            <w:noWrap w:val="0"/>
            <w:vAlign w:val="center"/>
          </w:tcPr>
          <w:p>
            <w:pPr>
              <w:pStyle w:val="19"/>
              <w:adjustRightInd/>
              <w:snapToGrid/>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废油墨桶</w:t>
            </w:r>
          </w:p>
        </w:tc>
        <w:tc>
          <w:tcPr>
            <w:tcW w:w="2913" w:type="dxa"/>
            <w:tcBorders>
              <w:top w:val="single" w:color="auto" w:sz="4" w:space="0"/>
              <w:bottom w:val="single" w:color="auto" w:sz="4" w:space="0"/>
              <w:right w:val="single" w:color="auto" w:sz="4" w:space="0"/>
            </w:tcBorders>
            <w:noWrap w:val="0"/>
            <w:vAlign w:val="center"/>
          </w:tcPr>
          <w:p>
            <w:pPr>
              <w:pStyle w:val="19"/>
              <w:adjustRightInd/>
              <w:snapToGrid/>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0.1t/a</w:t>
            </w:r>
          </w:p>
        </w:tc>
        <w:tc>
          <w:tcPr>
            <w:tcW w:w="3102" w:type="dxa"/>
            <w:vMerge w:val="restart"/>
            <w:tcBorders>
              <w:top w:val="single" w:color="auto" w:sz="4" w:space="0"/>
              <w:left w:val="single" w:color="auto" w:sz="4" w:space="0"/>
            </w:tcBorders>
            <w:noWrap w:val="0"/>
            <w:vAlign w:val="center"/>
          </w:tcPr>
          <w:p>
            <w:pPr>
              <w:pStyle w:val="1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分类收集，暂存于危废暂存间，定期交有资质单位处置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continue"/>
            <w:noWrap w:val="0"/>
            <w:vAlign w:val="center"/>
          </w:tcPr>
          <w:p>
            <w:pPr>
              <w:pStyle w:val="19"/>
              <w:rPr>
                <w:rFonts w:hint="default" w:ascii="Times New Roman" w:hAnsi="Times New Roman" w:cs="Times New Roman"/>
                <w:color w:val="auto"/>
                <w:sz w:val="24"/>
                <w:szCs w:val="24"/>
              </w:rPr>
            </w:pPr>
          </w:p>
        </w:tc>
        <w:tc>
          <w:tcPr>
            <w:tcW w:w="2062" w:type="dxa"/>
            <w:gridSpan w:val="2"/>
            <w:tcBorders>
              <w:bottom w:val="single" w:color="auto" w:sz="4" w:space="0"/>
            </w:tcBorders>
            <w:noWrap w:val="0"/>
            <w:vAlign w:val="center"/>
          </w:tcPr>
          <w:p>
            <w:pPr>
              <w:pStyle w:val="19"/>
              <w:adjustRightInd/>
              <w:snapToGrid/>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废擦机布</w:t>
            </w:r>
          </w:p>
        </w:tc>
        <w:tc>
          <w:tcPr>
            <w:tcW w:w="2913" w:type="dxa"/>
            <w:tcBorders>
              <w:top w:val="single" w:color="auto" w:sz="4" w:space="0"/>
              <w:bottom w:val="single" w:color="auto" w:sz="4" w:space="0"/>
              <w:right w:val="single" w:color="auto" w:sz="4" w:space="0"/>
            </w:tcBorders>
            <w:noWrap w:val="0"/>
            <w:vAlign w:val="center"/>
          </w:tcPr>
          <w:p>
            <w:pPr>
              <w:pStyle w:val="19"/>
              <w:adjustRightInd/>
              <w:snapToGrid/>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0.25t/a</w:t>
            </w:r>
          </w:p>
        </w:tc>
        <w:tc>
          <w:tcPr>
            <w:tcW w:w="3102" w:type="dxa"/>
            <w:vMerge w:val="continue"/>
            <w:tcBorders>
              <w:left w:val="single" w:color="auto" w:sz="4" w:space="0"/>
            </w:tcBorders>
            <w:noWrap w:val="0"/>
            <w:vAlign w:val="center"/>
          </w:tcPr>
          <w:p>
            <w:pPr>
              <w:pStyle w:val="19"/>
              <w:rPr>
                <w:rFonts w:hint="default" w:ascii="Times New Roman" w:hAnsi="Times New Roman" w:cs="Times New Roman"/>
                <w:color w:val="auto"/>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continue"/>
            <w:noWrap w:val="0"/>
            <w:vAlign w:val="center"/>
          </w:tcPr>
          <w:p>
            <w:pPr>
              <w:pStyle w:val="19"/>
              <w:rPr>
                <w:rFonts w:hint="default" w:ascii="Times New Roman" w:hAnsi="Times New Roman" w:cs="Times New Roman"/>
                <w:color w:val="auto"/>
                <w:sz w:val="24"/>
                <w:szCs w:val="24"/>
              </w:rPr>
            </w:pPr>
          </w:p>
        </w:tc>
        <w:tc>
          <w:tcPr>
            <w:tcW w:w="2062" w:type="dxa"/>
            <w:gridSpan w:val="2"/>
            <w:tcBorders>
              <w:bottom w:val="single" w:color="auto" w:sz="4" w:space="0"/>
            </w:tcBorders>
            <w:noWrap w:val="0"/>
            <w:vAlign w:val="center"/>
          </w:tcPr>
          <w:p>
            <w:pPr>
              <w:pStyle w:val="19"/>
              <w:adjustRightInd/>
              <w:snapToGrid/>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废机油</w:t>
            </w:r>
          </w:p>
        </w:tc>
        <w:tc>
          <w:tcPr>
            <w:tcW w:w="2913" w:type="dxa"/>
            <w:tcBorders>
              <w:bottom w:val="single" w:color="auto" w:sz="4" w:space="0"/>
              <w:right w:val="single" w:color="auto" w:sz="4" w:space="0"/>
            </w:tcBorders>
            <w:noWrap w:val="0"/>
            <w:vAlign w:val="center"/>
          </w:tcPr>
          <w:p>
            <w:pPr>
              <w:pStyle w:val="19"/>
              <w:adjustRightInd/>
              <w:snapToGrid/>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0.6t/a</w:t>
            </w:r>
          </w:p>
        </w:tc>
        <w:tc>
          <w:tcPr>
            <w:tcW w:w="3102" w:type="dxa"/>
            <w:vMerge w:val="continue"/>
            <w:tcBorders>
              <w:left w:val="single" w:color="auto" w:sz="4" w:space="0"/>
            </w:tcBorders>
            <w:noWrap w:val="0"/>
            <w:vAlign w:val="center"/>
          </w:tcPr>
          <w:p>
            <w:pPr>
              <w:pStyle w:val="19"/>
              <w:rPr>
                <w:rFonts w:hint="default" w:ascii="Times New Roman" w:hAnsi="Times New Roman"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continue"/>
            <w:noWrap w:val="0"/>
            <w:vAlign w:val="center"/>
          </w:tcPr>
          <w:p>
            <w:pPr>
              <w:pStyle w:val="19"/>
              <w:rPr>
                <w:rFonts w:hint="default" w:ascii="Times New Roman" w:hAnsi="Times New Roman" w:cs="Times New Roman"/>
                <w:color w:val="auto"/>
                <w:sz w:val="24"/>
                <w:szCs w:val="24"/>
              </w:rPr>
            </w:pPr>
          </w:p>
        </w:tc>
        <w:tc>
          <w:tcPr>
            <w:tcW w:w="2062" w:type="dxa"/>
            <w:gridSpan w:val="2"/>
            <w:tcBorders>
              <w:bottom w:val="single" w:color="auto" w:sz="4" w:space="0"/>
            </w:tcBorders>
            <w:noWrap w:val="0"/>
            <w:vAlign w:val="center"/>
          </w:tcPr>
          <w:p>
            <w:pPr>
              <w:pStyle w:val="19"/>
              <w:adjustRightInd/>
              <w:snapToGrid/>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废棉纱</w:t>
            </w:r>
          </w:p>
        </w:tc>
        <w:tc>
          <w:tcPr>
            <w:tcW w:w="2913" w:type="dxa"/>
            <w:tcBorders>
              <w:bottom w:val="single" w:color="auto" w:sz="4" w:space="0"/>
              <w:right w:val="single" w:color="auto" w:sz="4" w:space="0"/>
            </w:tcBorders>
            <w:noWrap w:val="0"/>
            <w:vAlign w:val="center"/>
          </w:tcPr>
          <w:p>
            <w:pPr>
              <w:pStyle w:val="19"/>
              <w:adjustRightInd/>
              <w:snapToGrid/>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0.01t/a</w:t>
            </w:r>
          </w:p>
        </w:tc>
        <w:tc>
          <w:tcPr>
            <w:tcW w:w="3102" w:type="dxa"/>
            <w:vMerge w:val="continue"/>
            <w:tcBorders>
              <w:left w:val="single" w:color="auto" w:sz="4" w:space="0"/>
            </w:tcBorders>
            <w:noWrap w:val="0"/>
            <w:vAlign w:val="center"/>
          </w:tcPr>
          <w:p>
            <w:pPr>
              <w:pStyle w:val="19"/>
              <w:rPr>
                <w:rFonts w:hint="default" w:ascii="Times New Roman" w:hAnsi="Times New Roman"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vMerge w:val="continue"/>
            <w:noWrap w:val="0"/>
            <w:vAlign w:val="center"/>
          </w:tcPr>
          <w:p>
            <w:pPr>
              <w:pStyle w:val="19"/>
              <w:rPr>
                <w:rFonts w:hint="default" w:ascii="Times New Roman" w:hAnsi="Times New Roman" w:cs="Times New Roman"/>
                <w:color w:val="auto"/>
                <w:sz w:val="24"/>
                <w:szCs w:val="24"/>
              </w:rPr>
            </w:pPr>
          </w:p>
        </w:tc>
        <w:tc>
          <w:tcPr>
            <w:tcW w:w="2062" w:type="dxa"/>
            <w:gridSpan w:val="2"/>
            <w:tcBorders>
              <w:bottom w:val="single" w:color="auto" w:sz="4" w:space="0"/>
            </w:tcBorders>
            <w:noWrap w:val="0"/>
            <w:vAlign w:val="center"/>
          </w:tcPr>
          <w:p>
            <w:pPr>
              <w:pStyle w:val="19"/>
              <w:adjustRightInd/>
              <w:snapToGrid/>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废活性炭</w:t>
            </w:r>
          </w:p>
        </w:tc>
        <w:tc>
          <w:tcPr>
            <w:tcW w:w="2913" w:type="dxa"/>
            <w:tcBorders>
              <w:top w:val="single" w:color="auto" w:sz="4" w:space="0"/>
              <w:bottom w:val="single" w:color="auto" w:sz="4" w:space="0"/>
              <w:right w:val="single" w:color="auto" w:sz="4" w:space="0"/>
            </w:tcBorders>
            <w:noWrap w:val="0"/>
            <w:vAlign w:val="center"/>
          </w:tcPr>
          <w:p>
            <w:pPr>
              <w:pStyle w:val="19"/>
              <w:adjustRightInd/>
              <w:snapToGrid/>
              <w:ind w:firstLine="0" w:firstLineChars="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2.36</w:t>
            </w:r>
            <w:r>
              <w:rPr>
                <w:rFonts w:hint="default" w:ascii="Times New Roman" w:hAnsi="Times New Roman" w:cs="Times New Roman"/>
                <w:color w:val="auto"/>
                <w:sz w:val="24"/>
                <w:szCs w:val="24"/>
              </w:rPr>
              <w:t>t/a</w:t>
            </w:r>
          </w:p>
        </w:tc>
        <w:tc>
          <w:tcPr>
            <w:tcW w:w="3102" w:type="dxa"/>
            <w:vMerge w:val="continue"/>
            <w:tcBorders>
              <w:left w:val="single" w:color="auto" w:sz="4" w:space="0"/>
              <w:bottom w:val="single" w:color="auto" w:sz="4" w:space="0"/>
            </w:tcBorders>
            <w:noWrap w:val="0"/>
            <w:vAlign w:val="center"/>
          </w:tcPr>
          <w:p>
            <w:pPr>
              <w:pStyle w:val="19"/>
              <w:rPr>
                <w:rFonts w:hint="default" w:ascii="Times New Roman" w:hAnsi="Times New Roman"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20" w:type="dxa"/>
            <w:noWrap w:val="0"/>
            <w:vAlign w:val="center"/>
          </w:tcPr>
          <w:p>
            <w:pPr>
              <w:pStyle w:val="1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噪声</w:t>
            </w:r>
          </w:p>
        </w:tc>
        <w:tc>
          <w:tcPr>
            <w:tcW w:w="8077" w:type="dxa"/>
            <w:gridSpan w:val="4"/>
            <w:noWrap w:val="0"/>
            <w:vAlign w:val="center"/>
          </w:tcPr>
          <w:p>
            <w:pPr>
              <w:adjustRightInd w:val="0"/>
              <w:snapToGrid w:val="0"/>
              <w:spacing w:line="240" w:lineRule="auto"/>
              <w:rPr>
                <w:rFonts w:hint="default" w:ascii="Times New Roman" w:hAnsi="Times New Roman" w:cs="Times New Roman"/>
                <w:color w:val="auto"/>
                <w:szCs w:val="24"/>
              </w:rPr>
            </w:pPr>
            <w:r>
              <w:rPr>
                <w:rFonts w:hint="default" w:ascii="Times New Roman" w:hAnsi="Times New Roman" w:cs="Times New Roman"/>
                <w:color w:val="auto"/>
                <w:szCs w:val="24"/>
              </w:rPr>
              <w:t>运营期期主要是生产车间的设备噪声，噪声值一般在</w:t>
            </w:r>
            <w:r>
              <w:rPr>
                <w:rFonts w:hint="default" w:ascii="Times New Roman" w:hAnsi="Times New Roman" w:cs="Times New Roman"/>
                <w:color w:val="auto"/>
                <w:szCs w:val="24"/>
                <w:lang w:val="en-US" w:eastAsia="zh-CN"/>
              </w:rPr>
              <w:t>7</w:t>
            </w:r>
            <w:r>
              <w:rPr>
                <w:rFonts w:hint="default" w:ascii="Times New Roman" w:hAnsi="Times New Roman" w:cs="Times New Roman"/>
                <w:color w:val="auto"/>
                <w:szCs w:val="24"/>
              </w:rPr>
              <w:t>0~8</w:t>
            </w:r>
            <w:r>
              <w:rPr>
                <w:rFonts w:hint="default" w:ascii="Times New Roman" w:hAnsi="Times New Roman" w:cs="Times New Roman"/>
                <w:color w:val="auto"/>
                <w:szCs w:val="24"/>
                <w:lang w:val="en-US" w:eastAsia="zh-CN"/>
              </w:rPr>
              <w:t>0</w:t>
            </w:r>
            <w:r>
              <w:rPr>
                <w:rFonts w:hint="default" w:ascii="Times New Roman" w:hAnsi="Times New Roman" w:cs="Times New Roman"/>
                <w:color w:val="auto"/>
                <w:szCs w:val="24"/>
              </w:rPr>
              <w:t>dB（A）左右。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897" w:type="dxa"/>
            <w:gridSpan w:val="5"/>
            <w:noWrap w:val="0"/>
            <w:vAlign w:val="center"/>
          </w:tcPr>
          <w:p>
            <w:pPr>
              <w:pStyle w:val="4"/>
              <w:spacing w:beforeLines="0" w:afterLines="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主要生态影响</w:t>
            </w:r>
          </w:p>
          <w:p>
            <w:pPr>
              <w:adjustRightInd w:val="0"/>
              <w:snapToGrid w:val="0"/>
              <w:rPr>
                <w:rFonts w:hint="default" w:ascii="Times New Roman" w:hAnsi="Times New Roman" w:cs="Times New Roman"/>
                <w:color w:val="auto"/>
                <w:szCs w:val="24"/>
              </w:rPr>
            </w:pPr>
            <w:r>
              <w:rPr>
                <w:rFonts w:hint="default" w:ascii="Times New Roman" w:hAnsi="Times New Roman" w:cs="Times New Roman"/>
                <w:color w:val="auto"/>
                <w:szCs w:val="24"/>
              </w:rPr>
              <w:t>本项目</w:t>
            </w:r>
            <w:r>
              <w:rPr>
                <w:rFonts w:hint="default" w:ascii="Times New Roman" w:hAnsi="Times New Roman" w:cs="Times New Roman"/>
                <w:color w:val="auto"/>
                <w:szCs w:val="24"/>
                <w:lang w:eastAsia="zh-CN"/>
              </w:rPr>
              <w:t>位于</w:t>
            </w:r>
            <w:r>
              <w:rPr>
                <w:rFonts w:hint="default" w:ascii="Times New Roman" w:hAnsi="Times New Roman" w:eastAsia="宋体" w:cs="Times New Roman"/>
                <w:color w:val="auto"/>
                <w:sz w:val="24"/>
                <w:szCs w:val="32"/>
                <w:lang w:eastAsia="zh-CN"/>
              </w:rPr>
              <w:t>陕西省西安市灞桥区红旗街道办赵庄村</w:t>
            </w:r>
            <w:r>
              <w:rPr>
                <w:rFonts w:hint="default" w:ascii="Times New Roman" w:hAnsi="Times New Roman" w:eastAsia="宋体" w:cs="Times New Roman"/>
                <w:color w:val="auto"/>
                <w:sz w:val="24"/>
                <w:szCs w:val="32"/>
                <w:lang w:val="en-US" w:eastAsia="zh-CN"/>
              </w:rPr>
              <w:t>1号</w:t>
            </w:r>
            <w:r>
              <w:rPr>
                <w:rFonts w:hint="default" w:ascii="Times New Roman" w:hAnsi="Times New Roman" w:eastAsia="宋体" w:cs="Times New Roman"/>
                <w:color w:val="auto"/>
                <w:szCs w:val="24"/>
                <w:lang w:eastAsia="zh-CN"/>
              </w:rPr>
              <w:t>，</w:t>
            </w:r>
            <w:r>
              <w:rPr>
                <w:rFonts w:hint="default" w:ascii="Times New Roman" w:hAnsi="Times New Roman" w:cs="Times New Roman"/>
                <w:color w:val="auto"/>
                <w:szCs w:val="24"/>
              </w:rPr>
              <w:t>项目生产生活主要在厂房内部进行，对生态影响较小。</w:t>
            </w:r>
          </w:p>
          <w:p>
            <w:pPr>
              <w:adjustRightInd w:val="0"/>
              <w:snapToGrid w:val="0"/>
              <w:spacing w:line="240" w:lineRule="auto"/>
              <w:ind w:firstLine="0" w:firstLineChars="0"/>
              <w:jc w:val="left"/>
              <w:rPr>
                <w:rFonts w:hint="default" w:ascii="Times New Roman" w:hAnsi="Times New Roman" w:cs="Times New Roman"/>
                <w:color w:val="auto"/>
                <w:szCs w:val="24"/>
              </w:rPr>
            </w:pPr>
          </w:p>
          <w:p>
            <w:pPr>
              <w:adjustRightInd w:val="0"/>
              <w:snapToGrid w:val="0"/>
              <w:spacing w:line="240" w:lineRule="auto"/>
              <w:ind w:firstLine="0" w:firstLineChars="0"/>
              <w:rPr>
                <w:rFonts w:hint="default" w:ascii="Times New Roman" w:hAnsi="Times New Roman" w:cs="Times New Roman"/>
                <w:color w:val="auto"/>
                <w:szCs w:val="24"/>
              </w:rPr>
            </w:pPr>
          </w:p>
          <w:p>
            <w:pPr>
              <w:adjustRightInd w:val="0"/>
              <w:snapToGrid w:val="0"/>
              <w:spacing w:line="240" w:lineRule="auto"/>
              <w:ind w:firstLine="0" w:firstLineChars="0"/>
              <w:rPr>
                <w:rFonts w:hint="default" w:ascii="Times New Roman" w:hAnsi="Times New Roman" w:cs="Times New Roman"/>
                <w:color w:val="auto"/>
                <w:szCs w:val="24"/>
              </w:rPr>
            </w:pPr>
          </w:p>
        </w:tc>
      </w:tr>
    </w:tbl>
    <w:p>
      <w:pPr>
        <w:pStyle w:val="3"/>
        <w:numPr>
          <w:ilvl w:val="0"/>
          <w:numId w:val="0"/>
        </w:numPr>
        <w:spacing w:before="163"/>
        <w:rPr>
          <w:rFonts w:hint="default" w:ascii="Times New Roman" w:hAnsi="Times New Roman" w:cs="Times New Roman"/>
          <w:color w:val="auto"/>
        </w:rPr>
      </w:pPr>
      <w:r>
        <w:rPr>
          <w:rFonts w:hint="default" w:ascii="Times New Roman" w:hAnsi="Times New Roman" w:cs="Times New Roman"/>
          <w:color w:val="auto"/>
          <w:lang w:val="en-US" w:eastAsia="zh-CN"/>
        </w:rPr>
        <w:t>7.</w:t>
      </w:r>
      <w:r>
        <w:rPr>
          <w:rFonts w:hint="default" w:ascii="Times New Roman" w:hAnsi="Times New Roman" w:cs="Times New Roman"/>
          <w:color w:val="auto"/>
        </w:rPr>
        <w:t>环境影响分析</w:t>
      </w:r>
    </w:p>
    <w:tbl>
      <w:tblPr>
        <w:tblStyle w:val="2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0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810" w:hRule="atLeast"/>
          <w:jc w:val="center"/>
        </w:trPr>
        <w:tc>
          <w:tcPr>
            <w:tcW w:w="9048" w:type="dxa"/>
            <w:noWrap w:val="0"/>
            <w:vAlign w:val="top"/>
          </w:tcPr>
          <w:p>
            <w:pPr>
              <w:ind w:firstLine="0" w:firstLineChars="0"/>
              <w:rPr>
                <w:rFonts w:hint="default" w:ascii="Times New Roman" w:hAnsi="Times New Roman" w:cs="Times New Roman"/>
                <w:b/>
                <w:bCs/>
                <w:color w:val="auto"/>
                <w:sz w:val="28"/>
                <w:szCs w:val="24"/>
              </w:rPr>
            </w:pPr>
            <w:r>
              <w:rPr>
                <w:rFonts w:hint="default" w:ascii="Times New Roman" w:hAnsi="Times New Roman" w:cs="Times New Roman"/>
                <w:b/>
                <w:bCs/>
                <w:color w:val="auto"/>
                <w:sz w:val="28"/>
                <w:szCs w:val="24"/>
              </w:rPr>
              <w:t>施工期环境影响分析</w:t>
            </w:r>
          </w:p>
          <w:p>
            <w:pPr>
              <w:keepNext w:val="0"/>
              <w:keepLines w:val="0"/>
              <w:pageBreakBefore w:val="0"/>
              <w:widowControl w:val="0"/>
              <w:kinsoku/>
              <w:wordWrap/>
              <w:overflowPunct/>
              <w:topLinePunct w:val="0"/>
              <w:autoSpaceDE/>
              <w:autoSpaceDN/>
              <w:bidi w:val="0"/>
              <w:adjustRightInd/>
              <w:snapToGrid/>
              <w:spacing w:beforeLines="0" w:afterLines="0"/>
              <w:ind w:firstLine="480" w:firstLineChars="200"/>
              <w:textAlignment w:val="auto"/>
              <w:outlineLvl w:val="9"/>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本项目施工期已结束，本次评价不再对施工期进行分析。</w:t>
            </w:r>
          </w:p>
          <w:p>
            <w:pPr>
              <w:pStyle w:val="4"/>
              <w:adjustRightInd/>
              <w:snapToGrid/>
              <w:spacing w:beforeLines="0" w:afterLines="0"/>
              <w:rPr>
                <w:rFonts w:hint="default" w:ascii="Times New Roman" w:hAnsi="Times New Roman" w:cs="Times New Roman"/>
                <w:color w:val="auto"/>
              </w:rPr>
            </w:pPr>
            <w:r>
              <w:rPr>
                <w:rFonts w:hint="default" w:ascii="Times New Roman" w:hAnsi="Times New Roman" w:cs="Times New Roman"/>
                <w:color w:val="auto"/>
              </w:rPr>
              <w:t>运营运期环境影响分析：</w:t>
            </w:r>
          </w:p>
          <w:p>
            <w:pPr>
              <w:pStyle w:val="4"/>
              <w:adjustRightInd/>
              <w:snapToGrid/>
              <w:spacing w:beforeLines="0" w:afterLines="0"/>
              <w:ind w:firstLine="482" w:firstLineChars="200"/>
              <w:rPr>
                <w:rFonts w:hint="default" w:ascii="Times New Roman" w:hAnsi="Times New Roman" w:cs="Times New Roman"/>
                <w:color w:val="auto"/>
                <w:sz w:val="24"/>
                <w:szCs w:val="28"/>
              </w:rPr>
            </w:pPr>
            <w:r>
              <w:rPr>
                <w:rFonts w:hint="default" w:ascii="Times New Roman" w:hAnsi="Times New Roman" w:cs="Times New Roman"/>
                <w:color w:val="auto"/>
                <w:sz w:val="24"/>
                <w:szCs w:val="28"/>
              </w:rPr>
              <w:t>1、大气环境影响分析</w:t>
            </w:r>
          </w:p>
          <w:p>
            <w:pPr>
              <w:rPr>
                <w:rFonts w:hint="default" w:ascii="Times New Roman" w:hAnsi="Times New Roman" w:cs="Times New Roman"/>
                <w:color w:val="auto"/>
              </w:rPr>
            </w:pPr>
            <w:r>
              <w:rPr>
                <w:rFonts w:hint="default" w:ascii="Times New Roman" w:hAnsi="Times New Roman" w:cs="Times New Roman"/>
                <w:color w:val="auto"/>
              </w:rPr>
              <w:t>（1）有组织废气达标排放分析</w:t>
            </w:r>
          </w:p>
          <w:p>
            <w:pPr>
              <w:rPr>
                <w:rFonts w:hint="default" w:ascii="Times New Roman" w:hAnsi="Times New Roman" w:cs="Times New Roman"/>
                <w:color w:val="auto"/>
              </w:rPr>
            </w:pPr>
            <w:r>
              <w:rPr>
                <w:rFonts w:hint="default" w:ascii="Times New Roman" w:hAnsi="Times New Roman" w:cs="Times New Roman"/>
                <w:color w:val="auto"/>
              </w:rPr>
              <w:t>项目废气污染源为</w:t>
            </w:r>
            <w:r>
              <w:rPr>
                <w:rFonts w:hint="default" w:ascii="Times New Roman" w:hAnsi="Times New Roman" w:cs="Times New Roman"/>
                <w:color w:val="auto"/>
                <w:lang w:eastAsia="zh-CN"/>
              </w:rPr>
              <w:t>印刷和</w:t>
            </w:r>
            <w:r>
              <w:rPr>
                <w:rFonts w:hint="eastAsia" w:ascii="Times New Roman" w:hAnsi="Times New Roman" w:cs="Times New Roman"/>
                <w:color w:val="auto"/>
                <w:lang w:eastAsia="zh-CN"/>
              </w:rPr>
              <w:t>手工粘合</w:t>
            </w:r>
            <w:r>
              <w:rPr>
                <w:rFonts w:hint="default" w:ascii="Times New Roman" w:hAnsi="Times New Roman" w:cs="Times New Roman"/>
                <w:color w:val="auto"/>
                <w:lang w:eastAsia="zh-CN"/>
              </w:rPr>
              <w:t>过程中产生的非甲烷总烃</w:t>
            </w:r>
            <w:r>
              <w:rPr>
                <w:rFonts w:hint="default" w:ascii="Times New Roman" w:hAnsi="Times New Roman" w:cs="Times New Roman"/>
                <w:color w:val="auto"/>
              </w:rPr>
              <w:t>，根据《环境影响评价技术导则 大气环境》（HJ2.2-2018）推荐的估算模式AERSCREEN对项目进行预测。</w:t>
            </w:r>
          </w:p>
          <w:p>
            <w:pPr>
              <w:rPr>
                <w:rFonts w:hint="default" w:ascii="Times New Roman" w:hAnsi="Times New Roman" w:cs="Times New Roman"/>
                <w:color w:val="auto"/>
              </w:rPr>
            </w:pPr>
            <w:r>
              <w:rPr>
                <w:rFonts w:hint="default" w:ascii="Times New Roman" w:hAnsi="Times New Roman" w:cs="Times New Roman"/>
                <w:color w:val="auto"/>
              </w:rPr>
              <w:t>本项目评价因子和评价标准见表</w:t>
            </w:r>
            <w:r>
              <w:rPr>
                <w:rFonts w:hint="default" w:ascii="Times New Roman" w:hAnsi="Times New Roman" w:cs="Times New Roman"/>
                <w:color w:val="auto"/>
                <w:lang w:val="en-US" w:eastAsia="zh-CN"/>
              </w:rPr>
              <w:t>7-1，估算模型参数表见表7-2。</w:t>
            </w:r>
          </w:p>
          <w:p>
            <w:pPr>
              <w:pStyle w:val="9"/>
              <w:spacing w:beforeLines="0"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表7- </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本项目评价因子和评价标准</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3"/>
              <w:gridCol w:w="1529"/>
              <w:gridCol w:w="1375"/>
              <w:gridCol w:w="1681"/>
              <w:gridCol w:w="34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序号</w:t>
                  </w:r>
                </w:p>
              </w:tc>
              <w:tc>
                <w:tcPr>
                  <w:tcW w:w="1529"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评价因子</w:t>
                  </w:r>
                </w:p>
              </w:tc>
              <w:tc>
                <w:tcPr>
                  <w:tcW w:w="1375"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平均时段</w:t>
                  </w:r>
                </w:p>
              </w:tc>
              <w:tc>
                <w:tcPr>
                  <w:tcW w:w="168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标准值/μg/m</w:t>
                  </w:r>
                  <w:r>
                    <w:rPr>
                      <w:rFonts w:hint="default" w:ascii="Times New Roman" w:hAnsi="Times New Roman" w:eastAsia="宋体" w:cs="Times New Roman"/>
                      <w:b w:val="0"/>
                      <w:bCs/>
                      <w:color w:val="auto"/>
                      <w:vertAlign w:val="superscript"/>
                    </w:rPr>
                    <w:t>3</w:t>
                  </w:r>
                </w:p>
              </w:tc>
              <w:tc>
                <w:tcPr>
                  <w:tcW w:w="3444"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noWrap w:val="0"/>
                  <w:vAlign w:val="center"/>
                </w:tcPr>
                <w:p>
                  <w:pPr>
                    <w:pStyle w:val="71"/>
                    <w:adjustRightInd w:val="0"/>
                    <w:snapToGrid w:val="0"/>
                    <w:spacing w:beforeLines="0"/>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lang w:val="en-US" w:eastAsia="zh-CN"/>
                    </w:rPr>
                    <w:t>1</w:t>
                  </w:r>
                </w:p>
              </w:tc>
              <w:tc>
                <w:tcPr>
                  <w:tcW w:w="1529" w:type="dxa"/>
                  <w:noWrap w:val="0"/>
                  <w:vAlign w:val="center"/>
                </w:tcPr>
                <w:p>
                  <w:pPr>
                    <w:pStyle w:val="71"/>
                    <w:adjustRightInd w:val="0"/>
                    <w:snapToGrid w:val="0"/>
                    <w:spacing w:beforeLines="0"/>
                    <w:ind w:firstLine="0" w:firstLineChar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非甲烷总烃</w:t>
                  </w:r>
                </w:p>
              </w:tc>
              <w:tc>
                <w:tcPr>
                  <w:tcW w:w="1375" w:type="dxa"/>
                  <w:noWrap w:val="0"/>
                  <w:vAlign w:val="center"/>
                </w:tcPr>
                <w:p>
                  <w:pPr>
                    <w:pStyle w:val="71"/>
                    <w:adjustRightInd w:val="0"/>
                    <w:snapToGrid w:val="0"/>
                    <w:spacing w:beforeLines="0"/>
                    <w:ind w:firstLine="0" w:firstLineChar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1h平均值</w:t>
                  </w:r>
                </w:p>
              </w:tc>
              <w:tc>
                <w:tcPr>
                  <w:tcW w:w="1681" w:type="dxa"/>
                  <w:noWrap w:val="0"/>
                  <w:vAlign w:val="center"/>
                </w:tcPr>
                <w:p>
                  <w:pPr>
                    <w:pStyle w:val="71"/>
                    <w:adjustRightInd w:val="0"/>
                    <w:snapToGrid w:val="0"/>
                    <w:spacing w:beforeLines="0"/>
                    <w:ind w:firstLine="0" w:firstLineChar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2000</w:t>
                  </w:r>
                </w:p>
              </w:tc>
              <w:tc>
                <w:tcPr>
                  <w:tcW w:w="3444" w:type="dxa"/>
                  <w:noWrap w:val="0"/>
                  <w:vAlign w:val="center"/>
                </w:tcPr>
                <w:p>
                  <w:pPr>
                    <w:pStyle w:val="71"/>
                    <w:adjustRightInd w:val="0"/>
                    <w:snapToGrid w:val="0"/>
                    <w:spacing w:beforeLines="0"/>
                    <w:ind w:firstLine="0" w:firstLineChar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《大气污染物综合排放标准详解》</w:t>
                  </w:r>
                </w:p>
              </w:tc>
            </w:tr>
          </w:tbl>
          <w:p>
            <w:pPr>
              <w:rPr>
                <w:rFonts w:hint="default" w:ascii="Times New Roman" w:hAnsi="Times New Roman" w:cs="Times New Roman"/>
                <w:color w:val="auto"/>
              </w:rPr>
            </w:pPr>
            <w:r>
              <w:rPr>
                <w:rFonts w:hint="default" w:ascii="Times New Roman" w:hAnsi="Times New Roman" w:cs="Times New Roman"/>
                <w:color w:val="auto"/>
              </w:rPr>
              <w:t>本项目估算模型参数如下表：</w:t>
            </w:r>
          </w:p>
          <w:p>
            <w:pPr>
              <w:pStyle w:val="9"/>
              <w:spacing w:beforeLines="0"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表7- </w:t>
            </w: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 xml:space="preserve">   估算模型参数表</w:t>
            </w:r>
          </w:p>
          <w:tbl>
            <w:tblPr>
              <w:tblStyle w:val="2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40"/>
              <w:gridCol w:w="2941"/>
              <w:gridCol w:w="29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5881" w:type="dxa"/>
                  <w:gridSpan w:val="2"/>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参数</w:t>
                  </w: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2940"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城市/农村选项</w:t>
                  </w: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城市/农村</w:t>
                  </w: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lang w:eastAsia="zh-CN"/>
                    </w:rPr>
                    <w:t>农村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2940"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人口数（城市选项时）</w:t>
                  </w: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5881" w:type="dxa"/>
                  <w:gridSpan w:val="2"/>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最高环境温度/℃</w:t>
                  </w: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4</w:t>
                  </w:r>
                  <w:r>
                    <w:rPr>
                      <w:rFonts w:hint="default" w:ascii="Times New Roman" w:hAnsi="Times New Roman" w:eastAsia="宋体" w:cs="Times New Roman"/>
                      <w:b w:val="0"/>
                      <w:bCs/>
                      <w:color w:val="auto"/>
                      <w:lang w:val="en-US" w:eastAsia="zh-CN"/>
                    </w:rPr>
                    <w:t>3</w:t>
                  </w:r>
                  <w:r>
                    <w:rPr>
                      <w:rFonts w:hint="default" w:ascii="Times New Roman" w:hAnsi="Times New Roman" w:eastAsia="宋体" w:cs="Times New Roman"/>
                      <w:b w:val="0"/>
                      <w:bCs/>
                      <w:color w:val="auto"/>
                      <w:lang w:val="en-US" w:eastAsia="zh-CN"/>
                    </w:rPr>
                    <w:t>.4</w:t>
                  </w:r>
                  <w:r>
                    <w:rPr>
                      <w:rFonts w:hint="default" w:ascii="Times New Roman" w:hAnsi="Times New Roman" w:eastAsia="宋体" w:cs="Times New Roman"/>
                      <w:b w:val="0"/>
                      <w:bCs/>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5881" w:type="dxa"/>
                  <w:gridSpan w:val="2"/>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最低环境温度/℃</w:t>
                  </w: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r>
                    <w:rPr>
                      <w:rFonts w:hint="default" w:ascii="Times New Roman" w:hAnsi="Times New Roman" w:eastAsia="宋体" w:cs="Times New Roman"/>
                      <w:b w:val="0"/>
                      <w:bCs/>
                      <w:color w:val="auto"/>
                      <w:lang w:val="en-US" w:eastAsia="zh-CN"/>
                    </w:rPr>
                    <w:t>2</w:t>
                  </w:r>
                  <w:r>
                    <w:rPr>
                      <w:rFonts w:hint="default" w:ascii="Times New Roman" w:hAnsi="Times New Roman" w:eastAsia="宋体" w:cs="Times New Roman"/>
                      <w:b w:val="0"/>
                      <w:bCs/>
                      <w:color w:val="auto"/>
                      <w:lang w:val="en-US" w:eastAsia="zh-CN"/>
                    </w:rPr>
                    <w:t>1.2</w:t>
                  </w:r>
                  <w:r>
                    <w:rPr>
                      <w:rFonts w:hint="default" w:ascii="Times New Roman" w:hAnsi="Times New Roman" w:eastAsia="宋体" w:cs="Times New Roman"/>
                      <w:b w:val="0"/>
                      <w:bCs/>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5881" w:type="dxa"/>
                  <w:gridSpan w:val="2"/>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土地利用类型</w:t>
                  </w: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农村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5881" w:type="dxa"/>
                  <w:gridSpan w:val="2"/>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区域湿度条件</w:t>
                  </w: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中等湿度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2940"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是否考虑地形</w:t>
                  </w: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考虑地形</w:t>
                  </w: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2940"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地形数据分辨率/m</w:t>
                  </w: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2940"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是否考虑岸线熏烟</w:t>
                  </w: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考虑岸线熏烟</w:t>
                  </w: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2940"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岸线距离/km</w:t>
                  </w: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2940"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岸线方向/°</w:t>
                  </w:r>
                </w:p>
              </w:tc>
              <w:tc>
                <w:tcPr>
                  <w:tcW w:w="294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r>
          </w:tbl>
          <w:p>
            <w:pPr>
              <w:rPr>
                <w:rFonts w:hint="default" w:ascii="Times New Roman" w:hAnsi="Times New Roman" w:cs="Times New Roman"/>
                <w:color w:val="auto"/>
              </w:rPr>
            </w:pPr>
            <w:r>
              <w:rPr>
                <w:rFonts w:hint="default" w:ascii="Times New Roman" w:hAnsi="Times New Roman" w:cs="Times New Roman"/>
                <w:color w:val="auto"/>
              </w:rPr>
              <w:t>本项目有组织排放污染源参数表如下表7-</w:t>
            </w:r>
            <w:r>
              <w:rPr>
                <w:rFonts w:hint="default" w:ascii="Times New Roman" w:hAnsi="Times New Roman" w:cs="Times New Roman"/>
                <w:color w:val="auto"/>
                <w:lang w:val="en-US" w:eastAsia="zh-CN"/>
              </w:rPr>
              <w:t>3</w:t>
            </w:r>
            <w:r>
              <w:rPr>
                <w:rFonts w:hint="default" w:ascii="Times New Roman" w:hAnsi="Times New Roman" w:cs="Times New Roman"/>
                <w:color w:val="auto"/>
              </w:rPr>
              <w:t>，估算结果见表7-</w:t>
            </w:r>
            <w:r>
              <w:rPr>
                <w:rFonts w:hint="default" w:ascii="Times New Roman" w:hAnsi="Times New Roman" w:cs="Times New Roman"/>
                <w:color w:val="auto"/>
                <w:lang w:val="en-US" w:eastAsia="zh-CN"/>
              </w:rPr>
              <w:t>4</w:t>
            </w:r>
            <w:r>
              <w:rPr>
                <w:rFonts w:hint="default" w:ascii="Times New Roman" w:hAnsi="Times New Roman" w:cs="Times New Roman"/>
                <w:color w:val="auto"/>
              </w:rPr>
              <w:t>。</w:t>
            </w:r>
          </w:p>
          <w:p>
            <w:pPr>
              <w:pStyle w:val="9"/>
              <w:spacing w:beforeLines="0" w:line="240" w:lineRule="auto"/>
              <w:ind w:firstLine="0" w:firstLineChars="0"/>
              <w:jc w:val="center"/>
              <w:rPr>
                <w:rFonts w:hint="default" w:ascii="Times New Roman" w:hAnsi="Times New Roman" w:eastAsia="宋体" w:cs="Times New Roman"/>
                <w:b/>
                <w:bCs/>
                <w:color w:val="auto"/>
                <w:sz w:val="21"/>
                <w:szCs w:val="21"/>
              </w:rPr>
            </w:pPr>
          </w:p>
          <w:p>
            <w:pPr>
              <w:pStyle w:val="9"/>
              <w:spacing w:beforeLines="0" w:line="240" w:lineRule="auto"/>
              <w:ind w:firstLine="0" w:firstLineChars="0"/>
              <w:jc w:val="center"/>
              <w:rPr>
                <w:rFonts w:hint="default" w:ascii="Times New Roman" w:hAnsi="Times New Roman" w:eastAsia="宋体" w:cs="Times New Roman"/>
                <w:b/>
                <w:bCs/>
                <w:color w:val="auto"/>
                <w:sz w:val="21"/>
                <w:szCs w:val="21"/>
              </w:rPr>
            </w:pPr>
          </w:p>
          <w:p>
            <w:pPr>
              <w:pStyle w:val="9"/>
              <w:spacing w:beforeLines="0"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表7- </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项目有组织排放计算参数表</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2"/>
              <w:gridCol w:w="660"/>
              <w:gridCol w:w="1478"/>
              <w:gridCol w:w="921"/>
              <w:gridCol w:w="775"/>
              <w:gridCol w:w="707"/>
              <w:gridCol w:w="754"/>
              <w:gridCol w:w="658"/>
              <w:gridCol w:w="645"/>
              <w:gridCol w:w="760"/>
              <w:gridCol w:w="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472"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点源编号</w:t>
                  </w:r>
                </w:p>
              </w:tc>
              <w:tc>
                <w:tcPr>
                  <w:tcW w:w="660"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污染物</w:t>
                  </w:r>
                </w:p>
              </w:tc>
              <w:tc>
                <w:tcPr>
                  <w:tcW w:w="1478"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X坐标/Y坐标</w:t>
                  </w:r>
                </w:p>
              </w:tc>
              <w:tc>
                <w:tcPr>
                  <w:tcW w:w="921"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排气筒底部海拔高度</w:t>
                  </w:r>
                </w:p>
              </w:tc>
              <w:tc>
                <w:tcPr>
                  <w:tcW w:w="775"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排气筒高度</w:t>
                  </w:r>
                </w:p>
              </w:tc>
              <w:tc>
                <w:tcPr>
                  <w:tcW w:w="707"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排气筒内径</w:t>
                  </w:r>
                </w:p>
              </w:tc>
              <w:tc>
                <w:tcPr>
                  <w:tcW w:w="754"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烟气流速</w:t>
                  </w:r>
                </w:p>
              </w:tc>
              <w:tc>
                <w:tcPr>
                  <w:tcW w:w="658"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烟气温度</w:t>
                  </w:r>
                </w:p>
              </w:tc>
              <w:tc>
                <w:tcPr>
                  <w:tcW w:w="645"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年排放小时数</w:t>
                  </w:r>
                </w:p>
              </w:tc>
              <w:tc>
                <w:tcPr>
                  <w:tcW w:w="760"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排放工况</w:t>
                  </w:r>
                </w:p>
              </w:tc>
              <w:tc>
                <w:tcPr>
                  <w:tcW w:w="992"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污染物排放速率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472"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660"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1478"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921"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775"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H</w:t>
                  </w:r>
                </w:p>
              </w:tc>
              <w:tc>
                <w:tcPr>
                  <w:tcW w:w="707"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D</w:t>
                  </w:r>
                </w:p>
              </w:tc>
              <w:tc>
                <w:tcPr>
                  <w:tcW w:w="754"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V</w:t>
                  </w:r>
                </w:p>
              </w:tc>
              <w:tc>
                <w:tcPr>
                  <w:tcW w:w="658"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T</w:t>
                  </w:r>
                </w:p>
              </w:tc>
              <w:tc>
                <w:tcPr>
                  <w:tcW w:w="645"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Hr</w:t>
                  </w:r>
                </w:p>
              </w:tc>
              <w:tc>
                <w:tcPr>
                  <w:tcW w:w="760"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CON</w:t>
                  </w:r>
                </w:p>
              </w:tc>
              <w:tc>
                <w:tcPr>
                  <w:tcW w:w="992"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472"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660"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1478"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度</w:t>
                  </w:r>
                </w:p>
              </w:tc>
              <w:tc>
                <w:tcPr>
                  <w:tcW w:w="921"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m</w:t>
                  </w:r>
                </w:p>
              </w:tc>
              <w:tc>
                <w:tcPr>
                  <w:tcW w:w="775"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m</w:t>
                  </w:r>
                </w:p>
              </w:tc>
              <w:tc>
                <w:tcPr>
                  <w:tcW w:w="707"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m</w:t>
                  </w:r>
                </w:p>
              </w:tc>
              <w:tc>
                <w:tcPr>
                  <w:tcW w:w="754"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m/s</w:t>
                  </w:r>
                </w:p>
              </w:tc>
              <w:tc>
                <w:tcPr>
                  <w:tcW w:w="658"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c>
                <w:tcPr>
                  <w:tcW w:w="645"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h</w:t>
                  </w:r>
                </w:p>
              </w:tc>
              <w:tc>
                <w:tcPr>
                  <w:tcW w:w="760"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c>
                <w:tcPr>
                  <w:tcW w:w="992"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9" w:hRule="atLeast"/>
                <w:jc w:val="center"/>
              </w:trPr>
              <w:tc>
                <w:tcPr>
                  <w:tcW w:w="472"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rPr>
                    <w:t>P</w:t>
                  </w:r>
                  <w:r>
                    <w:rPr>
                      <w:rFonts w:hint="default" w:ascii="Times New Roman" w:hAnsi="Times New Roman" w:eastAsia="宋体" w:cs="Times New Roman"/>
                      <w:b w:val="0"/>
                      <w:bCs/>
                      <w:color w:val="auto"/>
                      <w:lang w:val="en-US" w:eastAsia="zh-CN"/>
                    </w:rPr>
                    <w:t>1</w:t>
                  </w:r>
                </w:p>
              </w:tc>
              <w:tc>
                <w:tcPr>
                  <w:tcW w:w="660"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lang w:eastAsia="zh-CN"/>
                    </w:rPr>
                    <w:t>印刷</w:t>
                  </w:r>
                  <w:r>
                    <w:rPr>
                      <w:rFonts w:hint="default" w:ascii="Times New Roman" w:hAnsi="Times New Roman" w:eastAsia="宋体" w:cs="Times New Roman"/>
                      <w:b w:val="0"/>
                      <w:bCs/>
                      <w:color w:val="auto"/>
                    </w:rPr>
                    <w:t>非甲烷总烃</w:t>
                  </w:r>
                </w:p>
              </w:tc>
              <w:tc>
                <w:tcPr>
                  <w:tcW w:w="1478"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E109.060700</w:t>
                  </w:r>
                </w:p>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N</w:t>
                  </w:r>
                  <w:r>
                    <w:rPr>
                      <w:rFonts w:hint="default" w:ascii="Times New Roman" w:hAnsi="Times New Roman" w:eastAsia="宋体" w:cs="Times New Roman"/>
                      <w:b w:val="0"/>
                      <w:bCs w:val="0"/>
                      <w:color w:val="auto"/>
                    </w:rPr>
                    <w:t>34.187604</w:t>
                  </w:r>
                </w:p>
              </w:tc>
              <w:tc>
                <w:tcPr>
                  <w:tcW w:w="921"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rPr>
                    <w:t>4</w:t>
                  </w:r>
                  <w:r>
                    <w:rPr>
                      <w:rFonts w:hint="default" w:ascii="Times New Roman" w:hAnsi="Times New Roman" w:eastAsia="宋体" w:cs="Times New Roman"/>
                      <w:b w:val="0"/>
                      <w:bCs/>
                      <w:color w:val="auto"/>
                      <w:lang w:val="en-US" w:eastAsia="zh-CN"/>
                    </w:rPr>
                    <w:t>4</w:t>
                  </w:r>
                  <w:r>
                    <w:rPr>
                      <w:rFonts w:hint="default" w:ascii="Times New Roman" w:hAnsi="Times New Roman" w:eastAsia="宋体" w:cs="Times New Roman"/>
                      <w:b w:val="0"/>
                      <w:bCs/>
                      <w:color w:val="auto"/>
                      <w:lang w:val="en-US" w:eastAsia="zh-CN"/>
                    </w:rPr>
                    <w:t>4</w:t>
                  </w:r>
                </w:p>
              </w:tc>
              <w:tc>
                <w:tcPr>
                  <w:tcW w:w="775"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15</w:t>
                  </w:r>
                </w:p>
              </w:tc>
              <w:tc>
                <w:tcPr>
                  <w:tcW w:w="707"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0.4</w:t>
                  </w:r>
                </w:p>
              </w:tc>
              <w:tc>
                <w:tcPr>
                  <w:tcW w:w="754"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9</w:t>
                  </w:r>
                  <w:r>
                    <w:rPr>
                      <w:rFonts w:hint="default" w:ascii="Times New Roman" w:hAnsi="Times New Roman" w:eastAsia="宋体" w:cs="Times New Roman"/>
                      <w:b w:val="0"/>
                      <w:bCs/>
                      <w:color w:val="auto"/>
                      <w:highlight w:val="none"/>
                      <w:lang w:val="en-US" w:eastAsia="zh-CN"/>
                    </w:rPr>
                    <w:t>.06</w:t>
                  </w:r>
                </w:p>
              </w:tc>
              <w:tc>
                <w:tcPr>
                  <w:tcW w:w="658"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100</w:t>
                  </w:r>
                </w:p>
              </w:tc>
              <w:tc>
                <w:tcPr>
                  <w:tcW w:w="645"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2</w:t>
                  </w:r>
                  <w:r>
                    <w:rPr>
                      <w:rFonts w:hint="default" w:ascii="Times New Roman" w:hAnsi="Times New Roman" w:eastAsia="宋体" w:cs="Times New Roman"/>
                      <w:b w:val="0"/>
                      <w:bCs/>
                      <w:color w:val="auto"/>
                      <w:lang w:val="en-US" w:eastAsia="zh-CN"/>
                    </w:rPr>
                    <w:t>400</w:t>
                  </w:r>
                </w:p>
              </w:tc>
              <w:tc>
                <w:tcPr>
                  <w:tcW w:w="760"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连续</w:t>
                  </w:r>
                </w:p>
              </w:tc>
              <w:tc>
                <w:tcPr>
                  <w:tcW w:w="992" w:type="dxa"/>
                  <w:noWrap w:val="0"/>
                  <w:vAlign w:val="center"/>
                </w:tcPr>
                <w:p>
                  <w:pPr>
                    <w:pStyle w:val="71"/>
                    <w:adjustRightInd w:val="0"/>
                    <w:snapToGrid w:val="0"/>
                    <w:spacing w:beforeLines="0"/>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0.081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9" w:hRule="atLeast"/>
                <w:jc w:val="center"/>
              </w:trPr>
              <w:tc>
                <w:tcPr>
                  <w:tcW w:w="472"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660" w:type="dxa"/>
                  <w:noWrap w:val="0"/>
                  <w:vAlign w:val="center"/>
                </w:tcPr>
                <w:p>
                  <w:pPr>
                    <w:pStyle w:val="71"/>
                    <w:adjustRightInd w:val="0"/>
                    <w:snapToGrid w:val="0"/>
                    <w:spacing w:beforeLines="0"/>
                    <w:rPr>
                      <w:rFonts w:hint="default" w:ascii="Times New Roman" w:hAnsi="Times New Roman" w:eastAsia="宋体" w:cs="Times New Roman"/>
                      <w:b w:val="0"/>
                      <w:bCs/>
                      <w:color w:val="auto"/>
                      <w:lang w:eastAsia="zh-CN"/>
                    </w:rPr>
                  </w:pPr>
                  <w:r>
                    <w:rPr>
                      <w:rFonts w:hint="eastAsia" w:ascii="Times New Roman" w:hAnsi="Times New Roman" w:eastAsia="宋体" w:cs="Times New Roman"/>
                      <w:b w:val="0"/>
                      <w:bCs/>
                      <w:color w:val="auto"/>
                      <w:lang w:eastAsia="zh-CN"/>
                    </w:rPr>
                    <w:t>手工粘合</w:t>
                  </w:r>
                  <w:r>
                    <w:rPr>
                      <w:rFonts w:hint="default" w:ascii="Times New Roman" w:hAnsi="Times New Roman" w:eastAsia="宋体" w:cs="Times New Roman"/>
                      <w:b w:val="0"/>
                      <w:bCs/>
                      <w:color w:val="auto"/>
                      <w:lang w:eastAsia="zh-CN"/>
                    </w:rPr>
                    <w:t>非甲烷总烃</w:t>
                  </w:r>
                </w:p>
              </w:tc>
              <w:tc>
                <w:tcPr>
                  <w:tcW w:w="1478"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921"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775"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707"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754"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highlight w:val="none"/>
                      <w:lang w:val="en-US" w:eastAsia="zh-CN"/>
                    </w:rPr>
                  </w:pPr>
                </w:p>
              </w:tc>
              <w:tc>
                <w:tcPr>
                  <w:tcW w:w="658"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highlight w:val="none"/>
                    </w:rPr>
                  </w:pPr>
                </w:p>
              </w:tc>
              <w:tc>
                <w:tcPr>
                  <w:tcW w:w="645"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lang w:val="en-US" w:eastAsia="zh-CN"/>
                    </w:rPr>
                  </w:pPr>
                </w:p>
              </w:tc>
              <w:tc>
                <w:tcPr>
                  <w:tcW w:w="760"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992" w:type="dxa"/>
                  <w:noWrap w:val="0"/>
                  <w:vAlign w:val="center"/>
                </w:tcPr>
                <w:p>
                  <w:pPr>
                    <w:pStyle w:val="71"/>
                    <w:adjustRightInd w:val="0"/>
                    <w:snapToGrid w:val="0"/>
                    <w:spacing w:beforeLines="0"/>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0.009</w:t>
                  </w:r>
                </w:p>
              </w:tc>
            </w:tr>
          </w:tbl>
          <w:p>
            <w:pPr>
              <w:pStyle w:val="9"/>
              <w:keepNext w:val="0"/>
              <w:keepLines w:val="0"/>
              <w:pageBreakBefore w:val="0"/>
              <w:widowControl w:val="0"/>
              <w:kinsoku/>
              <w:wordWrap/>
              <w:overflowPunct/>
              <w:topLinePunct w:val="0"/>
              <w:autoSpaceDE/>
              <w:autoSpaceDN/>
              <w:bidi w:val="0"/>
              <w:adjustRightInd/>
              <w:snapToGrid/>
              <w:spacing w:before="164" w:beforeLines="5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7-4  有组织估算模式计算结果</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
            <w:tblGrid>
              <w:gridCol w:w="1893"/>
              <w:gridCol w:w="1802"/>
              <w:gridCol w:w="1709"/>
              <w:gridCol w:w="1709"/>
              <w:gridCol w:w="170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1893" w:type="dxa"/>
                  <w:vMerge w:val="restar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距源中心下风向距离D（m）</w:t>
                  </w:r>
                </w:p>
              </w:tc>
              <w:tc>
                <w:tcPr>
                  <w:tcW w:w="3511" w:type="dxa"/>
                  <w:gridSpan w:val="2"/>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印刷非甲烷总烃</w:t>
                  </w:r>
                </w:p>
              </w:tc>
              <w:tc>
                <w:tcPr>
                  <w:tcW w:w="3418" w:type="dxa"/>
                  <w:gridSpan w:val="2"/>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手工粘合</w:t>
                  </w:r>
                  <w:r>
                    <w:rPr>
                      <w:rFonts w:hint="default" w:ascii="Times New Roman" w:hAnsi="Times New Roman" w:cs="Times New Roman"/>
                      <w:color w:val="auto"/>
                      <w:sz w:val="21"/>
                      <w:szCs w:val="21"/>
                      <w:lang w:eastAsia="zh-CN"/>
                    </w:rPr>
                    <w:t>非甲烷总烃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1893" w:type="dxa"/>
                  <w:vMerge w:val="continue"/>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auto"/>
                      <w:sz w:val="21"/>
                      <w:szCs w:val="21"/>
                    </w:rPr>
                  </w:pPr>
                </w:p>
              </w:tc>
              <w:tc>
                <w:tcPr>
                  <w:tcW w:w="1802"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auto"/>
                      <w:kern w:val="0"/>
                      <w:sz w:val="21"/>
                      <w:szCs w:val="21"/>
                      <w:lang w:bidi="ar"/>
                    </w:rPr>
                  </w:pPr>
                  <w:r>
                    <w:rPr>
                      <w:rFonts w:hint="default" w:ascii="Times New Roman" w:hAnsi="Times New Roman" w:cs="Times New Roman"/>
                      <w:bCs/>
                      <w:color w:val="auto"/>
                      <w:kern w:val="0"/>
                      <w:sz w:val="21"/>
                      <w:szCs w:val="21"/>
                      <w:lang w:bidi="ar"/>
                    </w:rPr>
                    <w:t>浓度（µg/m</w:t>
                  </w:r>
                  <w:r>
                    <w:rPr>
                      <w:rFonts w:hint="default" w:ascii="Times New Roman" w:hAnsi="Times New Roman" w:cs="Times New Roman"/>
                      <w:bCs/>
                      <w:color w:val="auto"/>
                      <w:kern w:val="0"/>
                      <w:sz w:val="21"/>
                      <w:szCs w:val="21"/>
                      <w:vertAlign w:val="superscript"/>
                      <w:lang w:bidi="ar"/>
                    </w:rPr>
                    <w:t>3</w:t>
                  </w:r>
                  <w:r>
                    <w:rPr>
                      <w:rFonts w:hint="default" w:ascii="Times New Roman" w:hAnsi="Times New Roman" w:cs="Times New Roman"/>
                      <w:bCs/>
                      <w:color w:val="auto"/>
                      <w:kern w:val="0"/>
                      <w:sz w:val="21"/>
                      <w:szCs w:val="21"/>
                      <w:lang w:bidi="ar"/>
                    </w:rPr>
                    <w:t>）</w:t>
                  </w:r>
                </w:p>
              </w:tc>
              <w:tc>
                <w:tcPr>
                  <w:tcW w:w="1709"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auto"/>
                      <w:kern w:val="0"/>
                      <w:sz w:val="21"/>
                      <w:szCs w:val="21"/>
                      <w:lang w:bidi="ar"/>
                    </w:rPr>
                  </w:pPr>
                  <w:r>
                    <w:rPr>
                      <w:rFonts w:hint="default" w:ascii="Times New Roman" w:hAnsi="Times New Roman" w:cs="Times New Roman"/>
                      <w:bCs/>
                      <w:color w:val="auto"/>
                      <w:kern w:val="0"/>
                      <w:sz w:val="21"/>
                      <w:szCs w:val="21"/>
                      <w:lang w:bidi="ar"/>
                    </w:rPr>
                    <w:t>占标率（%）</w:t>
                  </w:r>
                </w:p>
              </w:tc>
              <w:tc>
                <w:tcPr>
                  <w:tcW w:w="1709"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auto"/>
                      <w:kern w:val="0"/>
                      <w:sz w:val="21"/>
                      <w:szCs w:val="21"/>
                      <w:lang w:bidi="ar"/>
                    </w:rPr>
                  </w:pPr>
                  <w:r>
                    <w:rPr>
                      <w:rFonts w:hint="default" w:ascii="Times New Roman" w:hAnsi="Times New Roman" w:cs="Times New Roman"/>
                      <w:bCs/>
                      <w:color w:val="auto"/>
                      <w:kern w:val="0"/>
                      <w:sz w:val="21"/>
                      <w:szCs w:val="21"/>
                      <w:lang w:bidi="ar"/>
                    </w:rPr>
                    <w:t>浓度（µg/m</w:t>
                  </w:r>
                  <w:r>
                    <w:rPr>
                      <w:rFonts w:hint="default" w:ascii="Times New Roman" w:hAnsi="Times New Roman" w:cs="Times New Roman"/>
                      <w:bCs/>
                      <w:color w:val="auto"/>
                      <w:kern w:val="0"/>
                      <w:sz w:val="21"/>
                      <w:szCs w:val="21"/>
                      <w:vertAlign w:val="superscript"/>
                      <w:lang w:bidi="ar"/>
                    </w:rPr>
                    <w:t>3</w:t>
                  </w:r>
                  <w:r>
                    <w:rPr>
                      <w:rFonts w:hint="default" w:ascii="Times New Roman" w:hAnsi="Times New Roman" w:cs="Times New Roman"/>
                      <w:bCs/>
                      <w:color w:val="auto"/>
                      <w:kern w:val="0"/>
                      <w:sz w:val="21"/>
                      <w:szCs w:val="21"/>
                      <w:lang w:bidi="ar"/>
                    </w:rPr>
                    <w:t>）</w:t>
                  </w:r>
                </w:p>
              </w:tc>
              <w:tc>
                <w:tcPr>
                  <w:tcW w:w="1709"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auto"/>
                      <w:kern w:val="0"/>
                      <w:sz w:val="21"/>
                      <w:szCs w:val="21"/>
                      <w:lang w:bidi="ar"/>
                    </w:rPr>
                  </w:pPr>
                  <w:r>
                    <w:rPr>
                      <w:rFonts w:hint="default" w:ascii="Times New Roman" w:hAnsi="Times New Roman" w:cs="Times New Roman"/>
                      <w:bCs/>
                      <w:color w:val="auto"/>
                      <w:kern w:val="0"/>
                      <w:sz w:val="21"/>
                      <w:szCs w:val="21"/>
                      <w:lang w:bidi="ar"/>
                    </w:rPr>
                    <w:t>占标率（%）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1893"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kern w:val="0"/>
                      <w:sz w:val="21"/>
                      <w:szCs w:val="21"/>
                    </w:rPr>
                    <w:t>下风向最大质量浓度及占标率/%</w:t>
                  </w:r>
                </w:p>
              </w:tc>
              <w:tc>
                <w:tcPr>
                  <w:tcW w:w="1802"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lang w:val="en-US" w:eastAsia="zh-CN"/>
                    </w:rPr>
                    <w:t>3.015</w:t>
                  </w:r>
                </w:p>
              </w:tc>
              <w:tc>
                <w:tcPr>
                  <w:tcW w:w="1709"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lang w:val="en-US" w:eastAsia="zh-CN"/>
                    </w:rPr>
                    <w:t>0.15</w:t>
                  </w:r>
                </w:p>
              </w:tc>
              <w:tc>
                <w:tcPr>
                  <w:tcW w:w="1709"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0.335</w:t>
                  </w:r>
                </w:p>
              </w:tc>
              <w:tc>
                <w:tcPr>
                  <w:tcW w:w="1709"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1893"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Cs w:val="21"/>
                    </w:rPr>
                    <w:t>D</w:t>
                  </w:r>
                  <w:r>
                    <w:rPr>
                      <w:rFonts w:hint="default" w:ascii="Times New Roman" w:hAnsi="Times New Roman" w:cs="Times New Roman"/>
                      <w:b w:val="0"/>
                      <w:bCs/>
                      <w:color w:val="auto"/>
                      <w:kern w:val="0"/>
                      <w:szCs w:val="21"/>
                      <w:vertAlign w:val="subscript"/>
                    </w:rPr>
                    <w:t>10</w:t>
                  </w:r>
                  <w:r>
                    <w:rPr>
                      <w:rFonts w:hint="default" w:ascii="Times New Roman" w:hAnsi="Times New Roman" w:cs="Times New Roman"/>
                      <w:b w:val="0"/>
                      <w:bCs/>
                      <w:color w:val="auto"/>
                      <w:kern w:val="0"/>
                      <w:szCs w:val="21"/>
                    </w:rPr>
                    <w:t>%最远距离/m</w:t>
                  </w:r>
                </w:p>
              </w:tc>
              <w:tc>
                <w:tcPr>
                  <w:tcW w:w="3511" w:type="dxa"/>
                  <w:gridSpan w:val="2"/>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323</w:t>
                  </w:r>
                </w:p>
              </w:tc>
              <w:tc>
                <w:tcPr>
                  <w:tcW w:w="3418" w:type="dxa"/>
                  <w:gridSpan w:val="2"/>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323</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lang w:eastAsia="zh-CN"/>
              </w:rPr>
            </w:pPr>
            <w:r>
              <w:rPr>
                <w:rFonts w:hint="default" w:ascii="Times New Roman" w:hAnsi="Times New Roman" w:cs="Times New Roman"/>
                <w:bCs/>
                <w:color w:val="auto"/>
                <w:sz w:val="24"/>
                <w:szCs w:val="24"/>
              </w:rPr>
              <w:t>由预测结果可知</w:t>
            </w:r>
            <w:r>
              <w:rPr>
                <w:rFonts w:hint="default" w:ascii="Times New Roman" w:hAnsi="Times New Roman" w:cs="Times New Roman"/>
                <w:bCs/>
                <w:color w:val="auto"/>
                <w:sz w:val="24"/>
                <w:szCs w:val="24"/>
                <w:lang w:eastAsia="zh-CN"/>
              </w:rPr>
              <w:t>，印刷阶段产生的</w:t>
            </w:r>
            <w:r>
              <w:rPr>
                <w:rFonts w:hint="default" w:ascii="Times New Roman" w:hAnsi="Times New Roman" w:cs="Times New Roman"/>
                <w:bCs/>
                <w:color w:val="auto"/>
                <w:sz w:val="24"/>
                <w:szCs w:val="24"/>
              </w:rPr>
              <w:t>有组织</w:t>
            </w:r>
            <w:r>
              <w:rPr>
                <w:rFonts w:hint="default" w:ascii="Times New Roman" w:hAnsi="Times New Roman" w:eastAsia="宋体" w:cs="Times New Roman"/>
                <w:b w:val="0"/>
                <w:bCs/>
                <w:color w:val="auto"/>
                <w:sz w:val="24"/>
                <w:szCs w:val="24"/>
                <w:lang w:val="en-US" w:eastAsia="zh-CN"/>
              </w:rPr>
              <w:t>非甲烷总烃</w:t>
            </w:r>
            <w:r>
              <w:rPr>
                <w:rFonts w:hint="default" w:ascii="Times New Roman" w:hAnsi="Times New Roman" w:cs="Times New Roman"/>
                <w:bCs/>
                <w:color w:val="auto"/>
                <w:sz w:val="24"/>
                <w:szCs w:val="24"/>
              </w:rPr>
              <w:t>最大落地浓度为</w:t>
            </w:r>
            <w:r>
              <w:rPr>
                <w:rFonts w:hint="default" w:ascii="Times New Roman" w:hAnsi="Times New Roman" w:cs="Times New Roman"/>
                <w:bCs/>
                <w:color w:val="auto"/>
                <w:sz w:val="24"/>
                <w:szCs w:val="24"/>
                <w:lang w:val="en-US" w:eastAsia="zh-CN"/>
              </w:rPr>
              <w:t>3.015</w:t>
            </w:r>
            <w:r>
              <w:rPr>
                <w:rFonts w:hint="default" w:ascii="Times New Roman" w:hAnsi="Times New Roman" w:cs="Times New Roman"/>
                <w:bCs/>
                <w:color w:val="auto"/>
                <w:kern w:val="0"/>
                <w:sz w:val="21"/>
                <w:szCs w:val="21"/>
                <w:lang w:bidi="ar"/>
              </w:rPr>
              <w:t>µg</w:t>
            </w:r>
            <w:r>
              <w:rPr>
                <w:rFonts w:hint="default" w:ascii="Times New Roman" w:hAnsi="Times New Roman" w:cs="Times New Roman"/>
                <w:bCs/>
                <w:color w:val="auto"/>
                <w:kern w:val="0"/>
                <w:sz w:val="24"/>
                <w:szCs w:val="24"/>
                <w:lang w:bidi="ar"/>
              </w:rPr>
              <w:t>/m</w:t>
            </w:r>
            <w:r>
              <w:rPr>
                <w:rFonts w:hint="default" w:ascii="Times New Roman" w:hAnsi="Times New Roman" w:cs="Times New Roman"/>
                <w:bCs/>
                <w:color w:val="auto"/>
                <w:kern w:val="0"/>
                <w:sz w:val="24"/>
                <w:szCs w:val="24"/>
                <w:vertAlign w:val="superscript"/>
                <w:lang w:bidi="ar"/>
              </w:rPr>
              <w:t>3</w:t>
            </w:r>
            <w:r>
              <w:rPr>
                <w:rFonts w:hint="default" w:ascii="Times New Roman" w:hAnsi="Times New Roman" w:cs="Times New Roman"/>
                <w:bCs/>
                <w:color w:val="auto"/>
                <w:sz w:val="24"/>
                <w:szCs w:val="24"/>
              </w:rPr>
              <w:t xml:space="preserve"> ，最大落地浓度位于下风向</w:t>
            </w:r>
            <w:r>
              <w:rPr>
                <w:rFonts w:hint="default" w:ascii="Times New Roman" w:hAnsi="Times New Roman" w:cs="Times New Roman"/>
                <w:bCs/>
                <w:color w:val="auto"/>
                <w:sz w:val="24"/>
                <w:szCs w:val="24"/>
                <w:lang w:val="en-US" w:eastAsia="zh-CN"/>
              </w:rPr>
              <w:t>323</w:t>
            </w:r>
            <w:r>
              <w:rPr>
                <w:rFonts w:hint="default" w:ascii="Times New Roman" w:hAnsi="Times New Roman" w:cs="Times New Roman"/>
                <w:bCs/>
                <w:color w:val="auto"/>
                <w:sz w:val="24"/>
                <w:szCs w:val="24"/>
              </w:rPr>
              <w:t>m，占标率为</w:t>
            </w:r>
            <w:r>
              <w:rPr>
                <w:rFonts w:hint="default" w:ascii="Times New Roman" w:hAnsi="Times New Roman" w:cs="Times New Roman"/>
                <w:bCs/>
                <w:color w:val="auto"/>
                <w:sz w:val="24"/>
                <w:szCs w:val="24"/>
                <w:lang w:val="en-US" w:eastAsia="zh-CN"/>
              </w:rPr>
              <w:t>0.15</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eastAsia="zh-CN"/>
              </w:rPr>
              <w:t>手工粘合</w:t>
            </w:r>
            <w:r>
              <w:rPr>
                <w:rFonts w:hint="default" w:ascii="Times New Roman" w:hAnsi="Times New Roman" w:cs="Times New Roman"/>
                <w:bCs/>
                <w:color w:val="auto"/>
                <w:sz w:val="24"/>
                <w:szCs w:val="24"/>
                <w:lang w:eastAsia="zh-CN"/>
              </w:rPr>
              <w:t>阶段产生的</w:t>
            </w:r>
            <w:r>
              <w:rPr>
                <w:rFonts w:hint="default" w:ascii="Times New Roman" w:hAnsi="Times New Roman" w:cs="Times New Roman"/>
                <w:bCs/>
                <w:color w:val="auto"/>
                <w:sz w:val="24"/>
                <w:szCs w:val="24"/>
              </w:rPr>
              <w:t>有组织</w:t>
            </w:r>
            <w:r>
              <w:rPr>
                <w:rFonts w:hint="default" w:ascii="Times New Roman" w:hAnsi="Times New Roman" w:eastAsia="宋体" w:cs="Times New Roman"/>
                <w:b w:val="0"/>
                <w:bCs/>
                <w:color w:val="auto"/>
                <w:sz w:val="24"/>
                <w:szCs w:val="24"/>
                <w:lang w:val="en-US" w:eastAsia="zh-CN"/>
              </w:rPr>
              <w:t>非甲烷总烃</w:t>
            </w:r>
            <w:r>
              <w:rPr>
                <w:rFonts w:hint="default" w:ascii="Times New Roman" w:hAnsi="Times New Roman" w:cs="Times New Roman"/>
                <w:bCs/>
                <w:color w:val="auto"/>
                <w:sz w:val="24"/>
                <w:szCs w:val="24"/>
              </w:rPr>
              <w:t>最大落地浓度为</w:t>
            </w:r>
            <w:r>
              <w:rPr>
                <w:rFonts w:hint="default" w:ascii="Times New Roman" w:hAnsi="Times New Roman" w:cs="Times New Roman"/>
                <w:bCs/>
                <w:color w:val="auto"/>
                <w:sz w:val="24"/>
                <w:szCs w:val="24"/>
                <w:lang w:val="en-US" w:eastAsia="zh-CN"/>
              </w:rPr>
              <w:t>0.335</w:t>
            </w:r>
            <w:r>
              <w:rPr>
                <w:rFonts w:hint="default" w:ascii="Times New Roman" w:hAnsi="Times New Roman" w:cs="Times New Roman"/>
                <w:bCs/>
                <w:color w:val="auto"/>
                <w:kern w:val="0"/>
                <w:sz w:val="21"/>
                <w:szCs w:val="21"/>
                <w:lang w:bidi="ar"/>
              </w:rPr>
              <w:t>µg</w:t>
            </w:r>
            <w:r>
              <w:rPr>
                <w:rFonts w:hint="default" w:ascii="Times New Roman" w:hAnsi="Times New Roman" w:cs="Times New Roman"/>
                <w:bCs/>
                <w:color w:val="auto"/>
                <w:kern w:val="0"/>
                <w:sz w:val="24"/>
                <w:szCs w:val="24"/>
                <w:lang w:bidi="ar"/>
              </w:rPr>
              <w:t>/m</w:t>
            </w:r>
            <w:r>
              <w:rPr>
                <w:rFonts w:hint="default" w:ascii="Times New Roman" w:hAnsi="Times New Roman" w:cs="Times New Roman"/>
                <w:bCs/>
                <w:color w:val="auto"/>
                <w:kern w:val="0"/>
                <w:sz w:val="24"/>
                <w:szCs w:val="24"/>
                <w:vertAlign w:val="superscript"/>
                <w:lang w:bidi="ar"/>
              </w:rPr>
              <w:t>3</w:t>
            </w:r>
            <w:r>
              <w:rPr>
                <w:rFonts w:hint="default" w:ascii="Times New Roman" w:hAnsi="Times New Roman" w:cs="Times New Roman"/>
                <w:bCs/>
                <w:color w:val="auto"/>
                <w:sz w:val="24"/>
                <w:szCs w:val="24"/>
              </w:rPr>
              <w:t xml:space="preserve"> ，最大落地浓度位于下风向</w:t>
            </w:r>
            <w:r>
              <w:rPr>
                <w:rFonts w:hint="default" w:ascii="Times New Roman" w:hAnsi="Times New Roman" w:cs="Times New Roman"/>
                <w:bCs/>
                <w:color w:val="auto"/>
                <w:sz w:val="24"/>
                <w:szCs w:val="24"/>
                <w:lang w:val="en-US" w:eastAsia="zh-CN"/>
              </w:rPr>
              <w:t>323</w:t>
            </w:r>
            <w:r>
              <w:rPr>
                <w:rFonts w:hint="default" w:ascii="Times New Roman" w:hAnsi="Times New Roman" w:cs="Times New Roman"/>
                <w:bCs/>
                <w:color w:val="auto"/>
                <w:sz w:val="24"/>
                <w:szCs w:val="24"/>
              </w:rPr>
              <w:t>m，占标率为</w:t>
            </w:r>
            <w:r>
              <w:rPr>
                <w:rFonts w:hint="default" w:ascii="Times New Roman" w:hAnsi="Times New Roman" w:cs="Times New Roman"/>
                <w:bCs/>
                <w:color w:val="auto"/>
                <w:sz w:val="24"/>
                <w:szCs w:val="24"/>
                <w:lang w:val="en-US" w:eastAsia="zh-CN"/>
              </w:rPr>
              <w:t>0.02</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lang w:eastAsia="zh-CN"/>
              </w:rPr>
              <w:t>根据</w:t>
            </w:r>
            <w:r>
              <w:rPr>
                <w:rFonts w:hint="default" w:ascii="Times New Roman" w:hAnsi="Times New Roman" w:cs="Times New Roman"/>
                <w:color w:val="auto"/>
                <w:kern w:val="0"/>
                <w:sz w:val="24"/>
                <w:szCs w:val="24"/>
              </w:rPr>
              <w:t>《环境影响评价技术导则大气环境》（HJ2.2-2018）</w:t>
            </w:r>
            <w:r>
              <w:rPr>
                <w:rFonts w:hint="default" w:ascii="Times New Roman" w:hAnsi="Times New Roman" w:cs="Times New Roman"/>
                <w:color w:val="auto"/>
                <w:kern w:val="0"/>
                <w:sz w:val="24"/>
                <w:szCs w:val="24"/>
                <w:lang w:eastAsia="zh-CN"/>
              </w:rPr>
              <w:t>可知，项目</w:t>
            </w:r>
            <w:r>
              <w:rPr>
                <w:rFonts w:hint="default" w:ascii="Times New Roman" w:hAnsi="Times New Roman" w:cs="Times New Roman"/>
                <w:bCs/>
                <w:color w:val="auto"/>
                <w:sz w:val="24"/>
                <w:szCs w:val="24"/>
                <w:lang w:eastAsia="zh-CN"/>
              </w:rPr>
              <w:t>大气评价等级为三级。</w:t>
            </w:r>
            <w:r>
              <w:rPr>
                <w:rFonts w:hint="default" w:ascii="Times New Roman" w:hAnsi="Times New Roman" w:cs="Times New Roman"/>
                <w:bCs/>
                <w:color w:val="auto"/>
                <w:sz w:val="24"/>
                <w:szCs w:val="24"/>
              </w:rPr>
              <w:t>项目运营期废气经治理</w:t>
            </w:r>
            <w:r>
              <w:rPr>
                <w:rFonts w:hint="default" w:ascii="Times New Roman" w:hAnsi="Times New Roman" w:cs="Times New Roman"/>
                <w:bCs/>
                <w:color w:val="auto"/>
                <w:sz w:val="24"/>
                <w:szCs w:val="24"/>
                <w:lang w:eastAsia="zh-CN"/>
              </w:rPr>
              <w:t>后，</w:t>
            </w:r>
            <w:r>
              <w:rPr>
                <w:rFonts w:hint="default" w:ascii="Times New Roman" w:hAnsi="Times New Roman" w:cs="Times New Roman"/>
                <w:color w:val="auto"/>
                <w:sz w:val="24"/>
                <w:szCs w:val="24"/>
                <w:lang w:eastAsia="zh-CN"/>
              </w:rPr>
              <w:t>非甲烷总烃最大落地浓度</w:t>
            </w:r>
            <w:r>
              <w:rPr>
                <w:rFonts w:hint="default" w:ascii="Times New Roman" w:hAnsi="Times New Roman" w:cs="Times New Roman"/>
                <w:bCs/>
                <w:color w:val="auto"/>
                <w:sz w:val="24"/>
                <w:szCs w:val="24"/>
                <w:lang w:eastAsia="zh-CN"/>
              </w:rPr>
              <w:t>能够满足</w:t>
            </w:r>
            <w:r>
              <w:rPr>
                <w:rFonts w:hint="default" w:ascii="Times New Roman" w:hAnsi="Times New Roman" w:cs="Times New Roman"/>
                <w:color w:val="auto"/>
              </w:rPr>
              <w:t>《</w:t>
            </w:r>
            <w:r>
              <w:rPr>
                <w:rFonts w:hint="default" w:ascii="Times New Roman" w:hAnsi="Times New Roman" w:cs="Times New Roman"/>
                <w:color w:val="auto"/>
                <w:lang w:eastAsia="zh-CN"/>
              </w:rPr>
              <w:t>挥发性有机物排放控制标准</w:t>
            </w:r>
            <w:r>
              <w:rPr>
                <w:rFonts w:hint="default" w:ascii="Times New Roman" w:hAnsi="Times New Roman" w:cs="Times New Roman"/>
                <w:color w:val="auto"/>
              </w:rPr>
              <w:t>》（</w:t>
            </w:r>
            <w:r>
              <w:rPr>
                <w:rFonts w:hint="default" w:ascii="Times New Roman" w:hAnsi="Times New Roman" w:cs="Times New Roman"/>
                <w:color w:val="auto"/>
                <w:lang w:val="en-US" w:eastAsia="zh-CN"/>
              </w:rPr>
              <w:t>DB61/T1061-2017</w:t>
            </w:r>
            <w:r>
              <w:rPr>
                <w:rFonts w:hint="default" w:ascii="Times New Roman" w:hAnsi="Times New Roman" w:cs="Times New Roman"/>
                <w:color w:val="auto"/>
              </w:rPr>
              <w:t>）</w:t>
            </w: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1</w:t>
            </w:r>
            <w:r>
              <w:rPr>
                <w:rFonts w:hint="default" w:ascii="Times New Roman" w:hAnsi="Times New Roman" w:cs="Times New Roman"/>
                <w:color w:val="auto"/>
              </w:rPr>
              <w:t>中</w:t>
            </w:r>
            <w:r>
              <w:rPr>
                <w:rFonts w:hint="default" w:ascii="Times New Roman" w:hAnsi="Times New Roman" w:cs="Times New Roman"/>
                <w:color w:val="auto"/>
                <w:lang w:eastAsia="zh-CN"/>
              </w:rPr>
              <w:t>的印刷行业的有组织排放浓度限值</w:t>
            </w:r>
            <w:r>
              <w:rPr>
                <w:rFonts w:hint="default" w:ascii="Times New Roman" w:hAnsi="Times New Roman" w:cs="Times New Roman"/>
                <w:bCs/>
                <w:color w:val="auto"/>
                <w:sz w:val="24"/>
                <w:szCs w:val="24"/>
              </w:rPr>
              <w:t>，对周围环境影响较小。</w:t>
            </w:r>
          </w:p>
          <w:p>
            <w:pPr>
              <w:pStyle w:val="9"/>
              <w:keepNext w:val="0"/>
              <w:keepLines w:val="0"/>
              <w:pageBreakBefore w:val="0"/>
              <w:widowControl w:val="0"/>
              <w:kinsoku/>
              <w:wordWrap/>
              <w:overflowPunct/>
              <w:topLinePunct w:val="0"/>
              <w:autoSpaceDE/>
              <w:autoSpaceDN/>
              <w:bidi w:val="0"/>
              <w:adjustRightInd/>
              <w:snapToGrid/>
              <w:spacing w:beforeLines="0" w:line="360" w:lineRule="auto"/>
              <w:ind w:firstLine="480" w:firstLineChars="200"/>
              <w:jc w:val="both"/>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eastAsia="zh-CN"/>
              </w:rPr>
              <w:t>）无组织排放影响分析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eastAsia="zh-CN"/>
              </w:rPr>
              <w:t>根据工程分析可知，项目印刷过程中无组织非甲烷总烃排放量为</w:t>
            </w:r>
            <w:r>
              <w:rPr>
                <w:rFonts w:hint="default" w:ascii="Times New Roman" w:hAnsi="Times New Roman" w:eastAsia="宋体" w:cs="Times New Roman"/>
                <w:b w:val="0"/>
                <w:bCs w:val="0"/>
                <w:color w:val="auto"/>
                <w:sz w:val="24"/>
                <w:szCs w:val="24"/>
                <w:lang w:val="en-US" w:eastAsia="zh-CN"/>
              </w:rPr>
              <w:t>0.0108t/a</w:t>
            </w:r>
            <w:r>
              <w:rPr>
                <w:rFonts w:hint="default" w:ascii="Times New Roman" w:hAnsi="Times New Roman" w:eastAsia="宋体" w:cs="Times New Roman"/>
                <w:b w:val="0"/>
                <w:bCs w:val="0"/>
                <w:color w:val="auto"/>
                <w:sz w:val="24"/>
                <w:szCs w:val="24"/>
                <w:lang w:eastAsia="zh-CN"/>
              </w:rPr>
              <w:t>，排放速率为</w:t>
            </w:r>
            <w:r>
              <w:rPr>
                <w:rFonts w:hint="default" w:ascii="Times New Roman" w:hAnsi="Times New Roman" w:eastAsia="宋体" w:cs="Times New Roman"/>
                <w:b w:val="0"/>
                <w:bCs w:val="0"/>
                <w:color w:val="auto"/>
                <w:sz w:val="24"/>
                <w:szCs w:val="24"/>
                <w:lang w:val="en-US" w:eastAsia="zh-CN"/>
              </w:rPr>
              <w:t>0.045kg/h</w:t>
            </w:r>
            <w:r>
              <w:rPr>
                <w:rFonts w:hint="default"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eastAsia="zh-CN"/>
              </w:rPr>
              <w:t>手工粘合</w:t>
            </w:r>
            <w:r>
              <w:rPr>
                <w:rFonts w:hint="default" w:ascii="Times New Roman" w:hAnsi="Times New Roman" w:eastAsia="宋体" w:cs="Times New Roman"/>
                <w:b w:val="0"/>
                <w:bCs w:val="0"/>
                <w:color w:val="auto"/>
                <w:sz w:val="24"/>
                <w:szCs w:val="24"/>
                <w:lang w:eastAsia="zh-CN"/>
              </w:rPr>
              <w:t>过程无组织非甲烷总烃排放量为</w:t>
            </w:r>
            <w:r>
              <w:rPr>
                <w:rFonts w:hint="default" w:ascii="Times New Roman" w:hAnsi="Times New Roman" w:eastAsia="宋体" w:cs="Times New Roman"/>
                <w:b w:val="0"/>
                <w:bCs w:val="0"/>
                <w:color w:val="auto"/>
                <w:sz w:val="24"/>
                <w:szCs w:val="24"/>
                <w:lang w:val="en-US" w:eastAsia="zh-CN"/>
              </w:rPr>
              <w:t>0.012t/a，排放速率为0.005kg/h。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kern w:val="0"/>
                <w:sz w:val="24"/>
                <w:szCs w:val="24"/>
              </w:rPr>
              <w:t>根据《环境影响评价技术导则大气环境》（HJ2.2-2018），选择主要污染物</w:t>
            </w:r>
            <w:r>
              <w:rPr>
                <w:rFonts w:hint="default" w:ascii="Times New Roman" w:hAnsi="Times New Roman" w:cs="Times New Roman"/>
                <w:color w:val="auto"/>
                <w:kern w:val="0"/>
                <w:sz w:val="24"/>
                <w:szCs w:val="24"/>
                <w:lang w:eastAsia="zh-CN"/>
              </w:rPr>
              <w:t>非甲烷总烃</w:t>
            </w:r>
            <w:r>
              <w:rPr>
                <w:rFonts w:hint="default" w:ascii="Times New Roman" w:hAnsi="Times New Roman" w:cs="Times New Roman"/>
                <w:color w:val="auto"/>
                <w:kern w:val="0"/>
                <w:sz w:val="24"/>
                <w:szCs w:val="24"/>
              </w:rPr>
              <w:t>作为预测因子，采取《环境影响评价技术导则大气环境》（HJ2.2-2018）中推荐的AERSCREEN模型进行估算。</w:t>
            </w: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无</w:t>
            </w:r>
            <w:r>
              <w:rPr>
                <w:rFonts w:hint="default" w:ascii="Times New Roman" w:hAnsi="Times New Roman" w:cs="Times New Roman"/>
                <w:color w:val="auto"/>
                <w:sz w:val="24"/>
                <w:szCs w:val="24"/>
              </w:rPr>
              <w:t>组织污染源参数表见表</w:t>
            </w:r>
            <w:r>
              <w:rPr>
                <w:rFonts w:hint="default" w:ascii="Times New Roman" w:hAnsi="Times New Roman" w:cs="Times New Roman"/>
                <w:color w:val="auto"/>
                <w:sz w:val="24"/>
                <w:szCs w:val="24"/>
                <w:lang w:val="en-US" w:eastAsia="zh-CN"/>
              </w:rPr>
              <w:t>7-5，无组织估算模式计算结果见表7-6。</w:t>
            </w:r>
          </w:p>
          <w:p>
            <w:pPr>
              <w:pStyle w:val="9"/>
              <w:spacing w:beforeLines="0"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表7- </w:t>
            </w:r>
            <w:r>
              <w:rPr>
                <w:rFonts w:hint="default"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本项目无组织排放计算参数表</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7"/>
              <w:gridCol w:w="636"/>
              <w:gridCol w:w="692"/>
              <w:gridCol w:w="1280"/>
              <w:gridCol w:w="1204"/>
              <w:gridCol w:w="516"/>
              <w:gridCol w:w="415"/>
              <w:gridCol w:w="512"/>
              <w:gridCol w:w="515"/>
              <w:gridCol w:w="466"/>
              <w:gridCol w:w="615"/>
              <w:gridCol w:w="730"/>
              <w:gridCol w:w="9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污染物名称</w:t>
                  </w:r>
                </w:p>
              </w:tc>
              <w:tc>
                <w:tcPr>
                  <w:tcW w:w="636" w:type="dxa"/>
                  <w:vMerge w:val="restart"/>
                  <w:tcBorders>
                    <w:bottom w:val="single" w:color="000000" w:sz="4" w:space="0"/>
                  </w:tcBorders>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面源编号</w:t>
                  </w:r>
                </w:p>
              </w:tc>
              <w:tc>
                <w:tcPr>
                  <w:tcW w:w="692" w:type="dxa"/>
                  <w:vMerge w:val="restart"/>
                  <w:tcBorders>
                    <w:bottom w:val="single" w:color="000000" w:sz="4" w:space="0"/>
                  </w:tcBorders>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面源名称</w:t>
                  </w:r>
                </w:p>
              </w:tc>
              <w:tc>
                <w:tcPr>
                  <w:tcW w:w="2484" w:type="dxa"/>
                  <w:gridSpan w:val="2"/>
                  <w:tcBorders>
                    <w:bottom w:val="single" w:color="000000" w:sz="4" w:space="0"/>
                  </w:tcBorders>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面源起始点</w:t>
                  </w:r>
                </w:p>
              </w:tc>
              <w:tc>
                <w:tcPr>
                  <w:tcW w:w="516" w:type="dxa"/>
                  <w:vMerge w:val="restart"/>
                  <w:tcBorders>
                    <w:bottom w:val="single" w:color="000000" w:sz="4" w:space="0"/>
                  </w:tcBorders>
                  <w:noWrap w:val="0"/>
                  <w:vAlign w:val="center"/>
                </w:tcPr>
                <w:p>
                  <w:pPr>
                    <w:pStyle w:val="71"/>
                    <w:adjustRightInd w:val="0"/>
                    <w:snapToGrid w:val="0"/>
                    <w:spacing w:beforeLines="0"/>
                    <w:jc w:val="center"/>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海拔高度</w:t>
                  </w:r>
                </w:p>
              </w:tc>
              <w:tc>
                <w:tcPr>
                  <w:tcW w:w="415" w:type="dxa"/>
                  <w:vMerge w:val="restart"/>
                  <w:tcBorders>
                    <w:bottom w:val="single" w:color="000000" w:sz="4" w:space="0"/>
                  </w:tcBorders>
                  <w:noWrap w:val="0"/>
                  <w:vAlign w:val="center"/>
                </w:tcPr>
                <w:p>
                  <w:pPr>
                    <w:pStyle w:val="71"/>
                    <w:adjustRightInd w:val="0"/>
                    <w:snapToGrid w:val="0"/>
                    <w:spacing w:beforeLines="0"/>
                    <w:jc w:val="center"/>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面源长度</w:t>
                  </w:r>
                </w:p>
              </w:tc>
              <w:tc>
                <w:tcPr>
                  <w:tcW w:w="512" w:type="dxa"/>
                  <w:vMerge w:val="restart"/>
                  <w:tcBorders>
                    <w:bottom w:val="single" w:color="000000" w:sz="4" w:space="0"/>
                  </w:tcBorders>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面源宽度</w:t>
                  </w:r>
                </w:p>
              </w:tc>
              <w:tc>
                <w:tcPr>
                  <w:tcW w:w="515" w:type="dxa"/>
                  <w:vMerge w:val="restart"/>
                  <w:tcBorders>
                    <w:bottom w:val="single" w:color="000000" w:sz="4" w:space="0"/>
                  </w:tcBorders>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与正北夹角</w:t>
                  </w:r>
                </w:p>
              </w:tc>
              <w:tc>
                <w:tcPr>
                  <w:tcW w:w="466" w:type="dxa"/>
                  <w:vMerge w:val="restart"/>
                  <w:tcBorders>
                    <w:bottom w:val="single" w:color="000000" w:sz="4" w:space="0"/>
                  </w:tcBorders>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面源初始排放高度</w:t>
                  </w:r>
                </w:p>
              </w:tc>
              <w:tc>
                <w:tcPr>
                  <w:tcW w:w="615"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年排放小时数</w:t>
                  </w:r>
                </w:p>
              </w:tc>
              <w:tc>
                <w:tcPr>
                  <w:tcW w:w="730"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排放工况</w:t>
                  </w:r>
                </w:p>
              </w:tc>
              <w:tc>
                <w:tcPr>
                  <w:tcW w:w="902"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排放速率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1" w:hRule="atLeast"/>
                <w:jc w:val="center"/>
              </w:trPr>
              <w:tc>
                <w:tcPr>
                  <w:tcW w:w="417"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636"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692"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1280"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X坐标</w:t>
                  </w:r>
                </w:p>
              </w:tc>
              <w:tc>
                <w:tcPr>
                  <w:tcW w:w="1204"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Y坐标</w:t>
                  </w:r>
                </w:p>
              </w:tc>
              <w:tc>
                <w:tcPr>
                  <w:tcW w:w="516"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415"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512"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515"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466"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615"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730"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902"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417"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rPr>
                  </w:pPr>
                </w:p>
              </w:tc>
              <w:tc>
                <w:tcPr>
                  <w:tcW w:w="636"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Code</w:t>
                  </w:r>
                </w:p>
              </w:tc>
              <w:tc>
                <w:tcPr>
                  <w:tcW w:w="692"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Name</w:t>
                  </w:r>
                </w:p>
              </w:tc>
              <w:tc>
                <w:tcPr>
                  <w:tcW w:w="1280"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XS</w:t>
                  </w:r>
                </w:p>
              </w:tc>
              <w:tc>
                <w:tcPr>
                  <w:tcW w:w="1204"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YS</w:t>
                  </w:r>
                </w:p>
              </w:tc>
              <w:tc>
                <w:tcPr>
                  <w:tcW w:w="516"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H0</w:t>
                  </w:r>
                </w:p>
              </w:tc>
              <w:tc>
                <w:tcPr>
                  <w:tcW w:w="415"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Ll</w:t>
                  </w:r>
                </w:p>
              </w:tc>
              <w:tc>
                <w:tcPr>
                  <w:tcW w:w="512"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LW</w:t>
                  </w:r>
                </w:p>
              </w:tc>
              <w:tc>
                <w:tcPr>
                  <w:tcW w:w="515"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Arc</w:t>
                  </w:r>
                </w:p>
              </w:tc>
              <w:tc>
                <w:tcPr>
                  <w:tcW w:w="466"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H</w:t>
                  </w:r>
                </w:p>
              </w:tc>
              <w:tc>
                <w:tcPr>
                  <w:tcW w:w="615"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Hr</w:t>
                  </w:r>
                </w:p>
              </w:tc>
              <w:tc>
                <w:tcPr>
                  <w:tcW w:w="730"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Cond</w:t>
                  </w:r>
                </w:p>
              </w:tc>
              <w:tc>
                <w:tcPr>
                  <w:tcW w:w="902"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417"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c>
                <w:tcPr>
                  <w:tcW w:w="636"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c>
                <w:tcPr>
                  <w:tcW w:w="692"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c>
                <w:tcPr>
                  <w:tcW w:w="1280"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度</w:t>
                  </w:r>
                </w:p>
              </w:tc>
              <w:tc>
                <w:tcPr>
                  <w:tcW w:w="1204"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度</w:t>
                  </w:r>
                </w:p>
              </w:tc>
              <w:tc>
                <w:tcPr>
                  <w:tcW w:w="516"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m</w:t>
                  </w:r>
                </w:p>
              </w:tc>
              <w:tc>
                <w:tcPr>
                  <w:tcW w:w="415"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m</w:t>
                  </w:r>
                </w:p>
              </w:tc>
              <w:tc>
                <w:tcPr>
                  <w:tcW w:w="512"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m</w:t>
                  </w:r>
                </w:p>
              </w:tc>
              <w:tc>
                <w:tcPr>
                  <w:tcW w:w="515"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c>
                <w:tcPr>
                  <w:tcW w:w="466"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m</w:t>
                  </w:r>
                </w:p>
              </w:tc>
              <w:tc>
                <w:tcPr>
                  <w:tcW w:w="615"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h</w:t>
                  </w:r>
                </w:p>
              </w:tc>
              <w:tc>
                <w:tcPr>
                  <w:tcW w:w="730"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c>
                <w:tcPr>
                  <w:tcW w:w="902"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3" w:hRule="atLeast"/>
                <w:jc w:val="center"/>
              </w:trPr>
              <w:tc>
                <w:tcPr>
                  <w:tcW w:w="417" w:type="dxa"/>
                  <w:vMerge w:val="restart"/>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非甲</w:t>
                  </w:r>
                </w:p>
              </w:tc>
              <w:tc>
                <w:tcPr>
                  <w:tcW w:w="636" w:type="dxa"/>
                  <w:noWrap w:val="0"/>
                  <w:vAlign w:val="center"/>
                </w:tcPr>
                <w:p>
                  <w:pPr>
                    <w:pStyle w:val="71"/>
                    <w:adjustRightInd w:val="0"/>
                    <w:snapToGrid w:val="0"/>
                    <w:spacing w:beforeLine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M1</w:t>
                  </w:r>
                </w:p>
              </w:tc>
              <w:tc>
                <w:tcPr>
                  <w:tcW w:w="692" w:type="dxa"/>
                  <w:noWrap w:val="0"/>
                  <w:vAlign w:val="center"/>
                </w:tcPr>
                <w:p>
                  <w:pPr>
                    <w:pStyle w:val="71"/>
                    <w:adjustRightInd w:val="0"/>
                    <w:snapToGrid w:val="0"/>
                    <w:spacing w:beforeLines="0"/>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lang w:eastAsia="zh-CN"/>
                    </w:rPr>
                    <w:t>印刷</w:t>
                  </w:r>
                </w:p>
              </w:tc>
              <w:tc>
                <w:tcPr>
                  <w:tcW w:w="1280"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E109.060700</w:t>
                  </w:r>
                </w:p>
              </w:tc>
              <w:tc>
                <w:tcPr>
                  <w:tcW w:w="1204"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rPr>
                    <w:t>N</w:t>
                  </w:r>
                  <w:r>
                    <w:rPr>
                      <w:rFonts w:hint="default" w:ascii="Times New Roman" w:hAnsi="Times New Roman" w:eastAsia="宋体" w:cs="Times New Roman"/>
                      <w:b w:val="0"/>
                      <w:bCs w:val="0"/>
                      <w:color w:val="auto"/>
                      <w:sz w:val="18"/>
                      <w:szCs w:val="18"/>
                    </w:rPr>
                    <w:t>34.187604</w:t>
                  </w:r>
                  <w:r>
                    <w:rPr>
                      <w:rFonts w:hint="default" w:ascii="Times New Roman" w:hAnsi="Times New Roman" w:eastAsia="宋体" w:cs="Times New Roman"/>
                      <w:b w:val="0"/>
                      <w:bCs/>
                      <w:color w:val="auto"/>
                      <w:sz w:val="18"/>
                      <w:szCs w:val="18"/>
                      <w:lang w:val="en-US" w:eastAsia="zh-CN"/>
                    </w:rPr>
                    <w:t xml:space="preserve">                                                          </w:t>
                  </w:r>
                </w:p>
              </w:tc>
              <w:tc>
                <w:tcPr>
                  <w:tcW w:w="516"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444</w:t>
                  </w:r>
                </w:p>
              </w:tc>
              <w:tc>
                <w:tcPr>
                  <w:tcW w:w="415"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30</w:t>
                  </w:r>
                </w:p>
              </w:tc>
              <w:tc>
                <w:tcPr>
                  <w:tcW w:w="512"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15</w:t>
                  </w:r>
                </w:p>
              </w:tc>
              <w:tc>
                <w:tcPr>
                  <w:tcW w:w="515"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0</w:t>
                  </w:r>
                </w:p>
              </w:tc>
              <w:tc>
                <w:tcPr>
                  <w:tcW w:w="466"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4</w:t>
                  </w:r>
                </w:p>
              </w:tc>
              <w:tc>
                <w:tcPr>
                  <w:tcW w:w="615"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2400</w:t>
                  </w:r>
                </w:p>
              </w:tc>
              <w:tc>
                <w:tcPr>
                  <w:tcW w:w="730"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连续</w:t>
                  </w:r>
                </w:p>
              </w:tc>
              <w:tc>
                <w:tcPr>
                  <w:tcW w:w="902"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0.045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3" w:hRule="atLeast"/>
                <w:jc w:val="center"/>
              </w:trPr>
              <w:tc>
                <w:tcPr>
                  <w:tcW w:w="417" w:type="dxa"/>
                  <w:vMerge w:val="continue"/>
                  <w:noWrap w:val="0"/>
                  <w:vAlign w:val="center"/>
                </w:tcPr>
                <w:p>
                  <w:pPr>
                    <w:pStyle w:val="71"/>
                    <w:adjustRightInd w:val="0"/>
                    <w:snapToGrid w:val="0"/>
                    <w:spacing w:beforeLines="0"/>
                    <w:rPr>
                      <w:rFonts w:hint="default" w:ascii="Times New Roman" w:hAnsi="Times New Roman" w:eastAsia="宋体" w:cs="Times New Roman"/>
                      <w:b w:val="0"/>
                      <w:bCs/>
                      <w:color w:val="auto"/>
                      <w:lang w:eastAsia="zh-CN"/>
                    </w:rPr>
                  </w:pPr>
                </w:p>
              </w:tc>
              <w:tc>
                <w:tcPr>
                  <w:tcW w:w="636" w:type="dxa"/>
                  <w:noWrap w:val="0"/>
                  <w:vAlign w:val="center"/>
                </w:tcPr>
                <w:p>
                  <w:pPr>
                    <w:pStyle w:val="71"/>
                    <w:adjustRightInd w:val="0"/>
                    <w:snapToGrid w:val="0"/>
                    <w:spacing w:beforeLines="0"/>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M2</w:t>
                  </w:r>
                </w:p>
              </w:tc>
              <w:tc>
                <w:tcPr>
                  <w:tcW w:w="692" w:type="dxa"/>
                  <w:noWrap w:val="0"/>
                  <w:vAlign w:val="center"/>
                </w:tcPr>
                <w:p>
                  <w:pPr>
                    <w:pStyle w:val="71"/>
                    <w:adjustRightInd w:val="0"/>
                    <w:snapToGrid w:val="0"/>
                    <w:spacing w:beforeLines="0"/>
                    <w:rPr>
                      <w:rFonts w:hint="default" w:ascii="Times New Roman" w:hAnsi="Times New Roman" w:eastAsia="宋体" w:cs="Times New Roman"/>
                      <w:b w:val="0"/>
                      <w:bCs/>
                      <w:color w:val="auto"/>
                      <w:lang w:eastAsia="zh-CN"/>
                    </w:rPr>
                  </w:pPr>
                  <w:r>
                    <w:rPr>
                      <w:rFonts w:hint="eastAsia" w:ascii="Times New Roman" w:hAnsi="Times New Roman" w:eastAsia="宋体" w:cs="Times New Roman"/>
                      <w:b w:val="0"/>
                      <w:bCs/>
                      <w:color w:val="auto"/>
                      <w:lang w:eastAsia="zh-CN"/>
                    </w:rPr>
                    <w:t>手工粘合</w:t>
                  </w:r>
                </w:p>
              </w:tc>
              <w:tc>
                <w:tcPr>
                  <w:tcW w:w="1280"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lang w:val="en-US" w:eastAsia="zh-CN"/>
                    </w:rPr>
                    <w:t>E</w:t>
                  </w:r>
                  <w:r>
                    <w:rPr>
                      <w:rFonts w:hint="default" w:ascii="Times New Roman" w:hAnsi="Times New Roman" w:eastAsia="宋体" w:cs="Times New Roman"/>
                      <w:b w:val="0"/>
                      <w:bCs/>
                      <w:color w:val="auto"/>
                      <w:sz w:val="18"/>
                      <w:szCs w:val="18"/>
                    </w:rPr>
                    <w:t>109.060754</w:t>
                  </w:r>
                </w:p>
              </w:tc>
              <w:tc>
                <w:tcPr>
                  <w:tcW w:w="1204"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N34.187515</w:t>
                  </w:r>
                </w:p>
              </w:tc>
              <w:tc>
                <w:tcPr>
                  <w:tcW w:w="516"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445</w:t>
                  </w:r>
                </w:p>
              </w:tc>
              <w:tc>
                <w:tcPr>
                  <w:tcW w:w="415"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30</w:t>
                  </w:r>
                </w:p>
              </w:tc>
              <w:tc>
                <w:tcPr>
                  <w:tcW w:w="512"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20</w:t>
                  </w:r>
                </w:p>
              </w:tc>
              <w:tc>
                <w:tcPr>
                  <w:tcW w:w="515"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0</w:t>
                  </w:r>
                </w:p>
              </w:tc>
              <w:tc>
                <w:tcPr>
                  <w:tcW w:w="466"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4</w:t>
                  </w:r>
                </w:p>
              </w:tc>
              <w:tc>
                <w:tcPr>
                  <w:tcW w:w="615"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2400</w:t>
                  </w:r>
                </w:p>
              </w:tc>
              <w:tc>
                <w:tcPr>
                  <w:tcW w:w="730"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lang w:eastAsia="zh-CN"/>
                    </w:rPr>
                  </w:pPr>
                  <w:r>
                    <w:rPr>
                      <w:rFonts w:hint="default" w:ascii="Times New Roman" w:hAnsi="Times New Roman" w:eastAsia="宋体" w:cs="Times New Roman"/>
                      <w:b w:val="0"/>
                      <w:bCs/>
                      <w:color w:val="auto"/>
                      <w:sz w:val="18"/>
                      <w:szCs w:val="18"/>
                      <w:lang w:eastAsia="zh-CN"/>
                    </w:rPr>
                    <w:t>连续</w:t>
                  </w:r>
                </w:p>
              </w:tc>
              <w:tc>
                <w:tcPr>
                  <w:tcW w:w="902" w:type="dxa"/>
                  <w:noWrap w:val="0"/>
                  <w:vAlign w:val="center"/>
                </w:tcPr>
                <w:p>
                  <w:pPr>
                    <w:pStyle w:val="71"/>
                    <w:adjustRightInd w:val="0"/>
                    <w:snapToGrid w:val="0"/>
                    <w:spacing w:beforeLines="0"/>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b w:val="0"/>
                      <w:bCs/>
                      <w:color w:val="auto"/>
                      <w:sz w:val="18"/>
                      <w:szCs w:val="18"/>
                      <w:lang w:val="en-US" w:eastAsia="zh-CN"/>
                    </w:rPr>
                    <w:t>0.005</w:t>
                  </w:r>
                </w:p>
              </w:tc>
            </w:tr>
          </w:tbl>
          <w:p>
            <w:pPr>
              <w:pStyle w:val="9"/>
              <w:keepNext w:val="0"/>
              <w:keepLines w:val="0"/>
              <w:pageBreakBefore w:val="0"/>
              <w:widowControl w:val="0"/>
              <w:kinsoku/>
              <w:wordWrap/>
              <w:overflowPunct/>
              <w:topLinePunct w:val="0"/>
              <w:autoSpaceDE/>
              <w:autoSpaceDN/>
              <w:bidi w:val="0"/>
              <w:adjustRightInd/>
              <w:snapToGrid/>
              <w:spacing w:before="164" w:beforeLines="5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 xml:space="preserve">7-6 </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无组织非甲烷总烃</w:t>
            </w:r>
            <w:r>
              <w:rPr>
                <w:rFonts w:hint="default" w:ascii="Times New Roman" w:hAnsi="Times New Roman" w:eastAsia="宋体" w:cs="Times New Roman"/>
                <w:b/>
                <w:bCs/>
                <w:color w:val="auto"/>
                <w:sz w:val="21"/>
                <w:szCs w:val="21"/>
                <w:highlight w:val="none"/>
              </w:rPr>
              <w:t>估算模式计算结果</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
            <w:tblGrid>
              <w:gridCol w:w="2054"/>
              <w:gridCol w:w="1616"/>
              <w:gridCol w:w="1653"/>
              <w:gridCol w:w="1749"/>
              <w:gridCol w:w="175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5" w:type="dxa"/>
                  <w:left w:w="15" w:type="dxa"/>
                  <w:bottom w:w="15" w:type="dxa"/>
                  <w:right w:w="15" w:type="dxa"/>
                </w:tblCellMar>
              </w:tblPrEx>
              <w:trPr>
                <w:trHeight w:val="339" w:hRule="atLeast"/>
                <w:jc w:val="center"/>
              </w:trPr>
              <w:tc>
                <w:tcPr>
                  <w:tcW w:w="2054" w:type="dxa"/>
                  <w:vMerge w:val="restart"/>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距源中心下风向距离D（m）</w:t>
                  </w:r>
                </w:p>
              </w:tc>
              <w:tc>
                <w:tcPr>
                  <w:tcW w:w="3269" w:type="dxa"/>
                  <w:gridSpan w:val="2"/>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auto"/>
                      <w:kern w:val="0"/>
                      <w:sz w:val="21"/>
                      <w:szCs w:val="21"/>
                      <w:lang w:val="en-US" w:eastAsia="zh-CN" w:bidi="ar"/>
                    </w:rPr>
                  </w:pPr>
                  <w:r>
                    <w:rPr>
                      <w:rFonts w:hint="default" w:ascii="Times New Roman" w:hAnsi="Times New Roman" w:cs="Times New Roman"/>
                      <w:bCs/>
                      <w:color w:val="auto"/>
                      <w:kern w:val="0"/>
                      <w:sz w:val="21"/>
                      <w:szCs w:val="21"/>
                      <w:lang w:val="en-US" w:eastAsia="zh-CN" w:bidi="ar"/>
                    </w:rPr>
                    <w:t>M1</w:t>
                  </w:r>
                </w:p>
              </w:tc>
              <w:tc>
                <w:tcPr>
                  <w:tcW w:w="3499" w:type="dxa"/>
                  <w:gridSpan w:val="2"/>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auto"/>
                      <w:kern w:val="0"/>
                      <w:sz w:val="21"/>
                      <w:szCs w:val="21"/>
                      <w:lang w:val="en-US" w:eastAsia="zh-CN" w:bidi="ar"/>
                    </w:rPr>
                  </w:pPr>
                  <w:r>
                    <w:rPr>
                      <w:rFonts w:hint="default" w:ascii="Times New Roman" w:hAnsi="Times New Roman" w:cs="Times New Roman"/>
                      <w:bCs/>
                      <w:color w:val="auto"/>
                      <w:kern w:val="0"/>
                      <w:sz w:val="21"/>
                      <w:szCs w:val="21"/>
                      <w:lang w:val="en-US" w:eastAsia="zh-CN" w:bidi="ar"/>
                    </w:rPr>
                    <w:t>M2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5" w:type="dxa"/>
                  <w:left w:w="15" w:type="dxa"/>
                  <w:bottom w:w="15" w:type="dxa"/>
                  <w:right w:w="15" w:type="dxa"/>
                </w:tblCellMar>
              </w:tblPrEx>
              <w:trPr>
                <w:trHeight w:val="395" w:hRule="atLeast"/>
                <w:jc w:val="center"/>
              </w:trPr>
              <w:tc>
                <w:tcPr>
                  <w:tcW w:w="2054" w:type="dxa"/>
                  <w:vMerge w:val="continue"/>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auto"/>
                      <w:sz w:val="21"/>
                      <w:szCs w:val="21"/>
                    </w:rPr>
                  </w:pPr>
                </w:p>
              </w:tc>
              <w:tc>
                <w:tcPr>
                  <w:tcW w:w="1616"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auto"/>
                      <w:kern w:val="0"/>
                      <w:sz w:val="21"/>
                      <w:szCs w:val="21"/>
                      <w:lang w:bidi="ar"/>
                    </w:rPr>
                  </w:pPr>
                  <w:r>
                    <w:rPr>
                      <w:rFonts w:hint="default" w:ascii="Times New Roman" w:hAnsi="Times New Roman" w:cs="Times New Roman"/>
                      <w:bCs/>
                      <w:color w:val="auto"/>
                      <w:kern w:val="0"/>
                      <w:sz w:val="21"/>
                      <w:szCs w:val="21"/>
                      <w:lang w:bidi="ar"/>
                    </w:rPr>
                    <w:t>浓度（µg/m</w:t>
                  </w:r>
                  <w:r>
                    <w:rPr>
                      <w:rFonts w:hint="default" w:ascii="Times New Roman" w:hAnsi="Times New Roman" w:cs="Times New Roman"/>
                      <w:bCs/>
                      <w:color w:val="auto"/>
                      <w:kern w:val="0"/>
                      <w:sz w:val="21"/>
                      <w:szCs w:val="21"/>
                      <w:vertAlign w:val="superscript"/>
                      <w:lang w:bidi="ar"/>
                    </w:rPr>
                    <w:t>3</w:t>
                  </w:r>
                  <w:r>
                    <w:rPr>
                      <w:rFonts w:hint="default" w:ascii="Times New Roman" w:hAnsi="Times New Roman" w:cs="Times New Roman"/>
                      <w:bCs/>
                      <w:color w:val="auto"/>
                      <w:kern w:val="0"/>
                      <w:sz w:val="21"/>
                      <w:szCs w:val="21"/>
                      <w:lang w:bidi="ar"/>
                    </w:rPr>
                    <w:t>）</w:t>
                  </w:r>
                </w:p>
              </w:tc>
              <w:tc>
                <w:tcPr>
                  <w:tcW w:w="1653"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auto"/>
                      <w:kern w:val="0"/>
                      <w:sz w:val="21"/>
                      <w:szCs w:val="21"/>
                      <w:lang w:bidi="ar"/>
                    </w:rPr>
                  </w:pPr>
                  <w:r>
                    <w:rPr>
                      <w:rFonts w:hint="default" w:ascii="Times New Roman" w:hAnsi="Times New Roman" w:cs="Times New Roman"/>
                      <w:bCs/>
                      <w:color w:val="auto"/>
                      <w:kern w:val="0"/>
                      <w:sz w:val="21"/>
                      <w:szCs w:val="21"/>
                      <w:lang w:bidi="ar"/>
                    </w:rPr>
                    <w:t>占标率（%）</w:t>
                  </w:r>
                </w:p>
              </w:tc>
              <w:tc>
                <w:tcPr>
                  <w:tcW w:w="1749"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auto"/>
                      <w:kern w:val="0"/>
                      <w:sz w:val="21"/>
                      <w:szCs w:val="21"/>
                      <w:lang w:bidi="ar"/>
                    </w:rPr>
                  </w:pPr>
                  <w:r>
                    <w:rPr>
                      <w:rFonts w:hint="default" w:ascii="Times New Roman" w:hAnsi="Times New Roman" w:cs="Times New Roman"/>
                      <w:bCs/>
                      <w:color w:val="auto"/>
                      <w:kern w:val="0"/>
                      <w:sz w:val="21"/>
                      <w:szCs w:val="21"/>
                      <w:lang w:bidi="ar"/>
                    </w:rPr>
                    <w:t>浓度（µg/m</w:t>
                  </w:r>
                  <w:r>
                    <w:rPr>
                      <w:rFonts w:hint="default" w:ascii="Times New Roman" w:hAnsi="Times New Roman" w:cs="Times New Roman"/>
                      <w:bCs/>
                      <w:color w:val="auto"/>
                      <w:kern w:val="0"/>
                      <w:sz w:val="21"/>
                      <w:szCs w:val="21"/>
                      <w:vertAlign w:val="superscript"/>
                      <w:lang w:bidi="ar"/>
                    </w:rPr>
                    <w:t>3</w:t>
                  </w:r>
                  <w:r>
                    <w:rPr>
                      <w:rFonts w:hint="default" w:ascii="Times New Roman" w:hAnsi="Times New Roman" w:cs="Times New Roman"/>
                      <w:bCs/>
                      <w:color w:val="auto"/>
                      <w:kern w:val="0"/>
                      <w:sz w:val="21"/>
                      <w:szCs w:val="21"/>
                      <w:lang w:bidi="ar"/>
                    </w:rPr>
                    <w:t>）</w:t>
                  </w:r>
                </w:p>
              </w:tc>
              <w:tc>
                <w:tcPr>
                  <w:tcW w:w="1750"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Cs/>
                      <w:color w:val="auto"/>
                      <w:kern w:val="0"/>
                      <w:sz w:val="21"/>
                      <w:szCs w:val="21"/>
                      <w:lang w:bidi="ar"/>
                    </w:rPr>
                  </w:pPr>
                  <w:r>
                    <w:rPr>
                      <w:rFonts w:hint="default" w:ascii="Times New Roman" w:hAnsi="Times New Roman" w:cs="Times New Roman"/>
                      <w:bCs/>
                      <w:color w:val="auto"/>
                      <w:kern w:val="0"/>
                      <w:sz w:val="21"/>
                      <w:szCs w:val="21"/>
                      <w:lang w:bidi="ar"/>
                    </w:rPr>
                    <w:t>占标率（%）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5" w:type="dxa"/>
                  <w:left w:w="15" w:type="dxa"/>
                  <w:bottom w:w="15" w:type="dxa"/>
                  <w:right w:w="15" w:type="dxa"/>
                </w:tblCellMar>
              </w:tblPrEx>
              <w:trPr>
                <w:trHeight w:val="415" w:hRule="atLeast"/>
                <w:jc w:val="center"/>
              </w:trPr>
              <w:tc>
                <w:tcPr>
                  <w:tcW w:w="2054"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kern w:val="0"/>
                      <w:sz w:val="21"/>
                      <w:szCs w:val="21"/>
                    </w:rPr>
                    <w:t>下风向最大质量浓度及占标率/%</w:t>
                  </w:r>
                </w:p>
              </w:tc>
              <w:tc>
                <w:tcPr>
                  <w:tcW w:w="1616"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lang w:val="en-US" w:eastAsia="zh-CN"/>
                    </w:rPr>
                    <w:t>77.75</w:t>
                  </w:r>
                </w:p>
              </w:tc>
              <w:tc>
                <w:tcPr>
                  <w:tcW w:w="1653"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lang w:val="en-US" w:eastAsia="zh-CN"/>
                    </w:rPr>
                    <w:t>3.89</w:t>
                  </w:r>
                </w:p>
              </w:tc>
              <w:tc>
                <w:tcPr>
                  <w:tcW w:w="1749"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73.56</w:t>
                  </w:r>
                </w:p>
              </w:tc>
              <w:tc>
                <w:tcPr>
                  <w:tcW w:w="1750"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3.68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5" w:type="dxa"/>
                  <w:left w:w="15" w:type="dxa"/>
                  <w:bottom w:w="15" w:type="dxa"/>
                  <w:right w:w="15" w:type="dxa"/>
                </w:tblCellMar>
              </w:tblPrEx>
              <w:trPr>
                <w:trHeight w:val="425" w:hRule="atLeast"/>
                <w:jc w:val="center"/>
              </w:trPr>
              <w:tc>
                <w:tcPr>
                  <w:tcW w:w="2054" w:type="dxa"/>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kern w:val="0"/>
                      <w:sz w:val="21"/>
                      <w:szCs w:val="21"/>
                    </w:rPr>
                    <w:t>D</w:t>
                  </w:r>
                  <w:r>
                    <w:rPr>
                      <w:rFonts w:hint="default" w:ascii="Times New Roman" w:hAnsi="Times New Roman" w:cs="Times New Roman"/>
                      <w:b w:val="0"/>
                      <w:bCs/>
                      <w:color w:val="auto"/>
                      <w:kern w:val="0"/>
                      <w:sz w:val="21"/>
                      <w:szCs w:val="21"/>
                      <w:vertAlign w:val="subscript"/>
                    </w:rPr>
                    <w:t>10</w:t>
                  </w:r>
                  <w:r>
                    <w:rPr>
                      <w:rFonts w:hint="default" w:ascii="Times New Roman" w:hAnsi="Times New Roman" w:cs="Times New Roman"/>
                      <w:b w:val="0"/>
                      <w:bCs/>
                      <w:color w:val="auto"/>
                      <w:kern w:val="0"/>
                      <w:sz w:val="21"/>
                      <w:szCs w:val="21"/>
                    </w:rPr>
                    <w:t>%最远距离/m</w:t>
                  </w:r>
                </w:p>
              </w:tc>
              <w:tc>
                <w:tcPr>
                  <w:tcW w:w="3269" w:type="dxa"/>
                  <w:gridSpan w:val="2"/>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90</w:t>
                  </w:r>
                </w:p>
              </w:tc>
              <w:tc>
                <w:tcPr>
                  <w:tcW w:w="3499" w:type="dxa"/>
                  <w:gridSpan w:val="2"/>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97</w:t>
                  </w:r>
                </w:p>
              </w:tc>
            </w:tr>
          </w:tbl>
          <w:p>
            <w:pPr>
              <w:keepNext w:val="0"/>
              <w:keepLines w:val="0"/>
              <w:pageBreakBefore w:val="0"/>
              <w:widowControl w:val="0"/>
              <w:kinsoku/>
              <w:wordWrap/>
              <w:overflowPunct/>
              <w:topLinePunct w:val="0"/>
              <w:autoSpaceDE/>
              <w:autoSpaceDN/>
              <w:bidi w:val="0"/>
              <w:adjustRightInd/>
              <w:snapToGrid/>
              <w:spacing w:before="164" w:beforeLines="50" w:line="360" w:lineRule="auto"/>
              <w:ind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rPr>
              <w:t>由</w:t>
            </w:r>
            <w:r>
              <w:rPr>
                <w:rFonts w:hint="default" w:ascii="Times New Roman" w:hAnsi="Times New Roman" w:cs="Times New Roman"/>
                <w:bCs/>
                <w:color w:val="auto"/>
                <w:sz w:val="24"/>
                <w:szCs w:val="24"/>
                <w:highlight w:val="none"/>
                <w:lang w:eastAsia="zh-CN"/>
              </w:rPr>
              <w:t>估算</w:t>
            </w:r>
            <w:r>
              <w:rPr>
                <w:rFonts w:hint="default" w:ascii="Times New Roman" w:hAnsi="Times New Roman" w:cs="Times New Roman"/>
                <w:bCs/>
                <w:color w:val="auto"/>
                <w:sz w:val="24"/>
                <w:szCs w:val="24"/>
                <w:highlight w:val="none"/>
              </w:rPr>
              <w:t>结果可知，本项目</w:t>
            </w:r>
            <w:r>
              <w:rPr>
                <w:rFonts w:hint="default" w:ascii="Times New Roman" w:hAnsi="Times New Roman" w:cs="Times New Roman"/>
                <w:bCs/>
                <w:color w:val="auto"/>
                <w:sz w:val="24"/>
                <w:szCs w:val="24"/>
                <w:highlight w:val="none"/>
                <w:lang w:eastAsia="zh-CN"/>
              </w:rPr>
              <w:t>印刷工艺的无组织</w:t>
            </w:r>
            <w:r>
              <w:rPr>
                <w:rFonts w:hint="default" w:ascii="Times New Roman" w:hAnsi="Times New Roman" w:cs="Times New Roman"/>
                <w:color w:val="auto"/>
                <w:sz w:val="24"/>
                <w:szCs w:val="24"/>
                <w:highlight w:val="none"/>
                <w:lang w:eastAsia="zh-CN"/>
              </w:rPr>
              <w:t>非甲烷总烃</w:t>
            </w:r>
            <w:r>
              <w:rPr>
                <w:rFonts w:hint="default" w:ascii="Times New Roman" w:hAnsi="Times New Roman" w:cs="Times New Roman"/>
                <w:bCs/>
                <w:color w:val="auto"/>
                <w:sz w:val="24"/>
                <w:szCs w:val="24"/>
                <w:highlight w:val="none"/>
              </w:rPr>
              <w:t>最大占标率为</w:t>
            </w:r>
            <w:r>
              <w:rPr>
                <w:rFonts w:hint="default" w:ascii="Times New Roman" w:hAnsi="Times New Roman" w:cs="Times New Roman"/>
                <w:bCs/>
                <w:color w:val="auto"/>
                <w:sz w:val="24"/>
                <w:szCs w:val="24"/>
                <w:highlight w:val="none"/>
                <w:lang w:val="en-US" w:eastAsia="zh-CN"/>
              </w:rPr>
              <w:t>3.89</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eastAsia="zh-CN"/>
              </w:rPr>
              <w:t>最大落地浓度为</w:t>
            </w:r>
            <w:r>
              <w:rPr>
                <w:rFonts w:hint="default" w:ascii="Times New Roman" w:hAnsi="Times New Roman" w:cs="Times New Roman"/>
                <w:bCs/>
                <w:color w:val="auto"/>
                <w:sz w:val="24"/>
                <w:szCs w:val="24"/>
                <w:highlight w:val="none"/>
                <w:lang w:val="en-US" w:eastAsia="zh-CN"/>
              </w:rPr>
              <w:t>77.75</w:t>
            </w:r>
            <w:r>
              <w:rPr>
                <w:rFonts w:hint="default" w:ascii="Times New Roman" w:hAnsi="Times New Roman" w:cs="Times New Roman"/>
                <w:bCs/>
                <w:color w:val="auto"/>
                <w:kern w:val="0"/>
                <w:szCs w:val="21"/>
                <w:highlight w:val="none"/>
                <w:lang w:bidi="ar"/>
              </w:rPr>
              <w:t>µg</w:t>
            </w:r>
            <w:r>
              <w:rPr>
                <w:rFonts w:hint="default" w:ascii="Times New Roman" w:hAnsi="Times New Roman" w:cs="Times New Roman"/>
                <w:bCs/>
                <w:color w:val="auto"/>
                <w:sz w:val="24"/>
                <w:szCs w:val="24"/>
                <w:highlight w:val="none"/>
              </w:rPr>
              <w:t>/m</w:t>
            </w:r>
            <w:r>
              <w:rPr>
                <w:rFonts w:hint="default" w:ascii="Times New Roman" w:hAnsi="Times New Roman" w:cs="Times New Roman"/>
                <w:bCs/>
                <w:color w:val="auto"/>
                <w:sz w:val="24"/>
                <w:szCs w:val="24"/>
                <w:highlight w:val="none"/>
                <w:vertAlign w:val="superscript"/>
              </w:rPr>
              <w:t>3</w:t>
            </w:r>
            <w:r>
              <w:rPr>
                <w:rFonts w:hint="default" w:ascii="Times New Roman" w:hAnsi="Times New Roman" w:cs="Times New Roman"/>
                <w:bCs/>
                <w:color w:val="auto"/>
                <w:sz w:val="24"/>
                <w:szCs w:val="24"/>
                <w:highlight w:val="none"/>
                <w:lang w:eastAsia="zh-CN"/>
              </w:rPr>
              <w:t>；</w:t>
            </w:r>
            <w:r>
              <w:rPr>
                <w:rFonts w:hint="eastAsia" w:ascii="Times New Roman" w:hAnsi="Times New Roman" w:cs="Times New Roman"/>
                <w:bCs/>
                <w:color w:val="auto"/>
                <w:sz w:val="24"/>
                <w:szCs w:val="24"/>
                <w:highlight w:val="none"/>
                <w:lang w:eastAsia="zh-CN"/>
              </w:rPr>
              <w:t>手工粘合</w:t>
            </w:r>
            <w:r>
              <w:rPr>
                <w:rFonts w:hint="default" w:ascii="Times New Roman" w:hAnsi="Times New Roman" w:cs="Times New Roman"/>
                <w:bCs/>
                <w:color w:val="auto"/>
                <w:sz w:val="24"/>
                <w:szCs w:val="24"/>
                <w:highlight w:val="none"/>
                <w:lang w:eastAsia="zh-CN"/>
              </w:rPr>
              <w:t>阶段产生的无组织非甲烷总烃最大占标率为</w:t>
            </w:r>
            <w:r>
              <w:rPr>
                <w:rFonts w:hint="default" w:ascii="Times New Roman" w:hAnsi="Times New Roman" w:cs="Times New Roman"/>
                <w:bCs/>
                <w:color w:val="auto"/>
                <w:sz w:val="24"/>
                <w:szCs w:val="24"/>
                <w:highlight w:val="none"/>
                <w:lang w:val="en-US" w:eastAsia="zh-CN"/>
              </w:rPr>
              <w:t>3.68%，最大落地浓度为73.56</w:t>
            </w:r>
            <w:r>
              <w:rPr>
                <w:rFonts w:hint="default" w:ascii="Times New Roman" w:hAnsi="Times New Roman" w:cs="Times New Roman"/>
                <w:bCs/>
                <w:color w:val="auto"/>
                <w:kern w:val="0"/>
                <w:szCs w:val="21"/>
                <w:highlight w:val="none"/>
                <w:lang w:bidi="ar"/>
              </w:rPr>
              <w:t>µg</w:t>
            </w:r>
            <w:r>
              <w:rPr>
                <w:rFonts w:hint="default" w:ascii="Times New Roman" w:hAnsi="Times New Roman" w:cs="Times New Roman"/>
                <w:bCs/>
                <w:color w:val="auto"/>
                <w:sz w:val="24"/>
                <w:szCs w:val="24"/>
                <w:highlight w:val="none"/>
              </w:rPr>
              <w:t>/m</w:t>
            </w:r>
            <w:r>
              <w:rPr>
                <w:rFonts w:hint="default" w:ascii="Times New Roman" w:hAnsi="Times New Roman" w:cs="Times New Roman"/>
                <w:bCs/>
                <w:color w:val="auto"/>
                <w:sz w:val="24"/>
                <w:szCs w:val="24"/>
                <w:highlight w:val="none"/>
                <w:vertAlign w:val="superscript"/>
              </w:rPr>
              <w:t>3</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最大落地浓度</w:t>
            </w:r>
            <w:r>
              <w:rPr>
                <w:rFonts w:hint="default" w:ascii="Times New Roman" w:hAnsi="Times New Roman" w:cs="Times New Roman"/>
                <w:bCs/>
                <w:color w:val="auto"/>
                <w:sz w:val="24"/>
                <w:szCs w:val="24"/>
                <w:highlight w:val="none"/>
                <w:lang w:eastAsia="zh-CN"/>
              </w:rPr>
              <w:t>均</w:t>
            </w:r>
            <w:r>
              <w:rPr>
                <w:rFonts w:hint="default" w:ascii="Times New Roman" w:hAnsi="Times New Roman" w:cs="Times New Roman"/>
                <w:bCs/>
                <w:color w:val="auto"/>
                <w:sz w:val="24"/>
                <w:szCs w:val="24"/>
                <w:highlight w:val="none"/>
              </w:rPr>
              <w:t>低于</w:t>
            </w:r>
            <w:r>
              <w:rPr>
                <w:rFonts w:hint="default" w:ascii="Times New Roman" w:hAnsi="Times New Roman" w:cs="Times New Roman"/>
                <w:color w:val="auto"/>
              </w:rPr>
              <w:t>《</w:t>
            </w:r>
            <w:r>
              <w:rPr>
                <w:rFonts w:hint="default" w:ascii="Times New Roman" w:hAnsi="Times New Roman" w:cs="Times New Roman"/>
                <w:color w:val="auto"/>
                <w:lang w:eastAsia="zh-CN"/>
              </w:rPr>
              <w:t>挥发性有机物排放控制标准</w:t>
            </w:r>
            <w:r>
              <w:rPr>
                <w:rFonts w:hint="default" w:ascii="Times New Roman" w:hAnsi="Times New Roman" w:cs="Times New Roman"/>
                <w:color w:val="auto"/>
              </w:rPr>
              <w:t>》（</w:t>
            </w:r>
            <w:r>
              <w:rPr>
                <w:rFonts w:hint="default" w:ascii="Times New Roman" w:hAnsi="Times New Roman" w:cs="Times New Roman"/>
                <w:color w:val="auto"/>
                <w:lang w:val="en-US" w:eastAsia="zh-CN"/>
              </w:rPr>
              <w:t>DB61/T1061-2017</w:t>
            </w:r>
            <w:r>
              <w:rPr>
                <w:rFonts w:hint="default" w:ascii="Times New Roman" w:hAnsi="Times New Roman" w:cs="Times New Roman"/>
                <w:color w:val="auto"/>
              </w:rPr>
              <w:t>）</w:t>
            </w:r>
            <w:r>
              <w:rPr>
                <w:rFonts w:hint="default" w:ascii="Times New Roman" w:hAnsi="Times New Roman" w:cs="Times New Roman"/>
                <w:color w:val="auto"/>
                <w:lang w:val="en-US" w:eastAsia="zh-CN"/>
              </w:rPr>
              <w:t>表3中的企业边界监控点浓度限值</w:t>
            </w:r>
            <w:r>
              <w:rPr>
                <w:rFonts w:hint="default" w:ascii="Times New Roman" w:hAnsi="Times New Roman" w:cs="Times New Roman"/>
                <w:bCs/>
                <w:color w:val="auto"/>
                <w:sz w:val="24"/>
                <w:szCs w:val="24"/>
                <w:highlight w:val="none"/>
                <w:lang w:val="en-US" w:eastAsia="zh-CN"/>
              </w:rPr>
              <w:t>，可以达标排放，对周围环境影响较小。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rPr>
              <w:t>根据《环境影响评价技术导则大气环境》（HJ 2.2-2018）可知，</w:t>
            </w:r>
            <w:r>
              <w:rPr>
                <w:rFonts w:hint="default" w:ascii="Times New Roman" w:hAnsi="Times New Roman" w:cs="Times New Roman"/>
                <w:bCs/>
                <w:color w:val="auto"/>
                <w:sz w:val="24"/>
                <w:szCs w:val="24"/>
                <w:highlight w:val="none"/>
                <w:lang w:eastAsia="zh-CN"/>
              </w:rPr>
              <w:t>本项目无组织非甲烷总烃为二级评价，二</w:t>
            </w:r>
            <w:r>
              <w:rPr>
                <w:rFonts w:hint="default" w:ascii="Times New Roman" w:hAnsi="Times New Roman" w:cs="Times New Roman"/>
                <w:bCs/>
                <w:color w:val="auto"/>
                <w:sz w:val="24"/>
                <w:szCs w:val="24"/>
                <w:highlight w:val="none"/>
              </w:rPr>
              <w:t>级评价项目环境影响较小，不进行进一步预测与评价</w:t>
            </w:r>
            <w:r>
              <w:rPr>
                <w:rFonts w:hint="default" w:ascii="Times New Roman" w:hAnsi="Times New Roman" w:cs="Times New Roman"/>
                <w:bCs/>
                <w:color w:val="auto"/>
                <w:sz w:val="24"/>
                <w:szCs w:val="24"/>
                <w:highlight w:val="none"/>
                <w:lang w:eastAsia="zh-CN"/>
              </w:rPr>
              <w:t>，只对污染物排放量进行核算，项目无组织非甲烷总烃排放量核算表见下表。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表7-7  大气污染物无组织排放量核算表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493"/>
              <w:gridCol w:w="853"/>
              <w:gridCol w:w="1207"/>
              <w:gridCol w:w="857"/>
              <w:gridCol w:w="855"/>
              <w:gridCol w:w="2286"/>
              <w:gridCol w:w="1361"/>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493" w:type="dxa"/>
                  <w:vMerge w:val="restar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序号</w:t>
                  </w:r>
                </w:p>
              </w:tc>
              <w:tc>
                <w:tcPr>
                  <w:tcW w:w="853" w:type="dxa"/>
                  <w:vMerge w:val="restar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排放口编号</w:t>
                  </w:r>
                </w:p>
              </w:tc>
              <w:tc>
                <w:tcPr>
                  <w:tcW w:w="1207" w:type="dxa"/>
                  <w:vMerge w:val="restar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产污环节</w:t>
                  </w:r>
                </w:p>
              </w:tc>
              <w:tc>
                <w:tcPr>
                  <w:tcW w:w="857" w:type="dxa"/>
                  <w:vMerge w:val="restar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污染物</w:t>
                  </w:r>
                </w:p>
              </w:tc>
              <w:tc>
                <w:tcPr>
                  <w:tcW w:w="855" w:type="dxa"/>
                  <w:vMerge w:val="restar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主要污染防治措施</w:t>
                  </w:r>
                </w:p>
              </w:tc>
              <w:tc>
                <w:tcPr>
                  <w:tcW w:w="3647" w:type="dxa"/>
                  <w:gridSpan w:val="2"/>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国家或地方污染物排放标准</w:t>
                  </w:r>
                </w:p>
              </w:tc>
              <w:tc>
                <w:tcPr>
                  <w:tcW w:w="901" w:type="dxa"/>
                  <w:vMerge w:val="restar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493" w:type="dxa"/>
                  <w:vMerge w:val="continue"/>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p>
              </w:tc>
              <w:tc>
                <w:tcPr>
                  <w:tcW w:w="853" w:type="dxa"/>
                  <w:vMerge w:val="continue"/>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p>
              </w:tc>
              <w:tc>
                <w:tcPr>
                  <w:tcW w:w="1207" w:type="dxa"/>
                  <w:vMerge w:val="continue"/>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p>
              </w:tc>
              <w:tc>
                <w:tcPr>
                  <w:tcW w:w="857" w:type="dxa"/>
                  <w:vMerge w:val="continue"/>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p>
              </w:tc>
              <w:tc>
                <w:tcPr>
                  <w:tcW w:w="855" w:type="dxa"/>
                  <w:vMerge w:val="continue"/>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p>
              </w:tc>
              <w:tc>
                <w:tcPr>
                  <w:tcW w:w="2286"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标准名称</w:t>
                  </w:r>
                </w:p>
              </w:tc>
              <w:tc>
                <w:tcPr>
                  <w:tcW w:w="1361"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浓度限值（</w:t>
                  </w:r>
                  <w:r>
                    <w:rPr>
                      <w:rFonts w:hint="default" w:ascii="Times New Roman" w:hAnsi="Times New Roman" w:cs="Times New Roman"/>
                      <w:bCs/>
                      <w:color w:val="auto"/>
                      <w:kern w:val="0"/>
                      <w:sz w:val="21"/>
                      <w:szCs w:val="21"/>
                      <w:lang w:val="en-US" w:eastAsia="zh-CN" w:bidi="ar"/>
                    </w:rPr>
                    <w:t>m</w:t>
                  </w:r>
                  <w:r>
                    <w:rPr>
                      <w:rFonts w:hint="default" w:ascii="Times New Roman" w:hAnsi="Times New Roman" w:cs="Times New Roman"/>
                      <w:bCs/>
                      <w:color w:val="auto"/>
                      <w:kern w:val="0"/>
                      <w:sz w:val="21"/>
                      <w:szCs w:val="21"/>
                      <w:lang w:bidi="ar"/>
                    </w:rPr>
                    <w:t>g/m</w:t>
                  </w:r>
                  <w:r>
                    <w:rPr>
                      <w:rFonts w:hint="default" w:ascii="Times New Roman" w:hAnsi="Times New Roman" w:cs="Times New Roman"/>
                      <w:bCs/>
                      <w:color w:val="auto"/>
                      <w:kern w:val="0"/>
                      <w:sz w:val="21"/>
                      <w:szCs w:val="21"/>
                      <w:vertAlign w:val="superscript"/>
                      <w:lang w:bidi="ar"/>
                    </w:rPr>
                    <w:t>3</w:t>
                  </w:r>
                  <w:r>
                    <w:rPr>
                      <w:rFonts w:hint="default" w:ascii="Times New Roman" w:hAnsi="Times New Roman" w:cs="Times New Roman"/>
                      <w:bCs/>
                      <w:color w:val="auto"/>
                      <w:sz w:val="21"/>
                      <w:szCs w:val="21"/>
                      <w:highlight w:val="none"/>
                      <w:vertAlign w:val="baseline"/>
                      <w:lang w:val="en-US" w:eastAsia="zh-CN"/>
                    </w:rPr>
                    <w:t>）</w:t>
                  </w:r>
                </w:p>
              </w:tc>
              <w:tc>
                <w:tcPr>
                  <w:tcW w:w="901" w:type="dxa"/>
                  <w:vMerge w:val="continue"/>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493"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1</w:t>
                  </w:r>
                </w:p>
              </w:tc>
              <w:tc>
                <w:tcPr>
                  <w:tcW w:w="853"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M1</w:t>
                  </w:r>
                </w:p>
              </w:tc>
              <w:tc>
                <w:tcPr>
                  <w:tcW w:w="1207"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印刷环节</w:t>
                  </w:r>
                </w:p>
              </w:tc>
              <w:tc>
                <w:tcPr>
                  <w:tcW w:w="857"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非甲烷总烃</w:t>
                  </w:r>
                </w:p>
              </w:tc>
              <w:tc>
                <w:tcPr>
                  <w:tcW w:w="855" w:type="dxa"/>
                  <w:vMerge w:val="restar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保持车间通风</w:t>
                  </w:r>
                </w:p>
              </w:tc>
              <w:tc>
                <w:tcPr>
                  <w:tcW w:w="2286" w:type="dxa"/>
                  <w:vMerge w:val="restar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vertAlign w:val="baseline"/>
                      <w:lang w:eastAsia="zh-CN"/>
                    </w:rPr>
                    <w:t>《挥发性有机物排放控制标准》（</w:t>
                  </w:r>
                  <w:r>
                    <w:rPr>
                      <w:rFonts w:hint="default" w:ascii="Times New Roman" w:hAnsi="Times New Roman" w:cs="Times New Roman"/>
                      <w:color w:val="auto"/>
                      <w:sz w:val="21"/>
                      <w:szCs w:val="21"/>
                      <w:vertAlign w:val="baseline"/>
                      <w:lang w:val="en-US" w:eastAsia="zh-CN"/>
                    </w:rPr>
                    <w:t>DB61/T1061-2017</w:t>
                  </w:r>
                  <w:r>
                    <w:rPr>
                      <w:rFonts w:hint="default" w:ascii="Times New Roman" w:hAnsi="Times New Roman" w:cs="Times New Roman"/>
                      <w:color w:val="auto"/>
                      <w:sz w:val="21"/>
                      <w:szCs w:val="21"/>
                      <w:vertAlign w:val="baseline"/>
                      <w:lang w:eastAsia="zh-CN"/>
                    </w:rPr>
                    <w:t>）边界监控点浓度限值</w:t>
                  </w:r>
                </w:p>
              </w:tc>
              <w:tc>
                <w:tcPr>
                  <w:tcW w:w="1361" w:type="dxa"/>
                  <w:vMerge w:val="restar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3.0</w:t>
                  </w:r>
                </w:p>
              </w:tc>
              <w:tc>
                <w:tcPr>
                  <w:tcW w:w="901"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493"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2</w:t>
                  </w:r>
                </w:p>
              </w:tc>
              <w:tc>
                <w:tcPr>
                  <w:tcW w:w="853"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M2</w:t>
                  </w:r>
                </w:p>
              </w:tc>
              <w:tc>
                <w:tcPr>
                  <w:tcW w:w="1207"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手工粘合</w:t>
                  </w:r>
                </w:p>
              </w:tc>
              <w:tc>
                <w:tcPr>
                  <w:tcW w:w="857"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非甲烷总烃</w:t>
                  </w:r>
                </w:p>
              </w:tc>
              <w:tc>
                <w:tcPr>
                  <w:tcW w:w="855" w:type="dxa"/>
                  <w:vMerge w:val="continue"/>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p>
              </w:tc>
              <w:tc>
                <w:tcPr>
                  <w:tcW w:w="2286" w:type="dxa"/>
                  <w:vMerge w:val="continue"/>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p>
              </w:tc>
              <w:tc>
                <w:tcPr>
                  <w:tcW w:w="1361" w:type="dxa"/>
                  <w:vMerge w:val="continue"/>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p>
              </w:tc>
              <w:tc>
                <w:tcPr>
                  <w:tcW w:w="901"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8813" w:type="dxa"/>
                  <w:gridSpan w:val="8"/>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7" w:hRule="atLeast"/>
              </w:trPr>
              <w:tc>
                <w:tcPr>
                  <w:tcW w:w="3410" w:type="dxa"/>
                  <w:gridSpan w:val="4"/>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无组织排放总计</w:t>
                  </w:r>
                </w:p>
              </w:tc>
              <w:tc>
                <w:tcPr>
                  <w:tcW w:w="855"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非甲烷总烃</w:t>
                  </w:r>
                </w:p>
              </w:tc>
              <w:tc>
                <w:tcPr>
                  <w:tcW w:w="4548" w:type="dxa"/>
                  <w:gridSpan w:val="3"/>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0.12</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bCs/>
                <w:color w:val="auto"/>
                <w:sz w:val="24"/>
                <w:szCs w:val="24"/>
                <w:highlight w:val="none"/>
                <w:lang w:val="en-US" w:eastAsia="zh-CN"/>
              </w:rPr>
              <w:t>（3）</w:t>
            </w:r>
            <w:r>
              <w:rPr>
                <w:rFonts w:hint="default" w:ascii="Times New Roman" w:hAnsi="Times New Roman" w:cs="Times New Roman"/>
                <w:color w:val="auto"/>
                <w:lang w:val="en-US" w:eastAsia="zh-CN"/>
              </w:rPr>
              <w:t>食堂油烟</w:t>
            </w:r>
          </w:p>
          <w:p>
            <w:pPr>
              <w:pStyle w:val="20"/>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kern w:val="0"/>
                <w:sz w:val="24"/>
                <w:szCs w:val="24"/>
                <w:lang w:val="en-US" w:eastAsia="zh-CN"/>
              </w:rPr>
              <w:t>本</w:t>
            </w:r>
            <w:r>
              <w:rPr>
                <w:rFonts w:hint="default" w:ascii="Times New Roman" w:hAnsi="Times New Roman" w:cs="Times New Roman"/>
                <w:color w:val="auto"/>
                <w:sz w:val="24"/>
                <w:szCs w:val="24"/>
                <w:lang w:val="en-US" w:eastAsia="zh-CN"/>
              </w:rPr>
              <w:t>项目油烟产生浓度与产生量分别为3.4mg/m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、15.3kg/a。本项目食堂安装油烟净化器（处理效率为75%，</w:t>
            </w:r>
            <w:r>
              <w:rPr>
                <w:rFonts w:hint="default" w:ascii="Times New Roman" w:hAnsi="Times New Roman" w:cs="Times New Roman"/>
                <w:color w:val="auto"/>
                <w:sz w:val="24"/>
                <w:szCs w:val="24"/>
                <w:lang w:eastAsia="zh-CN"/>
              </w:rPr>
              <w:t>风机风量为</w:t>
            </w:r>
            <w:r>
              <w:rPr>
                <w:rFonts w:hint="default" w:ascii="Times New Roman" w:hAnsi="Times New Roman" w:cs="Times New Roman"/>
                <w:color w:val="auto"/>
                <w:sz w:val="24"/>
                <w:szCs w:val="24"/>
                <w:lang w:val="en-US" w:eastAsia="zh-CN"/>
              </w:rPr>
              <w:t>2000m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/h），经处理后油烟排放浓度与排放量分别为0.85mg/m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、3.83kg/a，最终被处理后的油烟废气经专用烟道排放。项目油烟排放浓度小于2.0mg/m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 xml:space="preserve">，满足《饮食业油烟排放标准》（GB18483-2001）中相关排放标准，对周围环境影响较小。  </w:t>
            </w:r>
          </w:p>
          <w:p>
            <w:pPr>
              <w:pStyle w:val="8"/>
              <w:numPr>
                <w:ilvl w:val="0"/>
                <w:numId w:val="0"/>
              </w:numPr>
              <w:ind w:left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地表水环境影响分析</w:t>
            </w:r>
          </w:p>
          <w:p>
            <w:pP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由工程分析可知，</w:t>
            </w:r>
            <w:r>
              <w:rPr>
                <w:rFonts w:hint="default" w:ascii="Times New Roman" w:hAnsi="Times New Roman" w:cs="Times New Roman"/>
                <w:color w:val="auto"/>
              </w:rPr>
              <w:t>本项目</w:t>
            </w:r>
            <w:r>
              <w:rPr>
                <w:rFonts w:hint="default" w:ascii="Times New Roman" w:hAnsi="Times New Roman" w:cs="Times New Roman"/>
                <w:color w:val="auto"/>
                <w:lang w:eastAsia="zh-CN"/>
              </w:rPr>
              <w:t>生产过程中无</w:t>
            </w:r>
            <w:r>
              <w:rPr>
                <w:rFonts w:hint="default" w:ascii="Times New Roman" w:hAnsi="Times New Roman" w:cs="Times New Roman"/>
                <w:color w:val="auto"/>
              </w:rPr>
              <w:t>废水</w:t>
            </w:r>
            <w:r>
              <w:rPr>
                <w:rFonts w:hint="default" w:ascii="Times New Roman" w:hAnsi="Times New Roman" w:cs="Times New Roman"/>
                <w:color w:val="auto"/>
                <w:lang w:eastAsia="zh-CN"/>
              </w:rPr>
              <w:t>产生，项目产生的废水</w:t>
            </w:r>
            <w:r>
              <w:rPr>
                <w:rFonts w:hint="default" w:ascii="Times New Roman" w:hAnsi="Times New Roman" w:cs="Times New Roman"/>
                <w:color w:val="auto"/>
              </w:rPr>
              <w:t>主要为职工生活污水</w:t>
            </w:r>
            <w:r>
              <w:rPr>
                <w:rFonts w:hint="default" w:ascii="Times New Roman" w:hAnsi="Times New Roman" w:cs="Times New Roman"/>
                <w:color w:val="auto"/>
                <w:lang w:eastAsia="zh-CN"/>
              </w:rPr>
              <w:t>和食堂的餐饮废水</w:t>
            </w:r>
            <w:r>
              <w:rPr>
                <w:rFonts w:hint="default" w:ascii="Times New Roman" w:hAnsi="Times New Roman" w:cs="Times New Roman"/>
                <w:color w:val="auto"/>
              </w:rPr>
              <w:t>，</w:t>
            </w:r>
            <w:r>
              <w:rPr>
                <w:rFonts w:hint="default" w:ascii="Times New Roman" w:hAnsi="Times New Roman" w:cs="Times New Roman"/>
                <w:color w:val="auto"/>
                <w:lang w:eastAsia="zh-CN"/>
              </w:rPr>
              <w:t>生活污水</w:t>
            </w:r>
            <w:r>
              <w:rPr>
                <w:rFonts w:hint="default" w:ascii="Times New Roman" w:hAnsi="Times New Roman" w:cs="Times New Roman"/>
                <w:color w:val="auto"/>
              </w:rPr>
              <w:t>产生量为</w:t>
            </w:r>
            <w:r>
              <w:rPr>
                <w:rFonts w:hint="default" w:ascii="Times New Roman" w:hAnsi="Times New Roman" w:cs="Times New Roman"/>
                <w:color w:val="auto"/>
                <w:lang w:val="en-US" w:eastAsia="zh-CN"/>
              </w:rPr>
              <w:t>2.2</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lang w:val="en-US" w:eastAsia="zh-CN"/>
              </w:rPr>
              <w:t>660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r>
              <w:rPr>
                <w:rFonts w:hint="default" w:ascii="Times New Roman" w:hAnsi="Times New Roman" w:cs="Times New Roman"/>
                <w:color w:val="auto"/>
                <w:lang w:eastAsia="zh-CN"/>
              </w:rPr>
              <w:t>；食堂</w:t>
            </w:r>
            <w:r>
              <w:rPr>
                <w:rFonts w:hint="default" w:ascii="Times New Roman" w:hAnsi="Times New Roman" w:cs="Times New Roman"/>
                <w:color w:val="auto"/>
                <w:lang w:val="en-US" w:eastAsia="zh-CN"/>
              </w:rPr>
              <w:t>废水产生量为0.86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lang w:val="en-US" w:eastAsia="zh-CN"/>
              </w:rPr>
              <w:t>、258</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r>
              <w:rPr>
                <w:rFonts w:hint="default" w:ascii="Times New Roman" w:hAnsi="Times New Roman" w:cs="Times New Roman"/>
                <w:color w:val="auto"/>
                <w:lang w:eastAsia="zh-CN"/>
              </w:rPr>
              <w:t>食堂废水经隔油池后与</w:t>
            </w:r>
            <w:r>
              <w:rPr>
                <w:rFonts w:hint="default" w:ascii="Times New Roman" w:hAnsi="Times New Roman" w:cs="Times New Roman"/>
                <w:color w:val="auto"/>
              </w:rPr>
              <w:t>生活污水</w:t>
            </w:r>
            <w:r>
              <w:rPr>
                <w:rFonts w:hint="default" w:ascii="Times New Roman" w:hAnsi="Times New Roman" w:cs="Times New Roman"/>
                <w:color w:val="auto"/>
                <w:lang w:eastAsia="zh-CN"/>
              </w:rPr>
              <w:t>一同排入</w:t>
            </w:r>
            <w:r>
              <w:rPr>
                <w:rFonts w:hint="default" w:ascii="Times New Roman" w:hAnsi="Times New Roman" w:cs="Times New Roman"/>
                <w:color w:val="auto"/>
              </w:rPr>
              <w:t>化粪池处理后，</w:t>
            </w:r>
            <w:r>
              <w:rPr>
                <w:rFonts w:hint="default" w:ascii="Times New Roman" w:hAnsi="Times New Roman" w:cs="Times New Roman"/>
                <w:color w:val="auto"/>
                <w:lang w:eastAsia="zh-CN"/>
              </w:rPr>
              <w:t>通过市政管道进入高桥村污水处理厂。</w:t>
            </w:r>
          </w:p>
          <w:p>
            <w:pPr>
              <w:pStyle w:val="8"/>
              <w:ind w:firstLine="48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化粪池依托可行性分析</w:t>
            </w:r>
          </w:p>
          <w:p>
            <w:pPr>
              <w:pStyle w:val="8"/>
              <w:ind w:firstLine="480"/>
              <w:rPr>
                <w:rFonts w:hint="default" w:ascii="Times New Roman" w:hAnsi="Times New Roman" w:cs="Times New Roman"/>
                <w:color w:val="auto"/>
              </w:rPr>
            </w:pPr>
            <w:r>
              <w:rPr>
                <w:rFonts w:hint="default" w:ascii="Times New Roman" w:hAnsi="Times New Roman" w:cs="Times New Roman"/>
                <w:color w:val="auto"/>
              </w:rPr>
              <w:t>根据建设单位提供的资料，本项目污水收容依托已建成</w:t>
            </w:r>
            <w:r>
              <w:rPr>
                <w:rFonts w:hint="default" w:ascii="Times New Roman" w:hAnsi="Times New Roman" w:cs="Times New Roman"/>
                <w:color w:val="auto"/>
                <w:lang w:val="en-US" w:eastAsia="zh-CN"/>
              </w:rPr>
              <w:t>15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化粪池。该化粪池现主要收纳本项目生活污水，</w:t>
            </w:r>
            <w:r>
              <w:rPr>
                <w:rFonts w:hint="default" w:ascii="Times New Roman" w:hAnsi="Times New Roman" w:cs="Times New Roman"/>
                <w:color w:val="auto"/>
                <w:lang w:eastAsia="zh-CN"/>
              </w:rPr>
              <w:t>本项目废水</w:t>
            </w:r>
            <w:r>
              <w:rPr>
                <w:rFonts w:hint="default" w:ascii="Times New Roman" w:hAnsi="Times New Roman" w:cs="Times New Roman"/>
                <w:color w:val="auto"/>
              </w:rPr>
              <w:t>产生量为</w:t>
            </w:r>
            <w:r>
              <w:rPr>
                <w:rFonts w:hint="default" w:ascii="Times New Roman" w:hAnsi="Times New Roman" w:cs="Times New Roman"/>
                <w:color w:val="auto"/>
                <w:lang w:val="en-US" w:eastAsia="zh-CN"/>
              </w:rPr>
              <w:t>3.06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/d，仅占化粪池容积的</w:t>
            </w:r>
            <w:r>
              <w:rPr>
                <w:rFonts w:hint="default" w:ascii="Times New Roman" w:hAnsi="Times New Roman" w:cs="Times New Roman"/>
                <w:color w:val="auto"/>
                <w:lang w:val="en-US" w:eastAsia="zh-CN"/>
              </w:rPr>
              <w:t>20.4</w:t>
            </w:r>
            <w:r>
              <w:rPr>
                <w:rFonts w:hint="default" w:ascii="Times New Roman" w:hAnsi="Times New Roman" w:cs="Times New Roman"/>
                <w:color w:val="auto"/>
              </w:rPr>
              <w:t>%，有充足的处理容量。因此依托化粪池处理规模可行。</w:t>
            </w:r>
          </w:p>
          <w:p>
            <w:pPr>
              <w:pStyle w:val="8"/>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GB3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②</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lang w:eastAsia="zh-CN"/>
              </w:rPr>
              <w:t>排入高桥村</w:t>
            </w:r>
            <w:r>
              <w:rPr>
                <w:rFonts w:hint="default" w:ascii="Times New Roman" w:hAnsi="Times New Roman" w:cs="Times New Roman"/>
                <w:color w:val="auto"/>
                <w:highlight w:val="none"/>
              </w:rPr>
              <w:t>污水处理厂处理可行性分析</w:t>
            </w:r>
          </w:p>
          <w:p>
            <w:pPr>
              <w:pStyle w:val="13"/>
              <w:tabs>
                <w:tab w:val="left" w:pos="480"/>
              </w:tabs>
              <w:ind w:firstLine="480"/>
              <w:rPr>
                <w:rFonts w:hint="default" w:ascii="Times New Roman" w:hAnsi="Times New Roman" w:cs="Times New Roman"/>
                <w:color w:val="auto"/>
                <w:szCs w:val="21"/>
              </w:rPr>
            </w:pPr>
            <w:r>
              <w:rPr>
                <w:rFonts w:hint="default" w:ascii="Times New Roman" w:hAnsi="Times New Roman" w:cs="Times New Roman"/>
                <w:color w:val="auto"/>
                <w:highlight w:val="none"/>
                <w:lang w:eastAsia="zh-CN"/>
              </w:rPr>
              <w:t>高桥村</w:t>
            </w:r>
            <w:r>
              <w:rPr>
                <w:rFonts w:hint="default" w:ascii="Times New Roman" w:hAnsi="Times New Roman" w:cs="Times New Roman"/>
                <w:color w:val="auto"/>
                <w:highlight w:val="none"/>
              </w:rPr>
              <w:t>污水处理厂</w:t>
            </w:r>
            <w:r>
              <w:rPr>
                <w:rFonts w:hint="default" w:ascii="Times New Roman" w:hAnsi="Times New Roman" w:cs="Times New Roman"/>
                <w:color w:val="auto"/>
              </w:rPr>
              <w:t>于201</w:t>
            </w:r>
            <w:r>
              <w:rPr>
                <w:rFonts w:hint="default" w:ascii="Times New Roman" w:hAnsi="Times New Roman" w:cs="Times New Roman"/>
                <w:color w:val="auto"/>
                <w:lang w:val="en-US" w:eastAsia="zh-CN"/>
              </w:rPr>
              <w:t>7</w:t>
            </w:r>
            <w:r>
              <w:rPr>
                <w:rFonts w:hint="default" w:ascii="Times New Roman" w:hAnsi="Times New Roman" w:cs="Times New Roman"/>
                <w:color w:val="auto"/>
              </w:rPr>
              <w:t>年建设，</w:t>
            </w:r>
            <w:r>
              <w:rPr>
                <w:rFonts w:hint="default" w:ascii="Times New Roman" w:hAnsi="Times New Roman" w:cs="Times New Roman"/>
                <w:color w:val="auto"/>
                <w:lang w:eastAsia="zh-CN"/>
              </w:rPr>
              <w:t>该厂</w:t>
            </w:r>
            <w:r>
              <w:rPr>
                <w:rFonts w:hint="default" w:ascii="Times New Roman" w:hAnsi="Times New Roman" w:cs="Times New Roman"/>
                <w:color w:val="auto"/>
              </w:rPr>
              <w:t>设计处理规模</w:t>
            </w:r>
            <w:r>
              <w:rPr>
                <w:rFonts w:hint="default" w:ascii="Times New Roman" w:hAnsi="Times New Roman" w:cs="Times New Roman"/>
                <w:color w:val="auto"/>
                <w:lang w:eastAsia="zh-CN"/>
              </w:rPr>
              <w:t>为</w:t>
            </w:r>
            <w:r>
              <w:rPr>
                <w:rFonts w:hint="default" w:ascii="Times New Roman" w:hAnsi="Times New Roman" w:cs="Times New Roman"/>
                <w:color w:val="auto"/>
                <w:lang w:val="en-US" w:eastAsia="zh-CN"/>
              </w:rPr>
              <w:t>400t</w:t>
            </w:r>
            <w:r>
              <w:rPr>
                <w:rFonts w:hint="default" w:ascii="Times New Roman" w:hAnsi="Times New Roman" w:cs="Times New Roman"/>
                <w:color w:val="auto"/>
                <w:szCs w:val="24"/>
              </w:rPr>
              <w:t>/d，采用处理工艺为</w:t>
            </w:r>
            <w:r>
              <w:rPr>
                <w:rFonts w:hint="default" w:ascii="Times New Roman" w:hAnsi="Times New Roman" w:cs="Times New Roman"/>
                <w:color w:val="auto"/>
                <w:szCs w:val="21"/>
              </w:rPr>
              <w:t>改良A</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/O</w:t>
            </w:r>
            <w:r>
              <w:rPr>
                <w:rFonts w:hint="default" w:ascii="Times New Roman" w:hAnsi="Times New Roman" w:cs="Times New Roman"/>
                <w:color w:val="auto"/>
                <w:szCs w:val="21"/>
                <w:lang w:val="en-US" w:eastAsia="zh-CN"/>
              </w:rPr>
              <w:t>-MBBR反应器+</w:t>
            </w:r>
            <w:r>
              <w:rPr>
                <w:rFonts w:hint="default" w:ascii="Times New Roman" w:hAnsi="Times New Roman" w:cs="Times New Roman"/>
                <w:color w:val="auto"/>
                <w:szCs w:val="21"/>
              </w:rPr>
              <w:t>紫外线消毒处理工艺。</w:t>
            </w:r>
            <w:r>
              <w:rPr>
                <w:rFonts w:hint="default" w:ascii="Times New Roman" w:hAnsi="Times New Roman" w:cs="Times New Roman"/>
                <w:color w:val="auto"/>
              </w:rPr>
              <w:t>排水水质</w:t>
            </w:r>
            <w:r>
              <w:rPr>
                <w:rFonts w:hint="default" w:ascii="Times New Roman" w:hAnsi="Times New Roman" w:cs="Times New Roman"/>
                <w:color w:val="auto"/>
                <w:szCs w:val="24"/>
              </w:rPr>
              <w:t>可达到《城镇污水处理厂污染物排放标准》（GB18918-2002）中的一级A排放标准。</w:t>
            </w:r>
          </w:p>
          <w:p>
            <w:pPr>
              <w:pStyle w:val="8"/>
              <w:ind w:firstLine="480"/>
              <w:rPr>
                <w:rFonts w:hint="default" w:ascii="Times New Roman" w:hAnsi="Times New Roman" w:cs="Times New Roman"/>
                <w:color w:val="auto"/>
                <w:szCs w:val="24"/>
              </w:rPr>
            </w:pPr>
            <w:r>
              <w:rPr>
                <w:rFonts w:hint="default" w:ascii="Times New Roman" w:hAnsi="Times New Roman" w:cs="Times New Roman"/>
                <w:color w:val="auto"/>
                <w:highlight w:val="none"/>
                <w:lang w:eastAsia="zh-CN"/>
              </w:rPr>
              <w:t>高桥村</w:t>
            </w:r>
            <w:r>
              <w:rPr>
                <w:rFonts w:hint="default" w:ascii="Times New Roman" w:hAnsi="Times New Roman" w:cs="Times New Roman"/>
                <w:color w:val="auto"/>
                <w:highlight w:val="none"/>
              </w:rPr>
              <w:t>污水处理厂</w:t>
            </w:r>
            <w:r>
              <w:rPr>
                <w:rFonts w:hint="default" w:ascii="Times New Roman" w:hAnsi="Times New Roman" w:cs="Times New Roman"/>
                <w:color w:val="auto"/>
                <w:szCs w:val="24"/>
              </w:rPr>
              <w:t>设计进水、出水水质见表7-</w:t>
            </w:r>
            <w:r>
              <w:rPr>
                <w:rFonts w:hint="default" w:ascii="Times New Roman" w:hAnsi="Times New Roman" w:cs="Times New Roman"/>
                <w:color w:val="auto"/>
                <w:szCs w:val="24"/>
                <w:lang w:val="en-US" w:eastAsia="zh-CN"/>
              </w:rPr>
              <w:t>8</w:t>
            </w:r>
            <w:r>
              <w:rPr>
                <w:rFonts w:hint="default" w:ascii="Times New Roman" w:hAnsi="Times New Roman" w:cs="Times New Roman"/>
                <w:color w:val="auto"/>
                <w:szCs w:val="24"/>
              </w:rPr>
              <w:t>。</w:t>
            </w:r>
          </w:p>
          <w:p>
            <w:pPr>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表7-</w:t>
            </w:r>
            <w:r>
              <w:rPr>
                <w:rFonts w:hint="default" w:ascii="Times New Roman" w:hAnsi="Times New Roman" w:cs="Times New Roman"/>
                <w:b/>
                <w:color w:val="auto"/>
                <w:sz w:val="21"/>
                <w:szCs w:val="21"/>
                <w:lang w:val="en-US" w:eastAsia="zh-CN"/>
              </w:rPr>
              <w:t>8</w:t>
            </w:r>
            <w:r>
              <w:rPr>
                <w:rFonts w:hint="default" w:ascii="Times New Roman" w:hAnsi="Times New Roman" w:cs="Times New Roman"/>
                <w:b/>
                <w:color w:val="auto"/>
                <w:sz w:val="21"/>
                <w:szCs w:val="21"/>
              </w:rPr>
              <w:t xml:space="preserve">  </w:t>
            </w:r>
            <w:r>
              <w:rPr>
                <w:rFonts w:hint="default" w:ascii="Times New Roman" w:hAnsi="Times New Roman" w:cs="Times New Roman"/>
                <w:b/>
                <w:color w:val="auto"/>
                <w:sz w:val="21"/>
                <w:szCs w:val="21"/>
                <w:lang w:eastAsia="zh-CN"/>
              </w:rPr>
              <w:t>高桥村</w:t>
            </w:r>
            <w:r>
              <w:rPr>
                <w:rFonts w:hint="default" w:ascii="Times New Roman" w:hAnsi="Times New Roman" w:cs="Times New Roman"/>
                <w:b/>
                <w:color w:val="auto"/>
                <w:sz w:val="21"/>
                <w:szCs w:val="21"/>
              </w:rPr>
              <w:t>污水处理厂设计进水、出水水质    单位：mg/L（pH除外）</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1"/>
              <w:gridCol w:w="878"/>
              <w:gridCol w:w="906"/>
              <w:gridCol w:w="873"/>
              <w:gridCol w:w="831"/>
              <w:gridCol w:w="939"/>
              <w:gridCol w:w="851"/>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601"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878"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906" w:type="dxa"/>
                  <w:noWrap w:val="0"/>
                  <w:vAlign w:val="center"/>
                </w:tcPr>
                <w:p>
                  <w:pPr>
                    <w:pStyle w:val="102"/>
                    <w:adjustRightInd/>
                    <w:snapToGrid/>
                    <w:spacing w:beforeLines="0"/>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873"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831"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939"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851"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943"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p</w:t>
                  </w:r>
                  <w:r>
                    <w:rPr>
                      <w:rFonts w:hint="default" w:ascii="Times New Roman" w:hAnsi="Times New Roman" w:eastAsia="宋体" w:cs="Times New Roman"/>
                      <w:color w:val="auto"/>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1"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《污水排入城镇下水道水质标准》（CJ343-2010）</w:t>
                  </w:r>
                </w:p>
              </w:tc>
              <w:tc>
                <w:tcPr>
                  <w:tcW w:w="878"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00</w:t>
                  </w:r>
                </w:p>
              </w:tc>
              <w:tc>
                <w:tcPr>
                  <w:tcW w:w="906"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873"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831"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939"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851"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943"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1"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《城镇污水处理厂污染物排放标准》（GB18918-2002）一级A标准</w:t>
                  </w:r>
                </w:p>
              </w:tc>
              <w:tc>
                <w:tcPr>
                  <w:tcW w:w="878"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906"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73"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31"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39"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851"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943"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1"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进水水质</w:t>
                  </w:r>
                </w:p>
              </w:tc>
              <w:tc>
                <w:tcPr>
                  <w:tcW w:w="878"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906"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873"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831"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939"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851"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943"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1"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出水水质</w:t>
                  </w:r>
                </w:p>
              </w:tc>
              <w:tc>
                <w:tcPr>
                  <w:tcW w:w="878"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906"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73"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31"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39"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851"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943" w:type="dxa"/>
                  <w:noWrap w:val="0"/>
                  <w:vAlign w:val="center"/>
                </w:tcPr>
                <w:p>
                  <w:pPr>
                    <w:pStyle w:val="102"/>
                    <w:adjustRightInd/>
                    <w:snapToGrid/>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r>
          </w:tbl>
          <w:p>
            <w:pPr>
              <w:pStyle w:val="8"/>
              <w:ind w:firstLine="480"/>
              <w:rPr>
                <w:rFonts w:hint="default" w:ascii="Times New Roman" w:hAnsi="Times New Roman" w:cs="Times New Roman"/>
                <w:color w:val="auto"/>
                <w:szCs w:val="24"/>
              </w:rPr>
            </w:pPr>
            <w:r>
              <w:rPr>
                <w:rFonts w:hint="default" w:ascii="Times New Roman" w:hAnsi="Times New Roman" w:cs="Times New Roman"/>
                <w:color w:val="auto"/>
              </w:rPr>
              <w:t>由上表可知，本项目</w:t>
            </w:r>
            <w:r>
              <w:rPr>
                <w:rFonts w:hint="default" w:ascii="Times New Roman" w:hAnsi="Times New Roman" w:cs="Times New Roman"/>
                <w:color w:val="auto"/>
                <w:szCs w:val="24"/>
                <w:lang w:eastAsia="zh-CN"/>
              </w:rPr>
              <w:t>外排废水满足高桥村污水处理厂接管标准</w:t>
            </w:r>
            <w:r>
              <w:rPr>
                <w:rFonts w:hint="default" w:ascii="Times New Roman" w:hAnsi="Times New Roman" w:cs="Times New Roman"/>
                <w:color w:val="auto"/>
                <w:szCs w:val="24"/>
              </w:rPr>
              <w:t>，</w:t>
            </w:r>
            <w:r>
              <w:rPr>
                <w:rFonts w:hint="default" w:ascii="Times New Roman" w:hAnsi="Times New Roman" w:cs="Times New Roman"/>
                <w:color w:val="auto"/>
                <w:szCs w:val="24"/>
                <w:lang w:eastAsia="zh-CN"/>
              </w:rPr>
              <w:t>且废水排放量较小，</w:t>
            </w:r>
            <w:r>
              <w:rPr>
                <w:rFonts w:hint="default" w:ascii="Times New Roman" w:hAnsi="Times New Roman" w:cs="Times New Roman"/>
                <w:color w:val="auto"/>
                <w:szCs w:val="24"/>
              </w:rPr>
              <w:t>因此本项目依托</w:t>
            </w:r>
            <w:r>
              <w:rPr>
                <w:rFonts w:hint="default" w:ascii="Times New Roman" w:hAnsi="Times New Roman" w:cs="Times New Roman"/>
                <w:color w:val="auto"/>
                <w:szCs w:val="24"/>
                <w:lang w:eastAsia="zh-CN"/>
              </w:rPr>
              <w:t>高桥村</w:t>
            </w:r>
            <w:r>
              <w:rPr>
                <w:rFonts w:hint="default" w:ascii="Times New Roman" w:hAnsi="Times New Roman" w:cs="Times New Roman"/>
                <w:color w:val="auto"/>
                <w:szCs w:val="24"/>
              </w:rPr>
              <w:t>污水处理厂可行。</w:t>
            </w:r>
          </w:p>
          <w:p>
            <w:pPr>
              <w:pStyle w:val="8"/>
              <w:ind w:firstLine="482"/>
              <w:rPr>
                <w:rFonts w:hint="default" w:ascii="Times New Roman" w:hAnsi="Times New Roman" w:cs="Times New Roman"/>
                <w:b/>
                <w:bCs/>
                <w:color w:val="auto"/>
              </w:rPr>
            </w:pPr>
            <w:r>
              <w:rPr>
                <w:rFonts w:hint="default" w:ascii="Times New Roman" w:hAnsi="Times New Roman" w:cs="Times New Roman"/>
                <w:b/>
                <w:bCs/>
                <w:color w:val="auto"/>
              </w:rPr>
              <w:t>3、声环境影响分析</w:t>
            </w:r>
          </w:p>
          <w:p>
            <w:pPr>
              <w:rPr>
                <w:rFonts w:hint="default" w:ascii="Times New Roman" w:hAnsi="Times New Roman" w:cs="Times New Roman"/>
                <w:color w:val="auto"/>
              </w:rPr>
            </w:pPr>
            <w:bookmarkStart w:id="1" w:name="_Ref515293571"/>
            <w:r>
              <w:rPr>
                <w:rFonts w:hint="default" w:ascii="Times New Roman" w:hAnsi="Times New Roman" w:cs="Times New Roman"/>
                <w:color w:val="auto"/>
              </w:rPr>
              <w:t>本项目运营期间产生的噪声主要为设备噪声，噪声源强在</w:t>
            </w:r>
            <w:r>
              <w:rPr>
                <w:rFonts w:hint="default" w:ascii="Times New Roman" w:hAnsi="Times New Roman" w:cs="Times New Roman"/>
                <w:color w:val="auto"/>
                <w:lang w:val="en-US" w:eastAsia="zh-CN"/>
              </w:rPr>
              <w:t>7</w:t>
            </w:r>
            <w:r>
              <w:rPr>
                <w:rFonts w:hint="default" w:ascii="Times New Roman" w:hAnsi="Times New Roman" w:cs="Times New Roman"/>
                <w:color w:val="auto"/>
              </w:rPr>
              <w:t>0~8</w:t>
            </w:r>
            <w:r>
              <w:rPr>
                <w:rFonts w:hint="default" w:ascii="Times New Roman" w:hAnsi="Times New Roman" w:cs="Times New Roman"/>
                <w:color w:val="auto"/>
                <w:lang w:val="en-US" w:eastAsia="zh-CN"/>
              </w:rPr>
              <w:t>0</w:t>
            </w:r>
            <w:r>
              <w:rPr>
                <w:rFonts w:hint="default" w:ascii="Times New Roman" w:hAnsi="Times New Roman" w:cs="Times New Roman"/>
                <w:color w:val="auto"/>
              </w:rPr>
              <w:t>dB(A)之间。通过类比调查结果分析，项目通过合理布局、隔声、减振等措施后，可将噪声减少15～20dB（A）。项目噪声源具体情况见表7-</w:t>
            </w:r>
            <w:r>
              <w:rPr>
                <w:rFonts w:hint="default" w:ascii="Times New Roman" w:hAnsi="Times New Roman" w:cs="Times New Roman"/>
                <w:color w:val="auto"/>
                <w:lang w:val="en-US" w:eastAsia="zh-CN"/>
              </w:rPr>
              <w:t>9</w:t>
            </w:r>
            <w:r>
              <w:rPr>
                <w:rFonts w:hint="default" w:ascii="Times New Roman" w:hAnsi="Times New Roman" w:cs="Times New Roman"/>
                <w:color w:val="auto"/>
              </w:rPr>
              <w:t>、7-</w:t>
            </w:r>
            <w:r>
              <w:rPr>
                <w:rFonts w:hint="default" w:ascii="Times New Roman" w:hAnsi="Times New Roman" w:cs="Times New Roman"/>
                <w:color w:val="auto"/>
                <w:lang w:val="en-US" w:eastAsia="zh-CN"/>
              </w:rPr>
              <w:t>10</w:t>
            </w:r>
            <w:r>
              <w:rPr>
                <w:rFonts w:hint="default" w:ascii="Times New Roman" w:hAnsi="Times New Roman" w:cs="Times New Roman"/>
                <w:color w:val="auto"/>
              </w:rPr>
              <w:t>。</w:t>
            </w:r>
          </w:p>
          <w:p>
            <w:pPr>
              <w:pStyle w:val="9"/>
              <w:spacing w:beforeLines="0"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表7-</w:t>
            </w:r>
            <w:r>
              <w:rPr>
                <w:rFonts w:hint="default" w:ascii="Times New Roman" w:hAnsi="Times New Roman" w:eastAsia="宋体" w:cs="Times New Roman"/>
                <w:b/>
                <w:bCs/>
                <w:color w:val="auto"/>
                <w:sz w:val="21"/>
                <w:szCs w:val="21"/>
                <w:lang w:val="en-US" w:eastAsia="zh-CN"/>
              </w:rPr>
              <w:t>9</w:t>
            </w:r>
            <w:r>
              <w:rPr>
                <w:rFonts w:hint="default" w:ascii="Times New Roman" w:hAnsi="Times New Roman" w:eastAsia="宋体" w:cs="Times New Roman"/>
                <w:b/>
                <w:bCs/>
                <w:color w:val="auto"/>
                <w:sz w:val="21"/>
                <w:szCs w:val="21"/>
              </w:rPr>
              <w:t xml:space="preserve">  主要噪声源一览表</w:t>
            </w:r>
            <w:r>
              <w:rPr>
                <w:rFonts w:hint="default" w:ascii="Times New Roman" w:hAnsi="Times New Roman" w:eastAsia="宋体" w:cs="Times New Roman"/>
                <w:b/>
                <w:bCs/>
                <w:color w:val="auto"/>
                <w:sz w:val="21"/>
                <w:szCs w:val="21"/>
                <w:lang w:val="en-US" w:eastAsia="zh-CN"/>
              </w:rPr>
              <w:t xml:space="preserve">      单位：</w:t>
            </w:r>
            <w:r>
              <w:rPr>
                <w:rFonts w:hint="default" w:ascii="Times New Roman" w:hAnsi="Times New Roman" w:eastAsia="宋体" w:cs="Times New Roman"/>
                <w:b/>
                <w:bCs/>
                <w:color w:val="auto"/>
                <w:sz w:val="21"/>
                <w:szCs w:val="21"/>
              </w:rPr>
              <w:t>dB(A)</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340"/>
              <w:gridCol w:w="1518"/>
              <w:gridCol w:w="1713"/>
              <w:gridCol w:w="1712"/>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827" w:type="dxa"/>
                  <w:noWrap w:val="0"/>
                  <w:vAlign w:val="center"/>
                </w:tcPr>
                <w:p>
                  <w:pPr>
                    <w:pStyle w:val="79"/>
                    <w:adjustRightInd/>
                    <w:snapToGrid/>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序号</w:t>
                  </w:r>
                </w:p>
              </w:tc>
              <w:tc>
                <w:tcPr>
                  <w:tcW w:w="1340" w:type="dxa"/>
                  <w:noWrap w:val="0"/>
                  <w:vAlign w:val="center"/>
                </w:tcPr>
                <w:p>
                  <w:pPr>
                    <w:pStyle w:val="79"/>
                    <w:adjustRightInd/>
                    <w:snapToGrid/>
                    <w:rPr>
                      <w:rFonts w:hint="default" w:ascii="Times New Roman" w:hAnsi="Times New Roman" w:cs="Times New Roman"/>
                      <w:b w:val="0"/>
                      <w:bCs/>
                      <w:color w:val="auto"/>
                    </w:rPr>
                  </w:pPr>
                  <w:r>
                    <w:rPr>
                      <w:rFonts w:hint="default" w:ascii="Times New Roman" w:hAnsi="Times New Roman" w:cs="Times New Roman"/>
                      <w:b w:val="0"/>
                      <w:bCs/>
                      <w:color w:val="auto"/>
                    </w:rPr>
                    <w:t>声源名称</w:t>
                  </w:r>
                </w:p>
              </w:tc>
              <w:tc>
                <w:tcPr>
                  <w:tcW w:w="1518" w:type="dxa"/>
                  <w:noWrap w:val="0"/>
                  <w:vAlign w:val="center"/>
                </w:tcPr>
                <w:p>
                  <w:pPr>
                    <w:pStyle w:val="79"/>
                    <w:adjustRightInd/>
                    <w:snapToGrid/>
                    <w:rPr>
                      <w:rFonts w:hint="default" w:ascii="Times New Roman" w:hAnsi="Times New Roman" w:cs="Times New Roman"/>
                      <w:b w:val="0"/>
                      <w:bCs/>
                      <w:color w:val="auto"/>
                    </w:rPr>
                  </w:pPr>
                  <w:r>
                    <w:rPr>
                      <w:rFonts w:hint="default" w:ascii="Times New Roman" w:hAnsi="Times New Roman" w:cs="Times New Roman"/>
                      <w:b w:val="0"/>
                      <w:bCs/>
                      <w:color w:val="auto"/>
                    </w:rPr>
                    <w:t>数量（台/套）</w:t>
                  </w:r>
                </w:p>
              </w:tc>
              <w:tc>
                <w:tcPr>
                  <w:tcW w:w="1713" w:type="dxa"/>
                  <w:noWrap w:val="0"/>
                  <w:vAlign w:val="center"/>
                </w:tcPr>
                <w:p>
                  <w:pPr>
                    <w:pStyle w:val="79"/>
                    <w:adjustRightInd/>
                    <w:snapToGrid/>
                    <w:rPr>
                      <w:rFonts w:hint="default" w:ascii="Times New Roman" w:hAnsi="Times New Roman" w:cs="Times New Roman"/>
                      <w:b w:val="0"/>
                      <w:bCs/>
                      <w:color w:val="auto"/>
                    </w:rPr>
                  </w:pPr>
                  <w:r>
                    <w:rPr>
                      <w:rFonts w:hint="default" w:ascii="Times New Roman" w:hAnsi="Times New Roman" w:cs="Times New Roman"/>
                      <w:b w:val="0"/>
                      <w:bCs/>
                      <w:color w:val="auto"/>
                    </w:rPr>
                    <w:t>噪声源强（dB(A)）</w:t>
                  </w:r>
                </w:p>
              </w:tc>
              <w:tc>
                <w:tcPr>
                  <w:tcW w:w="1712" w:type="dxa"/>
                  <w:noWrap w:val="0"/>
                  <w:vAlign w:val="center"/>
                </w:tcPr>
                <w:p>
                  <w:pPr>
                    <w:pStyle w:val="79"/>
                    <w:adjustRightInd/>
                    <w:snapToGrid/>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处理措施</w:t>
                  </w:r>
                </w:p>
              </w:tc>
              <w:tc>
                <w:tcPr>
                  <w:tcW w:w="1712" w:type="dxa"/>
                  <w:noWrap w:val="0"/>
                  <w:vAlign w:val="center"/>
                </w:tcPr>
                <w:p>
                  <w:pPr>
                    <w:pStyle w:val="79"/>
                    <w:adjustRightInd/>
                    <w:snapToGrid/>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噪声排放</w:t>
                  </w:r>
                  <w:r>
                    <w:rPr>
                      <w:rFonts w:hint="default" w:ascii="Times New Roman" w:hAnsi="Times New Roman" w:cs="Times New Roman"/>
                      <w:b w:val="0"/>
                      <w:bCs/>
                      <w:color w:val="auto"/>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827" w:type="dxa"/>
                  <w:noWrap w:val="0"/>
                  <w:vAlign w:val="center"/>
                </w:tcPr>
                <w:p>
                  <w:pPr>
                    <w:pStyle w:val="79"/>
                    <w:adjustRightInd/>
                    <w:snapToGrid/>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w:t>
                  </w:r>
                </w:p>
              </w:tc>
              <w:tc>
                <w:tcPr>
                  <w:tcW w:w="1340" w:type="dxa"/>
                  <w:noWrap w:val="0"/>
                  <w:vAlign w:val="center"/>
                </w:tcPr>
                <w:p>
                  <w:pPr>
                    <w:spacing w:line="240" w:lineRule="auto"/>
                    <w:ind w:firstLine="0" w:firstLineChars="0"/>
                    <w:jc w:val="center"/>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sz w:val="21"/>
                      <w:szCs w:val="21"/>
                      <w:lang w:eastAsia="zh-CN"/>
                    </w:rPr>
                    <w:t>全自动高速切纸机</w:t>
                  </w:r>
                </w:p>
              </w:tc>
              <w:tc>
                <w:tcPr>
                  <w:tcW w:w="1518" w:type="dxa"/>
                  <w:noWrap w:val="0"/>
                  <w:vAlign w:val="center"/>
                </w:tcPr>
                <w:p>
                  <w:pPr>
                    <w:spacing w:line="240" w:lineRule="auto"/>
                    <w:ind w:firstLine="0" w:firstLineChars="0"/>
                    <w:jc w:val="center"/>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sz w:val="21"/>
                      <w:szCs w:val="21"/>
                      <w:lang w:val="en-US" w:eastAsia="zh-CN"/>
                    </w:rPr>
                    <w:t>1</w:t>
                  </w:r>
                </w:p>
              </w:tc>
              <w:tc>
                <w:tcPr>
                  <w:tcW w:w="1713" w:type="dxa"/>
                  <w:noWrap w:val="0"/>
                  <w:vAlign w:val="center"/>
                </w:tcPr>
                <w:p>
                  <w:pPr>
                    <w:pStyle w:val="79"/>
                    <w:adjustRightInd/>
                    <w:snapToGrid/>
                    <w:ind w:firstLine="0" w:firstLineChars="0"/>
                    <w:jc w:val="center"/>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75</w:t>
                  </w:r>
                </w:p>
              </w:tc>
              <w:tc>
                <w:tcPr>
                  <w:tcW w:w="1712" w:type="dxa"/>
                  <w:vMerge w:val="restart"/>
                  <w:noWrap w:val="0"/>
                  <w:vAlign w:val="center"/>
                </w:tcPr>
                <w:p>
                  <w:pPr>
                    <w:pStyle w:val="79"/>
                    <w:adjustRightInd/>
                    <w:snapToGrid/>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eastAsia="zh-CN"/>
                    </w:rPr>
                    <w:t>选用低噪声设备、厂房隔声、基础减震、柔性连接</w:t>
                  </w:r>
                </w:p>
              </w:tc>
              <w:tc>
                <w:tcPr>
                  <w:tcW w:w="1712" w:type="dxa"/>
                  <w:noWrap w:val="0"/>
                  <w:vAlign w:val="center"/>
                </w:tcPr>
                <w:p>
                  <w:pPr>
                    <w:pStyle w:val="79"/>
                    <w:adjustRightInd/>
                    <w:snapToGrid/>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827" w:type="dxa"/>
                  <w:noWrap w:val="0"/>
                  <w:vAlign w:val="center"/>
                </w:tcPr>
                <w:p>
                  <w:pPr>
                    <w:pStyle w:val="79"/>
                    <w:adjustRightInd/>
                    <w:snapToGrid/>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2</w:t>
                  </w:r>
                </w:p>
              </w:tc>
              <w:tc>
                <w:tcPr>
                  <w:tcW w:w="1340" w:type="dxa"/>
                  <w:noWrap w:val="0"/>
                  <w:vAlign w:val="center"/>
                </w:tcPr>
                <w:p>
                  <w:pPr>
                    <w:spacing w:line="240" w:lineRule="auto"/>
                    <w:ind w:firstLine="0" w:firstLineChars="0"/>
                    <w:jc w:val="center"/>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sz w:val="21"/>
                      <w:szCs w:val="21"/>
                      <w:lang w:eastAsia="zh-CN"/>
                    </w:rPr>
                    <w:t>六色胶印机</w:t>
                  </w:r>
                </w:p>
              </w:tc>
              <w:tc>
                <w:tcPr>
                  <w:tcW w:w="1518" w:type="dxa"/>
                  <w:noWrap w:val="0"/>
                  <w:vAlign w:val="center"/>
                </w:tcPr>
                <w:p>
                  <w:pPr>
                    <w:spacing w:line="240" w:lineRule="auto"/>
                    <w:ind w:firstLine="0" w:firstLineChars="0"/>
                    <w:jc w:val="center"/>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sz w:val="21"/>
                      <w:szCs w:val="21"/>
                      <w:lang w:val="en-US" w:eastAsia="zh-CN"/>
                    </w:rPr>
                    <w:t>2</w:t>
                  </w:r>
                </w:p>
              </w:tc>
              <w:tc>
                <w:tcPr>
                  <w:tcW w:w="1713" w:type="dxa"/>
                  <w:noWrap w:val="0"/>
                  <w:vAlign w:val="center"/>
                </w:tcPr>
                <w:p>
                  <w:pPr>
                    <w:pStyle w:val="79"/>
                    <w:adjustRightInd/>
                    <w:snapToGrid/>
                    <w:ind w:firstLine="0" w:firstLineChars="0"/>
                    <w:jc w:val="center"/>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70</w:t>
                  </w:r>
                </w:p>
              </w:tc>
              <w:tc>
                <w:tcPr>
                  <w:tcW w:w="1712" w:type="dxa"/>
                  <w:vMerge w:val="continue"/>
                  <w:noWrap w:val="0"/>
                  <w:vAlign w:val="center"/>
                </w:tcPr>
                <w:p>
                  <w:pPr>
                    <w:pStyle w:val="79"/>
                    <w:adjustRightInd/>
                    <w:snapToGrid/>
                    <w:rPr>
                      <w:rFonts w:hint="default" w:ascii="Times New Roman" w:hAnsi="Times New Roman" w:cs="Times New Roman"/>
                      <w:b w:val="0"/>
                      <w:bCs/>
                      <w:color w:val="auto"/>
                      <w:lang w:val="en-US" w:eastAsia="zh-CN"/>
                    </w:rPr>
                  </w:pPr>
                </w:p>
              </w:tc>
              <w:tc>
                <w:tcPr>
                  <w:tcW w:w="1712" w:type="dxa"/>
                  <w:noWrap w:val="0"/>
                  <w:vAlign w:val="center"/>
                </w:tcPr>
                <w:p>
                  <w:pPr>
                    <w:pStyle w:val="79"/>
                    <w:adjustRightInd/>
                    <w:snapToGrid/>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827" w:type="dxa"/>
                  <w:noWrap w:val="0"/>
                  <w:vAlign w:val="center"/>
                </w:tcPr>
                <w:p>
                  <w:pPr>
                    <w:pStyle w:val="79"/>
                    <w:adjustRightInd/>
                    <w:snapToGrid/>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3</w:t>
                  </w:r>
                </w:p>
              </w:tc>
              <w:tc>
                <w:tcPr>
                  <w:tcW w:w="1340" w:type="dxa"/>
                  <w:noWrap w:val="0"/>
                  <w:vAlign w:val="center"/>
                </w:tcPr>
                <w:p>
                  <w:pPr>
                    <w:spacing w:line="240" w:lineRule="auto"/>
                    <w:ind w:firstLine="0" w:firstLineChars="0"/>
                    <w:jc w:val="center"/>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sz w:val="21"/>
                      <w:szCs w:val="21"/>
                      <w:lang w:eastAsia="zh-CN"/>
                    </w:rPr>
                    <w:t>双色胶印机</w:t>
                  </w:r>
                </w:p>
              </w:tc>
              <w:tc>
                <w:tcPr>
                  <w:tcW w:w="1518" w:type="dxa"/>
                  <w:noWrap w:val="0"/>
                  <w:vAlign w:val="center"/>
                </w:tcPr>
                <w:p>
                  <w:pPr>
                    <w:spacing w:line="240" w:lineRule="auto"/>
                    <w:ind w:firstLine="0" w:firstLineChars="0"/>
                    <w:jc w:val="center"/>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sz w:val="21"/>
                      <w:szCs w:val="21"/>
                      <w:lang w:val="en-US" w:eastAsia="zh-CN"/>
                    </w:rPr>
                    <w:t>1</w:t>
                  </w:r>
                </w:p>
              </w:tc>
              <w:tc>
                <w:tcPr>
                  <w:tcW w:w="1713" w:type="dxa"/>
                  <w:noWrap w:val="0"/>
                  <w:vAlign w:val="center"/>
                </w:tcPr>
                <w:p>
                  <w:pPr>
                    <w:pStyle w:val="79"/>
                    <w:adjustRightInd/>
                    <w:snapToGrid/>
                    <w:ind w:firstLine="0" w:firstLineChars="0"/>
                    <w:jc w:val="center"/>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70</w:t>
                  </w:r>
                </w:p>
              </w:tc>
              <w:tc>
                <w:tcPr>
                  <w:tcW w:w="1712" w:type="dxa"/>
                  <w:vMerge w:val="continue"/>
                  <w:noWrap w:val="0"/>
                  <w:vAlign w:val="center"/>
                </w:tcPr>
                <w:p>
                  <w:pPr>
                    <w:pStyle w:val="79"/>
                    <w:adjustRightInd/>
                    <w:snapToGrid/>
                    <w:rPr>
                      <w:rFonts w:hint="default" w:ascii="Times New Roman" w:hAnsi="Times New Roman" w:cs="Times New Roman"/>
                      <w:b w:val="0"/>
                      <w:bCs/>
                      <w:color w:val="auto"/>
                      <w:lang w:val="en-US" w:eastAsia="zh-CN"/>
                    </w:rPr>
                  </w:pPr>
                </w:p>
              </w:tc>
              <w:tc>
                <w:tcPr>
                  <w:tcW w:w="1712" w:type="dxa"/>
                  <w:noWrap w:val="0"/>
                  <w:vAlign w:val="center"/>
                </w:tcPr>
                <w:p>
                  <w:pPr>
                    <w:pStyle w:val="79"/>
                    <w:adjustRightInd/>
                    <w:snapToGrid/>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827" w:type="dxa"/>
                  <w:noWrap w:val="0"/>
                  <w:vAlign w:val="center"/>
                </w:tcPr>
                <w:p>
                  <w:pPr>
                    <w:pStyle w:val="79"/>
                    <w:adjustRightInd/>
                    <w:snapToGrid/>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4</w:t>
                  </w:r>
                </w:p>
              </w:tc>
              <w:tc>
                <w:tcPr>
                  <w:tcW w:w="1340" w:type="dxa"/>
                  <w:noWrap w:val="0"/>
                  <w:vAlign w:val="center"/>
                </w:tcPr>
                <w:p>
                  <w:pPr>
                    <w:spacing w:line="240" w:lineRule="auto"/>
                    <w:ind w:firstLine="0" w:firstLineChars="0"/>
                    <w:jc w:val="center"/>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sz w:val="21"/>
                      <w:szCs w:val="21"/>
                      <w:lang w:val="en-US" w:eastAsia="zh-CN"/>
                    </w:rPr>
                    <w:t>全自动裱纸机</w:t>
                  </w:r>
                </w:p>
              </w:tc>
              <w:tc>
                <w:tcPr>
                  <w:tcW w:w="1518" w:type="dxa"/>
                  <w:noWrap w:val="0"/>
                  <w:vAlign w:val="center"/>
                </w:tcPr>
                <w:p>
                  <w:pPr>
                    <w:spacing w:line="240" w:lineRule="auto"/>
                    <w:ind w:firstLine="0" w:firstLineChars="0"/>
                    <w:jc w:val="center"/>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sz w:val="21"/>
                      <w:szCs w:val="21"/>
                      <w:lang w:val="en-US" w:eastAsia="zh-CN"/>
                    </w:rPr>
                    <w:t>1</w:t>
                  </w:r>
                </w:p>
              </w:tc>
              <w:tc>
                <w:tcPr>
                  <w:tcW w:w="1713" w:type="dxa"/>
                  <w:noWrap w:val="0"/>
                  <w:vAlign w:val="center"/>
                </w:tcPr>
                <w:p>
                  <w:pPr>
                    <w:pStyle w:val="79"/>
                    <w:adjustRightInd/>
                    <w:snapToGrid/>
                    <w:ind w:firstLine="0" w:firstLineChars="0"/>
                    <w:jc w:val="center"/>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70</w:t>
                  </w:r>
                </w:p>
              </w:tc>
              <w:tc>
                <w:tcPr>
                  <w:tcW w:w="1712" w:type="dxa"/>
                  <w:vMerge w:val="continue"/>
                  <w:noWrap w:val="0"/>
                  <w:vAlign w:val="center"/>
                </w:tcPr>
                <w:p>
                  <w:pPr>
                    <w:pStyle w:val="79"/>
                    <w:adjustRightInd/>
                    <w:snapToGrid/>
                    <w:rPr>
                      <w:rFonts w:hint="default" w:ascii="Times New Roman" w:hAnsi="Times New Roman" w:cs="Times New Roman"/>
                      <w:b w:val="0"/>
                      <w:bCs/>
                      <w:color w:val="auto"/>
                      <w:lang w:val="en-US" w:eastAsia="zh-CN"/>
                    </w:rPr>
                  </w:pPr>
                </w:p>
              </w:tc>
              <w:tc>
                <w:tcPr>
                  <w:tcW w:w="1712" w:type="dxa"/>
                  <w:noWrap w:val="0"/>
                  <w:vAlign w:val="center"/>
                </w:tcPr>
                <w:p>
                  <w:pPr>
                    <w:pStyle w:val="79"/>
                    <w:adjustRightInd/>
                    <w:snapToGrid/>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827" w:type="dxa"/>
                  <w:noWrap w:val="0"/>
                  <w:vAlign w:val="center"/>
                </w:tcPr>
                <w:p>
                  <w:pPr>
                    <w:pStyle w:val="79"/>
                    <w:adjustRightInd/>
                    <w:snapToGrid/>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5</w:t>
                  </w:r>
                </w:p>
              </w:tc>
              <w:tc>
                <w:tcPr>
                  <w:tcW w:w="1340" w:type="dxa"/>
                  <w:noWrap w:val="0"/>
                  <w:vAlign w:val="center"/>
                </w:tcPr>
                <w:p>
                  <w:pPr>
                    <w:spacing w:line="240" w:lineRule="auto"/>
                    <w:ind w:firstLine="0" w:firstLineChars="0"/>
                    <w:jc w:val="center"/>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纸箱纸盒打样机</w:t>
                  </w:r>
                </w:p>
              </w:tc>
              <w:tc>
                <w:tcPr>
                  <w:tcW w:w="1518" w:type="dxa"/>
                  <w:noWrap w:val="0"/>
                  <w:vAlign w:val="center"/>
                </w:tcPr>
                <w:p>
                  <w:pPr>
                    <w:spacing w:line="240" w:lineRule="auto"/>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1</w:t>
                  </w:r>
                </w:p>
              </w:tc>
              <w:tc>
                <w:tcPr>
                  <w:tcW w:w="1713" w:type="dxa"/>
                  <w:noWrap w:val="0"/>
                  <w:vAlign w:val="center"/>
                </w:tcPr>
                <w:p>
                  <w:pPr>
                    <w:pStyle w:val="79"/>
                    <w:adjustRightInd/>
                    <w:snapToGrid/>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70</w:t>
                  </w:r>
                </w:p>
              </w:tc>
              <w:tc>
                <w:tcPr>
                  <w:tcW w:w="1712" w:type="dxa"/>
                  <w:vMerge w:val="continue"/>
                  <w:noWrap w:val="0"/>
                  <w:vAlign w:val="center"/>
                </w:tcPr>
                <w:p>
                  <w:pPr>
                    <w:pStyle w:val="79"/>
                    <w:adjustRightInd/>
                    <w:snapToGrid/>
                    <w:rPr>
                      <w:rFonts w:hint="default" w:ascii="Times New Roman" w:hAnsi="Times New Roman" w:cs="Times New Roman"/>
                      <w:b w:val="0"/>
                      <w:bCs/>
                      <w:color w:val="auto"/>
                      <w:lang w:val="en-US" w:eastAsia="zh-CN"/>
                    </w:rPr>
                  </w:pPr>
                </w:p>
              </w:tc>
              <w:tc>
                <w:tcPr>
                  <w:tcW w:w="1712" w:type="dxa"/>
                  <w:noWrap w:val="0"/>
                  <w:vAlign w:val="center"/>
                </w:tcPr>
                <w:p>
                  <w:pPr>
                    <w:pStyle w:val="79"/>
                    <w:adjustRightInd/>
                    <w:snapToGrid/>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827" w:type="dxa"/>
                  <w:noWrap w:val="0"/>
                  <w:vAlign w:val="center"/>
                </w:tcPr>
                <w:p>
                  <w:pPr>
                    <w:pStyle w:val="79"/>
                    <w:adjustRightInd/>
                    <w:snapToGrid/>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6</w:t>
                  </w:r>
                </w:p>
              </w:tc>
              <w:tc>
                <w:tcPr>
                  <w:tcW w:w="1340" w:type="dxa"/>
                  <w:noWrap w:val="0"/>
                  <w:vAlign w:val="center"/>
                </w:tcPr>
                <w:p>
                  <w:pPr>
                    <w:spacing w:line="240" w:lineRule="auto"/>
                    <w:ind w:firstLine="0" w:firstLineChars="0"/>
                    <w:jc w:val="center"/>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锯床</w:t>
                  </w:r>
                </w:p>
              </w:tc>
              <w:tc>
                <w:tcPr>
                  <w:tcW w:w="1518" w:type="dxa"/>
                  <w:noWrap w:val="0"/>
                  <w:vAlign w:val="center"/>
                </w:tcPr>
                <w:p>
                  <w:pPr>
                    <w:spacing w:line="240" w:lineRule="auto"/>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1</w:t>
                  </w:r>
                </w:p>
              </w:tc>
              <w:tc>
                <w:tcPr>
                  <w:tcW w:w="1713" w:type="dxa"/>
                  <w:noWrap w:val="0"/>
                  <w:vAlign w:val="center"/>
                </w:tcPr>
                <w:p>
                  <w:pPr>
                    <w:pStyle w:val="79"/>
                    <w:adjustRightInd/>
                    <w:snapToGrid/>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75</w:t>
                  </w:r>
                </w:p>
              </w:tc>
              <w:tc>
                <w:tcPr>
                  <w:tcW w:w="1712" w:type="dxa"/>
                  <w:vMerge w:val="continue"/>
                  <w:noWrap w:val="0"/>
                  <w:vAlign w:val="center"/>
                </w:tcPr>
                <w:p>
                  <w:pPr>
                    <w:pStyle w:val="79"/>
                    <w:adjustRightInd/>
                    <w:snapToGrid/>
                    <w:rPr>
                      <w:rFonts w:hint="default" w:ascii="Times New Roman" w:hAnsi="Times New Roman" w:cs="Times New Roman"/>
                      <w:b w:val="0"/>
                      <w:bCs/>
                      <w:color w:val="auto"/>
                      <w:lang w:val="en-US" w:eastAsia="zh-CN"/>
                    </w:rPr>
                  </w:pPr>
                </w:p>
              </w:tc>
              <w:tc>
                <w:tcPr>
                  <w:tcW w:w="1712" w:type="dxa"/>
                  <w:noWrap w:val="0"/>
                  <w:vAlign w:val="center"/>
                </w:tcPr>
                <w:p>
                  <w:pPr>
                    <w:pStyle w:val="79"/>
                    <w:adjustRightInd/>
                    <w:snapToGrid/>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827" w:type="dxa"/>
                  <w:noWrap w:val="0"/>
                  <w:vAlign w:val="center"/>
                </w:tcPr>
                <w:p>
                  <w:pPr>
                    <w:pStyle w:val="79"/>
                    <w:adjustRightInd/>
                    <w:snapToGrid/>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w:t>
                  </w:r>
                </w:p>
              </w:tc>
              <w:tc>
                <w:tcPr>
                  <w:tcW w:w="1340" w:type="dxa"/>
                  <w:noWrap w:val="0"/>
                  <w:vAlign w:val="center"/>
                </w:tcPr>
                <w:p>
                  <w:pPr>
                    <w:spacing w:line="240" w:lineRule="auto"/>
                    <w:ind w:firstLine="0" w:firstLineChars="0"/>
                    <w:jc w:val="center"/>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烫金模切两用机</w:t>
                  </w:r>
                </w:p>
              </w:tc>
              <w:tc>
                <w:tcPr>
                  <w:tcW w:w="1518" w:type="dxa"/>
                  <w:noWrap w:val="0"/>
                  <w:vAlign w:val="center"/>
                </w:tcPr>
                <w:p>
                  <w:pPr>
                    <w:spacing w:line="240" w:lineRule="auto"/>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3</w:t>
                  </w:r>
                </w:p>
              </w:tc>
              <w:tc>
                <w:tcPr>
                  <w:tcW w:w="1713" w:type="dxa"/>
                  <w:noWrap w:val="0"/>
                  <w:vAlign w:val="center"/>
                </w:tcPr>
                <w:p>
                  <w:pPr>
                    <w:pStyle w:val="79"/>
                    <w:adjustRightInd/>
                    <w:snapToGrid/>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70</w:t>
                  </w:r>
                </w:p>
              </w:tc>
              <w:tc>
                <w:tcPr>
                  <w:tcW w:w="1712" w:type="dxa"/>
                  <w:vMerge w:val="continue"/>
                  <w:noWrap w:val="0"/>
                  <w:vAlign w:val="center"/>
                </w:tcPr>
                <w:p>
                  <w:pPr>
                    <w:pStyle w:val="79"/>
                    <w:adjustRightInd/>
                    <w:snapToGrid/>
                    <w:rPr>
                      <w:rFonts w:hint="default" w:ascii="Times New Roman" w:hAnsi="Times New Roman" w:cs="Times New Roman"/>
                      <w:b w:val="0"/>
                      <w:bCs/>
                      <w:color w:val="auto"/>
                      <w:lang w:val="en-US" w:eastAsia="zh-CN"/>
                    </w:rPr>
                  </w:pPr>
                </w:p>
              </w:tc>
              <w:tc>
                <w:tcPr>
                  <w:tcW w:w="1712" w:type="dxa"/>
                  <w:noWrap w:val="0"/>
                  <w:vAlign w:val="center"/>
                </w:tcPr>
                <w:p>
                  <w:pPr>
                    <w:pStyle w:val="79"/>
                    <w:adjustRightInd/>
                    <w:snapToGrid/>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7" w:hRule="atLeast"/>
              </w:trPr>
              <w:tc>
                <w:tcPr>
                  <w:tcW w:w="827" w:type="dxa"/>
                  <w:noWrap w:val="0"/>
                  <w:vAlign w:val="center"/>
                </w:tcPr>
                <w:p>
                  <w:pPr>
                    <w:pStyle w:val="79"/>
                    <w:adjustRightInd/>
                    <w:snapToGrid/>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8</w:t>
                  </w:r>
                </w:p>
              </w:tc>
              <w:tc>
                <w:tcPr>
                  <w:tcW w:w="1340" w:type="dxa"/>
                  <w:noWrap w:val="0"/>
                  <w:vAlign w:val="center"/>
                </w:tcPr>
                <w:p>
                  <w:pPr>
                    <w:spacing w:line="240" w:lineRule="auto"/>
                    <w:ind w:firstLine="0" w:firstLineChars="0"/>
                    <w:jc w:val="center"/>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多用冲孔机</w:t>
                  </w:r>
                </w:p>
              </w:tc>
              <w:tc>
                <w:tcPr>
                  <w:tcW w:w="1518" w:type="dxa"/>
                  <w:noWrap w:val="0"/>
                  <w:vAlign w:val="center"/>
                </w:tcPr>
                <w:p>
                  <w:pPr>
                    <w:spacing w:line="240" w:lineRule="auto"/>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2</w:t>
                  </w:r>
                </w:p>
              </w:tc>
              <w:tc>
                <w:tcPr>
                  <w:tcW w:w="1713" w:type="dxa"/>
                  <w:noWrap w:val="0"/>
                  <w:vAlign w:val="center"/>
                </w:tcPr>
                <w:p>
                  <w:pPr>
                    <w:pStyle w:val="79"/>
                    <w:adjustRightInd/>
                    <w:snapToGrid/>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80</w:t>
                  </w:r>
                </w:p>
              </w:tc>
              <w:tc>
                <w:tcPr>
                  <w:tcW w:w="1712" w:type="dxa"/>
                  <w:vMerge w:val="continue"/>
                  <w:noWrap w:val="0"/>
                  <w:vAlign w:val="center"/>
                </w:tcPr>
                <w:p>
                  <w:pPr>
                    <w:pStyle w:val="79"/>
                    <w:adjustRightInd/>
                    <w:snapToGrid/>
                    <w:rPr>
                      <w:rFonts w:hint="default" w:ascii="Times New Roman" w:hAnsi="Times New Roman" w:cs="Times New Roman"/>
                      <w:b w:val="0"/>
                      <w:bCs/>
                      <w:color w:val="auto"/>
                      <w:lang w:val="en-US" w:eastAsia="zh-CN"/>
                    </w:rPr>
                  </w:pPr>
                </w:p>
              </w:tc>
              <w:tc>
                <w:tcPr>
                  <w:tcW w:w="1712" w:type="dxa"/>
                  <w:noWrap w:val="0"/>
                  <w:vAlign w:val="center"/>
                </w:tcPr>
                <w:p>
                  <w:pPr>
                    <w:pStyle w:val="79"/>
                    <w:adjustRightInd/>
                    <w:snapToGrid/>
                    <w:ind w:firstLine="0" w:firstLineChars="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827" w:type="dxa"/>
                  <w:noWrap w:val="0"/>
                  <w:vAlign w:val="center"/>
                </w:tcPr>
                <w:p>
                  <w:pPr>
                    <w:pStyle w:val="79"/>
                    <w:adjustRightInd/>
                    <w:snapToGrid/>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9</w:t>
                  </w:r>
                </w:p>
              </w:tc>
              <w:tc>
                <w:tcPr>
                  <w:tcW w:w="1340" w:type="dxa"/>
                  <w:noWrap w:val="0"/>
                  <w:vAlign w:val="center"/>
                </w:tcPr>
                <w:p>
                  <w:pPr>
                    <w:spacing w:line="240" w:lineRule="auto"/>
                    <w:ind w:firstLine="0" w:firstLineChars="0"/>
                    <w:jc w:val="center"/>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全张数显切纸机</w:t>
                  </w:r>
                </w:p>
              </w:tc>
              <w:tc>
                <w:tcPr>
                  <w:tcW w:w="1518" w:type="dxa"/>
                  <w:noWrap w:val="0"/>
                  <w:vAlign w:val="center"/>
                </w:tcPr>
                <w:p>
                  <w:pPr>
                    <w:spacing w:line="240" w:lineRule="auto"/>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1</w:t>
                  </w:r>
                </w:p>
              </w:tc>
              <w:tc>
                <w:tcPr>
                  <w:tcW w:w="1713" w:type="dxa"/>
                  <w:noWrap w:val="0"/>
                  <w:vAlign w:val="center"/>
                </w:tcPr>
                <w:p>
                  <w:pPr>
                    <w:pStyle w:val="79"/>
                    <w:adjustRightInd/>
                    <w:snapToGrid/>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75</w:t>
                  </w:r>
                </w:p>
              </w:tc>
              <w:tc>
                <w:tcPr>
                  <w:tcW w:w="1712" w:type="dxa"/>
                  <w:vMerge w:val="continue"/>
                  <w:noWrap w:val="0"/>
                  <w:vAlign w:val="center"/>
                </w:tcPr>
                <w:p>
                  <w:pPr>
                    <w:pStyle w:val="79"/>
                    <w:adjustRightInd/>
                    <w:snapToGrid/>
                    <w:rPr>
                      <w:rFonts w:hint="default" w:ascii="Times New Roman" w:hAnsi="Times New Roman" w:cs="Times New Roman"/>
                      <w:b w:val="0"/>
                      <w:bCs/>
                      <w:color w:val="auto"/>
                      <w:lang w:val="en-US" w:eastAsia="zh-CN"/>
                    </w:rPr>
                  </w:pPr>
                </w:p>
              </w:tc>
              <w:tc>
                <w:tcPr>
                  <w:tcW w:w="1712" w:type="dxa"/>
                  <w:noWrap w:val="0"/>
                  <w:vAlign w:val="center"/>
                </w:tcPr>
                <w:p>
                  <w:pPr>
                    <w:pStyle w:val="79"/>
                    <w:adjustRightInd/>
                    <w:snapToGrid/>
                    <w:ind w:firstLine="0" w:firstLineChars="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827" w:type="dxa"/>
                  <w:noWrap w:val="0"/>
                  <w:vAlign w:val="center"/>
                </w:tcPr>
                <w:p>
                  <w:pPr>
                    <w:pStyle w:val="79"/>
                    <w:adjustRightInd/>
                    <w:snapToGrid/>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10</w:t>
                  </w:r>
                </w:p>
              </w:tc>
              <w:tc>
                <w:tcPr>
                  <w:tcW w:w="1340" w:type="dxa"/>
                  <w:noWrap w:val="0"/>
                  <w:vAlign w:val="center"/>
                </w:tcPr>
                <w:p>
                  <w:pPr>
                    <w:spacing w:line="240" w:lineRule="auto"/>
                    <w:ind w:firstLine="0" w:firstLineChars="0"/>
                    <w:jc w:val="center"/>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糊盒机</w:t>
                  </w:r>
                </w:p>
              </w:tc>
              <w:tc>
                <w:tcPr>
                  <w:tcW w:w="1518" w:type="dxa"/>
                  <w:noWrap w:val="0"/>
                  <w:vAlign w:val="center"/>
                </w:tcPr>
                <w:p>
                  <w:pPr>
                    <w:spacing w:line="240" w:lineRule="auto"/>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4</w:t>
                  </w:r>
                </w:p>
              </w:tc>
              <w:tc>
                <w:tcPr>
                  <w:tcW w:w="1713" w:type="dxa"/>
                  <w:noWrap w:val="0"/>
                  <w:vAlign w:val="center"/>
                </w:tcPr>
                <w:p>
                  <w:pPr>
                    <w:pStyle w:val="79"/>
                    <w:adjustRightInd/>
                    <w:snapToGrid/>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70</w:t>
                  </w:r>
                </w:p>
              </w:tc>
              <w:tc>
                <w:tcPr>
                  <w:tcW w:w="1712" w:type="dxa"/>
                  <w:vMerge w:val="continue"/>
                  <w:noWrap w:val="0"/>
                  <w:vAlign w:val="center"/>
                </w:tcPr>
                <w:p>
                  <w:pPr>
                    <w:pStyle w:val="79"/>
                    <w:adjustRightInd/>
                    <w:snapToGrid/>
                    <w:rPr>
                      <w:rFonts w:hint="default" w:ascii="Times New Roman" w:hAnsi="Times New Roman" w:cs="Times New Roman"/>
                      <w:b w:val="0"/>
                      <w:bCs/>
                      <w:color w:val="auto"/>
                      <w:lang w:val="en-US" w:eastAsia="zh-CN"/>
                    </w:rPr>
                  </w:pPr>
                </w:p>
              </w:tc>
              <w:tc>
                <w:tcPr>
                  <w:tcW w:w="1712" w:type="dxa"/>
                  <w:noWrap w:val="0"/>
                  <w:vAlign w:val="center"/>
                </w:tcPr>
                <w:p>
                  <w:pPr>
                    <w:pStyle w:val="79"/>
                    <w:adjustRightInd/>
                    <w:snapToGrid/>
                    <w:ind w:firstLine="0" w:firstLineChars="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827" w:type="dxa"/>
                  <w:noWrap w:val="0"/>
                  <w:vAlign w:val="center"/>
                </w:tcPr>
                <w:p>
                  <w:pPr>
                    <w:pStyle w:val="79"/>
                    <w:adjustRightInd/>
                    <w:snapToGrid/>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11</w:t>
                  </w:r>
                </w:p>
              </w:tc>
              <w:tc>
                <w:tcPr>
                  <w:tcW w:w="1340" w:type="dxa"/>
                  <w:noWrap w:val="0"/>
                  <w:vAlign w:val="center"/>
                </w:tcPr>
                <w:p>
                  <w:pPr>
                    <w:spacing w:line="240" w:lineRule="auto"/>
                    <w:ind w:firstLine="0" w:firstLineChars="0"/>
                    <w:jc w:val="center"/>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贴窗机</w:t>
                  </w:r>
                </w:p>
              </w:tc>
              <w:tc>
                <w:tcPr>
                  <w:tcW w:w="1518" w:type="dxa"/>
                  <w:noWrap w:val="0"/>
                  <w:vAlign w:val="center"/>
                </w:tcPr>
                <w:p>
                  <w:pPr>
                    <w:spacing w:line="240" w:lineRule="auto"/>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1</w:t>
                  </w:r>
                </w:p>
              </w:tc>
              <w:tc>
                <w:tcPr>
                  <w:tcW w:w="1713" w:type="dxa"/>
                  <w:noWrap w:val="0"/>
                  <w:vAlign w:val="center"/>
                </w:tcPr>
                <w:p>
                  <w:pPr>
                    <w:pStyle w:val="79"/>
                    <w:adjustRightInd/>
                    <w:snapToGrid/>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70</w:t>
                  </w:r>
                </w:p>
              </w:tc>
              <w:tc>
                <w:tcPr>
                  <w:tcW w:w="1712" w:type="dxa"/>
                  <w:vMerge w:val="continue"/>
                  <w:noWrap w:val="0"/>
                  <w:vAlign w:val="center"/>
                </w:tcPr>
                <w:p>
                  <w:pPr>
                    <w:pStyle w:val="79"/>
                    <w:adjustRightInd/>
                    <w:snapToGrid/>
                    <w:rPr>
                      <w:rFonts w:hint="default" w:ascii="Times New Roman" w:hAnsi="Times New Roman" w:cs="Times New Roman"/>
                      <w:b w:val="0"/>
                      <w:bCs/>
                      <w:color w:val="auto"/>
                      <w:lang w:val="en-US" w:eastAsia="zh-CN"/>
                    </w:rPr>
                  </w:pPr>
                </w:p>
              </w:tc>
              <w:tc>
                <w:tcPr>
                  <w:tcW w:w="1712" w:type="dxa"/>
                  <w:noWrap w:val="0"/>
                  <w:vAlign w:val="center"/>
                </w:tcPr>
                <w:p>
                  <w:pPr>
                    <w:pStyle w:val="79"/>
                    <w:adjustRightInd/>
                    <w:snapToGrid/>
                    <w:ind w:firstLine="0" w:firstLineChars="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827" w:type="dxa"/>
                  <w:noWrap w:val="0"/>
                  <w:vAlign w:val="center"/>
                </w:tcPr>
                <w:p>
                  <w:pPr>
                    <w:pStyle w:val="79"/>
                    <w:adjustRightInd/>
                    <w:snapToGrid/>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12</w:t>
                  </w:r>
                </w:p>
              </w:tc>
              <w:tc>
                <w:tcPr>
                  <w:tcW w:w="1340" w:type="dxa"/>
                  <w:noWrap w:val="0"/>
                  <w:vAlign w:val="center"/>
                </w:tcPr>
                <w:p>
                  <w:pPr>
                    <w:spacing w:line="240" w:lineRule="auto"/>
                    <w:ind w:firstLine="0" w:firstLineChars="0"/>
                    <w:jc w:val="center"/>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皮卡裱纸机</w:t>
                  </w:r>
                </w:p>
              </w:tc>
              <w:tc>
                <w:tcPr>
                  <w:tcW w:w="1518" w:type="dxa"/>
                  <w:noWrap w:val="0"/>
                  <w:vAlign w:val="center"/>
                </w:tcPr>
                <w:p>
                  <w:pPr>
                    <w:spacing w:line="240" w:lineRule="auto"/>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1</w:t>
                  </w:r>
                </w:p>
              </w:tc>
              <w:tc>
                <w:tcPr>
                  <w:tcW w:w="1713" w:type="dxa"/>
                  <w:noWrap w:val="0"/>
                  <w:vAlign w:val="center"/>
                </w:tcPr>
                <w:p>
                  <w:pPr>
                    <w:pStyle w:val="79"/>
                    <w:adjustRightInd/>
                    <w:snapToGrid/>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70</w:t>
                  </w:r>
                </w:p>
              </w:tc>
              <w:tc>
                <w:tcPr>
                  <w:tcW w:w="1712" w:type="dxa"/>
                  <w:vMerge w:val="continue"/>
                  <w:noWrap w:val="0"/>
                  <w:vAlign w:val="center"/>
                </w:tcPr>
                <w:p>
                  <w:pPr>
                    <w:pStyle w:val="79"/>
                    <w:adjustRightInd/>
                    <w:snapToGrid/>
                    <w:rPr>
                      <w:rFonts w:hint="default" w:ascii="Times New Roman" w:hAnsi="Times New Roman" w:cs="Times New Roman"/>
                      <w:b w:val="0"/>
                      <w:bCs/>
                      <w:color w:val="auto"/>
                      <w:lang w:val="en-US" w:eastAsia="zh-CN"/>
                    </w:rPr>
                  </w:pPr>
                </w:p>
              </w:tc>
              <w:tc>
                <w:tcPr>
                  <w:tcW w:w="1712" w:type="dxa"/>
                  <w:noWrap w:val="0"/>
                  <w:vAlign w:val="center"/>
                </w:tcPr>
                <w:p>
                  <w:pPr>
                    <w:pStyle w:val="79"/>
                    <w:adjustRightInd/>
                    <w:snapToGrid/>
                    <w:ind w:firstLine="0" w:firstLineChars="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827" w:type="dxa"/>
                  <w:noWrap w:val="0"/>
                  <w:vAlign w:val="center"/>
                </w:tcPr>
                <w:p>
                  <w:pPr>
                    <w:pStyle w:val="79"/>
                    <w:adjustRightInd/>
                    <w:snapToGrid/>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13</w:t>
                  </w:r>
                </w:p>
              </w:tc>
              <w:tc>
                <w:tcPr>
                  <w:tcW w:w="1340" w:type="dxa"/>
                  <w:noWrap w:val="0"/>
                  <w:vAlign w:val="center"/>
                </w:tcPr>
                <w:p>
                  <w:pPr>
                    <w:spacing w:line="240" w:lineRule="auto"/>
                    <w:ind w:firstLine="0" w:firstLineChars="0"/>
                    <w:jc w:val="center"/>
                    <w:rPr>
                      <w:rFonts w:hint="default" w:ascii="Times New Roman" w:hAnsi="Times New Roman" w:cs="Times New Roman"/>
                      <w:b w:val="0"/>
                      <w:bCs/>
                      <w:color w:val="auto"/>
                      <w:lang w:eastAsia="zh-CN"/>
                    </w:rPr>
                  </w:pPr>
                  <w:r>
                    <w:rPr>
                      <w:rFonts w:hint="default" w:ascii="Times New Roman" w:hAnsi="Times New Roman" w:cs="Times New Roman"/>
                      <w:b w:val="0"/>
                      <w:bCs/>
                      <w:color w:val="auto"/>
                      <w:sz w:val="21"/>
                      <w:szCs w:val="21"/>
                      <w:lang w:val="en-US" w:eastAsia="zh-CN"/>
                    </w:rPr>
                    <w:t>压力机</w:t>
                  </w:r>
                </w:p>
              </w:tc>
              <w:tc>
                <w:tcPr>
                  <w:tcW w:w="1518" w:type="dxa"/>
                  <w:noWrap w:val="0"/>
                  <w:vAlign w:val="center"/>
                </w:tcPr>
                <w:p>
                  <w:pPr>
                    <w:spacing w:line="240" w:lineRule="auto"/>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sz w:val="21"/>
                      <w:szCs w:val="21"/>
                      <w:lang w:val="en-US" w:eastAsia="zh-CN"/>
                    </w:rPr>
                    <w:t>6</w:t>
                  </w:r>
                </w:p>
              </w:tc>
              <w:tc>
                <w:tcPr>
                  <w:tcW w:w="1713" w:type="dxa"/>
                  <w:noWrap w:val="0"/>
                  <w:vAlign w:val="center"/>
                </w:tcPr>
                <w:p>
                  <w:pPr>
                    <w:pStyle w:val="79"/>
                    <w:adjustRightInd/>
                    <w:snapToGrid/>
                    <w:ind w:firstLine="0" w:firstLineChars="0"/>
                    <w:jc w:val="center"/>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80</w:t>
                  </w:r>
                </w:p>
              </w:tc>
              <w:tc>
                <w:tcPr>
                  <w:tcW w:w="1712" w:type="dxa"/>
                  <w:vMerge w:val="continue"/>
                  <w:noWrap w:val="0"/>
                  <w:vAlign w:val="center"/>
                </w:tcPr>
                <w:p>
                  <w:pPr>
                    <w:pStyle w:val="79"/>
                    <w:adjustRightInd/>
                    <w:snapToGrid/>
                    <w:rPr>
                      <w:rFonts w:hint="default" w:ascii="Times New Roman" w:hAnsi="Times New Roman" w:cs="Times New Roman"/>
                      <w:b w:val="0"/>
                      <w:bCs/>
                      <w:color w:val="auto"/>
                      <w:lang w:val="en-US" w:eastAsia="zh-CN"/>
                    </w:rPr>
                  </w:pPr>
                </w:p>
              </w:tc>
              <w:tc>
                <w:tcPr>
                  <w:tcW w:w="1712" w:type="dxa"/>
                  <w:noWrap w:val="0"/>
                  <w:vAlign w:val="center"/>
                </w:tcPr>
                <w:p>
                  <w:pPr>
                    <w:pStyle w:val="79"/>
                    <w:adjustRightInd/>
                    <w:snapToGrid/>
                    <w:ind w:firstLine="0" w:firstLineChars="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65</w:t>
                  </w:r>
                </w:p>
              </w:tc>
            </w:tr>
          </w:tbl>
          <w:p>
            <w:pPr>
              <w:keepNext w:val="0"/>
              <w:keepLines w:val="0"/>
              <w:pageBreakBefore w:val="0"/>
              <w:widowControl w:val="0"/>
              <w:kinsoku/>
              <w:wordWrap/>
              <w:overflowPunct/>
              <w:topLinePunct w:val="0"/>
              <w:autoSpaceDE/>
              <w:autoSpaceDN/>
              <w:bidi w:val="0"/>
              <w:adjustRightInd/>
              <w:snapToGrid/>
              <w:spacing w:before="164" w:beforeLines="50" w:line="240" w:lineRule="auto"/>
              <w:ind w:firstLine="0" w:firstLineChars="0"/>
              <w:jc w:val="center"/>
              <w:textAlignment w:val="auto"/>
              <w:rPr>
                <w:rFonts w:hint="default" w:ascii="Times New Roman" w:hAnsi="Times New Roman" w:cs="Times New Roman"/>
                <w:b/>
                <w:bCs/>
                <w:color w:val="auto"/>
                <w:sz w:val="21"/>
                <w:szCs w:val="20"/>
                <w:lang w:val="en-US" w:eastAsia="zh-CN"/>
              </w:rPr>
            </w:pPr>
            <w:r>
              <w:rPr>
                <w:rFonts w:hint="default" w:ascii="Times New Roman" w:hAnsi="Times New Roman" w:cs="Times New Roman"/>
                <w:b/>
                <w:bCs/>
                <w:color w:val="auto"/>
                <w:sz w:val="21"/>
                <w:szCs w:val="20"/>
                <w:lang w:eastAsia="zh-CN"/>
              </w:rPr>
              <w:t>表</w:t>
            </w:r>
            <w:r>
              <w:rPr>
                <w:rFonts w:hint="default" w:ascii="Times New Roman" w:hAnsi="Times New Roman" w:cs="Times New Roman"/>
                <w:b/>
                <w:bCs/>
                <w:color w:val="auto"/>
                <w:sz w:val="21"/>
                <w:szCs w:val="20"/>
                <w:lang w:val="en-US" w:eastAsia="zh-CN"/>
              </w:rPr>
              <w:t>7-10  主要噪声源位置及贡献值一览表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16"/>
              <w:gridCol w:w="1710"/>
              <w:gridCol w:w="750"/>
              <w:gridCol w:w="945"/>
              <w:gridCol w:w="660"/>
              <w:gridCol w:w="990"/>
              <w:gridCol w:w="690"/>
              <w:gridCol w:w="885"/>
              <w:gridCol w:w="705"/>
              <w:gridCol w:w="86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16" w:type="dxa"/>
                  <w:vMerge w:val="restar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710" w:type="dxa"/>
                  <w:vMerge w:val="restart"/>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噪声源</w:t>
                  </w:r>
                </w:p>
              </w:tc>
              <w:tc>
                <w:tcPr>
                  <w:tcW w:w="1695" w:type="dxa"/>
                  <w:gridSpan w:val="2"/>
                  <w:tcBorders>
                    <w:right w:val="single" w:color="auto" w:sz="6" w:space="0"/>
                  </w:tcBorders>
                  <w:noWrap w:val="0"/>
                  <w:vAlign w:val="center"/>
                </w:tcPr>
                <w:p>
                  <w:pPr>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厂界东</w:t>
                  </w:r>
                </w:p>
              </w:tc>
              <w:tc>
                <w:tcPr>
                  <w:tcW w:w="1650" w:type="dxa"/>
                  <w:gridSpan w:val="2"/>
                  <w:tcBorders>
                    <w:right w:val="single" w:color="auto" w:sz="6" w:space="0"/>
                  </w:tcBorders>
                  <w:noWrap w:val="0"/>
                  <w:vAlign w:val="center"/>
                </w:tcPr>
                <w:p>
                  <w:pPr>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厂界南</w:t>
                  </w:r>
                </w:p>
              </w:tc>
              <w:tc>
                <w:tcPr>
                  <w:tcW w:w="1575" w:type="dxa"/>
                  <w:gridSpan w:val="2"/>
                  <w:tcBorders>
                    <w:right w:val="single" w:color="auto" w:sz="6" w:space="0"/>
                  </w:tcBorders>
                  <w:noWrap w:val="0"/>
                  <w:vAlign w:val="center"/>
                </w:tcPr>
                <w:p>
                  <w:pPr>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厂界西</w:t>
                  </w:r>
                </w:p>
              </w:tc>
              <w:tc>
                <w:tcPr>
                  <w:tcW w:w="1574" w:type="dxa"/>
                  <w:gridSpan w:val="2"/>
                  <w:tcBorders>
                    <w:right w:val="single" w:color="auto" w:sz="6" w:space="0"/>
                  </w:tcBorders>
                  <w:noWrap w:val="0"/>
                  <w:vAlign w:val="center"/>
                </w:tcPr>
                <w:p>
                  <w:pPr>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16" w:type="dxa"/>
                  <w:vMerge w:val="continue"/>
                  <w:noWrap w:val="0"/>
                  <w:vAlign w:val="center"/>
                </w:tcPr>
                <w:p>
                  <w:pPr>
                    <w:spacing w:line="240" w:lineRule="auto"/>
                    <w:ind w:firstLine="420"/>
                    <w:jc w:val="center"/>
                    <w:rPr>
                      <w:rFonts w:hint="default" w:ascii="Times New Roman" w:hAnsi="Times New Roman" w:cs="Times New Roman"/>
                      <w:color w:val="auto"/>
                      <w:sz w:val="21"/>
                      <w:szCs w:val="21"/>
                    </w:rPr>
                  </w:pPr>
                </w:p>
              </w:tc>
              <w:tc>
                <w:tcPr>
                  <w:tcW w:w="1710" w:type="dxa"/>
                  <w:vMerge w:val="continue"/>
                  <w:noWrap w:val="0"/>
                  <w:vAlign w:val="center"/>
                </w:tcPr>
                <w:p>
                  <w:pPr>
                    <w:spacing w:line="240" w:lineRule="auto"/>
                    <w:ind w:firstLine="420"/>
                    <w:jc w:val="center"/>
                    <w:rPr>
                      <w:rFonts w:hint="default" w:ascii="Times New Roman" w:hAnsi="Times New Roman" w:cs="Times New Roman"/>
                      <w:color w:val="auto"/>
                      <w:sz w:val="21"/>
                      <w:szCs w:val="21"/>
                    </w:rPr>
                  </w:pPr>
                </w:p>
              </w:tc>
              <w:tc>
                <w:tcPr>
                  <w:tcW w:w="750" w:type="dxa"/>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距离m</w:t>
                  </w:r>
                </w:p>
              </w:tc>
              <w:tc>
                <w:tcPr>
                  <w:tcW w:w="945" w:type="dxa"/>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贡献值dB(A)</w:t>
                  </w:r>
                </w:p>
              </w:tc>
              <w:tc>
                <w:tcPr>
                  <w:tcW w:w="660" w:type="dxa"/>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距离m</w:t>
                  </w:r>
                </w:p>
              </w:tc>
              <w:tc>
                <w:tcPr>
                  <w:tcW w:w="990" w:type="dxa"/>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贡献值dB(A)</w:t>
                  </w:r>
                </w:p>
              </w:tc>
              <w:tc>
                <w:tcPr>
                  <w:tcW w:w="690" w:type="dxa"/>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距离m</w:t>
                  </w:r>
                </w:p>
              </w:tc>
              <w:tc>
                <w:tcPr>
                  <w:tcW w:w="885" w:type="dxa"/>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贡献值dB(A)</w:t>
                  </w:r>
                </w:p>
              </w:tc>
              <w:tc>
                <w:tcPr>
                  <w:tcW w:w="705" w:type="dxa"/>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距离m</w:t>
                  </w:r>
                </w:p>
              </w:tc>
              <w:tc>
                <w:tcPr>
                  <w:tcW w:w="869" w:type="dxa"/>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贡献值dB(A)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16" w:type="dxa"/>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710" w:type="dxa"/>
                  <w:noWrap w:val="0"/>
                  <w:vAlign w:val="center"/>
                </w:tcPr>
                <w:p>
                  <w:pPr>
                    <w:spacing w:line="240" w:lineRule="auto"/>
                    <w:ind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sz w:val="21"/>
                      <w:szCs w:val="21"/>
                      <w:lang w:eastAsia="zh-CN"/>
                    </w:rPr>
                    <w:t>全自动高速切纸机</w:t>
                  </w:r>
                </w:p>
              </w:tc>
              <w:tc>
                <w:tcPr>
                  <w:tcW w:w="7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9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30.5</w:t>
                  </w:r>
                </w:p>
              </w:tc>
              <w:tc>
                <w:tcPr>
                  <w:tcW w:w="66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9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25.7</w:t>
                  </w:r>
                </w:p>
              </w:tc>
              <w:tc>
                <w:tcPr>
                  <w:tcW w:w="6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8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26.9</w:t>
                  </w:r>
                </w:p>
              </w:tc>
              <w:tc>
                <w:tcPr>
                  <w:tcW w:w="70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63</w:t>
                  </w:r>
                </w:p>
              </w:tc>
              <w:tc>
                <w:tcPr>
                  <w:tcW w:w="86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16" w:type="dxa"/>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710" w:type="dxa"/>
                  <w:noWrap w:val="0"/>
                  <w:vAlign w:val="center"/>
                </w:tcPr>
                <w:p>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szCs w:val="21"/>
                      <w:lang w:eastAsia="zh-CN"/>
                    </w:rPr>
                    <w:t>六色胶印机</w:t>
                  </w:r>
                </w:p>
              </w:tc>
              <w:tc>
                <w:tcPr>
                  <w:tcW w:w="7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9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18.7</w:t>
                  </w:r>
                </w:p>
              </w:tc>
              <w:tc>
                <w:tcPr>
                  <w:tcW w:w="66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w:t>
                  </w:r>
                </w:p>
              </w:tc>
              <w:tc>
                <w:tcPr>
                  <w:tcW w:w="990" w:type="dxa"/>
                  <w:noWrap w:val="0"/>
                  <w:vAlign w:val="center"/>
                </w:tcPr>
                <w:p>
                  <w:pPr>
                    <w:spacing w:line="240" w:lineRule="auto"/>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sz w:val="21"/>
                      <w:szCs w:val="20"/>
                      <w:lang w:val="en-US" w:eastAsia="zh-CN"/>
                    </w:rPr>
                    <w:t>14.2</w:t>
                  </w:r>
                </w:p>
              </w:tc>
              <w:tc>
                <w:tcPr>
                  <w:tcW w:w="6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8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70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86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16" w:type="dxa"/>
                  <w:noWrap w:val="0"/>
                  <w:vAlign w:val="center"/>
                </w:tcPr>
                <w:p>
                  <w:pPr>
                    <w:pStyle w:val="79"/>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3</w:t>
                  </w:r>
                </w:p>
              </w:tc>
              <w:tc>
                <w:tcPr>
                  <w:tcW w:w="1710" w:type="dxa"/>
                  <w:noWrap w:val="0"/>
                  <w:vAlign w:val="center"/>
                </w:tcPr>
                <w:p>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szCs w:val="21"/>
                      <w:lang w:eastAsia="zh-CN"/>
                    </w:rPr>
                    <w:t>双色胶印机</w:t>
                  </w:r>
                </w:p>
              </w:tc>
              <w:tc>
                <w:tcPr>
                  <w:tcW w:w="7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62</w:t>
                  </w:r>
                </w:p>
              </w:tc>
              <w:tc>
                <w:tcPr>
                  <w:tcW w:w="9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19.2</w:t>
                  </w:r>
                </w:p>
              </w:tc>
              <w:tc>
                <w:tcPr>
                  <w:tcW w:w="66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105</w:t>
                  </w:r>
                </w:p>
              </w:tc>
              <w:tc>
                <w:tcPr>
                  <w:tcW w:w="9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14.6</w:t>
                  </w:r>
                </w:p>
              </w:tc>
              <w:tc>
                <w:tcPr>
                  <w:tcW w:w="6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8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32.7</w:t>
                  </w:r>
                </w:p>
              </w:tc>
              <w:tc>
                <w:tcPr>
                  <w:tcW w:w="70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86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16" w:type="dxa"/>
                  <w:noWrap w:val="0"/>
                  <w:vAlign w:val="center"/>
                </w:tcPr>
                <w:p>
                  <w:pPr>
                    <w:pStyle w:val="79"/>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4</w:t>
                  </w:r>
                </w:p>
              </w:tc>
              <w:tc>
                <w:tcPr>
                  <w:tcW w:w="1710" w:type="dxa"/>
                  <w:noWrap w:val="0"/>
                  <w:vAlign w:val="center"/>
                </w:tcPr>
                <w:p>
                  <w:pPr>
                    <w:spacing w:line="240" w:lineRule="auto"/>
                    <w:ind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sz w:val="21"/>
                      <w:szCs w:val="21"/>
                      <w:lang w:val="en-US" w:eastAsia="zh-CN"/>
                    </w:rPr>
                    <w:t>全自动裱纸机</w:t>
                  </w:r>
                </w:p>
              </w:tc>
              <w:tc>
                <w:tcPr>
                  <w:tcW w:w="7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9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w:t>
                  </w:r>
                </w:p>
              </w:tc>
              <w:tc>
                <w:tcPr>
                  <w:tcW w:w="66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9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21.0</w:t>
                  </w:r>
                </w:p>
              </w:tc>
              <w:tc>
                <w:tcPr>
                  <w:tcW w:w="6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8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18.1</w:t>
                  </w:r>
                </w:p>
              </w:tc>
              <w:tc>
                <w:tcPr>
                  <w:tcW w:w="70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86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16" w:type="dxa"/>
                  <w:noWrap w:val="0"/>
                  <w:vAlign w:val="center"/>
                </w:tcPr>
                <w:p>
                  <w:pPr>
                    <w:pStyle w:val="79"/>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5</w:t>
                  </w:r>
                </w:p>
              </w:tc>
              <w:tc>
                <w:tcPr>
                  <w:tcW w:w="1710" w:type="dxa"/>
                  <w:noWrap w:val="0"/>
                  <w:vAlign w:val="center"/>
                </w:tcPr>
                <w:p>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szCs w:val="21"/>
                      <w:lang w:val="en-US" w:eastAsia="zh-CN"/>
                    </w:rPr>
                    <w:t>纸箱纸盒打样机</w:t>
                  </w:r>
                </w:p>
              </w:tc>
              <w:tc>
                <w:tcPr>
                  <w:tcW w:w="7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w:t>
                  </w:r>
                </w:p>
              </w:tc>
              <w:tc>
                <w:tcPr>
                  <w:tcW w:w="9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23.2</w:t>
                  </w:r>
                </w:p>
              </w:tc>
              <w:tc>
                <w:tcPr>
                  <w:tcW w:w="66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w:t>
                  </w:r>
                </w:p>
              </w:tc>
              <w:tc>
                <w:tcPr>
                  <w:tcW w:w="9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14.7</w:t>
                  </w:r>
                </w:p>
              </w:tc>
              <w:tc>
                <w:tcPr>
                  <w:tcW w:w="6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8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23.9</w:t>
                  </w:r>
                </w:p>
              </w:tc>
              <w:tc>
                <w:tcPr>
                  <w:tcW w:w="70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86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616" w:type="dxa"/>
                  <w:noWrap w:val="0"/>
                  <w:vAlign w:val="center"/>
                </w:tcPr>
                <w:p>
                  <w:pPr>
                    <w:pStyle w:val="79"/>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6</w:t>
                  </w:r>
                </w:p>
              </w:tc>
              <w:tc>
                <w:tcPr>
                  <w:tcW w:w="1710" w:type="dxa"/>
                  <w:noWrap w:val="0"/>
                  <w:vAlign w:val="center"/>
                </w:tcPr>
                <w:p>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szCs w:val="21"/>
                      <w:lang w:val="en-US" w:eastAsia="zh-CN"/>
                    </w:rPr>
                    <w:t>锯床</w:t>
                  </w:r>
                </w:p>
              </w:tc>
              <w:tc>
                <w:tcPr>
                  <w:tcW w:w="7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9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26.0</w:t>
                  </w:r>
                </w:p>
              </w:tc>
              <w:tc>
                <w:tcPr>
                  <w:tcW w:w="66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9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29.1</w:t>
                  </w:r>
                </w:p>
              </w:tc>
              <w:tc>
                <w:tcPr>
                  <w:tcW w:w="6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8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w:t>
                  </w:r>
                </w:p>
              </w:tc>
              <w:tc>
                <w:tcPr>
                  <w:tcW w:w="70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86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616" w:type="dxa"/>
                  <w:noWrap w:val="0"/>
                  <w:vAlign w:val="center"/>
                </w:tcPr>
                <w:p>
                  <w:pPr>
                    <w:pStyle w:val="79"/>
                    <w:ind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7</w:t>
                  </w:r>
                </w:p>
              </w:tc>
              <w:tc>
                <w:tcPr>
                  <w:tcW w:w="1710" w:type="dxa"/>
                  <w:noWrap w:val="0"/>
                  <w:vAlign w:val="center"/>
                </w:tcPr>
                <w:p>
                  <w:pPr>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val="en-US" w:eastAsia="zh-CN"/>
                    </w:rPr>
                    <w:t>烫金模切两用机</w:t>
                  </w:r>
                </w:p>
              </w:tc>
              <w:tc>
                <w:tcPr>
                  <w:tcW w:w="7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9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27.7</w:t>
                  </w:r>
                </w:p>
              </w:tc>
              <w:tc>
                <w:tcPr>
                  <w:tcW w:w="66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9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21.2</w:t>
                  </w:r>
                </w:p>
              </w:tc>
              <w:tc>
                <w:tcPr>
                  <w:tcW w:w="6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8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28.9</w:t>
                  </w:r>
                </w:p>
              </w:tc>
              <w:tc>
                <w:tcPr>
                  <w:tcW w:w="70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86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616" w:type="dxa"/>
                  <w:noWrap w:val="0"/>
                  <w:vAlign w:val="center"/>
                </w:tcPr>
                <w:p>
                  <w:pPr>
                    <w:pStyle w:val="79"/>
                    <w:ind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8</w:t>
                  </w:r>
                </w:p>
              </w:tc>
              <w:tc>
                <w:tcPr>
                  <w:tcW w:w="1710" w:type="dxa"/>
                  <w:noWrap w:val="0"/>
                  <w:vAlign w:val="center"/>
                </w:tcPr>
                <w:p>
                  <w:pPr>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val="en-US" w:eastAsia="zh-CN"/>
                    </w:rPr>
                    <w:t>多用冲孔机</w:t>
                  </w:r>
                </w:p>
              </w:tc>
              <w:tc>
                <w:tcPr>
                  <w:tcW w:w="7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9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66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9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36.9</w:t>
                  </w:r>
                </w:p>
              </w:tc>
              <w:tc>
                <w:tcPr>
                  <w:tcW w:w="6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8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37.1</w:t>
                  </w:r>
                </w:p>
              </w:tc>
              <w:tc>
                <w:tcPr>
                  <w:tcW w:w="70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79</w:t>
                  </w:r>
                </w:p>
              </w:tc>
              <w:tc>
                <w:tcPr>
                  <w:tcW w:w="86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616" w:type="dxa"/>
                  <w:noWrap w:val="0"/>
                  <w:vAlign w:val="center"/>
                </w:tcPr>
                <w:p>
                  <w:pPr>
                    <w:pStyle w:val="79"/>
                    <w:ind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9</w:t>
                  </w:r>
                </w:p>
              </w:tc>
              <w:tc>
                <w:tcPr>
                  <w:tcW w:w="1710" w:type="dxa"/>
                  <w:noWrap w:val="0"/>
                  <w:vAlign w:val="center"/>
                </w:tcPr>
                <w:p>
                  <w:pPr>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val="en-US" w:eastAsia="zh-CN"/>
                    </w:rPr>
                    <w:t>全张数显切纸机</w:t>
                  </w:r>
                </w:p>
              </w:tc>
              <w:tc>
                <w:tcPr>
                  <w:tcW w:w="7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9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26.9</w:t>
                  </w:r>
                </w:p>
              </w:tc>
              <w:tc>
                <w:tcPr>
                  <w:tcW w:w="66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9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26.9</w:t>
                  </w:r>
                </w:p>
              </w:tc>
              <w:tc>
                <w:tcPr>
                  <w:tcW w:w="6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8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30.5</w:t>
                  </w:r>
                </w:p>
              </w:tc>
              <w:tc>
                <w:tcPr>
                  <w:tcW w:w="70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86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616" w:type="dxa"/>
                  <w:noWrap w:val="0"/>
                  <w:vAlign w:val="center"/>
                </w:tcPr>
                <w:p>
                  <w:pPr>
                    <w:pStyle w:val="79"/>
                    <w:ind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10</w:t>
                  </w:r>
                </w:p>
              </w:tc>
              <w:tc>
                <w:tcPr>
                  <w:tcW w:w="1710" w:type="dxa"/>
                  <w:noWrap w:val="0"/>
                  <w:vAlign w:val="center"/>
                </w:tcPr>
                <w:p>
                  <w:pPr>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val="en-US" w:eastAsia="zh-CN"/>
                    </w:rPr>
                    <w:t>糊盒机</w:t>
                  </w:r>
                </w:p>
              </w:tc>
              <w:tc>
                <w:tcPr>
                  <w:tcW w:w="7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9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27.0</w:t>
                  </w:r>
                </w:p>
              </w:tc>
              <w:tc>
                <w:tcPr>
                  <w:tcW w:w="66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9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31.5</w:t>
                  </w:r>
                </w:p>
              </w:tc>
              <w:tc>
                <w:tcPr>
                  <w:tcW w:w="6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8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33.1</w:t>
                  </w:r>
                </w:p>
              </w:tc>
              <w:tc>
                <w:tcPr>
                  <w:tcW w:w="70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86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616" w:type="dxa"/>
                  <w:noWrap w:val="0"/>
                  <w:vAlign w:val="center"/>
                </w:tcPr>
                <w:p>
                  <w:pPr>
                    <w:pStyle w:val="79"/>
                    <w:ind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11</w:t>
                  </w:r>
                </w:p>
              </w:tc>
              <w:tc>
                <w:tcPr>
                  <w:tcW w:w="1710" w:type="dxa"/>
                  <w:noWrap w:val="0"/>
                  <w:vAlign w:val="center"/>
                </w:tcPr>
                <w:p>
                  <w:pPr>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val="en-US" w:eastAsia="zh-CN"/>
                    </w:rPr>
                    <w:t>贴窗机</w:t>
                  </w:r>
                </w:p>
              </w:tc>
              <w:tc>
                <w:tcPr>
                  <w:tcW w:w="7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9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41.0</w:t>
                  </w:r>
                </w:p>
              </w:tc>
              <w:tc>
                <w:tcPr>
                  <w:tcW w:w="66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9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19.4</w:t>
                  </w:r>
                </w:p>
              </w:tc>
              <w:tc>
                <w:tcPr>
                  <w:tcW w:w="6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8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18.1</w:t>
                  </w:r>
                </w:p>
              </w:tc>
              <w:tc>
                <w:tcPr>
                  <w:tcW w:w="70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86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616" w:type="dxa"/>
                  <w:noWrap w:val="0"/>
                  <w:vAlign w:val="center"/>
                </w:tcPr>
                <w:p>
                  <w:pPr>
                    <w:pStyle w:val="79"/>
                    <w:ind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12</w:t>
                  </w:r>
                </w:p>
              </w:tc>
              <w:tc>
                <w:tcPr>
                  <w:tcW w:w="1710" w:type="dxa"/>
                  <w:noWrap w:val="0"/>
                  <w:vAlign w:val="center"/>
                </w:tcPr>
                <w:p>
                  <w:pPr>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val="en-US" w:eastAsia="zh-CN"/>
                    </w:rPr>
                    <w:t>皮卡裱纸机</w:t>
                  </w:r>
                </w:p>
              </w:tc>
              <w:tc>
                <w:tcPr>
                  <w:tcW w:w="7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9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21.9</w:t>
                  </w:r>
                </w:p>
              </w:tc>
              <w:tc>
                <w:tcPr>
                  <w:tcW w:w="66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9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18.7</w:t>
                  </w:r>
                </w:p>
              </w:tc>
              <w:tc>
                <w:tcPr>
                  <w:tcW w:w="6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8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25.5</w:t>
                  </w:r>
                </w:p>
              </w:tc>
              <w:tc>
                <w:tcPr>
                  <w:tcW w:w="70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86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616" w:type="dxa"/>
                  <w:noWrap w:val="0"/>
                  <w:vAlign w:val="center"/>
                </w:tcPr>
                <w:p>
                  <w:pPr>
                    <w:pStyle w:val="79"/>
                    <w:ind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13</w:t>
                  </w:r>
                </w:p>
              </w:tc>
              <w:tc>
                <w:tcPr>
                  <w:tcW w:w="1710" w:type="dxa"/>
                  <w:noWrap w:val="0"/>
                  <w:vAlign w:val="center"/>
                </w:tcPr>
                <w:p>
                  <w:pPr>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sz w:val="21"/>
                      <w:szCs w:val="21"/>
                      <w:lang w:val="en-US" w:eastAsia="zh-CN"/>
                    </w:rPr>
                    <w:t>压力机</w:t>
                  </w:r>
                </w:p>
              </w:tc>
              <w:tc>
                <w:tcPr>
                  <w:tcW w:w="75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94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30.7</w:t>
                  </w:r>
                </w:p>
              </w:tc>
              <w:tc>
                <w:tcPr>
                  <w:tcW w:w="66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9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31.9</w:t>
                  </w:r>
                </w:p>
              </w:tc>
              <w:tc>
                <w:tcPr>
                  <w:tcW w:w="69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88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31.9</w:t>
                  </w:r>
                </w:p>
              </w:tc>
              <w:tc>
                <w:tcPr>
                  <w:tcW w:w="70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86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24.7</w:t>
                  </w:r>
                </w:p>
              </w:tc>
            </w:tr>
          </w:tbl>
          <w:p>
            <w:pPr>
              <w:rPr>
                <w:rFonts w:hint="default" w:ascii="Times New Roman" w:hAnsi="Times New Roman" w:cs="Times New Roman"/>
                <w:color w:val="auto"/>
              </w:rPr>
            </w:pPr>
            <w:r>
              <w:rPr>
                <w:rFonts w:hint="default" w:ascii="Times New Roman" w:hAnsi="Times New Roman" w:cs="Times New Roman"/>
                <w:color w:val="auto"/>
              </w:rPr>
              <w:t>针对营运期生产车间设备运行噪声影响预测如下：</w:t>
            </w:r>
          </w:p>
          <w:p>
            <w:pPr>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预测方案</w:t>
            </w:r>
          </w:p>
          <w:p>
            <w:pPr>
              <w:autoSpaceDE w:val="0"/>
              <w:autoSpaceDN w:val="0"/>
              <w:adjustRightInd w:val="0"/>
              <w:rPr>
                <w:rFonts w:hint="default" w:ascii="Times New Roman" w:hAnsi="Times New Roman" w:cs="Times New Roman"/>
                <w:color w:val="auto"/>
              </w:rPr>
            </w:pPr>
            <w:r>
              <w:rPr>
                <w:rFonts w:hint="default" w:ascii="Times New Roman" w:hAnsi="Times New Roman" w:cs="Times New Roman"/>
                <w:color w:val="auto"/>
                <w:lang w:val="zh-CN"/>
              </w:rPr>
              <w:t>预测计算本工程噪声源采取环评降噪措施后，对拟建地周边环境质量影响程度和范围。</w:t>
            </w:r>
          </w:p>
          <w:p>
            <w:pPr>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噪声预测源强</w:t>
            </w:r>
          </w:p>
          <w:p>
            <w:pPr>
              <w:rPr>
                <w:rFonts w:hint="default" w:ascii="Times New Roman" w:hAnsi="Times New Roman" w:cs="Times New Roman"/>
                <w:color w:val="auto"/>
              </w:rPr>
            </w:pPr>
            <w:r>
              <w:rPr>
                <w:rFonts w:hint="default" w:ascii="Times New Roman" w:hAnsi="Times New Roman" w:cs="Times New Roman"/>
                <w:color w:val="auto"/>
              </w:rPr>
              <w:t>建设项目噪声源主要为</w:t>
            </w:r>
            <w:r>
              <w:rPr>
                <w:rFonts w:hint="default" w:ascii="Times New Roman" w:hAnsi="Times New Roman" w:cs="Times New Roman"/>
                <w:color w:val="auto"/>
                <w:lang w:val="zh-CN"/>
              </w:rPr>
              <w:t>生产车间内设备噪声</w:t>
            </w:r>
            <w:r>
              <w:rPr>
                <w:rFonts w:hint="default" w:ascii="Times New Roman" w:hAnsi="Times New Roman" w:cs="Times New Roman"/>
                <w:color w:val="auto"/>
              </w:rPr>
              <w:t>。</w:t>
            </w:r>
          </w:p>
          <w:p>
            <w:pPr>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预测模式</w:t>
            </w:r>
          </w:p>
          <w:p>
            <w:pPr>
              <w:rPr>
                <w:rFonts w:hint="default" w:ascii="Times New Roman" w:hAnsi="Times New Roman" w:cs="Times New Roman"/>
                <w:color w:val="auto"/>
              </w:rPr>
            </w:pPr>
            <w:r>
              <w:rPr>
                <w:rFonts w:hint="default" w:ascii="Times New Roman" w:hAnsi="Times New Roman" w:cs="Times New Roman"/>
                <w:color w:val="auto"/>
              </w:rPr>
              <w:t>A室外声源采用衰减公式为：</w:t>
            </w:r>
          </w:p>
          <w:p>
            <w:pPr>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424940" cy="425450"/>
                  <wp:effectExtent l="0" t="0" r="0" b="508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15"/>
                          <a:stretch>
                            <a:fillRect/>
                          </a:stretch>
                        </pic:blipFill>
                        <pic:spPr>
                          <a:xfrm>
                            <a:off x="0" y="0"/>
                            <a:ext cx="1424940" cy="425450"/>
                          </a:xfrm>
                          <a:prstGeom prst="rect">
                            <a:avLst/>
                          </a:prstGeom>
                          <a:noFill/>
                          <a:ln>
                            <a:noFill/>
                          </a:ln>
                        </pic:spPr>
                      </pic:pic>
                    </a:graphicData>
                  </a:graphic>
                </wp:inline>
              </w:drawing>
            </w:r>
          </w:p>
          <w:p>
            <w:pPr>
              <w:rPr>
                <w:rFonts w:hint="default" w:ascii="Times New Roman" w:hAnsi="Times New Roman" w:cs="Times New Roman"/>
                <w:color w:val="auto"/>
              </w:rPr>
            </w:pPr>
            <w:r>
              <w:rPr>
                <w:rFonts w:hint="default" w:ascii="Times New Roman" w:hAnsi="Times New Roman" w:cs="Times New Roman"/>
                <w:color w:val="auto"/>
              </w:rPr>
              <w:t>式中：L(r)—距离噪声源r m处的声压级，dB(A)；</w:t>
            </w:r>
          </w:p>
          <w:p>
            <w:pPr>
              <w:spacing w:line="440" w:lineRule="exact"/>
              <w:rPr>
                <w:rFonts w:hint="default" w:ascii="Times New Roman" w:hAnsi="Times New Roman" w:cs="Times New Roman"/>
                <w:color w:val="auto"/>
              </w:rPr>
            </w:pPr>
            <w:r>
              <w:rPr>
                <w:rFonts w:hint="default" w:ascii="Times New Roman" w:hAnsi="Times New Roman" w:cs="Times New Roman"/>
                <w:color w:val="auto"/>
              </w:rPr>
              <w:t xml:space="preserve">      L(r0)—声源的声压级，dB(A)；</w:t>
            </w:r>
          </w:p>
          <w:p>
            <w:pPr>
              <w:rPr>
                <w:rFonts w:hint="default" w:ascii="Times New Roman" w:hAnsi="Times New Roman" w:cs="Times New Roman"/>
                <w:color w:val="auto"/>
              </w:rPr>
            </w:pPr>
            <w:r>
              <w:rPr>
                <w:rFonts w:hint="default" w:ascii="Times New Roman" w:hAnsi="Times New Roman" w:cs="Times New Roman"/>
                <w:color w:val="auto"/>
              </w:rPr>
              <w:t xml:space="preserve">      r—预测点距离噪声源的距离，m；</w:t>
            </w:r>
          </w:p>
          <w:p>
            <w:pPr>
              <w:ind w:firstLine="1200" w:firstLineChars="500"/>
              <w:rPr>
                <w:rFonts w:hint="default" w:ascii="Times New Roman" w:hAnsi="Times New Roman" w:cs="Times New Roman"/>
                <w:color w:val="auto"/>
              </w:rPr>
            </w:pPr>
            <w:r>
              <w:rPr>
                <w:rFonts w:hint="default" w:ascii="Times New Roman" w:hAnsi="Times New Roman" w:cs="Times New Roman"/>
                <w:color w:val="auto"/>
              </w:rPr>
              <w:t>ro—参考位置距噪声源的距离，m。</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 xml:space="preserve">B室内声源  </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对于室内点声源，将室内声场近似为扩散声场，车间均匀透声，其预测模式如下：</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765300" cy="2444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16"/>
                          <a:stretch>
                            <a:fillRect/>
                          </a:stretch>
                        </pic:blipFill>
                        <pic:spPr>
                          <a:xfrm>
                            <a:off x="0" y="0"/>
                            <a:ext cx="1765300" cy="244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 xml:space="preserve">式中： </w:t>
            </w:r>
            <w:r>
              <w:rPr>
                <w:rFonts w:hint="default" w:ascii="Times New Roman" w:hAnsi="Times New Roman" w:cs="Times New Roman"/>
                <w:color w:val="auto"/>
              </w:rPr>
              <w:drawing>
                <wp:inline distT="0" distB="0" distL="114300" distR="114300">
                  <wp:extent cx="542290" cy="244475"/>
                  <wp:effectExtent l="0" t="0" r="3810" b="9525"/>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17"/>
                          <a:stretch>
                            <a:fillRect/>
                          </a:stretch>
                        </pic:blipFill>
                        <pic:spPr>
                          <a:xfrm>
                            <a:off x="0" y="0"/>
                            <a:ext cx="542290" cy="244475"/>
                          </a:xfrm>
                          <a:prstGeom prst="rect">
                            <a:avLst/>
                          </a:prstGeom>
                          <a:noFill/>
                          <a:ln>
                            <a:noFill/>
                          </a:ln>
                        </pic:spPr>
                      </pic:pic>
                    </a:graphicData>
                  </a:graphic>
                </wp:inline>
              </w:drawing>
            </w:r>
            <w:r>
              <w:rPr>
                <w:rFonts w:hint="default" w:ascii="Times New Roman" w:hAnsi="Times New Roman" w:cs="Times New Roman"/>
                <w:color w:val="auto"/>
              </w:rPr>
              <w:t>—室外N个声源i倍频带的叠加声压级，dB；</w:t>
            </w:r>
          </w:p>
          <w:p>
            <w:pPr>
              <w:keepNext w:val="0"/>
              <w:keepLines w:val="0"/>
              <w:pageBreakBefore w:val="0"/>
              <w:widowControl w:val="0"/>
              <w:kinsoku/>
              <w:wordWrap/>
              <w:overflowPunct/>
              <w:topLinePunct w:val="0"/>
              <w:autoSpaceDE/>
              <w:autoSpaceDN/>
              <w:bidi w:val="0"/>
              <w:adjustRightInd/>
              <w:snapToGrid/>
              <w:ind w:firstLine="1440" w:firstLineChars="600"/>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31495" cy="244475"/>
                  <wp:effectExtent l="0" t="0" r="1905" b="9525"/>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18"/>
                          <a:stretch>
                            <a:fillRect/>
                          </a:stretch>
                        </pic:blipFill>
                        <pic:spPr>
                          <a:xfrm>
                            <a:off x="0" y="0"/>
                            <a:ext cx="531495" cy="244475"/>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116840" cy="212725"/>
                  <wp:effectExtent l="0" t="0" r="0" b="0"/>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19"/>
                          <a:stretch>
                            <a:fillRect/>
                          </a:stretch>
                        </pic:blipFill>
                        <pic:spPr>
                          <a:xfrm>
                            <a:off x="0" y="0"/>
                            <a:ext cx="116840" cy="212725"/>
                          </a:xfrm>
                          <a:prstGeom prst="rect">
                            <a:avLst/>
                          </a:prstGeom>
                          <a:noFill/>
                          <a:ln>
                            <a:noFill/>
                          </a:ln>
                        </pic:spPr>
                      </pic:pic>
                    </a:graphicData>
                  </a:graphic>
                </wp:inline>
              </w:drawing>
            </w:r>
            <w:r>
              <w:rPr>
                <w:rFonts w:hint="default" w:ascii="Times New Roman" w:hAnsi="Times New Roman" w:cs="Times New Roman"/>
                <w:color w:val="auto"/>
              </w:rPr>
              <w:t>—靠近围护结构处室内N个声源i倍频带的叠加声压级，dB；</w:t>
            </w:r>
          </w:p>
          <w:p>
            <w:pPr>
              <w:keepNext w:val="0"/>
              <w:keepLines w:val="0"/>
              <w:pageBreakBefore w:val="0"/>
              <w:widowControl w:val="0"/>
              <w:kinsoku/>
              <w:wordWrap/>
              <w:overflowPunct/>
              <w:topLinePunct w:val="0"/>
              <w:autoSpaceDE/>
              <w:autoSpaceDN/>
              <w:bidi w:val="0"/>
              <w:adjustRightInd/>
              <w:snapToGrid/>
              <w:ind w:firstLine="1440" w:firstLineChars="600"/>
              <w:textAlignment w:val="auto"/>
              <w:rPr>
                <w:rFonts w:hint="default" w:ascii="Times New Roman" w:hAnsi="Times New Roman" w:cs="Times New Roman"/>
                <w:color w:val="auto"/>
              </w:rPr>
            </w:pPr>
            <w:r>
              <w:rPr>
                <w:rFonts w:hint="default" w:ascii="Times New Roman" w:hAnsi="Times New Roman" w:cs="Times New Roman"/>
                <w:color w:val="auto"/>
              </w:rPr>
              <w:t>TLi—围护结构i倍频带的隔声量，dB。</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C 合成声压级  采用公式为：</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297305" cy="403860"/>
                  <wp:effectExtent l="0" t="0" r="0" b="190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20"/>
                          <a:stretch>
                            <a:fillRect/>
                          </a:stretch>
                        </pic:blipFill>
                        <pic:spPr>
                          <a:xfrm>
                            <a:off x="0" y="0"/>
                            <a:ext cx="1297305" cy="403860"/>
                          </a:xfrm>
                          <a:prstGeom prst="rect">
                            <a:avLst/>
                          </a:prstGeom>
                          <a:noFill/>
                          <a:ln>
                            <a:noFill/>
                          </a:ln>
                        </pic:spPr>
                      </pic:pic>
                    </a:graphicData>
                  </a:graphic>
                </wp:inline>
              </w:drawing>
            </w:r>
          </w:p>
          <w:p>
            <w:pPr>
              <w:rPr>
                <w:rFonts w:hint="default" w:ascii="Times New Roman" w:hAnsi="Times New Roman" w:cs="Times New Roman"/>
                <w:color w:val="auto"/>
              </w:rPr>
            </w:pPr>
            <w:r>
              <w:rPr>
                <w:rFonts w:hint="default" w:ascii="Times New Roman" w:hAnsi="Times New Roman" w:cs="Times New Roman"/>
                <w:color w:val="auto"/>
              </w:rPr>
              <w:t>式中：Lp—n个噪声源在预测点产生的总声压级，dB(A)；</w:t>
            </w:r>
          </w:p>
          <w:p>
            <w:pPr>
              <w:rPr>
                <w:rFonts w:hint="default" w:ascii="Times New Roman" w:hAnsi="Times New Roman" w:cs="Times New Roman"/>
                <w:color w:val="auto"/>
              </w:rPr>
            </w:pPr>
            <w:r>
              <w:rPr>
                <w:rFonts w:hint="default" w:ascii="Times New Roman" w:hAnsi="Times New Roman" w:cs="Times New Roman"/>
                <w:color w:val="auto"/>
              </w:rPr>
              <w:t xml:space="preserve">      Lpni—第n个噪声源在预测点产生的声压级，dB(A)。</w:t>
            </w:r>
          </w:p>
          <w:p>
            <w:pPr>
              <w:rPr>
                <w:rFonts w:hint="default" w:ascii="Times New Roman" w:hAnsi="Times New Roman" w:cs="Times New Roman"/>
                <w:color w:val="auto"/>
              </w:rPr>
            </w:pPr>
            <w:r>
              <w:rPr>
                <w:rFonts w:hint="default" w:ascii="Times New Roman" w:hAnsi="Times New Roman" w:cs="Times New Roman"/>
                <w:color w:val="auto"/>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④</w:t>
            </w:r>
            <w:r>
              <w:rPr>
                <w:rFonts w:hint="default" w:ascii="Times New Roman" w:hAnsi="Times New Roman" w:cs="Times New Roman"/>
                <w:color w:val="auto"/>
              </w:rPr>
              <w:fldChar w:fldCharType="end"/>
            </w:r>
            <w:r>
              <w:rPr>
                <w:rFonts w:hint="default" w:ascii="Times New Roman" w:hAnsi="Times New Roman" w:cs="Times New Roman"/>
                <w:color w:val="auto"/>
              </w:rPr>
              <w:t>预测结果</w:t>
            </w:r>
          </w:p>
          <w:p>
            <w:pPr>
              <w:rPr>
                <w:rFonts w:hint="default" w:ascii="Times New Roman" w:hAnsi="Times New Roman" w:cs="Times New Roman"/>
                <w:color w:val="auto"/>
              </w:rPr>
            </w:pPr>
            <w:r>
              <w:rPr>
                <w:rFonts w:hint="default" w:ascii="Times New Roman" w:hAnsi="Times New Roman" w:cs="Times New Roman"/>
                <w:color w:val="auto"/>
              </w:rPr>
              <w:t>本项目夜间不生产运营，项目运行期厂界噪声预测结果见表7-</w:t>
            </w:r>
            <w:r>
              <w:rPr>
                <w:rFonts w:hint="default" w:ascii="Times New Roman" w:hAnsi="Times New Roman" w:cs="Times New Roman"/>
                <w:color w:val="auto"/>
                <w:lang w:val="en-US" w:eastAsia="zh-CN"/>
              </w:rPr>
              <w:t>11</w:t>
            </w:r>
            <w:r>
              <w:rPr>
                <w:rFonts w:hint="default" w:ascii="Times New Roman" w:hAnsi="Times New Roman" w:cs="Times New Roman"/>
                <w:color w:val="auto"/>
              </w:rPr>
              <w:t>。</w:t>
            </w:r>
          </w:p>
          <w:bookmarkEnd w:id="1"/>
          <w:p>
            <w:pPr>
              <w:pStyle w:val="9"/>
              <w:spacing w:beforeLines="0"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表7-</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 xml:space="preserve">1   </w:t>
            </w:r>
            <w:r>
              <w:rPr>
                <w:rFonts w:hint="default" w:ascii="Times New Roman" w:hAnsi="Times New Roman" w:eastAsia="宋体" w:cs="Times New Roman"/>
                <w:b/>
                <w:bCs/>
                <w:color w:val="auto"/>
                <w:sz w:val="21"/>
                <w:szCs w:val="21"/>
              </w:rPr>
              <w:t xml:space="preserve"> 各厂界噪声预测值 </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eastAsia="zh-CN"/>
              </w:rPr>
              <w:t>单位：</w:t>
            </w:r>
            <w:r>
              <w:rPr>
                <w:rFonts w:hint="default" w:ascii="Times New Roman" w:hAnsi="Times New Roman" w:eastAsia="宋体" w:cs="Times New Roman"/>
                <w:b/>
                <w:bCs/>
                <w:color w:val="auto"/>
                <w:sz w:val="21"/>
                <w:szCs w:val="21"/>
              </w:rPr>
              <w:t>dB（A）</w:t>
            </w:r>
          </w:p>
          <w:tbl>
            <w:tblPr>
              <w:tblStyle w:val="27"/>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81"/>
              <w:gridCol w:w="3272"/>
              <w:gridCol w:w="33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8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测点</w:t>
                  </w:r>
                </w:p>
              </w:tc>
              <w:tc>
                <w:tcPr>
                  <w:tcW w:w="663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rPr>
                  </w:pPr>
                </w:p>
              </w:tc>
              <w:tc>
                <w:tcPr>
                  <w:tcW w:w="32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贡献叠加值</w:t>
                  </w:r>
                </w:p>
              </w:tc>
              <w:tc>
                <w:tcPr>
                  <w:tcW w:w="33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东厂界1#</w:t>
                  </w:r>
                </w:p>
              </w:tc>
              <w:tc>
                <w:tcPr>
                  <w:tcW w:w="32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45.31</w:t>
                  </w:r>
                </w:p>
              </w:tc>
              <w:tc>
                <w:tcPr>
                  <w:tcW w:w="33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6</w:t>
                  </w:r>
                  <w:r>
                    <w:rPr>
                      <w:rFonts w:hint="default" w:ascii="Times New Roman" w:hAnsi="Times New Roman"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南厂界2#</w:t>
                  </w:r>
                </w:p>
              </w:tc>
              <w:tc>
                <w:tcPr>
                  <w:tcW w:w="32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40.02</w:t>
                  </w:r>
                </w:p>
              </w:tc>
              <w:tc>
                <w:tcPr>
                  <w:tcW w:w="33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6</w:t>
                  </w:r>
                  <w:r>
                    <w:rPr>
                      <w:rFonts w:hint="default" w:ascii="Times New Roman" w:hAnsi="Times New Roman"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西厂界3#</w:t>
                  </w:r>
                </w:p>
              </w:tc>
              <w:tc>
                <w:tcPr>
                  <w:tcW w:w="32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42.66</w:t>
                  </w:r>
                </w:p>
              </w:tc>
              <w:tc>
                <w:tcPr>
                  <w:tcW w:w="33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6</w:t>
                  </w:r>
                  <w:r>
                    <w:rPr>
                      <w:rFonts w:hint="default" w:ascii="Times New Roman" w:hAnsi="Times New Roman"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北厂界4#</w:t>
                  </w:r>
                </w:p>
              </w:tc>
              <w:tc>
                <w:tcPr>
                  <w:tcW w:w="32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43.3</w:t>
                  </w:r>
                </w:p>
              </w:tc>
              <w:tc>
                <w:tcPr>
                  <w:tcW w:w="33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6</w:t>
                  </w:r>
                  <w:r>
                    <w:rPr>
                      <w:rFonts w:hint="default" w:ascii="Times New Roman" w:hAnsi="Times New Roman" w:cs="Times New Roman"/>
                      <w:color w:val="auto"/>
                      <w:sz w:val="21"/>
                      <w:szCs w:val="21"/>
                      <w:lang w:val="en-US" w:eastAsia="zh-CN"/>
                    </w:rPr>
                    <w:t>0</w:t>
                  </w:r>
                </w:p>
              </w:tc>
            </w:tr>
          </w:tbl>
          <w:p>
            <w:pPr>
              <w:pStyle w:val="10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lang w:eastAsia="zh-CN"/>
              </w:rPr>
              <w:t>本项目夜间不生产，</w:t>
            </w:r>
            <w:r>
              <w:rPr>
                <w:rFonts w:hint="default" w:ascii="Times New Roman" w:hAnsi="Times New Roman" w:cs="Times New Roman"/>
                <w:color w:val="auto"/>
              </w:rPr>
              <w:t>由预测结果可知，在采取噪声控制措施后，</w:t>
            </w:r>
            <w:r>
              <w:rPr>
                <w:rFonts w:hint="default" w:ascii="Times New Roman" w:hAnsi="Times New Roman" w:cs="Times New Roman"/>
                <w:color w:val="auto"/>
                <w:lang w:eastAsia="zh-CN"/>
              </w:rPr>
              <w:t>项目</w:t>
            </w:r>
            <w:r>
              <w:rPr>
                <w:rFonts w:hint="default" w:ascii="Times New Roman" w:hAnsi="Times New Roman" w:cs="Times New Roman"/>
                <w:color w:val="auto"/>
              </w:rPr>
              <w:t>各厂界噪声昼间</w:t>
            </w:r>
            <w:r>
              <w:rPr>
                <w:rFonts w:hint="default" w:ascii="Times New Roman" w:hAnsi="Times New Roman" w:cs="Times New Roman"/>
                <w:color w:val="auto"/>
                <w:lang w:eastAsia="zh-CN"/>
              </w:rPr>
              <w:t>贡献叠加</w:t>
            </w:r>
            <w:r>
              <w:rPr>
                <w:rFonts w:hint="default" w:ascii="Times New Roman" w:hAnsi="Times New Roman" w:cs="Times New Roman"/>
                <w:color w:val="auto"/>
              </w:rPr>
              <w:t>值均符合《工业企业厂界环境噪声排放标准》（GB12348-2008）</w:t>
            </w:r>
            <w:r>
              <w:rPr>
                <w:rFonts w:hint="default" w:ascii="Times New Roman" w:hAnsi="Times New Roman" w:cs="Times New Roman"/>
                <w:color w:val="auto"/>
                <w:lang w:val="en-US" w:eastAsia="zh-CN"/>
              </w:rPr>
              <w:t>2</w:t>
            </w:r>
            <w:r>
              <w:rPr>
                <w:rFonts w:hint="default" w:ascii="Times New Roman" w:hAnsi="Times New Roman" w:cs="Times New Roman"/>
                <w:color w:val="auto"/>
              </w:rPr>
              <w:t>类标准</w:t>
            </w:r>
            <w:r>
              <w:rPr>
                <w:rFonts w:hint="default" w:ascii="Times New Roman" w:hAnsi="Times New Roman" w:cs="Times New Roman"/>
                <w:color w:val="auto"/>
                <w:lang w:val="en-US" w:eastAsia="zh-CN"/>
              </w:rPr>
              <w:t>。</w:t>
            </w:r>
            <w:r>
              <w:rPr>
                <w:rFonts w:hint="default" w:ascii="Times New Roman" w:hAnsi="Times New Roman" w:cs="Times New Roman"/>
                <w:color w:val="auto"/>
              </w:rPr>
              <w:t>项目运营期产生的噪声对外界影响较小。</w:t>
            </w:r>
          </w:p>
          <w:p>
            <w:pPr>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color w:val="auto"/>
              </w:rPr>
            </w:pPr>
            <w:r>
              <w:rPr>
                <w:rFonts w:hint="default" w:ascii="Times New Roman" w:hAnsi="Times New Roman" w:cs="Times New Roman"/>
                <w:color w:val="auto"/>
              </w:rPr>
              <w:t>①在设计和设备采购阶段，优先选用低噪设备；</w:t>
            </w:r>
          </w:p>
          <w:p>
            <w:pPr>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color w:val="auto"/>
              </w:rPr>
            </w:pPr>
            <w:r>
              <w:rPr>
                <w:rFonts w:hint="default" w:ascii="Times New Roman" w:hAnsi="Times New Roman" w:cs="Times New Roman"/>
                <w:color w:val="auto"/>
              </w:rPr>
              <w:t>②营运期间关闭车间门窗，减少对车间外或厂区外声环境的影响；</w:t>
            </w:r>
          </w:p>
          <w:p>
            <w:pPr>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color w:val="auto"/>
              </w:rPr>
            </w:pPr>
            <w:r>
              <w:rPr>
                <w:rFonts w:hint="default" w:ascii="Times New Roman" w:hAnsi="Times New Roman" w:cs="Times New Roman"/>
                <w:color w:val="auto"/>
              </w:rPr>
              <w:t>③加强设备的维护，确保设备处于良好的运转状态，杜绝因设备不正常运转时产生的高噪声现象；</w:t>
            </w:r>
          </w:p>
          <w:p>
            <w:pPr>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color w:val="auto"/>
              </w:rPr>
            </w:pPr>
            <w:r>
              <w:rPr>
                <w:rFonts w:hint="default" w:ascii="Times New Roman" w:hAnsi="Times New Roman" w:cs="Times New Roman"/>
                <w:color w:val="auto"/>
              </w:rPr>
              <w:t>综上所述，项目采取必要的噪声治理措施后，各种生产运行噪声对周围环境影响在环境可接受范围之内。</w:t>
            </w:r>
          </w:p>
          <w:p>
            <w:pPr>
              <w:pStyle w:val="8"/>
              <w:ind w:firstLine="482"/>
              <w:rPr>
                <w:rFonts w:hint="default" w:ascii="Times New Roman" w:hAnsi="Times New Roman" w:cs="Times New Roman"/>
                <w:b/>
                <w:bCs/>
                <w:color w:val="auto"/>
              </w:rPr>
            </w:pPr>
            <w:r>
              <w:rPr>
                <w:rFonts w:hint="default" w:ascii="Times New Roman" w:hAnsi="Times New Roman" w:cs="Times New Roman"/>
                <w:b/>
                <w:bCs/>
                <w:color w:val="auto"/>
              </w:rPr>
              <w:t>4、固体废物影响分析</w:t>
            </w:r>
          </w:p>
          <w:p>
            <w:pPr>
              <w:tabs>
                <w:tab w:val="left" w:pos="720"/>
              </w:tabs>
              <w:rPr>
                <w:rFonts w:hint="default" w:ascii="Times New Roman" w:hAnsi="Times New Roman" w:cs="Times New Roman"/>
                <w:color w:val="auto"/>
              </w:rPr>
            </w:pPr>
            <w:r>
              <w:rPr>
                <w:rFonts w:hint="default" w:ascii="Times New Roman" w:hAnsi="Times New Roman" w:cs="Times New Roman"/>
                <w:color w:val="auto"/>
              </w:rPr>
              <w:t>本项目运营期间产生的固体废弃物主要包括</w:t>
            </w:r>
            <w:r>
              <w:rPr>
                <w:rFonts w:hint="default" w:ascii="Times New Roman" w:hAnsi="Times New Roman" w:cs="Times New Roman"/>
                <w:color w:val="auto"/>
                <w:lang w:eastAsia="zh-CN"/>
              </w:rPr>
              <w:t>生活垃圾、</w:t>
            </w:r>
            <w:r>
              <w:rPr>
                <w:rFonts w:hint="default" w:ascii="Times New Roman" w:hAnsi="Times New Roman" w:cs="Times New Roman"/>
                <w:color w:val="auto"/>
              </w:rPr>
              <w:t>产品制作过程中的边角废料</w:t>
            </w:r>
            <w:r>
              <w:rPr>
                <w:rFonts w:hint="default" w:ascii="Times New Roman" w:hAnsi="Times New Roman" w:cs="Times New Roman"/>
                <w:color w:val="auto"/>
                <w:lang w:eastAsia="zh-CN"/>
              </w:rPr>
              <w:t>及</w:t>
            </w:r>
            <w:r>
              <w:rPr>
                <w:rFonts w:hint="default" w:ascii="Times New Roman" w:hAnsi="Times New Roman" w:cs="Times New Roman"/>
                <w:color w:val="auto"/>
              </w:rPr>
              <w:t>不合格产品、</w:t>
            </w:r>
            <w:r>
              <w:rPr>
                <w:rFonts w:hint="default" w:ascii="Times New Roman" w:hAnsi="Times New Roman" w:cs="Times New Roman"/>
                <w:color w:val="auto"/>
                <w:lang w:eastAsia="zh-CN"/>
              </w:rPr>
              <w:t>餐厨垃圾和废油脂、</w:t>
            </w:r>
            <w:r>
              <w:rPr>
                <w:rFonts w:hint="default" w:ascii="Times New Roman" w:hAnsi="Times New Roman" w:cs="Times New Roman"/>
                <w:color w:val="auto"/>
              </w:rPr>
              <w:t>废油墨桶、废擦机布、废机油</w:t>
            </w:r>
            <w:r>
              <w:rPr>
                <w:rFonts w:hint="default" w:ascii="Times New Roman" w:hAnsi="Times New Roman" w:cs="Times New Roman"/>
                <w:color w:val="auto"/>
                <w:lang w:eastAsia="zh-CN"/>
              </w:rPr>
              <w:t>、废活性炭</w:t>
            </w:r>
            <w:r>
              <w:rPr>
                <w:rFonts w:hint="default" w:ascii="Times New Roman" w:hAnsi="Times New Roman" w:cs="Times New Roman"/>
                <w:color w:val="auto"/>
              </w:rPr>
              <w:t>。</w:t>
            </w:r>
          </w:p>
          <w:p>
            <w:pPr>
              <w:rPr>
                <w:rFonts w:hint="default" w:ascii="Times New Roman" w:hAnsi="Times New Roman" w:cs="Times New Roman"/>
                <w:color w:val="auto"/>
              </w:rPr>
            </w:pPr>
            <w:r>
              <w:rPr>
                <w:rFonts w:hint="default" w:ascii="Times New Roman" w:hAnsi="Times New Roman" w:cs="Times New Roman"/>
                <w:color w:val="auto"/>
                <w:lang w:eastAsia="zh-CN"/>
              </w:rPr>
              <w:t>运营期产生的生活垃圾分类收集，由环卫部分定期清运；产品制造过程中的边角废料及不合格产品集中收集，定期外售废品收购站；餐厨垃圾与生活垃圾一同交由环卫部门定期清运；废油脂委托有资质单位处理；废油墨桶、废擦机布、废机油和废活性炭分类收集，暂存于危废暂存间，定期交有资质单位处置。</w:t>
            </w:r>
            <w:r>
              <w:rPr>
                <w:rFonts w:hint="default" w:ascii="Times New Roman" w:hAnsi="Times New Roman" w:cs="Times New Roman"/>
                <w:color w:val="auto"/>
              </w:rPr>
              <w:t>本项目建有危废暂存间一座，位于项目生产厂房</w:t>
            </w:r>
            <w:r>
              <w:rPr>
                <w:rFonts w:hint="default" w:ascii="Times New Roman" w:hAnsi="Times New Roman" w:cs="Times New Roman"/>
                <w:color w:val="auto"/>
                <w:lang w:eastAsia="zh-CN"/>
              </w:rPr>
              <w:t>西</w:t>
            </w:r>
            <w:r>
              <w:rPr>
                <w:rFonts w:hint="default" w:ascii="Times New Roman" w:hAnsi="Times New Roman" w:cs="Times New Roman"/>
                <w:color w:val="auto"/>
              </w:rPr>
              <w:t>侧。</w:t>
            </w:r>
          </w:p>
          <w:p>
            <w:pPr>
              <w:rPr>
                <w:rFonts w:hint="default" w:ascii="Times New Roman" w:hAnsi="Times New Roman" w:cs="Times New Roman"/>
                <w:color w:val="auto"/>
              </w:rPr>
            </w:pPr>
            <w:r>
              <w:rPr>
                <w:rFonts w:hint="default" w:ascii="Times New Roman" w:hAnsi="Times New Roman" w:cs="Times New Roman"/>
                <w:color w:val="auto"/>
              </w:rPr>
              <w:t>危废暂存间设置要求：</w:t>
            </w:r>
          </w:p>
          <w:p>
            <w:pPr>
              <w:rPr>
                <w:rFonts w:hint="default" w:ascii="Times New Roman" w:hAnsi="Times New Roman" w:cs="Times New Roman"/>
                <w:color w:val="auto"/>
              </w:rPr>
            </w:pPr>
            <w:r>
              <w:rPr>
                <w:rFonts w:hint="default" w:ascii="Times New Roman" w:hAnsi="Times New Roman" w:cs="Times New Roman"/>
                <w:color w:val="auto"/>
              </w:rPr>
              <w:t>本次环评要求严格按《危险废物贮存污染控制标准》（GB 18597-2001）和《危险废物转移联单管理办法》（国家环保总局5号令）相关要求对其进行贮存及转移，危险废物必须填写转移联单。</w:t>
            </w:r>
          </w:p>
          <w:p>
            <w:pPr>
              <w:rPr>
                <w:rFonts w:hint="default" w:ascii="Times New Roman" w:hAnsi="Times New Roman" w:cs="Times New Roman"/>
                <w:color w:val="auto"/>
              </w:rPr>
            </w:pPr>
            <w:r>
              <w:rPr>
                <w:rFonts w:hint="default" w:ascii="Times New Roman" w:hAnsi="Times New Roman" w:cs="Times New Roman"/>
                <w:color w:val="auto"/>
              </w:rPr>
              <w:t>建设危险废物暂存间对危险废物进行暂存处理。要求建设一座危险废物暂存间，可储存1年的危废产生量，同时，应对危险废物暂存间采取以下措施：</w:t>
            </w:r>
          </w:p>
          <w:p>
            <w:pPr>
              <w:rPr>
                <w:rFonts w:hint="default" w:ascii="Times New Roman" w:hAnsi="Times New Roman" w:cs="Times New Roman"/>
                <w:color w:val="auto"/>
              </w:rPr>
            </w:pPr>
            <w:r>
              <w:rPr>
                <w:rFonts w:hint="default" w:ascii="Times New Roman" w:hAnsi="Times New Roman" w:cs="Times New Roman"/>
                <w:color w:val="auto"/>
              </w:rPr>
              <w:t>a类危废存放区域贴/挂标示标牌；</w:t>
            </w:r>
          </w:p>
          <w:p>
            <w:pPr>
              <w:rPr>
                <w:rFonts w:hint="default" w:ascii="Times New Roman" w:hAnsi="Times New Roman" w:cs="Times New Roman"/>
                <w:color w:val="auto"/>
              </w:rPr>
            </w:pPr>
            <w:r>
              <w:rPr>
                <w:rFonts w:hint="default" w:ascii="Times New Roman" w:hAnsi="Times New Roman" w:cs="Times New Roman"/>
                <w:color w:val="auto"/>
              </w:rPr>
              <w:t>b进行地面硬化并且地面进行防腐、防渗处理，要求参照《危险废物贮存污染控制标准》（GB18597-2001）相关要求，防渗系数不低于1.0×10</w:t>
            </w:r>
            <w:r>
              <w:rPr>
                <w:rFonts w:hint="default" w:ascii="Times New Roman" w:hAnsi="Times New Roman" w:cs="Times New Roman"/>
                <w:color w:val="auto"/>
                <w:vertAlign w:val="superscript"/>
              </w:rPr>
              <w:t>-10</w:t>
            </w:r>
            <w:r>
              <w:rPr>
                <w:rFonts w:hint="default" w:ascii="Times New Roman" w:hAnsi="Times New Roman" w:cs="Times New Roman"/>
                <w:color w:val="auto"/>
              </w:rPr>
              <w:t>cm/s；</w:t>
            </w:r>
          </w:p>
          <w:p>
            <w:pPr>
              <w:rPr>
                <w:rFonts w:hint="default" w:ascii="Times New Roman" w:hAnsi="Times New Roman" w:cs="Times New Roman"/>
                <w:color w:val="auto"/>
              </w:rPr>
            </w:pPr>
            <w:r>
              <w:rPr>
                <w:rFonts w:hint="default" w:ascii="Times New Roman" w:hAnsi="Times New Roman" w:cs="Times New Roman"/>
                <w:color w:val="auto"/>
              </w:rPr>
              <w:t>c危废暂存间建设需满足</w:t>
            </w:r>
            <w:r>
              <w:rPr>
                <w:rFonts w:hint="default" w:ascii="Times New Roman" w:hAnsi="Times New Roman" w:eastAsia="宋体" w:cs="Times New Roman"/>
                <w:color w:val="auto"/>
              </w:rPr>
              <w:t>“四防”</w:t>
            </w:r>
            <w:r>
              <w:rPr>
                <w:rFonts w:hint="default" w:ascii="Times New Roman" w:hAnsi="Times New Roman" w:cs="Times New Roman"/>
                <w:color w:val="auto"/>
              </w:rPr>
              <w:t>（防风、防雨、防晒、防渗漏）要求；</w:t>
            </w:r>
          </w:p>
          <w:p>
            <w:pPr>
              <w:rPr>
                <w:rFonts w:hint="default" w:ascii="Times New Roman" w:hAnsi="Times New Roman" w:cs="Times New Roman"/>
                <w:color w:val="auto"/>
              </w:rPr>
            </w:pPr>
            <w:r>
              <w:rPr>
                <w:rFonts w:hint="default" w:ascii="Times New Roman" w:hAnsi="Times New Roman" w:cs="Times New Roman"/>
                <w:color w:val="auto"/>
              </w:rPr>
              <w:t>d暂存区外围周边贴挂明显的标示标牌，注明主要暂存危废的种类、数量、危废编号等信息。</w:t>
            </w:r>
          </w:p>
          <w:p>
            <w:pPr>
              <w:rPr>
                <w:rFonts w:hint="default" w:ascii="Times New Roman" w:hAnsi="Times New Roman" w:cs="Times New Roman"/>
                <w:color w:val="auto"/>
              </w:rPr>
            </w:pPr>
            <w:r>
              <w:rPr>
                <w:rFonts w:hint="default" w:ascii="Times New Roman" w:hAnsi="Times New Roman" w:cs="Times New Roman"/>
                <w:color w:val="auto"/>
              </w:rPr>
              <w:t>综上，本项目投产后产生的各类工业固废和生活垃圾均可得到有效处理或处置，不会对周围环境产生影响。</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lang w:val="en-US" w:eastAsia="zh-CN"/>
              </w:rPr>
              <w:t>5</w:t>
            </w:r>
            <w:r>
              <w:rPr>
                <w:rFonts w:hint="default" w:ascii="Times New Roman" w:hAnsi="Times New Roman" w:eastAsia="宋体" w:cs="Times New Roman"/>
                <w:b/>
                <w:bCs w:val="0"/>
                <w:color w:val="auto"/>
                <w:sz w:val="24"/>
              </w:rPr>
              <w:t>、土壤环境影响分析</w:t>
            </w:r>
          </w:p>
          <w:p>
            <w:pPr>
              <w:ind w:firstLine="480"/>
              <w:rPr>
                <w:rFonts w:hint="default" w:ascii="Times New Roman" w:hAnsi="Times New Roman" w:cs="Times New Roman"/>
                <w:color w:val="auto"/>
                <w:lang w:val="en-US" w:eastAsia="zh-CN"/>
              </w:rPr>
            </w:pPr>
            <w:r>
              <w:rPr>
                <w:rFonts w:hint="default" w:ascii="Times New Roman" w:hAnsi="Times New Roman" w:eastAsia="宋体" w:cs="Times New Roman"/>
                <w:color w:val="auto"/>
                <w:lang w:eastAsia="zh-CN"/>
              </w:rPr>
              <w:t>根据《环境影响评价技术导则</w:t>
            </w:r>
            <w:r>
              <w:rPr>
                <w:rFonts w:hint="default" w:ascii="Times New Roman" w:hAnsi="Times New Roman" w:eastAsia="宋体" w:cs="Times New Roman"/>
                <w:color w:val="auto"/>
                <w:lang w:val="en-US" w:eastAsia="zh-CN"/>
              </w:rPr>
              <w:t xml:space="preserve"> 土壤环境</w:t>
            </w:r>
            <w:r>
              <w:rPr>
                <w:rFonts w:hint="default" w:ascii="Times New Roman" w:hAnsi="Times New Roman" w:eastAsia="宋体" w:cs="Times New Roman"/>
                <w:color w:val="auto"/>
                <w:lang w:eastAsia="zh-CN"/>
              </w:rPr>
              <w:t>》（试行）（</w:t>
            </w:r>
            <w:r>
              <w:rPr>
                <w:rFonts w:hint="default" w:ascii="Times New Roman" w:hAnsi="Times New Roman" w:eastAsia="宋体" w:cs="Times New Roman"/>
                <w:color w:val="auto"/>
                <w:lang w:val="en-US" w:eastAsia="zh-CN"/>
              </w:rPr>
              <w:t>HJ964-2018</w:t>
            </w:r>
            <w:r>
              <w:rPr>
                <w:rFonts w:hint="default" w:ascii="Times New Roman" w:hAnsi="Times New Roman" w:eastAsia="宋体" w:cs="Times New Roman"/>
                <w:color w:val="auto"/>
                <w:lang w:eastAsia="zh-CN"/>
              </w:rPr>
              <w:t>）附录</w:t>
            </w:r>
            <w:r>
              <w:rPr>
                <w:rFonts w:hint="default" w:ascii="Times New Roman" w:hAnsi="Times New Roman" w:eastAsia="宋体" w:cs="Times New Roman"/>
                <w:color w:val="auto"/>
                <w:lang w:val="en-US" w:eastAsia="zh-CN"/>
              </w:rPr>
              <w:t>A，并结合</w:t>
            </w:r>
            <w:r>
              <w:rPr>
                <w:rFonts w:hint="default" w:ascii="Times New Roman" w:hAnsi="Times New Roman" w:eastAsia="宋体" w:cs="Times New Roman"/>
                <w:color w:val="auto"/>
                <w:lang w:eastAsia="zh-CN"/>
              </w:rPr>
              <w:t>《环境影响评价技术导则</w:t>
            </w:r>
            <w:r>
              <w:rPr>
                <w:rFonts w:hint="default" w:ascii="Times New Roman" w:hAnsi="Times New Roman" w:eastAsia="宋体" w:cs="Times New Roman"/>
                <w:color w:val="auto"/>
                <w:lang w:val="en-US" w:eastAsia="zh-CN"/>
              </w:rPr>
              <w:t xml:space="preserve"> 土壤环境</w:t>
            </w:r>
            <w:r>
              <w:rPr>
                <w:rFonts w:hint="default" w:ascii="Times New Roman" w:hAnsi="Times New Roman" w:eastAsia="宋体" w:cs="Times New Roman"/>
                <w:color w:val="auto"/>
                <w:lang w:eastAsia="zh-CN"/>
              </w:rPr>
              <w:t>》（试行）（</w:t>
            </w:r>
            <w:r>
              <w:rPr>
                <w:rFonts w:hint="default" w:ascii="Times New Roman" w:hAnsi="Times New Roman" w:eastAsia="宋体" w:cs="Times New Roman"/>
                <w:color w:val="auto"/>
                <w:lang w:val="en-US" w:eastAsia="zh-CN"/>
              </w:rPr>
              <w:t>HJ964-2018</w:t>
            </w:r>
            <w:r>
              <w:rPr>
                <w:rFonts w:hint="default" w:ascii="Times New Roman" w:hAnsi="Times New Roman" w:eastAsia="宋体" w:cs="Times New Roman"/>
                <w:color w:val="auto"/>
                <w:lang w:eastAsia="zh-CN"/>
              </w:rPr>
              <w:t>）关键要点解析（李秀宇</w:t>
            </w:r>
            <w:r>
              <w:rPr>
                <w:rFonts w:hint="default" w:ascii="Times New Roman" w:hAnsi="Times New Roman" w:eastAsia="宋体" w:cs="Times New Roman"/>
                <w:color w:val="auto"/>
                <w:lang w:val="en-US" w:eastAsia="zh-CN"/>
              </w:rPr>
              <w:t>2019年7月26日</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，土壤环境影响评价项目类别：本</w:t>
            </w:r>
            <w:r>
              <w:rPr>
                <w:rFonts w:hint="eastAsia" w:ascii="宋体" w:hAnsi="宋体" w:eastAsia="宋体" w:cs="宋体"/>
                <w:color w:val="auto"/>
                <w:lang w:val="en-US" w:eastAsia="zh-CN"/>
              </w:rPr>
              <w:t>次项目属于“制造业 造纸和纸制品 ”中的“其他”</w:t>
            </w:r>
            <w:r>
              <w:rPr>
                <w:rFonts w:hint="default" w:ascii="Times New Roman" w:hAnsi="Times New Roman" w:eastAsia="宋体" w:cs="Times New Roman"/>
                <w:color w:val="auto"/>
                <w:lang w:val="en-US" w:eastAsia="zh-CN"/>
              </w:rPr>
              <w:t>，属于Ⅲ类项目。本次项目占地为1200m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&lt;5hm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，属于小型占地规模，项目占地类型为工业用地，本项目生产过程中无废水产生，危废暂存间进行防渗处理，车间地面进行硬化，本次项目评价等级参考下表</w:t>
            </w:r>
            <w:r>
              <w:rPr>
                <w:rFonts w:hint="default" w:ascii="Times New Roman" w:hAnsi="Times New Roman" w:cs="Times New Roman"/>
                <w:color w:val="auto"/>
                <w:lang w:val="en-US" w:eastAsia="zh-CN"/>
              </w:rPr>
              <w:t>。</w:t>
            </w:r>
          </w:p>
          <w:p>
            <w:pPr>
              <w:pStyle w:val="80"/>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cs="Times New Roman"/>
                <w:color w:val="auto"/>
                <w:sz w:val="21"/>
                <w:szCs w:val="20"/>
                <w:lang w:val="en-US" w:eastAsia="zh-CN"/>
              </w:rPr>
            </w:pPr>
            <w:r>
              <w:rPr>
                <w:rFonts w:hint="default" w:ascii="Times New Roman" w:hAnsi="Times New Roman" w:cs="Times New Roman"/>
                <w:color w:val="auto"/>
                <w:sz w:val="21"/>
                <w:szCs w:val="20"/>
                <w:lang w:val="en-US" w:eastAsia="zh-CN"/>
              </w:rPr>
              <w:t>表7-12  污染影响型评价工作等级划分表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8"/>
              <w:gridCol w:w="687"/>
              <w:gridCol w:w="709"/>
              <w:gridCol w:w="709"/>
              <w:gridCol w:w="687"/>
              <w:gridCol w:w="698"/>
              <w:gridCol w:w="664"/>
              <w:gridCol w:w="709"/>
              <w:gridCol w:w="720"/>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Merge w:val="restart"/>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rPr>
                    <mc:AlternateContent>
                      <mc:Choice Requires="wps">
                        <w:drawing>
                          <wp:anchor distT="0" distB="0" distL="114300" distR="114300" simplePos="0" relativeHeight="251671552" behindDoc="0" locked="0" layoutInCell="1" allowOverlap="1">
                            <wp:simplePos x="0" y="0"/>
                            <wp:positionH relativeFrom="column">
                              <wp:posOffset>492125</wp:posOffset>
                            </wp:positionH>
                            <wp:positionV relativeFrom="paragraph">
                              <wp:posOffset>5715</wp:posOffset>
                            </wp:positionV>
                            <wp:extent cx="1030605" cy="612775"/>
                            <wp:effectExtent l="2540" t="3810" r="8255" b="5715"/>
                            <wp:wrapNone/>
                            <wp:docPr id="52" name="直线 1149"/>
                            <wp:cNvGraphicFramePr/>
                            <a:graphic xmlns:a="http://schemas.openxmlformats.org/drawingml/2006/main">
                              <a:graphicData uri="http://schemas.microsoft.com/office/word/2010/wordprocessingShape">
                                <wps:wsp>
                                  <wps:cNvSpPr/>
                                  <wps:spPr>
                                    <a:xfrm>
                                      <a:off x="0" y="0"/>
                                      <a:ext cx="1030605" cy="6127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49" o:spid="_x0000_s1026" o:spt="20" style="position:absolute;left:0pt;margin-left:38.75pt;margin-top:0.45pt;height:48.25pt;width:81.15pt;z-index:251671552;mso-width-relative:page;mso-height-relative:page;" filled="f" stroked="t" coordsize="21600,21600" o:gfxdata="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RG&#10;GJPVAAAABgEAAA8AAAAAAAAAAQAgAAAAIgAAAGRycy9kb3ducmV2LnhtbFBLAQIUABQAAAAIAIdO&#10;4kASuJm47QEAAOQDAAAOAAAAAAAAAAEAIAAAACQBAABkcnMvZTJvRG9jLnhtbFBLBQYAAAAABgAG&#10;AFkBAACDBQAAAAA=&#10;">
                            <v:fill on="f" focussize="0,0"/>
                            <v:stroke color="#000000" joinstyle="round"/>
                            <v:imagedata o:title=""/>
                            <o:lock v:ext="edit" aspectratio="f"/>
                          </v:line>
                        </w:pict>
                      </mc:Fallback>
                    </mc:AlternateContent>
                  </w:r>
                  <w:r>
                    <w:rPr>
                      <w:rFonts w:hint="default" w:ascii="Times New Roman" w:hAnsi="Times New Roman" w:cs="Times New Roman"/>
                      <w:b w:val="0"/>
                      <w:bCs/>
                      <w:color w:val="auto"/>
                      <w:lang w:val="en-US" w:eastAsia="zh-CN"/>
                    </w:rPr>
                    <w:t xml:space="preserve">              占地规模</w:t>
                  </w:r>
                </w:p>
                <w:p>
                  <w:pPr>
                    <w:pStyle w:val="61"/>
                    <w:keepNext w:val="0"/>
                    <w:keepLines w:val="0"/>
                    <w:pageBreakBefore w:val="0"/>
                    <w:widowControl w:val="0"/>
                    <w:kinsoku/>
                    <w:wordWrap/>
                    <w:overflowPunct/>
                    <w:topLinePunct w:val="0"/>
                    <w:autoSpaceDE/>
                    <w:autoSpaceDN/>
                    <w:bidi w:val="0"/>
                    <w:adjustRightInd/>
                    <w:snapToGrid/>
                    <w:spacing w:after="0"/>
                    <w:ind w:firstLine="210" w:firstLineChars="100"/>
                    <w:jc w:val="both"/>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rPr>
                    <mc:AlternateContent>
                      <mc:Choice Requires="wps">
                        <w:drawing>
                          <wp:anchor distT="0" distB="0" distL="114300" distR="114300" simplePos="0" relativeHeight="251672576" behindDoc="0" locked="0" layoutInCell="1" allowOverlap="1">
                            <wp:simplePos x="0" y="0"/>
                            <wp:positionH relativeFrom="column">
                              <wp:posOffset>-86995</wp:posOffset>
                            </wp:positionH>
                            <wp:positionV relativeFrom="paragraph">
                              <wp:posOffset>144780</wp:posOffset>
                            </wp:positionV>
                            <wp:extent cx="1610995" cy="262890"/>
                            <wp:effectExtent l="635" t="4445" r="1270" b="12065"/>
                            <wp:wrapNone/>
                            <wp:docPr id="53" name="直线 1150"/>
                            <wp:cNvGraphicFramePr/>
                            <a:graphic xmlns:a="http://schemas.openxmlformats.org/drawingml/2006/main">
                              <a:graphicData uri="http://schemas.microsoft.com/office/word/2010/wordprocessingShape">
                                <wps:wsp>
                                  <wps:cNvSpPr/>
                                  <wps:spPr>
                                    <a:xfrm>
                                      <a:off x="0" y="0"/>
                                      <a:ext cx="1610995" cy="262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50" o:spid="_x0000_s1026" o:spt="20" style="position:absolute;left:0pt;margin-left:-6.85pt;margin-top:11.4pt;height:20.7pt;width:126.85pt;z-index:251672576;mso-width-relative:page;mso-height-relative:page;" filled="f" stroked="t" coordsize="21600,21600" o:gfxdata="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8sjJ7XAAAACQEAAA8AAAAAAAAAAQAgAAAAIgAAAGRycy9kb3ducmV2LnhtbFBLAQIUABQAAAAI&#10;AIdO4kDOEC0p7gEAAOQDAAAOAAAAAAAAAAEAIAAAACYBAABkcnMvZTJvRG9jLnhtbFBLBQYAAAAA&#10;BgAGAFkBAACGBQAAAAA=&#10;">
                            <v:fill on="f" focussize="0,0"/>
                            <v:stroke color="#000000" joinstyle="round"/>
                            <v:imagedata o:title=""/>
                            <o:lock v:ext="edit" aspectratio="f"/>
                          </v:line>
                        </w:pict>
                      </mc:Fallback>
                    </mc:AlternateContent>
                  </w:r>
                  <w:r>
                    <w:rPr>
                      <w:rFonts w:hint="default" w:ascii="Times New Roman" w:hAnsi="Times New Roman" w:cs="Times New Roman"/>
                      <w:b w:val="0"/>
                      <w:bCs/>
                      <w:color w:val="auto"/>
                      <w:lang w:val="en-US" w:eastAsia="zh-CN"/>
                    </w:rPr>
                    <w:t>评价工作等级</w:t>
                  </w:r>
                </w:p>
                <w:p>
                  <w:pPr>
                    <w:pStyle w:val="61"/>
                    <w:keepNext w:val="0"/>
                    <w:keepLines w:val="0"/>
                    <w:pageBreakBefore w:val="0"/>
                    <w:widowControl w:val="0"/>
                    <w:kinsoku/>
                    <w:wordWrap/>
                    <w:overflowPunct/>
                    <w:topLinePunct w:val="0"/>
                    <w:autoSpaceDE/>
                    <w:autoSpaceDN/>
                    <w:bidi w:val="0"/>
                    <w:adjustRightInd/>
                    <w:snapToGrid/>
                    <w:spacing w:after="0"/>
                    <w:jc w:val="both"/>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敏感程度</w:t>
                  </w:r>
                </w:p>
              </w:tc>
              <w:tc>
                <w:tcPr>
                  <w:tcW w:w="2105" w:type="dxa"/>
                  <w:gridSpan w:val="3"/>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Ⅰ类</w:t>
                  </w:r>
                </w:p>
              </w:tc>
              <w:tc>
                <w:tcPr>
                  <w:tcW w:w="2049" w:type="dxa"/>
                  <w:gridSpan w:val="3"/>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Ⅱ类</w:t>
                  </w:r>
                </w:p>
              </w:tc>
              <w:tc>
                <w:tcPr>
                  <w:tcW w:w="2130" w:type="dxa"/>
                  <w:gridSpan w:val="3"/>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Merge w:val="continue"/>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p>
              </w:tc>
              <w:tc>
                <w:tcPr>
                  <w:tcW w:w="687"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大</w:t>
                  </w:r>
                </w:p>
              </w:tc>
              <w:tc>
                <w:tcPr>
                  <w:tcW w:w="709"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中</w:t>
                  </w:r>
                </w:p>
              </w:tc>
              <w:tc>
                <w:tcPr>
                  <w:tcW w:w="709"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小</w:t>
                  </w:r>
                </w:p>
              </w:tc>
              <w:tc>
                <w:tcPr>
                  <w:tcW w:w="687"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大</w:t>
                  </w:r>
                </w:p>
              </w:tc>
              <w:tc>
                <w:tcPr>
                  <w:tcW w:w="698"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中</w:t>
                  </w:r>
                </w:p>
              </w:tc>
              <w:tc>
                <w:tcPr>
                  <w:tcW w:w="664"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小</w:t>
                  </w:r>
                </w:p>
              </w:tc>
              <w:tc>
                <w:tcPr>
                  <w:tcW w:w="709"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大</w:t>
                  </w:r>
                </w:p>
              </w:tc>
              <w:tc>
                <w:tcPr>
                  <w:tcW w:w="720"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中</w:t>
                  </w:r>
                </w:p>
              </w:tc>
              <w:tc>
                <w:tcPr>
                  <w:tcW w:w="701"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敏感</w:t>
                  </w:r>
                </w:p>
              </w:tc>
              <w:tc>
                <w:tcPr>
                  <w:tcW w:w="687"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一级</w:t>
                  </w:r>
                </w:p>
              </w:tc>
              <w:tc>
                <w:tcPr>
                  <w:tcW w:w="709"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一级</w:t>
                  </w:r>
                </w:p>
              </w:tc>
              <w:tc>
                <w:tcPr>
                  <w:tcW w:w="709"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一级</w:t>
                  </w:r>
                </w:p>
              </w:tc>
              <w:tc>
                <w:tcPr>
                  <w:tcW w:w="687"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二级</w:t>
                  </w:r>
                </w:p>
              </w:tc>
              <w:tc>
                <w:tcPr>
                  <w:tcW w:w="698"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二级</w:t>
                  </w:r>
                </w:p>
              </w:tc>
              <w:tc>
                <w:tcPr>
                  <w:tcW w:w="664"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二级</w:t>
                  </w:r>
                </w:p>
              </w:tc>
              <w:tc>
                <w:tcPr>
                  <w:tcW w:w="709"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三级</w:t>
                  </w:r>
                </w:p>
              </w:tc>
              <w:tc>
                <w:tcPr>
                  <w:tcW w:w="720"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三级</w:t>
                  </w:r>
                </w:p>
              </w:tc>
              <w:tc>
                <w:tcPr>
                  <w:tcW w:w="701"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较敏感</w:t>
                  </w:r>
                </w:p>
              </w:tc>
              <w:tc>
                <w:tcPr>
                  <w:tcW w:w="687"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一级</w:t>
                  </w:r>
                </w:p>
              </w:tc>
              <w:tc>
                <w:tcPr>
                  <w:tcW w:w="709"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一级</w:t>
                  </w:r>
                </w:p>
              </w:tc>
              <w:tc>
                <w:tcPr>
                  <w:tcW w:w="709"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二级</w:t>
                  </w:r>
                </w:p>
              </w:tc>
              <w:tc>
                <w:tcPr>
                  <w:tcW w:w="687"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二级</w:t>
                  </w:r>
                </w:p>
              </w:tc>
              <w:tc>
                <w:tcPr>
                  <w:tcW w:w="698"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二级</w:t>
                  </w:r>
                </w:p>
              </w:tc>
              <w:tc>
                <w:tcPr>
                  <w:tcW w:w="664"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三级</w:t>
                  </w:r>
                </w:p>
              </w:tc>
              <w:tc>
                <w:tcPr>
                  <w:tcW w:w="709"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三级</w:t>
                  </w:r>
                </w:p>
              </w:tc>
              <w:tc>
                <w:tcPr>
                  <w:tcW w:w="720"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三级</w:t>
                  </w:r>
                </w:p>
              </w:tc>
              <w:tc>
                <w:tcPr>
                  <w:tcW w:w="701"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不敏感</w:t>
                  </w:r>
                </w:p>
              </w:tc>
              <w:tc>
                <w:tcPr>
                  <w:tcW w:w="687"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一级</w:t>
                  </w:r>
                </w:p>
              </w:tc>
              <w:tc>
                <w:tcPr>
                  <w:tcW w:w="709"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二级</w:t>
                  </w:r>
                </w:p>
              </w:tc>
              <w:tc>
                <w:tcPr>
                  <w:tcW w:w="709"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二级</w:t>
                  </w:r>
                </w:p>
              </w:tc>
              <w:tc>
                <w:tcPr>
                  <w:tcW w:w="687"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二级</w:t>
                  </w:r>
                </w:p>
              </w:tc>
              <w:tc>
                <w:tcPr>
                  <w:tcW w:w="698"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三级</w:t>
                  </w:r>
                </w:p>
              </w:tc>
              <w:tc>
                <w:tcPr>
                  <w:tcW w:w="664"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三级</w:t>
                  </w:r>
                </w:p>
              </w:tc>
              <w:tc>
                <w:tcPr>
                  <w:tcW w:w="709"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三级</w:t>
                  </w:r>
                </w:p>
              </w:tc>
              <w:tc>
                <w:tcPr>
                  <w:tcW w:w="720"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w:t>
                  </w:r>
                </w:p>
              </w:tc>
              <w:tc>
                <w:tcPr>
                  <w:tcW w:w="701"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2" w:type="dxa"/>
                  <w:gridSpan w:val="10"/>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注：“—”表示可不开展土壤环境影响评价工作</w:t>
                  </w:r>
                </w:p>
              </w:tc>
            </w:tr>
          </w:tbl>
          <w:p>
            <w:pPr>
              <w:keepNext w:val="0"/>
              <w:keepLines w:val="0"/>
              <w:pageBreakBefore w:val="0"/>
              <w:widowControl w:val="0"/>
              <w:kinsoku/>
              <w:wordWrap/>
              <w:overflowPunct/>
              <w:topLinePunct w:val="0"/>
              <w:autoSpaceDE/>
              <w:autoSpaceDN/>
              <w:bidi w:val="0"/>
              <w:adjustRightInd/>
              <w:snapToGrid/>
              <w:spacing w:before="164" w:beforeLines="50" w:line="240" w:lineRule="auto"/>
              <w:ind w:left="0" w:leftChars="0" w:firstLine="0" w:firstLineChars="0"/>
              <w:jc w:val="center"/>
              <w:textAlignment w:val="auto"/>
              <w:rPr>
                <w:rFonts w:hint="default" w:ascii="Times New Roman" w:hAnsi="Times New Roman" w:cs="Times New Roman"/>
                <w:b/>
                <w:bCs/>
                <w:color w:val="auto"/>
                <w:sz w:val="21"/>
                <w:szCs w:val="20"/>
                <w:lang w:val="en-US" w:eastAsia="zh-CN"/>
              </w:rPr>
            </w:pPr>
            <w:r>
              <w:rPr>
                <w:rFonts w:hint="default" w:ascii="Times New Roman" w:hAnsi="Times New Roman" w:cs="Times New Roman"/>
                <w:b/>
                <w:bCs/>
                <w:color w:val="auto"/>
                <w:sz w:val="21"/>
                <w:szCs w:val="20"/>
                <w:lang w:val="en-US" w:eastAsia="zh-CN"/>
              </w:rPr>
              <w:t>表7-13   污染影响型敏感程度分级表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060"/>
              <w:gridCol w:w="7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60" w:type="dxa"/>
                  <w:noWrap w:val="0"/>
                  <w:vAlign w:val="top"/>
                </w:tcPr>
                <w:p>
                  <w:pPr>
                    <w:pStyle w:val="2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敏感程度</w:t>
                  </w:r>
                </w:p>
              </w:tc>
              <w:tc>
                <w:tcPr>
                  <w:tcW w:w="7772" w:type="dxa"/>
                  <w:noWrap w:val="0"/>
                  <w:vAlign w:val="top"/>
                </w:tcPr>
                <w:p>
                  <w:pPr>
                    <w:pStyle w:val="2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60" w:type="dxa"/>
                  <w:noWrap w:val="0"/>
                  <w:vAlign w:val="top"/>
                </w:tcPr>
                <w:p>
                  <w:pPr>
                    <w:pStyle w:val="2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敏感</w:t>
                  </w:r>
                </w:p>
              </w:tc>
              <w:tc>
                <w:tcPr>
                  <w:tcW w:w="7772" w:type="dxa"/>
                  <w:noWrap w:val="0"/>
                  <w:vAlign w:val="top"/>
                </w:tcPr>
                <w:p>
                  <w:pPr>
                    <w:pStyle w:val="2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60" w:type="dxa"/>
                  <w:noWrap w:val="0"/>
                  <w:vAlign w:val="top"/>
                </w:tcPr>
                <w:p>
                  <w:pPr>
                    <w:pStyle w:val="2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较敏感</w:t>
                  </w:r>
                </w:p>
              </w:tc>
              <w:tc>
                <w:tcPr>
                  <w:tcW w:w="7772" w:type="dxa"/>
                  <w:noWrap w:val="0"/>
                  <w:vAlign w:val="top"/>
                </w:tcPr>
                <w:p>
                  <w:pPr>
                    <w:pStyle w:val="2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60" w:type="dxa"/>
                  <w:noWrap w:val="0"/>
                  <w:vAlign w:val="top"/>
                </w:tcPr>
                <w:p>
                  <w:pPr>
                    <w:pStyle w:val="2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不敏感</w:t>
                  </w:r>
                </w:p>
              </w:tc>
              <w:tc>
                <w:tcPr>
                  <w:tcW w:w="7772" w:type="dxa"/>
                  <w:noWrap w:val="0"/>
                  <w:vAlign w:val="top"/>
                </w:tcPr>
                <w:p>
                  <w:pPr>
                    <w:pStyle w:val="2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其他情况</w:t>
                  </w:r>
                </w:p>
              </w:tc>
            </w:tr>
          </w:tbl>
          <w:p>
            <w:pPr>
              <w:ind w:firstLine="48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本项目南侧15m为赵庄村，项目东侧紧邻农田，根据污染影响型敏感程度分级表可知，本项目属于敏感。结合表7-10可知，</w:t>
            </w:r>
            <w:r>
              <w:rPr>
                <w:rFonts w:hint="default" w:ascii="Times New Roman" w:hAnsi="Times New Roman" w:cs="Times New Roman"/>
                <w:color w:val="auto"/>
                <w:lang w:eastAsia="zh-CN"/>
              </w:rPr>
              <w:t>本次项目土壤等级为三级，按照《环境影响评价技术导则 土壤环境（试行）》（HJ964-2018）可采用定性描述或类比分析方法进行预测。</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本项目土壤环境影响类型</w:t>
            </w:r>
            <w:r>
              <w:rPr>
                <w:rFonts w:hint="eastAsia" w:ascii="宋体" w:hAnsi="宋体" w:eastAsia="宋体" w:cs="宋体"/>
                <w:color w:val="auto"/>
                <w:sz w:val="24"/>
                <w:szCs w:val="24"/>
              </w:rPr>
              <w:t>为“污染影响型”</w:t>
            </w:r>
            <w:r>
              <w:rPr>
                <w:rFonts w:hint="default" w:ascii="Times New Roman" w:hAnsi="Times New Roman" w:cs="Times New Roman"/>
                <w:color w:val="auto"/>
                <w:sz w:val="24"/>
                <w:szCs w:val="24"/>
              </w:rPr>
              <w:t>。项目生产废气的主要污染因子为VOCs，不涉及重金属污染因子，故本次评价不考虑大气沉降对土壤环境的影响途径。项目厂区采取分区防渗措施，有效防止厂区废水的水平扩散，故本次项目不考虑地面漫流对土壤环境的影响途径。本次评价仅考虑项目污染物垂直入渗对土壤环境的影响途径，具体污染情景如下：</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正常状况</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正常状况下，本项目危废暂存间设置防渗层</w:t>
            </w:r>
            <w:r>
              <w:rPr>
                <w:rFonts w:hint="default" w:ascii="Times New Roman" w:hAnsi="Times New Roman" w:cs="Times New Roman"/>
                <w:color w:val="auto"/>
                <w:sz w:val="24"/>
                <w:szCs w:val="24"/>
                <w:lang w:eastAsia="zh-CN"/>
              </w:rPr>
              <w:t>、设置围堰</w:t>
            </w:r>
            <w:r>
              <w:rPr>
                <w:rFonts w:hint="default" w:ascii="Times New Roman" w:hAnsi="Times New Roman" w:cs="Times New Roman"/>
                <w:color w:val="auto"/>
                <w:sz w:val="24"/>
                <w:szCs w:val="24"/>
              </w:rPr>
              <w:t>，并加强日常管理及维修维护工作，可有效防止和减少跑冒滴漏现象的发生。同时，本项目厂区按照重点防渗区、一般防渗区、简单防渗区进行防渗处理。在采取源头及分区防渗措施的基础上，正常状况下可</w:t>
            </w:r>
            <w:r>
              <w:rPr>
                <w:rFonts w:hint="default" w:ascii="Times New Roman" w:hAnsi="Times New Roman" w:cs="Times New Roman"/>
                <w:color w:val="auto"/>
                <w:sz w:val="24"/>
                <w:szCs w:val="24"/>
                <w:lang w:eastAsia="zh-CN"/>
              </w:rPr>
              <w:t>有效</w:t>
            </w:r>
            <w:r>
              <w:rPr>
                <w:rFonts w:hint="default" w:ascii="Times New Roman" w:hAnsi="Times New Roman" w:cs="Times New Roman"/>
                <w:color w:val="auto"/>
                <w:sz w:val="24"/>
                <w:szCs w:val="24"/>
              </w:rPr>
              <w:t>预防危废暂存间因泄露渗入土壤影响土壤环境。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非正常状况</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根据同类企业的</w:t>
            </w:r>
            <w:r>
              <w:rPr>
                <w:rFonts w:hint="default" w:ascii="Times New Roman" w:hAnsi="Times New Roman" w:cs="Times New Roman"/>
                <w:color w:val="auto"/>
                <w:sz w:val="24"/>
                <w:szCs w:val="24"/>
                <w:lang w:eastAsia="zh-CN"/>
              </w:rPr>
              <w:t>实际</w:t>
            </w:r>
            <w:r>
              <w:rPr>
                <w:rFonts w:hint="default" w:ascii="Times New Roman" w:hAnsi="Times New Roman" w:cs="Times New Roman"/>
                <w:color w:val="auto"/>
                <w:sz w:val="24"/>
                <w:szCs w:val="24"/>
              </w:rPr>
              <w:t>情况分析，如危废暂存间等发生防渗层破损，建设单位必须及时采取修复措施，不可任由危废下渗土壤，污染土壤环境。因此，企业应定期检查</w:t>
            </w:r>
            <w:r>
              <w:rPr>
                <w:rFonts w:hint="default" w:ascii="Times New Roman" w:hAnsi="Times New Roman" w:cs="Times New Roman"/>
                <w:color w:val="auto"/>
                <w:sz w:val="24"/>
                <w:szCs w:val="24"/>
                <w:lang w:eastAsia="zh-CN"/>
              </w:rPr>
              <w:t>项目区</w:t>
            </w:r>
            <w:r>
              <w:rPr>
                <w:rFonts w:hint="default" w:ascii="Times New Roman" w:hAnsi="Times New Roman" w:cs="Times New Roman"/>
                <w:color w:val="auto"/>
                <w:sz w:val="24"/>
                <w:szCs w:val="24"/>
              </w:rPr>
              <w:t>危废暂存间。危废暂存间的管理应严格按照</w:t>
            </w:r>
            <w:r>
              <w:rPr>
                <w:rFonts w:hint="default" w:ascii="Times New Roman" w:hAnsi="Times New Roman" w:cs="Times New Roman"/>
                <w:color w:val="auto"/>
                <w:sz w:val="24"/>
              </w:rPr>
              <w:t>《危险废物贮存污染控制标准》（GB18597-2001）和《建设项目危险废物环境影响评价指南》进行，并做好台账管理</w:t>
            </w:r>
            <w:r>
              <w:rPr>
                <w:rFonts w:hint="default" w:ascii="Times New Roman" w:hAnsi="Times New Roman" w:cs="Times New Roman"/>
                <w:color w:val="auto"/>
                <w:sz w:val="24"/>
                <w:szCs w:val="24"/>
              </w:rPr>
              <w:t>。</w:t>
            </w:r>
          </w:p>
          <w:p>
            <w:pPr>
              <w:pStyle w:val="97"/>
              <w:adjustRightInd/>
              <w:jc w:val="center"/>
              <w:rPr>
                <w:rFonts w:hint="default" w:ascii="Times New Roman" w:hAnsi="Times New Roman" w:cs="Times New Roman"/>
                <w:b/>
                <w:color w:val="auto"/>
                <w:sz w:val="21"/>
              </w:rPr>
            </w:pPr>
            <w:r>
              <w:rPr>
                <w:rFonts w:hint="default" w:ascii="Times New Roman" w:hAnsi="Times New Roman" w:cs="Times New Roman"/>
                <w:b/>
                <w:color w:val="auto"/>
                <w:sz w:val="21"/>
              </w:rPr>
              <w:t>表7-1</w:t>
            </w:r>
            <w:r>
              <w:rPr>
                <w:rFonts w:hint="default" w:ascii="Times New Roman" w:hAnsi="Times New Roman" w:cs="Times New Roman"/>
                <w:b/>
                <w:color w:val="auto"/>
                <w:sz w:val="21"/>
                <w:lang w:val="en-US" w:eastAsia="zh-CN"/>
              </w:rPr>
              <w:t>4</w:t>
            </w:r>
            <w:r>
              <w:rPr>
                <w:rFonts w:hint="default" w:ascii="Times New Roman" w:hAnsi="Times New Roman" w:cs="Times New Roman"/>
                <w:b/>
                <w:color w:val="auto"/>
                <w:sz w:val="21"/>
              </w:rPr>
              <w:t xml:space="preserve">  土壤环境影响评价自查表</w:t>
            </w:r>
          </w:p>
          <w:tbl>
            <w:tblPr>
              <w:tblStyle w:val="2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
              <w:gridCol w:w="753"/>
              <w:gridCol w:w="1659"/>
              <w:gridCol w:w="1356"/>
              <w:gridCol w:w="16"/>
              <w:gridCol w:w="1040"/>
              <w:gridCol w:w="698"/>
              <w:gridCol w:w="357"/>
              <w:gridCol w:w="1506"/>
              <w:gridCol w:w="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65" w:type="dxa"/>
                  <w:gridSpan w:val="3"/>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工作内容</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完成情况</w:t>
                  </w:r>
                </w:p>
              </w:tc>
              <w:tc>
                <w:tcPr>
                  <w:tcW w:w="984" w:type="dxa"/>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3" w:type="dxa"/>
                  <w:vMerge w:val="restart"/>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影响识别</w:t>
                  </w:r>
                </w:p>
              </w:tc>
              <w:tc>
                <w:tcPr>
                  <w:tcW w:w="2412" w:type="dxa"/>
                  <w:gridSpan w:val="2"/>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影响类型</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污染影响型</w:t>
                  </w:r>
                  <w:r>
                    <w:rPr>
                      <w:rFonts w:hint="default" w:ascii="Times New Roman" w:hAnsi="Times New Roman" w:cs="Times New Roman"/>
                      <w:color w:val="auto"/>
                      <w:sz w:val="21"/>
                      <w:szCs w:val="15"/>
                    </w:rPr>
                    <w:sym w:font="Wingdings 2" w:char="0052"/>
                  </w:r>
                  <w:r>
                    <w:rPr>
                      <w:rFonts w:hint="default" w:ascii="Times New Roman" w:hAnsi="Times New Roman" w:cs="Times New Roman"/>
                      <w:color w:val="auto"/>
                      <w:sz w:val="21"/>
                    </w:rPr>
                    <w:t>；生态影响型</w:t>
                  </w:r>
                  <w:r>
                    <w:rPr>
                      <w:rFonts w:hint="default" w:ascii="Times New Roman" w:hAnsi="Times New Roman" w:cs="Times New Roman"/>
                      <w:color w:val="auto"/>
                      <w:sz w:val="18"/>
                      <w:szCs w:val="15"/>
                    </w:rPr>
                    <w:t>□</w:t>
                  </w:r>
                  <w:r>
                    <w:rPr>
                      <w:rFonts w:hint="default" w:ascii="Times New Roman" w:hAnsi="Times New Roman" w:cs="Times New Roman"/>
                      <w:color w:val="auto"/>
                      <w:sz w:val="21"/>
                    </w:rPr>
                    <w:t>；两种兼有</w:t>
                  </w:r>
                  <w:r>
                    <w:rPr>
                      <w:rFonts w:hint="default" w:ascii="Times New Roman" w:hAnsi="Times New Roman" w:cs="Times New Roman"/>
                      <w:color w:val="auto"/>
                      <w:sz w:val="18"/>
                      <w:szCs w:val="15"/>
                    </w:rPr>
                    <w:t>□</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3" w:type="dxa"/>
                  <w:vMerge w:val="continue"/>
                  <w:noWrap w:val="0"/>
                  <w:vAlign w:val="center"/>
                </w:tcPr>
                <w:p>
                  <w:pPr>
                    <w:pStyle w:val="97"/>
                    <w:adjustRightInd/>
                    <w:jc w:val="center"/>
                    <w:rPr>
                      <w:rFonts w:hint="default" w:ascii="Times New Roman" w:hAnsi="Times New Roman" w:cs="Times New Roman"/>
                      <w:color w:val="auto"/>
                      <w:sz w:val="21"/>
                    </w:rPr>
                  </w:pPr>
                </w:p>
              </w:tc>
              <w:tc>
                <w:tcPr>
                  <w:tcW w:w="2412" w:type="dxa"/>
                  <w:gridSpan w:val="2"/>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土地利用类型</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建设用地</w:t>
                  </w:r>
                  <w:r>
                    <w:rPr>
                      <w:rFonts w:hint="default" w:ascii="Times New Roman" w:hAnsi="Times New Roman" w:cs="Times New Roman"/>
                      <w:color w:val="auto"/>
                      <w:sz w:val="21"/>
                      <w:szCs w:val="15"/>
                    </w:rPr>
                    <w:sym w:font="Wingdings 2" w:char="0052"/>
                  </w:r>
                  <w:r>
                    <w:rPr>
                      <w:rFonts w:hint="default" w:ascii="Times New Roman" w:hAnsi="Times New Roman" w:cs="Times New Roman"/>
                      <w:color w:val="auto"/>
                      <w:sz w:val="21"/>
                    </w:rPr>
                    <w:t>；农用地</w:t>
                  </w:r>
                  <w:r>
                    <w:rPr>
                      <w:rFonts w:hint="default" w:ascii="Times New Roman" w:hAnsi="Times New Roman" w:cs="Times New Roman"/>
                      <w:color w:val="auto"/>
                      <w:sz w:val="18"/>
                      <w:szCs w:val="15"/>
                    </w:rPr>
                    <w:sym w:font="Wingdings 2" w:char="0052"/>
                  </w:r>
                  <w:r>
                    <w:rPr>
                      <w:rFonts w:hint="default" w:ascii="Times New Roman" w:hAnsi="Times New Roman" w:cs="Times New Roman"/>
                      <w:color w:val="auto"/>
                      <w:sz w:val="21"/>
                    </w:rPr>
                    <w:t>；未利用地</w:t>
                  </w:r>
                  <w:r>
                    <w:rPr>
                      <w:rFonts w:hint="default" w:ascii="Times New Roman" w:hAnsi="Times New Roman" w:cs="Times New Roman"/>
                      <w:color w:val="auto"/>
                      <w:sz w:val="18"/>
                      <w:szCs w:val="15"/>
                    </w:rPr>
                    <w:t>□</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3" w:type="dxa"/>
                  <w:vMerge w:val="continue"/>
                  <w:noWrap w:val="0"/>
                  <w:vAlign w:val="center"/>
                </w:tcPr>
                <w:p>
                  <w:pPr>
                    <w:pStyle w:val="97"/>
                    <w:adjustRightInd/>
                    <w:jc w:val="center"/>
                    <w:rPr>
                      <w:rFonts w:hint="default" w:ascii="Times New Roman" w:hAnsi="Times New Roman" w:cs="Times New Roman"/>
                      <w:color w:val="auto"/>
                      <w:sz w:val="21"/>
                    </w:rPr>
                  </w:pPr>
                </w:p>
              </w:tc>
              <w:tc>
                <w:tcPr>
                  <w:tcW w:w="2412" w:type="dxa"/>
                  <w:gridSpan w:val="2"/>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占地规模</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w:t>
                  </w:r>
                  <w:r>
                    <w:rPr>
                      <w:rFonts w:hint="default" w:ascii="Times New Roman" w:hAnsi="Times New Roman" w:cs="Times New Roman"/>
                      <w:color w:val="auto"/>
                      <w:sz w:val="21"/>
                      <w:lang w:val="en-US" w:eastAsia="zh-CN"/>
                    </w:rPr>
                    <w:t>0.12</w:t>
                  </w:r>
                  <w:r>
                    <w:rPr>
                      <w:rFonts w:hint="default" w:ascii="Times New Roman" w:hAnsi="Times New Roman" w:cs="Times New Roman"/>
                      <w:color w:val="auto"/>
                      <w:sz w:val="21"/>
                    </w:rPr>
                    <w:t>）hm</w:t>
                  </w:r>
                  <w:r>
                    <w:rPr>
                      <w:rFonts w:hint="default" w:ascii="Times New Roman" w:hAnsi="Times New Roman" w:cs="Times New Roman"/>
                      <w:color w:val="auto"/>
                      <w:sz w:val="21"/>
                      <w:vertAlign w:val="superscript"/>
                    </w:rPr>
                    <w:t>2</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3" w:type="dxa"/>
                  <w:vMerge w:val="continue"/>
                  <w:noWrap w:val="0"/>
                  <w:vAlign w:val="center"/>
                </w:tcPr>
                <w:p>
                  <w:pPr>
                    <w:pStyle w:val="97"/>
                    <w:adjustRightInd/>
                    <w:jc w:val="center"/>
                    <w:rPr>
                      <w:rFonts w:hint="default" w:ascii="Times New Roman" w:hAnsi="Times New Roman" w:cs="Times New Roman"/>
                      <w:color w:val="auto"/>
                      <w:sz w:val="21"/>
                    </w:rPr>
                  </w:pPr>
                </w:p>
              </w:tc>
              <w:tc>
                <w:tcPr>
                  <w:tcW w:w="2412" w:type="dxa"/>
                  <w:gridSpan w:val="2"/>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敏感目标信息</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敏感目标（）、方位（）、距离（）</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3" w:type="dxa"/>
                  <w:vMerge w:val="continue"/>
                  <w:noWrap w:val="0"/>
                  <w:vAlign w:val="center"/>
                </w:tcPr>
                <w:p>
                  <w:pPr>
                    <w:pStyle w:val="97"/>
                    <w:adjustRightInd/>
                    <w:jc w:val="center"/>
                    <w:rPr>
                      <w:rFonts w:hint="default" w:ascii="Times New Roman" w:hAnsi="Times New Roman" w:cs="Times New Roman"/>
                      <w:color w:val="auto"/>
                      <w:sz w:val="21"/>
                    </w:rPr>
                  </w:pPr>
                </w:p>
              </w:tc>
              <w:tc>
                <w:tcPr>
                  <w:tcW w:w="2412" w:type="dxa"/>
                  <w:gridSpan w:val="2"/>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影响途径</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大气沉降</w:t>
                  </w:r>
                  <w:r>
                    <w:rPr>
                      <w:rFonts w:hint="default" w:ascii="Times New Roman" w:hAnsi="Times New Roman" w:cs="Times New Roman"/>
                      <w:color w:val="auto"/>
                      <w:sz w:val="18"/>
                      <w:szCs w:val="15"/>
                    </w:rPr>
                    <w:sym w:font="Wingdings 2" w:char="00A3"/>
                  </w:r>
                  <w:r>
                    <w:rPr>
                      <w:rFonts w:hint="default" w:ascii="Times New Roman" w:hAnsi="Times New Roman" w:cs="Times New Roman"/>
                      <w:color w:val="auto"/>
                      <w:sz w:val="21"/>
                    </w:rPr>
                    <w:t>；地面漫流</w:t>
                  </w:r>
                  <w:r>
                    <w:rPr>
                      <w:rFonts w:hint="default" w:ascii="Times New Roman" w:hAnsi="Times New Roman" w:cs="Times New Roman"/>
                      <w:color w:val="auto"/>
                      <w:sz w:val="18"/>
                      <w:szCs w:val="15"/>
                    </w:rPr>
                    <w:t>□</w:t>
                  </w:r>
                  <w:r>
                    <w:rPr>
                      <w:rFonts w:hint="default" w:ascii="Times New Roman" w:hAnsi="Times New Roman" w:cs="Times New Roman"/>
                      <w:color w:val="auto"/>
                      <w:sz w:val="21"/>
                    </w:rPr>
                    <w:t>；垂直入渗</w:t>
                  </w:r>
                  <w:r>
                    <w:rPr>
                      <w:rFonts w:hint="default" w:ascii="Times New Roman" w:hAnsi="Times New Roman" w:cs="Times New Roman"/>
                      <w:color w:val="auto"/>
                      <w:sz w:val="21"/>
                      <w:szCs w:val="15"/>
                    </w:rPr>
                    <w:sym w:font="Wingdings 2" w:char="0052"/>
                  </w:r>
                  <w:r>
                    <w:rPr>
                      <w:rFonts w:hint="default" w:ascii="Times New Roman" w:hAnsi="Times New Roman" w:cs="Times New Roman"/>
                      <w:color w:val="auto"/>
                      <w:sz w:val="21"/>
                    </w:rPr>
                    <w:t>；地下水位</w:t>
                  </w:r>
                  <w:r>
                    <w:rPr>
                      <w:rFonts w:hint="default" w:ascii="Times New Roman" w:hAnsi="Times New Roman" w:cs="Times New Roman"/>
                      <w:color w:val="auto"/>
                      <w:sz w:val="18"/>
                      <w:szCs w:val="15"/>
                    </w:rPr>
                    <w:t>□</w:t>
                  </w:r>
                  <w:r>
                    <w:rPr>
                      <w:rFonts w:hint="default" w:ascii="Times New Roman" w:hAnsi="Times New Roman" w:cs="Times New Roman"/>
                      <w:color w:val="auto"/>
                      <w:sz w:val="21"/>
                    </w:rPr>
                    <w:t>；其他</w:t>
                  </w:r>
                  <w:r>
                    <w:rPr>
                      <w:rFonts w:hint="default" w:ascii="Times New Roman" w:hAnsi="Times New Roman" w:cs="Times New Roman"/>
                      <w:color w:val="auto"/>
                      <w:sz w:val="18"/>
                      <w:szCs w:val="15"/>
                    </w:rPr>
                    <w:t>□</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3" w:type="dxa"/>
                  <w:vMerge w:val="continue"/>
                  <w:noWrap w:val="0"/>
                  <w:vAlign w:val="center"/>
                </w:tcPr>
                <w:p>
                  <w:pPr>
                    <w:pStyle w:val="97"/>
                    <w:adjustRightInd/>
                    <w:jc w:val="center"/>
                    <w:rPr>
                      <w:rFonts w:hint="default" w:ascii="Times New Roman" w:hAnsi="Times New Roman" w:cs="Times New Roman"/>
                      <w:color w:val="auto"/>
                      <w:sz w:val="21"/>
                    </w:rPr>
                  </w:pPr>
                </w:p>
              </w:tc>
              <w:tc>
                <w:tcPr>
                  <w:tcW w:w="2412" w:type="dxa"/>
                  <w:gridSpan w:val="2"/>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全部污染物</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非甲烷总烃、颗粒物、石油烃类</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3" w:type="dxa"/>
                  <w:vMerge w:val="continue"/>
                  <w:noWrap w:val="0"/>
                  <w:vAlign w:val="center"/>
                </w:tcPr>
                <w:p>
                  <w:pPr>
                    <w:pStyle w:val="97"/>
                    <w:adjustRightInd/>
                    <w:jc w:val="center"/>
                    <w:rPr>
                      <w:rFonts w:hint="default" w:ascii="Times New Roman" w:hAnsi="Times New Roman" w:cs="Times New Roman"/>
                      <w:color w:val="auto"/>
                      <w:sz w:val="21"/>
                    </w:rPr>
                  </w:pPr>
                </w:p>
              </w:tc>
              <w:tc>
                <w:tcPr>
                  <w:tcW w:w="2412" w:type="dxa"/>
                  <w:gridSpan w:val="2"/>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特征因子</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石油烃类</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3" w:type="dxa"/>
                  <w:vMerge w:val="continue"/>
                  <w:noWrap w:val="0"/>
                  <w:vAlign w:val="center"/>
                </w:tcPr>
                <w:p>
                  <w:pPr>
                    <w:pStyle w:val="97"/>
                    <w:adjustRightInd/>
                    <w:jc w:val="center"/>
                    <w:rPr>
                      <w:rFonts w:hint="default" w:ascii="Times New Roman" w:hAnsi="Times New Roman" w:cs="Times New Roman"/>
                      <w:color w:val="auto"/>
                      <w:sz w:val="21"/>
                    </w:rPr>
                  </w:pPr>
                </w:p>
              </w:tc>
              <w:tc>
                <w:tcPr>
                  <w:tcW w:w="2412" w:type="dxa"/>
                  <w:gridSpan w:val="2"/>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所属土壤环境影响评价项目类别</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Ⅰ</w:t>
                  </w:r>
                  <w:r>
                    <w:rPr>
                      <w:rFonts w:hint="default" w:ascii="Times New Roman" w:hAnsi="Times New Roman" w:cs="Times New Roman"/>
                      <w:color w:val="auto"/>
                      <w:sz w:val="18"/>
                      <w:szCs w:val="15"/>
                    </w:rPr>
                    <w:t>□</w:t>
                  </w:r>
                  <w:r>
                    <w:rPr>
                      <w:rFonts w:hint="default" w:ascii="Times New Roman" w:hAnsi="Times New Roman" w:cs="Times New Roman"/>
                      <w:color w:val="auto"/>
                      <w:sz w:val="21"/>
                    </w:rPr>
                    <w:t>；Ⅱ</w:t>
                  </w:r>
                  <w:r>
                    <w:rPr>
                      <w:rFonts w:hint="default" w:ascii="Times New Roman" w:hAnsi="Times New Roman" w:cs="Times New Roman"/>
                      <w:color w:val="auto"/>
                      <w:sz w:val="21"/>
                      <w:szCs w:val="15"/>
                    </w:rPr>
                    <w:sym w:font="Wingdings 2" w:char="00A3"/>
                  </w:r>
                  <w:r>
                    <w:rPr>
                      <w:rFonts w:hint="default" w:ascii="Times New Roman" w:hAnsi="Times New Roman" w:cs="Times New Roman"/>
                      <w:color w:val="auto"/>
                      <w:sz w:val="21"/>
                    </w:rPr>
                    <w:t>；Ⅲ</w:t>
                  </w:r>
                  <w:r>
                    <w:rPr>
                      <w:rFonts w:hint="default" w:ascii="Times New Roman" w:hAnsi="Times New Roman" w:cs="Times New Roman"/>
                      <w:color w:val="auto"/>
                      <w:sz w:val="18"/>
                      <w:szCs w:val="15"/>
                    </w:rPr>
                    <w:sym w:font="Wingdings 2" w:char="0052"/>
                  </w:r>
                  <w:r>
                    <w:rPr>
                      <w:rFonts w:hint="default" w:ascii="Times New Roman" w:hAnsi="Times New Roman" w:cs="Times New Roman"/>
                      <w:color w:val="auto"/>
                      <w:sz w:val="21"/>
                    </w:rPr>
                    <w:t>；Ⅳ</w:t>
                  </w:r>
                  <w:r>
                    <w:rPr>
                      <w:rFonts w:hint="default" w:ascii="Times New Roman" w:hAnsi="Times New Roman" w:cs="Times New Roman"/>
                      <w:color w:val="auto"/>
                      <w:sz w:val="18"/>
                      <w:szCs w:val="15"/>
                    </w:rPr>
                    <w:t>□</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3" w:type="dxa"/>
                  <w:vMerge w:val="continue"/>
                  <w:noWrap w:val="0"/>
                  <w:vAlign w:val="center"/>
                </w:tcPr>
                <w:p>
                  <w:pPr>
                    <w:pStyle w:val="97"/>
                    <w:adjustRightInd/>
                    <w:jc w:val="center"/>
                    <w:rPr>
                      <w:rFonts w:hint="default" w:ascii="Times New Roman" w:hAnsi="Times New Roman" w:cs="Times New Roman"/>
                      <w:color w:val="auto"/>
                      <w:sz w:val="21"/>
                    </w:rPr>
                  </w:pPr>
                </w:p>
              </w:tc>
              <w:tc>
                <w:tcPr>
                  <w:tcW w:w="2412" w:type="dxa"/>
                  <w:gridSpan w:val="2"/>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敏感程度</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敏感</w:t>
                  </w:r>
                  <w:r>
                    <w:rPr>
                      <w:rFonts w:hint="default" w:ascii="Times New Roman" w:hAnsi="Times New Roman" w:cs="Times New Roman"/>
                      <w:color w:val="auto"/>
                      <w:sz w:val="18"/>
                      <w:szCs w:val="15"/>
                    </w:rPr>
                    <w:sym w:font="Wingdings 2" w:char="00A3"/>
                  </w:r>
                  <w:r>
                    <w:rPr>
                      <w:rFonts w:hint="default" w:ascii="Times New Roman" w:hAnsi="Times New Roman" w:cs="Times New Roman"/>
                      <w:color w:val="auto"/>
                      <w:sz w:val="21"/>
                    </w:rPr>
                    <w:t>；较敏感</w:t>
                  </w:r>
                  <w:r>
                    <w:rPr>
                      <w:rFonts w:hint="default" w:ascii="Times New Roman" w:hAnsi="Times New Roman" w:cs="Times New Roman"/>
                      <w:color w:val="auto"/>
                      <w:sz w:val="18"/>
                      <w:szCs w:val="15"/>
                    </w:rPr>
                    <w:t>□</w:t>
                  </w:r>
                  <w:r>
                    <w:rPr>
                      <w:rFonts w:hint="default" w:ascii="Times New Roman" w:hAnsi="Times New Roman" w:cs="Times New Roman"/>
                      <w:color w:val="auto"/>
                      <w:sz w:val="21"/>
                    </w:rPr>
                    <w:t>；不敏感</w:t>
                  </w:r>
                  <w:r>
                    <w:rPr>
                      <w:rFonts w:hint="default" w:ascii="Times New Roman" w:hAnsi="Times New Roman" w:cs="Times New Roman"/>
                      <w:color w:val="auto"/>
                      <w:sz w:val="21"/>
                      <w:szCs w:val="15"/>
                    </w:rPr>
                    <w:sym w:font="Wingdings 2" w:char="0052"/>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65" w:type="dxa"/>
                  <w:gridSpan w:val="3"/>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评价工作等级</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一级</w:t>
                  </w:r>
                  <w:r>
                    <w:rPr>
                      <w:rFonts w:hint="default" w:ascii="Times New Roman" w:hAnsi="Times New Roman" w:cs="Times New Roman"/>
                      <w:color w:val="auto"/>
                      <w:sz w:val="18"/>
                      <w:szCs w:val="15"/>
                    </w:rPr>
                    <w:t>□</w:t>
                  </w:r>
                  <w:r>
                    <w:rPr>
                      <w:rFonts w:hint="default" w:ascii="Times New Roman" w:hAnsi="Times New Roman" w:cs="Times New Roman"/>
                      <w:color w:val="auto"/>
                      <w:sz w:val="21"/>
                    </w:rPr>
                    <w:t>；二级</w:t>
                  </w:r>
                  <w:r>
                    <w:rPr>
                      <w:rFonts w:hint="default" w:ascii="Times New Roman" w:hAnsi="Times New Roman" w:cs="Times New Roman"/>
                      <w:color w:val="auto"/>
                      <w:sz w:val="21"/>
                      <w:szCs w:val="15"/>
                    </w:rPr>
                    <w:sym w:font="Wingdings 2" w:char="00A3"/>
                  </w:r>
                  <w:r>
                    <w:rPr>
                      <w:rFonts w:hint="default" w:ascii="Times New Roman" w:hAnsi="Times New Roman" w:cs="Times New Roman"/>
                      <w:color w:val="auto"/>
                      <w:sz w:val="21"/>
                    </w:rPr>
                    <w:t>；三级</w:t>
                  </w:r>
                  <w:r>
                    <w:rPr>
                      <w:rFonts w:hint="default" w:ascii="Times New Roman" w:hAnsi="Times New Roman" w:cs="Times New Roman"/>
                      <w:color w:val="auto"/>
                      <w:sz w:val="18"/>
                      <w:szCs w:val="15"/>
                    </w:rPr>
                    <w:sym w:font="Wingdings 2" w:char="0052"/>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6" w:type="dxa"/>
                  <w:gridSpan w:val="2"/>
                  <w:vMerge w:val="restart"/>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现状调查内容</w:t>
                  </w:r>
                </w:p>
              </w:tc>
              <w:tc>
                <w:tcPr>
                  <w:tcW w:w="1659" w:type="dxa"/>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资料收集</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a)</w:t>
                  </w:r>
                  <w:r>
                    <w:rPr>
                      <w:rFonts w:hint="default" w:ascii="Times New Roman" w:hAnsi="Times New Roman" w:cs="Times New Roman"/>
                      <w:color w:val="auto"/>
                      <w:sz w:val="21"/>
                      <w:szCs w:val="15"/>
                    </w:rPr>
                    <w:t xml:space="preserve"> </w:t>
                  </w:r>
                  <w:r>
                    <w:rPr>
                      <w:rFonts w:hint="default" w:ascii="Times New Roman" w:hAnsi="Times New Roman" w:cs="Times New Roman"/>
                      <w:color w:val="auto"/>
                      <w:sz w:val="21"/>
                      <w:szCs w:val="15"/>
                    </w:rPr>
                    <w:sym w:font="Wingdings 2" w:char="0052"/>
                  </w:r>
                  <w:r>
                    <w:rPr>
                      <w:rFonts w:hint="default" w:ascii="Times New Roman" w:hAnsi="Times New Roman" w:cs="Times New Roman"/>
                      <w:color w:val="auto"/>
                      <w:sz w:val="21"/>
                    </w:rPr>
                    <w:t>；b)</w:t>
                  </w:r>
                  <w:r>
                    <w:rPr>
                      <w:rFonts w:hint="default" w:ascii="Times New Roman" w:hAnsi="Times New Roman" w:cs="Times New Roman"/>
                      <w:color w:val="auto"/>
                      <w:sz w:val="21"/>
                      <w:szCs w:val="15"/>
                    </w:rPr>
                    <w:t xml:space="preserve"> </w:t>
                  </w:r>
                  <w:r>
                    <w:rPr>
                      <w:rFonts w:hint="default" w:ascii="Times New Roman" w:hAnsi="Times New Roman" w:cs="Times New Roman"/>
                      <w:color w:val="auto"/>
                      <w:sz w:val="21"/>
                      <w:szCs w:val="15"/>
                    </w:rPr>
                    <w:sym w:font="Wingdings 2" w:char="0052"/>
                  </w:r>
                  <w:r>
                    <w:rPr>
                      <w:rFonts w:hint="default" w:ascii="Times New Roman" w:hAnsi="Times New Roman" w:cs="Times New Roman"/>
                      <w:color w:val="auto"/>
                      <w:sz w:val="21"/>
                    </w:rPr>
                    <w:t>；c)</w:t>
                  </w:r>
                  <w:r>
                    <w:rPr>
                      <w:rFonts w:hint="default" w:ascii="Times New Roman" w:hAnsi="Times New Roman" w:cs="Times New Roman"/>
                      <w:color w:val="auto"/>
                      <w:sz w:val="21"/>
                      <w:szCs w:val="15"/>
                    </w:rPr>
                    <w:t xml:space="preserve"> </w:t>
                  </w:r>
                  <w:r>
                    <w:rPr>
                      <w:rFonts w:hint="default" w:ascii="Times New Roman" w:hAnsi="Times New Roman" w:cs="Times New Roman"/>
                      <w:color w:val="auto"/>
                      <w:sz w:val="21"/>
                      <w:szCs w:val="15"/>
                    </w:rPr>
                    <w:sym w:font="Wingdings 2" w:char="0052"/>
                  </w:r>
                  <w:r>
                    <w:rPr>
                      <w:rFonts w:hint="default" w:ascii="Times New Roman" w:hAnsi="Times New Roman" w:cs="Times New Roman"/>
                      <w:color w:val="auto"/>
                      <w:sz w:val="21"/>
                    </w:rPr>
                    <w:t>；d)</w:t>
                  </w:r>
                  <w:r>
                    <w:rPr>
                      <w:rFonts w:hint="default" w:ascii="Times New Roman" w:hAnsi="Times New Roman" w:cs="Times New Roman"/>
                      <w:color w:val="auto"/>
                      <w:sz w:val="18"/>
                      <w:szCs w:val="15"/>
                    </w:rPr>
                    <w:t xml:space="preserve"> □</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6" w:type="dxa"/>
                  <w:gridSpan w:val="2"/>
                  <w:vMerge w:val="continue"/>
                  <w:noWrap w:val="0"/>
                  <w:vAlign w:val="center"/>
                </w:tcPr>
                <w:p>
                  <w:pPr>
                    <w:pStyle w:val="97"/>
                    <w:adjustRightInd/>
                    <w:jc w:val="center"/>
                    <w:rPr>
                      <w:rFonts w:hint="default" w:ascii="Times New Roman" w:hAnsi="Times New Roman" w:cs="Times New Roman"/>
                      <w:color w:val="auto"/>
                      <w:sz w:val="21"/>
                    </w:rPr>
                  </w:pPr>
                </w:p>
              </w:tc>
              <w:tc>
                <w:tcPr>
                  <w:tcW w:w="1659" w:type="dxa"/>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理化性质</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颜色、结构、质地、pH、阳离子交换量、土壤容重、饱和导水率、氧化还原电位、孔隙率等</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6" w:type="dxa"/>
                  <w:gridSpan w:val="2"/>
                  <w:vMerge w:val="continue"/>
                  <w:noWrap w:val="0"/>
                  <w:vAlign w:val="center"/>
                </w:tcPr>
                <w:p>
                  <w:pPr>
                    <w:pStyle w:val="97"/>
                    <w:adjustRightInd/>
                    <w:jc w:val="center"/>
                    <w:rPr>
                      <w:rFonts w:hint="default" w:ascii="Times New Roman" w:hAnsi="Times New Roman" w:cs="Times New Roman"/>
                      <w:color w:val="auto"/>
                      <w:sz w:val="21"/>
                    </w:rPr>
                  </w:pPr>
                </w:p>
              </w:tc>
              <w:tc>
                <w:tcPr>
                  <w:tcW w:w="1659" w:type="dxa"/>
                  <w:vMerge w:val="restart"/>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现状监测点位</w:t>
                  </w:r>
                </w:p>
              </w:tc>
              <w:tc>
                <w:tcPr>
                  <w:tcW w:w="1356" w:type="dxa"/>
                  <w:tcBorders>
                    <w:right w:val="single" w:color="auto" w:sz="4" w:space="0"/>
                  </w:tcBorders>
                  <w:noWrap w:val="0"/>
                  <w:vAlign w:val="center"/>
                </w:tcPr>
                <w:p>
                  <w:pPr>
                    <w:pStyle w:val="97"/>
                    <w:adjustRightInd/>
                    <w:jc w:val="center"/>
                    <w:rPr>
                      <w:rFonts w:hint="default" w:ascii="Times New Roman" w:hAnsi="Times New Roman" w:cs="Times New Roman"/>
                      <w:color w:val="auto"/>
                      <w:sz w:val="21"/>
                    </w:rPr>
                  </w:pPr>
                </w:p>
              </w:tc>
              <w:tc>
                <w:tcPr>
                  <w:tcW w:w="1056" w:type="dxa"/>
                  <w:gridSpan w:val="2"/>
                  <w:tcBorders>
                    <w:left w:val="single" w:color="auto" w:sz="4" w:space="0"/>
                    <w:right w:val="single" w:color="auto" w:sz="4" w:space="0"/>
                  </w:tcBorders>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占地范围内</w:t>
                  </w:r>
                </w:p>
              </w:tc>
              <w:tc>
                <w:tcPr>
                  <w:tcW w:w="1055" w:type="dxa"/>
                  <w:gridSpan w:val="2"/>
                  <w:tcBorders>
                    <w:left w:val="single" w:color="auto" w:sz="4" w:space="0"/>
                    <w:right w:val="single" w:color="auto" w:sz="4" w:space="0"/>
                  </w:tcBorders>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占地范围外</w:t>
                  </w:r>
                </w:p>
              </w:tc>
              <w:tc>
                <w:tcPr>
                  <w:tcW w:w="1506" w:type="dxa"/>
                  <w:tcBorders>
                    <w:left w:val="single" w:color="auto" w:sz="4" w:space="0"/>
                  </w:tcBorders>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深度</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6" w:type="dxa"/>
                  <w:gridSpan w:val="2"/>
                  <w:vMerge w:val="continue"/>
                  <w:noWrap w:val="0"/>
                  <w:vAlign w:val="center"/>
                </w:tcPr>
                <w:p>
                  <w:pPr>
                    <w:pStyle w:val="97"/>
                    <w:adjustRightInd/>
                    <w:jc w:val="center"/>
                    <w:rPr>
                      <w:rFonts w:hint="default" w:ascii="Times New Roman" w:hAnsi="Times New Roman" w:cs="Times New Roman"/>
                      <w:color w:val="auto"/>
                      <w:sz w:val="21"/>
                    </w:rPr>
                  </w:pPr>
                </w:p>
              </w:tc>
              <w:tc>
                <w:tcPr>
                  <w:tcW w:w="1659" w:type="dxa"/>
                  <w:vMerge w:val="continue"/>
                  <w:noWrap w:val="0"/>
                  <w:vAlign w:val="center"/>
                </w:tcPr>
                <w:p>
                  <w:pPr>
                    <w:pStyle w:val="97"/>
                    <w:adjustRightInd/>
                    <w:jc w:val="center"/>
                    <w:rPr>
                      <w:rFonts w:hint="default" w:ascii="Times New Roman" w:hAnsi="Times New Roman" w:cs="Times New Roman"/>
                      <w:color w:val="auto"/>
                      <w:sz w:val="21"/>
                    </w:rPr>
                  </w:pPr>
                </w:p>
              </w:tc>
              <w:tc>
                <w:tcPr>
                  <w:tcW w:w="1356" w:type="dxa"/>
                  <w:tcBorders>
                    <w:right w:val="single" w:color="auto" w:sz="4" w:space="0"/>
                  </w:tcBorders>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表层样点数</w:t>
                  </w:r>
                </w:p>
              </w:tc>
              <w:tc>
                <w:tcPr>
                  <w:tcW w:w="1056" w:type="dxa"/>
                  <w:gridSpan w:val="2"/>
                  <w:tcBorders>
                    <w:left w:val="single" w:color="auto" w:sz="4" w:space="0"/>
                    <w:right w:val="single" w:color="auto" w:sz="4" w:space="0"/>
                  </w:tcBorders>
                  <w:noWrap w:val="0"/>
                  <w:vAlign w:val="center"/>
                </w:tcPr>
                <w:p>
                  <w:pPr>
                    <w:pStyle w:val="97"/>
                    <w:adjustRightInd/>
                    <w:jc w:val="center"/>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val="en-US" w:eastAsia="zh-CN"/>
                    </w:rPr>
                    <w:t>3</w:t>
                  </w:r>
                </w:p>
              </w:tc>
              <w:tc>
                <w:tcPr>
                  <w:tcW w:w="1055" w:type="dxa"/>
                  <w:gridSpan w:val="2"/>
                  <w:tcBorders>
                    <w:left w:val="single" w:color="auto" w:sz="4" w:space="0"/>
                    <w:right w:val="single" w:color="auto" w:sz="4" w:space="0"/>
                  </w:tcBorders>
                  <w:noWrap w:val="0"/>
                  <w:vAlign w:val="center"/>
                </w:tcPr>
                <w:p>
                  <w:pPr>
                    <w:pStyle w:val="97"/>
                    <w:adjustRightInd/>
                    <w:jc w:val="center"/>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val="en-US" w:eastAsia="zh-CN"/>
                    </w:rPr>
                    <w:t>/</w:t>
                  </w:r>
                </w:p>
              </w:tc>
              <w:tc>
                <w:tcPr>
                  <w:tcW w:w="1506" w:type="dxa"/>
                  <w:tcBorders>
                    <w:left w:val="single" w:color="auto" w:sz="4" w:space="0"/>
                  </w:tcBorders>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0~0.2m</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6" w:type="dxa"/>
                  <w:gridSpan w:val="2"/>
                  <w:vMerge w:val="continue"/>
                  <w:noWrap w:val="0"/>
                  <w:vAlign w:val="center"/>
                </w:tcPr>
                <w:p>
                  <w:pPr>
                    <w:pStyle w:val="97"/>
                    <w:adjustRightInd/>
                    <w:jc w:val="center"/>
                    <w:rPr>
                      <w:rFonts w:hint="default" w:ascii="Times New Roman" w:hAnsi="Times New Roman" w:cs="Times New Roman"/>
                      <w:color w:val="auto"/>
                      <w:sz w:val="21"/>
                    </w:rPr>
                  </w:pPr>
                </w:p>
              </w:tc>
              <w:tc>
                <w:tcPr>
                  <w:tcW w:w="1659" w:type="dxa"/>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现状监测因子</w:t>
                  </w:r>
                </w:p>
              </w:tc>
              <w:tc>
                <w:tcPr>
                  <w:tcW w:w="4973" w:type="dxa"/>
                  <w:gridSpan w:val="6"/>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rPr>
                    <w:t>（1）45项基本因子；</w:t>
                  </w:r>
                  <w:r>
                    <w:rPr>
                      <w:rFonts w:hint="default" w:ascii="Times New Roman" w:hAnsi="Times New Roman" w:cs="Times New Roman"/>
                      <w:color w:val="auto"/>
                      <w:sz w:val="21"/>
                      <w:lang w:val="en-US" w:eastAsia="zh-CN"/>
                    </w:rPr>
                    <w:t>8项基本因子；</w:t>
                  </w:r>
                </w:p>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（2）特征项：石油烃</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6" w:type="dxa"/>
                  <w:gridSpan w:val="2"/>
                  <w:vMerge w:val="restart"/>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现状评价</w:t>
                  </w:r>
                </w:p>
              </w:tc>
              <w:tc>
                <w:tcPr>
                  <w:tcW w:w="1659" w:type="dxa"/>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评价因子</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同现状监测因子</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6" w:type="dxa"/>
                  <w:gridSpan w:val="2"/>
                  <w:vMerge w:val="continue"/>
                  <w:noWrap w:val="0"/>
                  <w:vAlign w:val="center"/>
                </w:tcPr>
                <w:p>
                  <w:pPr>
                    <w:pStyle w:val="97"/>
                    <w:adjustRightInd/>
                    <w:jc w:val="center"/>
                    <w:rPr>
                      <w:rFonts w:hint="default" w:ascii="Times New Roman" w:hAnsi="Times New Roman" w:cs="Times New Roman"/>
                      <w:color w:val="auto"/>
                      <w:sz w:val="21"/>
                    </w:rPr>
                  </w:pPr>
                </w:p>
              </w:tc>
              <w:tc>
                <w:tcPr>
                  <w:tcW w:w="1659" w:type="dxa"/>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评价标准</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GB15618</w:t>
                  </w:r>
                  <w:r>
                    <w:rPr>
                      <w:rFonts w:hint="default" w:ascii="Times New Roman" w:hAnsi="Times New Roman" w:cs="Times New Roman"/>
                      <w:color w:val="auto"/>
                      <w:sz w:val="18"/>
                      <w:szCs w:val="15"/>
                    </w:rPr>
                    <w:sym w:font="Wingdings 2" w:char="0052"/>
                  </w:r>
                  <w:r>
                    <w:rPr>
                      <w:rFonts w:hint="default" w:ascii="Times New Roman" w:hAnsi="Times New Roman" w:cs="Times New Roman"/>
                      <w:color w:val="auto"/>
                      <w:sz w:val="21"/>
                    </w:rPr>
                    <w:t>；GB36600</w:t>
                  </w:r>
                  <w:r>
                    <w:rPr>
                      <w:rFonts w:hint="default" w:ascii="Times New Roman" w:hAnsi="Times New Roman" w:cs="Times New Roman"/>
                      <w:color w:val="auto"/>
                      <w:sz w:val="21"/>
                      <w:szCs w:val="15"/>
                    </w:rPr>
                    <w:sym w:font="Wingdings 2" w:char="0052"/>
                  </w:r>
                  <w:r>
                    <w:rPr>
                      <w:rFonts w:hint="default" w:ascii="Times New Roman" w:hAnsi="Times New Roman" w:cs="Times New Roman"/>
                      <w:color w:val="auto"/>
                      <w:sz w:val="21"/>
                    </w:rPr>
                    <w:t>；表D.1</w:t>
                  </w:r>
                  <w:r>
                    <w:rPr>
                      <w:rFonts w:hint="default" w:ascii="Times New Roman" w:hAnsi="Times New Roman" w:cs="Times New Roman"/>
                      <w:color w:val="auto"/>
                      <w:sz w:val="18"/>
                      <w:szCs w:val="15"/>
                    </w:rPr>
                    <w:t>□</w:t>
                  </w:r>
                  <w:r>
                    <w:rPr>
                      <w:rFonts w:hint="default" w:ascii="Times New Roman" w:hAnsi="Times New Roman" w:cs="Times New Roman"/>
                      <w:color w:val="auto"/>
                      <w:sz w:val="21"/>
                    </w:rPr>
                    <w:t>；表D.2</w:t>
                  </w:r>
                  <w:r>
                    <w:rPr>
                      <w:rFonts w:hint="default" w:ascii="Times New Roman" w:hAnsi="Times New Roman" w:cs="Times New Roman"/>
                      <w:color w:val="auto"/>
                      <w:sz w:val="18"/>
                      <w:szCs w:val="15"/>
                    </w:rPr>
                    <w:t>□</w:t>
                  </w:r>
                  <w:r>
                    <w:rPr>
                      <w:rFonts w:hint="default" w:ascii="Times New Roman" w:hAnsi="Times New Roman" w:cs="Times New Roman"/>
                      <w:color w:val="auto"/>
                      <w:sz w:val="21"/>
                    </w:rPr>
                    <w:t>；其他</w:t>
                  </w:r>
                  <w:r>
                    <w:rPr>
                      <w:rFonts w:hint="default" w:ascii="Times New Roman" w:hAnsi="Times New Roman" w:cs="Times New Roman"/>
                      <w:color w:val="auto"/>
                      <w:sz w:val="18"/>
                      <w:szCs w:val="15"/>
                    </w:rPr>
                    <w:t>□</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6" w:type="dxa"/>
                  <w:gridSpan w:val="2"/>
                  <w:vMerge w:val="continue"/>
                  <w:noWrap w:val="0"/>
                  <w:vAlign w:val="center"/>
                </w:tcPr>
                <w:p>
                  <w:pPr>
                    <w:pStyle w:val="97"/>
                    <w:adjustRightInd/>
                    <w:jc w:val="center"/>
                    <w:rPr>
                      <w:rFonts w:hint="default" w:ascii="Times New Roman" w:hAnsi="Times New Roman" w:cs="Times New Roman"/>
                      <w:color w:val="auto"/>
                      <w:sz w:val="21"/>
                    </w:rPr>
                  </w:pPr>
                </w:p>
              </w:tc>
              <w:tc>
                <w:tcPr>
                  <w:tcW w:w="1659" w:type="dxa"/>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现状评价结论</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厂区及周边区域目前土壤环境质量良好</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6" w:type="dxa"/>
                  <w:gridSpan w:val="2"/>
                  <w:vMerge w:val="restart"/>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影响预测</w:t>
                  </w:r>
                </w:p>
              </w:tc>
              <w:tc>
                <w:tcPr>
                  <w:tcW w:w="1659" w:type="dxa"/>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预测因子</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6" w:type="dxa"/>
                  <w:gridSpan w:val="2"/>
                  <w:vMerge w:val="continue"/>
                  <w:noWrap w:val="0"/>
                  <w:vAlign w:val="center"/>
                </w:tcPr>
                <w:p>
                  <w:pPr>
                    <w:pStyle w:val="97"/>
                    <w:adjustRightInd/>
                    <w:jc w:val="center"/>
                    <w:rPr>
                      <w:rFonts w:hint="default" w:ascii="Times New Roman" w:hAnsi="Times New Roman" w:cs="Times New Roman"/>
                      <w:color w:val="auto"/>
                      <w:sz w:val="21"/>
                    </w:rPr>
                  </w:pPr>
                </w:p>
              </w:tc>
              <w:tc>
                <w:tcPr>
                  <w:tcW w:w="1659" w:type="dxa"/>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预测方法</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附录E</w:t>
                  </w:r>
                  <w:r>
                    <w:rPr>
                      <w:rFonts w:hint="default" w:ascii="Times New Roman" w:hAnsi="Times New Roman" w:cs="Times New Roman"/>
                      <w:color w:val="auto"/>
                      <w:sz w:val="18"/>
                      <w:szCs w:val="15"/>
                    </w:rPr>
                    <w:t>□</w:t>
                  </w:r>
                  <w:r>
                    <w:rPr>
                      <w:rFonts w:hint="default" w:ascii="Times New Roman" w:hAnsi="Times New Roman" w:cs="Times New Roman"/>
                      <w:color w:val="auto"/>
                      <w:sz w:val="21"/>
                    </w:rPr>
                    <w:t>；附录F</w:t>
                  </w:r>
                  <w:r>
                    <w:rPr>
                      <w:rFonts w:hint="default" w:ascii="Times New Roman" w:hAnsi="Times New Roman" w:cs="Times New Roman"/>
                      <w:color w:val="auto"/>
                      <w:sz w:val="18"/>
                      <w:szCs w:val="15"/>
                    </w:rPr>
                    <w:t>□</w:t>
                  </w:r>
                  <w:r>
                    <w:rPr>
                      <w:rFonts w:hint="default" w:ascii="Times New Roman" w:hAnsi="Times New Roman" w:cs="Times New Roman"/>
                      <w:color w:val="auto"/>
                      <w:sz w:val="21"/>
                    </w:rPr>
                    <w:t>；其他（类比分析）</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6" w:type="dxa"/>
                  <w:gridSpan w:val="2"/>
                  <w:vMerge w:val="continue"/>
                  <w:noWrap w:val="0"/>
                  <w:vAlign w:val="center"/>
                </w:tcPr>
                <w:p>
                  <w:pPr>
                    <w:pStyle w:val="97"/>
                    <w:adjustRightInd/>
                    <w:jc w:val="center"/>
                    <w:rPr>
                      <w:rFonts w:hint="default" w:ascii="Times New Roman" w:hAnsi="Times New Roman" w:cs="Times New Roman"/>
                      <w:color w:val="auto"/>
                      <w:sz w:val="21"/>
                    </w:rPr>
                  </w:pPr>
                </w:p>
              </w:tc>
              <w:tc>
                <w:tcPr>
                  <w:tcW w:w="1659" w:type="dxa"/>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预测分析内容</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影响范围（控制在评价范围内）</w:t>
                  </w:r>
                </w:p>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影响程度（对土壤环境影响较小）</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6" w:type="dxa"/>
                  <w:gridSpan w:val="2"/>
                  <w:vMerge w:val="continue"/>
                  <w:noWrap w:val="0"/>
                  <w:vAlign w:val="center"/>
                </w:tcPr>
                <w:p>
                  <w:pPr>
                    <w:pStyle w:val="97"/>
                    <w:adjustRightInd/>
                    <w:jc w:val="center"/>
                    <w:rPr>
                      <w:rFonts w:hint="default" w:ascii="Times New Roman" w:hAnsi="Times New Roman" w:cs="Times New Roman"/>
                      <w:color w:val="auto"/>
                      <w:sz w:val="21"/>
                    </w:rPr>
                  </w:pPr>
                </w:p>
              </w:tc>
              <w:tc>
                <w:tcPr>
                  <w:tcW w:w="1659" w:type="dxa"/>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预测结论</w:t>
                  </w:r>
                </w:p>
              </w:tc>
              <w:tc>
                <w:tcPr>
                  <w:tcW w:w="4973" w:type="dxa"/>
                  <w:gridSpan w:val="6"/>
                  <w:noWrap w:val="0"/>
                  <w:vAlign w:val="center"/>
                </w:tcPr>
                <w:p>
                  <w:pPr>
                    <w:pStyle w:val="97"/>
                    <w:adjustRightInd/>
                    <w:jc w:val="center"/>
                    <w:rPr>
                      <w:rFonts w:hint="default" w:ascii="Times New Roman" w:hAnsi="Times New Roman" w:cs="Times New Roman"/>
                      <w:color w:val="auto"/>
                      <w:sz w:val="18"/>
                      <w:szCs w:val="15"/>
                    </w:rPr>
                  </w:pPr>
                  <w:r>
                    <w:rPr>
                      <w:rFonts w:hint="default" w:ascii="Times New Roman" w:hAnsi="Times New Roman" w:cs="Times New Roman"/>
                      <w:color w:val="auto"/>
                      <w:sz w:val="21"/>
                    </w:rPr>
                    <w:t>达标结论：a)</w:t>
                  </w:r>
                  <w:r>
                    <w:rPr>
                      <w:rFonts w:hint="default" w:ascii="Times New Roman" w:hAnsi="Times New Roman" w:cs="Times New Roman"/>
                      <w:color w:val="auto"/>
                      <w:sz w:val="21"/>
                      <w:szCs w:val="15"/>
                    </w:rPr>
                    <w:t xml:space="preserve"> </w:t>
                  </w:r>
                  <w:r>
                    <w:rPr>
                      <w:rFonts w:hint="default" w:ascii="Times New Roman" w:hAnsi="Times New Roman" w:cs="Times New Roman"/>
                      <w:color w:val="auto"/>
                      <w:sz w:val="21"/>
                      <w:szCs w:val="15"/>
                    </w:rPr>
                    <w:sym w:font="Wingdings 2" w:char="0052"/>
                  </w:r>
                  <w:r>
                    <w:rPr>
                      <w:rFonts w:hint="default" w:ascii="Times New Roman" w:hAnsi="Times New Roman" w:cs="Times New Roman"/>
                      <w:color w:val="auto"/>
                      <w:sz w:val="21"/>
                    </w:rPr>
                    <w:t>；b)</w:t>
                  </w:r>
                  <w:r>
                    <w:rPr>
                      <w:rFonts w:hint="default" w:ascii="Times New Roman" w:hAnsi="Times New Roman" w:cs="Times New Roman"/>
                      <w:color w:val="auto"/>
                      <w:sz w:val="21"/>
                      <w:szCs w:val="15"/>
                    </w:rPr>
                    <w:t xml:space="preserve"> </w:t>
                  </w:r>
                  <w:r>
                    <w:rPr>
                      <w:rFonts w:hint="default" w:ascii="Times New Roman" w:hAnsi="Times New Roman" w:cs="Times New Roman"/>
                      <w:color w:val="auto"/>
                      <w:sz w:val="18"/>
                      <w:szCs w:val="15"/>
                    </w:rPr>
                    <w:t>□</w:t>
                  </w:r>
                  <w:r>
                    <w:rPr>
                      <w:rFonts w:hint="default" w:ascii="Times New Roman" w:hAnsi="Times New Roman" w:cs="Times New Roman"/>
                      <w:color w:val="auto"/>
                      <w:sz w:val="21"/>
                    </w:rPr>
                    <w:t>；c)</w:t>
                  </w:r>
                  <w:r>
                    <w:rPr>
                      <w:rFonts w:hint="default" w:ascii="Times New Roman" w:hAnsi="Times New Roman" w:cs="Times New Roman"/>
                      <w:color w:val="auto"/>
                      <w:sz w:val="18"/>
                      <w:szCs w:val="15"/>
                    </w:rPr>
                    <w:t>□</w:t>
                  </w:r>
                </w:p>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szCs w:val="15"/>
                    </w:rPr>
                    <w:t>不达标结论：</w:t>
                  </w:r>
                  <w:r>
                    <w:rPr>
                      <w:rFonts w:hint="default" w:ascii="Times New Roman" w:hAnsi="Times New Roman" w:cs="Times New Roman"/>
                      <w:color w:val="auto"/>
                      <w:sz w:val="21"/>
                    </w:rPr>
                    <w:t>a)</w:t>
                  </w:r>
                  <w:r>
                    <w:rPr>
                      <w:rFonts w:hint="default" w:ascii="Times New Roman" w:hAnsi="Times New Roman" w:cs="Times New Roman"/>
                      <w:color w:val="auto"/>
                      <w:sz w:val="21"/>
                      <w:szCs w:val="15"/>
                    </w:rPr>
                    <w:t xml:space="preserve"> </w:t>
                  </w:r>
                  <w:r>
                    <w:rPr>
                      <w:rFonts w:hint="default" w:ascii="Times New Roman" w:hAnsi="Times New Roman" w:cs="Times New Roman"/>
                      <w:color w:val="auto"/>
                      <w:sz w:val="18"/>
                      <w:szCs w:val="15"/>
                    </w:rPr>
                    <w:t>□</w:t>
                  </w:r>
                  <w:r>
                    <w:rPr>
                      <w:rFonts w:hint="default" w:ascii="Times New Roman" w:hAnsi="Times New Roman" w:cs="Times New Roman"/>
                      <w:color w:val="auto"/>
                      <w:sz w:val="21"/>
                    </w:rPr>
                    <w:t>；b)</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6" w:type="dxa"/>
                  <w:gridSpan w:val="2"/>
                  <w:vMerge w:val="restart"/>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防控措施</w:t>
                  </w:r>
                </w:p>
              </w:tc>
              <w:tc>
                <w:tcPr>
                  <w:tcW w:w="1659" w:type="dxa"/>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防控措施</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土壤环境质量现状保障</w:t>
                  </w:r>
                  <w:r>
                    <w:rPr>
                      <w:rFonts w:hint="default" w:ascii="Times New Roman" w:hAnsi="Times New Roman" w:cs="Times New Roman"/>
                      <w:color w:val="auto"/>
                      <w:sz w:val="18"/>
                      <w:szCs w:val="15"/>
                    </w:rPr>
                    <w:t>□</w:t>
                  </w:r>
                  <w:r>
                    <w:rPr>
                      <w:rFonts w:hint="default" w:ascii="Times New Roman" w:hAnsi="Times New Roman" w:cs="Times New Roman"/>
                      <w:color w:val="auto"/>
                      <w:sz w:val="21"/>
                    </w:rPr>
                    <w:t>；源头控制</w:t>
                  </w:r>
                  <w:r>
                    <w:rPr>
                      <w:rFonts w:hint="default" w:ascii="Times New Roman" w:hAnsi="Times New Roman" w:cs="Times New Roman"/>
                      <w:color w:val="auto"/>
                      <w:sz w:val="21"/>
                      <w:szCs w:val="15"/>
                    </w:rPr>
                    <w:sym w:font="Wingdings 2" w:char="0052"/>
                  </w:r>
                  <w:r>
                    <w:rPr>
                      <w:rFonts w:hint="default" w:ascii="Times New Roman" w:hAnsi="Times New Roman" w:cs="Times New Roman"/>
                      <w:color w:val="auto"/>
                      <w:sz w:val="21"/>
                    </w:rPr>
                    <w:t>；过程防控</w:t>
                  </w:r>
                  <w:r>
                    <w:rPr>
                      <w:rFonts w:hint="default" w:ascii="Times New Roman" w:hAnsi="Times New Roman" w:cs="Times New Roman"/>
                      <w:color w:val="auto"/>
                      <w:sz w:val="21"/>
                      <w:szCs w:val="15"/>
                    </w:rPr>
                    <w:sym w:font="Wingdings 2" w:char="0052"/>
                  </w:r>
                  <w:r>
                    <w:rPr>
                      <w:rFonts w:hint="default" w:ascii="Times New Roman" w:hAnsi="Times New Roman" w:cs="Times New Roman"/>
                      <w:color w:val="auto"/>
                      <w:sz w:val="21"/>
                    </w:rPr>
                    <w:t>；其他</w:t>
                  </w:r>
                  <w:r>
                    <w:rPr>
                      <w:rFonts w:hint="default" w:ascii="Times New Roman" w:hAnsi="Times New Roman" w:cs="Times New Roman"/>
                      <w:color w:val="auto"/>
                      <w:sz w:val="18"/>
                      <w:szCs w:val="15"/>
                    </w:rPr>
                    <w:t>□</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6" w:type="dxa"/>
                  <w:gridSpan w:val="2"/>
                  <w:vMerge w:val="continue"/>
                  <w:noWrap w:val="0"/>
                  <w:vAlign w:val="center"/>
                </w:tcPr>
                <w:p>
                  <w:pPr>
                    <w:pStyle w:val="97"/>
                    <w:adjustRightInd/>
                    <w:jc w:val="center"/>
                    <w:rPr>
                      <w:rFonts w:hint="default" w:ascii="Times New Roman" w:hAnsi="Times New Roman" w:cs="Times New Roman"/>
                      <w:color w:val="auto"/>
                      <w:sz w:val="21"/>
                    </w:rPr>
                  </w:pPr>
                </w:p>
              </w:tc>
              <w:tc>
                <w:tcPr>
                  <w:tcW w:w="1659" w:type="dxa"/>
                  <w:vMerge w:val="restart"/>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跟踪监测</w:t>
                  </w:r>
                </w:p>
              </w:tc>
              <w:tc>
                <w:tcPr>
                  <w:tcW w:w="1372" w:type="dxa"/>
                  <w:gridSpan w:val="2"/>
                  <w:tcBorders>
                    <w:right w:val="single" w:color="auto" w:sz="4" w:space="0"/>
                  </w:tcBorders>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监测点数</w:t>
                  </w:r>
                </w:p>
              </w:tc>
              <w:tc>
                <w:tcPr>
                  <w:tcW w:w="1738" w:type="dxa"/>
                  <w:gridSpan w:val="2"/>
                  <w:tcBorders>
                    <w:left w:val="single" w:color="auto" w:sz="4" w:space="0"/>
                    <w:right w:val="single" w:color="auto" w:sz="4" w:space="0"/>
                  </w:tcBorders>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监测指标</w:t>
                  </w:r>
                </w:p>
              </w:tc>
              <w:tc>
                <w:tcPr>
                  <w:tcW w:w="1863" w:type="dxa"/>
                  <w:gridSpan w:val="2"/>
                  <w:tcBorders>
                    <w:left w:val="single" w:color="auto" w:sz="4" w:space="0"/>
                  </w:tcBorders>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监测频次</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6" w:type="dxa"/>
                  <w:gridSpan w:val="2"/>
                  <w:vMerge w:val="continue"/>
                  <w:noWrap w:val="0"/>
                  <w:vAlign w:val="center"/>
                </w:tcPr>
                <w:p>
                  <w:pPr>
                    <w:pStyle w:val="97"/>
                    <w:adjustRightInd/>
                    <w:jc w:val="center"/>
                    <w:rPr>
                      <w:rFonts w:hint="default" w:ascii="Times New Roman" w:hAnsi="Times New Roman" w:cs="Times New Roman"/>
                      <w:color w:val="auto"/>
                      <w:sz w:val="21"/>
                    </w:rPr>
                  </w:pPr>
                </w:p>
              </w:tc>
              <w:tc>
                <w:tcPr>
                  <w:tcW w:w="1659" w:type="dxa"/>
                  <w:vMerge w:val="continue"/>
                  <w:noWrap w:val="0"/>
                  <w:vAlign w:val="center"/>
                </w:tcPr>
                <w:p>
                  <w:pPr>
                    <w:pStyle w:val="97"/>
                    <w:adjustRightInd/>
                    <w:jc w:val="center"/>
                    <w:rPr>
                      <w:rFonts w:hint="default" w:ascii="Times New Roman" w:hAnsi="Times New Roman" w:cs="Times New Roman"/>
                      <w:color w:val="auto"/>
                      <w:sz w:val="21"/>
                    </w:rPr>
                  </w:pPr>
                </w:p>
              </w:tc>
              <w:tc>
                <w:tcPr>
                  <w:tcW w:w="1372" w:type="dxa"/>
                  <w:gridSpan w:val="2"/>
                  <w:tcBorders>
                    <w:right w:val="single" w:color="auto" w:sz="4" w:space="0"/>
                  </w:tcBorders>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c>
                <w:tcPr>
                  <w:tcW w:w="1738" w:type="dxa"/>
                  <w:gridSpan w:val="2"/>
                  <w:tcBorders>
                    <w:left w:val="single" w:color="auto" w:sz="4" w:space="0"/>
                    <w:right w:val="single" w:color="auto" w:sz="4" w:space="0"/>
                  </w:tcBorders>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c>
                <w:tcPr>
                  <w:tcW w:w="1863" w:type="dxa"/>
                  <w:gridSpan w:val="2"/>
                  <w:tcBorders>
                    <w:left w:val="single" w:color="auto" w:sz="4" w:space="0"/>
                  </w:tcBorders>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6" w:type="dxa"/>
                  <w:gridSpan w:val="2"/>
                  <w:vMerge w:val="continue"/>
                  <w:noWrap w:val="0"/>
                  <w:vAlign w:val="center"/>
                </w:tcPr>
                <w:p>
                  <w:pPr>
                    <w:pStyle w:val="97"/>
                    <w:adjustRightInd/>
                    <w:jc w:val="center"/>
                    <w:rPr>
                      <w:rFonts w:hint="default" w:ascii="Times New Roman" w:hAnsi="Times New Roman" w:cs="Times New Roman"/>
                      <w:color w:val="auto"/>
                      <w:sz w:val="21"/>
                    </w:rPr>
                  </w:pPr>
                </w:p>
              </w:tc>
              <w:tc>
                <w:tcPr>
                  <w:tcW w:w="1659" w:type="dxa"/>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信息公开指标</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防控措施和跟踪监测计划全部内容</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65" w:type="dxa"/>
                  <w:gridSpan w:val="3"/>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评价结论</w:t>
                  </w:r>
                </w:p>
              </w:tc>
              <w:tc>
                <w:tcPr>
                  <w:tcW w:w="4973" w:type="dxa"/>
                  <w:gridSpan w:val="6"/>
                  <w:noWrap w:val="0"/>
                  <w:vAlign w:val="center"/>
                </w:tcPr>
                <w:p>
                  <w:pPr>
                    <w:pStyle w:val="97"/>
                    <w:adjustRightInd/>
                    <w:jc w:val="center"/>
                    <w:rPr>
                      <w:rFonts w:hint="default" w:ascii="Times New Roman" w:hAnsi="Times New Roman" w:cs="Times New Roman"/>
                      <w:color w:val="auto"/>
                      <w:sz w:val="21"/>
                    </w:rPr>
                  </w:pPr>
                  <w:r>
                    <w:rPr>
                      <w:rFonts w:hint="default" w:ascii="Times New Roman" w:hAnsi="Times New Roman" w:cs="Times New Roman"/>
                      <w:color w:val="auto"/>
                      <w:sz w:val="21"/>
                    </w:rPr>
                    <w:t>土壤影响可以接受</w:t>
                  </w:r>
                </w:p>
              </w:tc>
              <w:tc>
                <w:tcPr>
                  <w:tcW w:w="984" w:type="dxa"/>
                  <w:noWrap w:val="0"/>
                  <w:vAlign w:val="center"/>
                </w:tcPr>
                <w:p>
                  <w:pPr>
                    <w:pStyle w:val="97"/>
                    <w:adjustRightInd/>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822" w:type="dxa"/>
                  <w:gridSpan w:val="10"/>
                  <w:noWrap w:val="0"/>
                  <w:vAlign w:val="center"/>
                </w:tcPr>
                <w:p>
                  <w:pPr>
                    <w:pStyle w:val="97"/>
                    <w:adjustRightInd/>
                    <w:rPr>
                      <w:rFonts w:hint="default" w:ascii="Times New Roman" w:hAnsi="Times New Roman" w:cs="Times New Roman"/>
                      <w:color w:val="auto"/>
                      <w:sz w:val="21"/>
                    </w:rPr>
                  </w:pPr>
                  <w:r>
                    <w:rPr>
                      <w:rFonts w:hint="default" w:ascii="Times New Roman" w:hAnsi="Times New Roman" w:cs="Times New Roman"/>
                      <w:color w:val="auto"/>
                      <w:sz w:val="21"/>
                    </w:rPr>
                    <w:t>注：本项目为</w:t>
                  </w:r>
                  <w:r>
                    <w:rPr>
                      <w:rFonts w:hint="default" w:ascii="Times New Roman" w:hAnsi="Times New Roman" w:cs="Times New Roman"/>
                      <w:color w:val="auto"/>
                      <w:sz w:val="21"/>
                      <w:lang w:eastAsia="zh-CN"/>
                    </w:rPr>
                    <w:t>三</w:t>
                  </w:r>
                  <w:r>
                    <w:rPr>
                      <w:rFonts w:hint="default" w:ascii="Times New Roman" w:hAnsi="Times New Roman" w:cs="Times New Roman"/>
                      <w:color w:val="auto"/>
                      <w:sz w:val="21"/>
                    </w:rPr>
                    <w:t>级评价，未勾选和填写项为不涉及内容</w:t>
                  </w:r>
                </w:p>
              </w:tc>
            </w:tr>
          </w:tbl>
          <w:p>
            <w:pPr>
              <w:pStyle w:val="8"/>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6、环境风险评价</w:t>
            </w:r>
          </w:p>
          <w:p>
            <w:pPr>
              <w:pStyle w:val="8"/>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w:t>
            </w:r>
            <w:r>
              <w:rPr>
                <w:rFonts w:hint="default" w:ascii="Times New Roman" w:hAnsi="Times New Roman" w:cs="Times New Roman"/>
                <w:bCs/>
                <w:color w:val="auto"/>
                <w:lang w:val="en-US" w:eastAsia="zh-CN"/>
              </w:rPr>
              <w:t>1</w:t>
            </w:r>
            <w:r>
              <w:rPr>
                <w:rFonts w:hint="default" w:ascii="Times New Roman" w:hAnsi="Times New Roman" w:cs="Times New Roman"/>
                <w:bCs/>
                <w:color w:val="auto"/>
                <w:lang w:eastAsia="zh-CN"/>
              </w:rPr>
              <w:t>）风险评价目的</w:t>
            </w:r>
          </w:p>
          <w:p>
            <w:pPr>
              <w:pStyle w:val="8"/>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环境风险评价的目的是分析和预测建设项目存在的潜在危险、有害因素，建设项目施工和运行期间可能发生的突发性事件或事故（一般不包括人为破坏及自然灾害），引起有毒有害和易燃易爆等物质泄漏，所造成的人身安全与环境影响和损害程度，提出合理可行的防范、应急与减缓措施，使建设项目事故率、损失和环境影响达到可接受水平。</w:t>
            </w:r>
          </w:p>
          <w:p>
            <w:pPr>
              <w:pStyle w:val="8"/>
              <w:ind w:firstLine="48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w:t>
            </w:r>
            <w:r>
              <w:rPr>
                <w:rFonts w:hint="default" w:ascii="Times New Roman" w:hAnsi="Times New Roman" w:cs="Times New Roman"/>
                <w:bCs/>
                <w:color w:val="auto"/>
                <w:lang w:val="en-US" w:eastAsia="zh-CN"/>
              </w:rPr>
              <w:t>2</w:t>
            </w:r>
            <w:r>
              <w:rPr>
                <w:rFonts w:hint="default" w:ascii="Times New Roman" w:hAnsi="Times New Roman" w:cs="Times New Roman"/>
                <w:bCs/>
                <w:color w:val="auto"/>
                <w:lang w:eastAsia="zh-CN"/>
              </w:rPr>
              <w:t>）评价依据</w:t>
            </w:r>
          </w:p>
          <w:p>
            <w:pPr>
              <w:pStyle w:val="8"/>
              <w:ind w:firstLine="480"/>
              <w:rPr>
                <w:rFonts w:hint="default" w:ascii="Times New Roman" w:hAnsi="Times New Roman" w:eastAsia="宋体" w:cs="Times New Roman"/>
                <w:bCs/>
                <w:color w:val="auto"/>
                <w:lang w:eastAsia="zh-CN"/>
              </w:rPr>
            </w:pPr>
            <w:r>
              <w:rPr>
                <w:rFonts w:hint="default" w:ascii="Times New Roman" w:hAnsi="Times New Roman" w:eastAsia="宋体" w:cs="Times New Roman"/>
                <w:bCs/>
                <w:color w:val="auto"/>
                <w:lang w:eastAsia="zh-CN"/>
              </w:rPr>
              <w:t>①</w:t>
            </w:r>
            <w:r>
              <w:rPr>
                <w:rFonts w:hint="default" w:ascii="Times New Roman" w:hAnsi="Times New Roman" w:cs="Times New Roman"/>
                <w:bCs/>
                <w:color w:val="auto"/>
                <w:lang w:eastAsia="zh-CN"/>
              </w:rPr>
              <w:t>风险调查</w:t>
            </w:r>
          </w:p>
          <w:p>
            <w:pPr>
              <w:pStyle w:val="8"/>
              <w:ind w:firstLine="480"/>
              <w:rPr>
                <w:rFonts w:hint="default" w:ascii="Times New Roman" w:hAnsi="Times New Roman" w:eastAsia="宋体" w:cs="Times New Roman"/>
                <w:bCs/>
                <w:color w:val="auto"/>
                <w:lang w:val="en-US" w:eastAsia="zh-CN"/>
              </w:rPr>
            </w:pPr>
            <w:r>
              <w:rPr>
                <w:rFonts w:hint="default" w:ascii="Times New Roman" w:hAnsi="Times New Roman" w:cs="Times New Roman"/>
                <w:bCs/>
                <w:color w:val="auto"/>
                <w:lang w:eastAsia="zh-CN"/>
              </w:rPr>
              <w:t>根据《建设项目环境风险评价技术导则》（</w:t>
            </w:r>
            <w:r>
              <w:rPr>
                <w:rFonts w:hint="default" w:ascii="Times New Roman" w:hAnsi="Times New Roman" w:cs="Times New Roman"/>
                <w:bCs/>
                <w:color w:val="auto"/>
                <w:lang w:val="en-US" w:eastAsia="zh-CN"/>
              </w:rPr>
              <w:t>HJ169-2018</w:t>
            </w:r>
            <w:r>
              <w:rPr>
                <w:rFonts w:hint="default" w:ascii="Times New Roman" w:hAnsi="Times New Roman" w:cs="Times New Roman"/>
                <w:bCs/>
                <w:color w:val="auto"/>
                <w:lang w:eastAsia="zh-CN"/>
              </w:rPr>
              <w:t>）附录</w:t>
            </w:r>
            <w:r>
              <w:rPr>
                <w:rFonts w:hint="default" w:ascii="Times New Roman" w:hAnsi="Times New Roman" w:cs="Times New Roman"/>
                <w:bCs/>
                <w:color w:val="auto"/>
                <w:lang w:val="en-US" w:eastAsia="zh-CN"/>
              </w:rPr>
              <w:t>B可知，本项目设计的危险物质为甲醇。</w:t>
            </w:r>
            <w:r>
              <w:rPr>
                <w:rFonts w:hint="default" w:ascii="Times New Roman" w:hAnsi="Times New Roman" w:cs="Times New Roman"/>
                <w:color w:val="auto"/>
                <w:sz w:val="24"/>
              </w:rPr>
              <w:t>本项目生产所用原辅材料均不属于重大危险源辨识物质，但食堂使用甲醇作为燃料，设有1个</w:t>
            </w:r>
            <w:r>
              <w:rPr>
                <w:rFonts w:hint="default" w:ascii="Times New Roman" w:hAnsi="Times New Roman" w:cs="Times New Roman"/>
                <w:color w:val="auto"/>
                <w:sz w:val="24"/>
                <w:lang w:val="en-US" w:eastAsia="zh-CN"/>
              </w:rPr>
              <w:t>1000</w:t>
            </w:r>
            <w:r>
              <w:rPr>
                <w:rFonts w:hint="default" w:ascii="Times New Roman" w:hAnsi="Times New Roman" w:cs="Times New Roman"/>
                <w:color w:val="auto"/>
                <w:sz w:val="24"/>
              </w:rPr>
              <w:t>L的甲醇储罐</w:t>
            </w:r>
            <w:r>
              <w:rPr>
                <w:rFonts w:hint="default" w:ascii="Times New Roman" w:hAnsi="Times New Roman" w:cs="Times New Roman"/>
                <w:color w:val="auto"/>
                <w:spacing w:val="2"/>
                <w:sz w:val="24"/>
              </w:rPr>
              <w:t>，</w:t>
            </w:r>
            <w:r>
              <w:rPr>
                <w:rFonts w:hint="default" w:ascii="Times New Roman" w:hAnsi="Times New Roman" w:cs="Times New Roman"/>
                <w:color w:val="auto"/>
                <w:spacing w:val="2"/>
                <w:sz w:val="24"/>
                <w:lang w:eastAsia="zh-CN"/>
              </w:rPr>
              <w:t>每次装</w:t>
            </w:r>
            <w:r>
              <w:rPr>
                <w:rFonts w:hint="default" w:ascii="Times New Roman" w:hAnsi="Times New Roman" w:cs="Times New Roman"/>
                <w:color w:val="auto"/>
                <w:spacing w:val="2"/>
                <w:sz w:val="24"/>
                <w:lang w:val="en-US" w:eastAsia="zh-CN"/>
              </w:rPr>
              <w:t>800L，甲醇的密度为0.7918g/cm</w:t>
            </w:r>
            <w:r>
              <w:rPr>
                <w:rFonts w:hint="default" w:ascii="Times New Roman" w:hAnsi="Times New Roman" w:cs="Times New Roman"/>
                <w:color w:val="auto"/>
                <w:spacing w:val="2"/>
                <w:sz w:val="24"/>
                <w:vertAlign w:val="superscript"/>
                <w:lang w:val="en-US" w:eastAsia="zh-CN"/>
              </w:rPr>
              <w:t>3</w:t>
            </w:r>
            <w:r>
              <w:rPr>
                <w:rFonts w:hint="default" w:ascii="Times New Roman" w:hAnsi="Times New Roman" w:cs="Times New Roman"/>
                <w:color w:val="auto"/>
                <w:spacing w:val="2"/>
                <w:sz w:val="24"/>
                <w:lang w:val="en-US" w:eastAsia="zh-CN"/>
              </w:rPr>
              <w:t>，最大储存量为0.63t，</w:t>
            </w:r>
            <w:r>
              <w:rPr>
                <w:rFonts w:hint="default" w:ascii="Times New Roman" w:hAnsi="Times New Roman" w:cs="Times New Roman"/>
                <w:color w:val="auto"/>
                <w:spacing w:val="2"/>
                <w:sz w:val="24"/>
              </w:rPr>
              <w:t>每</w:t>
            </w:r>
            <w:r>
              <w:rPr>
                <w:rFonts w:hint="default" w:ascii="Times New Roman" w:hAnsi="Times New Roman" w:cs="Times New Roman"/>
                <w:color w:val="auto"/>
                <w:spacing w:val="2"/>
                <w:sz w:val="24"/>
                <w:lang w:eastAsia="zh-CN"/>
              </w:rPr>
              <w:t>两</w:t>
            </w:r>
            <w:r>
              <w:rPr>
                <w:rFonts w:hint="default" w:ascii="Times New Roman" w:hAnsi="Times New Roman" w:cs="Times New Roman"/>
                <w:color w:val="auto"/>
                <w:spacing w:val="2"/>
                <w:sz w:val="24"/>
              </w:rPr>
              <w:t>个</w:t>
            </w:r>
            <w:r>
              <w:rPr>
                <w:rFonts w:hint="default" w:ascii="Times New Roman" w:hAnsi="Times New Roman" w:cs="Times New Roman"/>
                <w:color w:val="auto"/>
                <w:spacing w:val="2"/>
                <w:sz w:val="24"/>
                <w:lang w:eastAsia="zh-CN"/>
              </w:rPr>
              <w:t>半</w:t>
            </w:r>
            <w:r>
              <w:rPr>
                <w:rFonts w:hint="default" w:ascii="Times New Roman" w:hAnsi="Times New Roman" w:cs="Times New Roman"/>
                <w:color w:val="auto"/>
                <w:spacing w:val="2"/>
                <w:sz w:val="24"/>
              </w:rPr>
              <w:t>月更换一次。</w:t>
            </w:r>
          </w:p>
          <w:p>
            <w:pPr>
              <w:pStyle w:val="8"/>
              <w:ind w:firstLine="480"/>
              <w:rPr>
                <w:rFonts w:hint="default" w:ascii="Times New Roman" w:hAnsi="Times New Roman" w:eastAsia="宋体" w:cs="Times New Roman"/>
                <w:bCs/>
                <w:color w:val="auto"/>
                <w:lang w:eastAsia="zh-CN"/>
              </w:rPr>
            </w:pPr>
            <w:r>
              <w:rPr>
                <w:rFonts w:hint="default" w:ascii="Times New Roman" w:hAnsi="Times New Roman" w:eastAsia="宋体" w:cs="Times New Roman"/>
                <w:bCs/>
                <w:color w:val="auto"/>
                <w:lang w:eastAsia="zh-CN"/>
              </w:rPr>
              <w:t>②</w:t>
            </w:r>
            <w:r>
              <w:rPr>
                <w:rFonts w:hint="default" w:ascii="Times New Roman" w:hAnsi="Times New Roman" w:cs="Times New Roman"/>
                <w:bCs/>
                <w:color w:val="auto"/>
                <w:lang w:eastAsia="zh-CN"/>
              </w:rPr>
              <w:t>风险潜势初判</w:t>
            </w:r>
          </w:p>
          <w:p>
            <w:pPr>
              <w:pStyle w:val="8"/>
              <w:ind w:firstLine="480"/>
              <w:rPr>
                <w:rFonts w:hint="default" w:ascii="Times New Roman" w:hAnsi="Times New Roman" w:eastAsia="宋体" w:cs="Times New Roman"/>
                <w:bCs/>
                <w:color w:val="auto"/>
                <w:lang w:eastAsia="zh-CN"/>
              </w:rPr>
            </w:pPr>
            <w:r>
              <w:rPr>
                <w:rFonts w:hint="default" w:ascii="Times New Roman" w:hAnsi="Times New Roman" w:cs="Times New Roman"/>
                <w:bCs/>
                <w:color w:val="auto"/>
                <w:lang w:eastAsia="zh-CN"/>
              </w:rPr>
              <w:t>危险物质数量与临界量比值（</w:t>
            </w:r>
            <w:r>
              <w:rPr>
                <w:rFonts w:hint="default" w:ascii="Times New Roman" w:hAnsi="Times New Roman" w:cs="Times New Roman"/>
                <w:bCs/>
                <w:color w:val="auto"/>
                <w:lang w:val="en-US" w:eastAsia="zh-CN"/>
              </w:rPr>
              <w:t>Q</w:t>
            </w:r>
            <w:r>
              <w:rPr>
                <w:rFonts w:hint="default" w:ascii="Times New Roman" w:hAnsi="Times New Roman" w:cs="Times New Roman"/>
                <w:bCs/>
                <w:color w:val="auto"/>
                <w:lang w:eastAsia="zh-CN"/>
              </w:rPr>
              <w:t>）</w:t>
            </w:r>
          </w:p>
          <w:p>
            <w:pPr>
              <w:pStyle w:val="8"/>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eastAsia="zh-CN"/>
              </w:rPr>
              <w:t>计算所涉及的每种危险物质在厂界内的最大存在总量与其在附录</w:t>
            </w:r>
            <w:r>
              <w:rPr>
                <w:rFonts w:hint="default" w:ascii="Times New Roman" w:hAnsi="Times New Roman" w:cs="Times New Roman"/>
                <w:bCs/>
                <w:color w:val="auto"/>
                <w:lang w:val="en-US" w:eastAsia="zh-CN"/>
              </w:rPr>
              <w:t>B中对应临界量的比值Q。在不同厂区的同一种物质，按其在厂界内的最大存在总量计算。对于长输管线项目，按照两个截断阀室之间管段危险物质最大存在总量计算。</w:t>
            </w:r>
          </w:p>
          <w:p>
            <w:pPr>
              <w:pStyle w:val="8"/>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当只涉及一种危险物质时，计算该物质的总量与其临界量比值，即为Q；</w:t>
            </w:r>
          </w:p>
          <w:p>
            <w:pPr>
              <w:pStyle w:val="8"/>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当存在多种危险物质时，计算该物质总量与其临界量比值（Q）：</w:t>
            </w:r>
          </w:p>
          <w:p>
            <w:pPr>
              <w:pStyle w:val="8"/>
              <w:ind w:left="0" w:leftChars="0" w:firstLine="0" w:firstLineChars="0"/>
              <w:rPr>
                <w:rFonts w:hint="default" w:ascii="Times New Roman" w:hAnsi="Times New Roman" w:cs="Times New Roman"/>
                <w:bCs/>
                <w:color w:val="auto"/>
              </w:rPr>
            </w:pPr>
            <w:r>
              <w:rPr>
                <w:rFonts w:hint="default" w:ascii="Times New Roman" w:hAnsi="Times New Roman" w:cs="Times New Roman"/>
                <w:color w:val="auto"/>
              </w:rPr>
              <w:drawing>
                <wp:inline distT="0" distB="0" distL="114300" distR="114300">
                  <wp:extent cx="5617845" cy="2010410"/>
                  <wp:effectExtent l="0" t="0" r="8255" b="8890"/>
                  <wp:docPr id="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pic:cNvPicPr>
                            <a:picLocks noChangeAspect="1"/>
                          </pic:cNvPicPr>
                        </pic:nvPicPr>
                        <pic:blipFill>
                          <a:blip r:embed="rId21"/>
                          <a:stretch>
                            <a:fillRect/>
                          </a:stretch>
                        </pic:blipFill>
                        <pic:spPr>
                          <a:xfrm>
                            <a:off x="0" y="0"/>
                            <a:ext cx="5617845" cy="2010410"/>
                          </a:xfrm>
                          <a:prstGeom prst="rect">
                            <a:avLst/>
                          </a:prstGeom>
                          <a:noFill/>
                          <a:ln>
                            <a:noFill/>
                          </a:ln>
                        </pic:spPr>
                      </pic:pic>
                    </a:graphicData>
                  </a:graphic>
                </wp:inline>
              </w:drawing>
            </w:r>
          </w:p>
          <w:p>
            <w:pPr>
              <w:pStyle w:val="8"/>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本项目危险物质最大储存量与其临界量比值情况见表7-15。</w:t>
            </w:r>
          </w:p>
          <w:p>
            <w:pPr>
              <w:pStyle w:val="8"/>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cs="Times New Roman"/>
                <w:b/>
                <w:bCs w:val="0"/>
                <w:color w:val="auto"/>
                <w:sz w:val="21"/>
                <w:szCs w:val="20"/>
                <w:lang w:val="en-US" w:eastAsia="zh-CN"/>
              </w:rPr>
            </w:pPr>
            <w:r>
              <w:rPr>
                <w:rFonts w:hint="default" w:ascii="Times New Roman" w:hAnsi="Times New Roman" w:cs="Times New Roman"/>
                <w:b/>
                <w:bCs w:val="0"/>
                <w:color w:val="auto"/>
                <w:sz w:val="21"/>
                <w:szCs w:val="20"/>
                <w:lang w:val="en-US" w:eastAsia="zh-CN"/>
              </w:rPr>
              <w:t>表7-15   危险物质总量与其临界量</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8"/>
              <w:gridCol w:w="2208"/>
              <w:gridCol w:w="2208"/>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8"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物质</w:t>
                  </w:r>
                </w:p>
              </w:tc>
              <w:tc>
                <w:tcPr>
                  <w:tcW w:w="2208"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最大储存量（t）</w:t>
                  </w:r>
                </w:p>
              </w:tc>
              <w:tc>
                <w:tcPr>
                  <w:tcW w:w="2208"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临界量（t）</w:t>
                  </w:r>
                </w:p>
              </w:tc>
              <w:tc>
                <w:tcPr>
                  <w:tcW w:w="2208"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08"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甲醇</w:t>
                  </w:r>
                </w:p>
              </w:tc>
              <w:tc>
                <w:tcPr>
                  <w:tcW w:w="2208"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0.63</w:t>
                  </w:r>
                </w:p>
              </w:tc>
              <w:tc>
                <w:tcPr>
                  <w:tcW w:w="2208"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10</w:t>
                  </w:r>
                </w:p>
              </w:tc>
              <w:tc>
                <w:tcPr>
                  <w:tcW w:w="2208"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0.063</w:t>
                  </w:r>
                </w:p>
              </w:tc>
            </w:tr>
          </w:tbl>
          <w:p>
            <w:pPr>
              <w:pStyle w:val="8"/>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 xml:space="preserve"> 由上表可以看出，本项目Q=0.063＜1，则该项目环境风险潜势为</w:t>
            </w:r>
            <w:r>
              <w:rPr>
                <w:rFonts w:hint="default" w:ascii="Times New Roman" w:hAnsi="Times New Roman" w:cs="Times New Roman"/>
                <w:bCs/>
                <w:color w:val="auto"/>
                <w:lang w:eastAsia="zh-CN"/>
              </w:rPr>
              <w:t>Ⅰ。</w:t>
            </w:r>
          </w:p>
          <w:p>
            <w:pPr>
              <w:pStyle w:val="8"/>
              <w:ind w:firstLine="480"/>
              <w:rPr>
                <w:rFonts w:hint="default" w:ascii="Times New Roman" w:hAnsi="Times New Roman" w:eastAsia="宋体" w:cs="Times New Roman"/>
                <w:bCs/>
                <w:color w:val="auto"/>
                <w:lang w:eastAsia="zh-CN"/>
              </w:rPr>
            </w:pPr>
            <w:r>
              <w:rPr>
                <w:rFonts w:hint="default" w:ascii="Times New Roman" w:hAnsi="Times New Roman" w:eastAsia="宋体" w:cs="Times New Roman"/>
                <w:bCs/>
                <w:color w:val="auto"/>
                <w:lang w:eastAsia="zh-CN"/>
              </w:rPr>
              <w:t>③</w:t>
            </w:r>
            <w:r>
              <w:rPr>
                <w:rFonts w:hint="default" w:ascii="Times New Roman" w:hAnsi="Times New Roman" w:cs="Times New Roman"/>
                <w:bCs/>
                <w:color w:val="auto"/>
                <w:lang w:eastAsia="zh-CN"/>
              </w:rPr>
              <w:t>评价等级</w:t>
            </w:r>
          </w:p>
          <w:p>
            <w:pPr>
              <w:pStyle w:val="8"/>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eastAsia="zh-CN"/>
              </w:rPr>
              <w:t>根据《建设项目环境风险评价技术导则》（</w:t>
            </w:r>
            <w:r>
              <w:rPr>
                <w:rFonts w:hint="default" w:ascii="Times New Roman" w:hAnsi="Times New Roman" w:cs="Times New Roman"/>
                <w:bCs/>
                <w:color w:val="auto"/>
                <w:lang w:val="en-US" w:eastAsia="zh-CN"/>
              </w:rPr>
              <w:t>HJ169-2018</w:t>
            </w:r>
            <w:r>
              <w:rPr>
                <w:rFonts w:hint="default" w:ascii="Times New Roman" w:hAnsi="Times New Roman" w:cs="Times New Roman"/>
                <w:bCs/>
                <w:color w:val="auto"/>
                <w:lang w:eastAsia="zh-CN"/>
              </w:rPr>
              <w:t>），环境风险评价工作等级划分为一级、二级、三级。根据建设项目涉及的物质及工艺系统危险性和所在地的环境敏感性确定环境风险潜势，按照表</w:t>
            </w:r>
            <w:r>
              <w:rPr>
                <w:rFonts w:hint="default" w:ascii="Times New Roman" w:hAnsi="Times New Roman" w:cs="Times New Roman"/>
                <w:bCs/>
                <w:color w:val="auto"/>
                <w:lang w:val="en-US" w:eastAsia="zh-CN"/>
              </w:rPr>
              <w:t>1确定评价工作等级。风险潜势为Ⅳ及以上，进行一级评价；风险潜势为Ⅲ，进行二级评价；风险潜势为Ⅱ，进行三级评价；风险潜势为Ⅰ，可开展简单分析。评价工作等级划分见表7-16。</w:t>
            </w:r>
          </w:p>
          <w:p>
            <w:pPr>
              <w:pStyle w:val="9"/>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 xml:space="preserve">表7- </w:t>
            </w:r>
            <w:r>
              <w:rPr>
                <w:rFonts w:hint="default" w:ascii="Times New Roman" w:hAnsi="Times New Roman" w:eastAsia="宋体" w:cs="Times New Roman"/>
                <w:b/>
                <w:bCs/>
                <w:color w:val="auto"/>
                <w:sz w:val="21"/>
                <w:szCs w:val="21"/>
                <w:lang w:val="en-US" w:eastAsia="zh-CN"/>
              </w:rPr>
              <w:t>16  评价工作等级划分</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1764"/>
              <w:gridCol w:w="1765"/>
              <w:gridCol w:w="1764"/>
              <w:gridCol w:w="1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4"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环境风险潜势</w:t>
                  </w:r>
                </w:p>
              </w:tc>
              <w:tc>
                <w:tcPr>
                  <w:tcW w:w="1764"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lang w:val="en-US" w:eastAsia="zh-CN"/>
                    </w:rPr>
                    <w:t>Ⅳ、Ⅳ</w:t>
                  </w:r>
                  <w:r>
                    <w:rPr>
                      <w:rFonts w:hint="default" w:ascii="Times New Roman" w:hAnsi="Times New Roman" w:cs="Times New Roman"/>
                      <w:bCs/>
                      <w:color w:val="auto"/>
                      <w:sz w:val="21"/>
                      <w:szCs w:val="21"/>
                      <w:vertAlign w:val="superscript"/>
                      <w:lang w:val="en-US" w:eastAsia="zh-CN"/>
                    </w:rPr>
                    <w:t>+</w:t>
                  </w:r>
                </w:p>
              </w:tc>
              <w:tc>
                <w:tcPr>
                  <w:tcW w:w="1765"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lang w:val="en-US" w:eastAsia="zh-CN"/>
                    </w:rPr>
                    <w:t>Ⅲ</w:t>
                  </w:r>
                </w:p>
              </w:tc>
              <w:tc>
                <w:tcPr>
                  <w:tcW w:w="1764"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lang w:val="en-US" w:eastAsia="zh-CN"/>
                    </w:rPr>
                    <w:t>Ⅱ</w:t>
                  </w:r>
                </w:p>
              </w:tc>
              <w:tc>
                <w:tcPr>
                  <w:tcW w:w="1765"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4"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评价工作等级</w:t>
                  </w:r>
                </w:p>
              </w:tc>
              <w:tc>
                <w:tcPr>
                  <w:tcW w:w="1764"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一</w:t>
                  </w:r>
                </w:p>
              </w:tc>
              <w:tc>
                <w:tcPr>
                  <w:tcW w:w="1765"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二</w:t>
                  </w:r>
                </w:p>
              </w:tc>
              <w:tc>
                <w:tcPr>
                  <w:tcW w:w="1764"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三</w:t>
                  </w:r>
                </w:p>
              </w:tc>
              <w:tc>
                <w:tcPr>
                  <w:tcW w:w="1765"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简单分析</w:t>
                  </w:r>
                  <w:r>
                    <w:rPr>
                      <w:rFonts w:hint="default" w:ascii="Times New Roman" w:hAnsi="Times New Roman" w:cs="Times New Roman"/>
                      <w:bCs/>
                      <w:color w:val="auto"/>
                      <w:sz w:val="21"/>
                      <w:szCs w:val="21"/>
                      <w:vertAlign w:val="superscript"/>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22" w:type="dxa"/>
                  <w:gridSpan w:val="5"/>
                  <w:noWrap w:val="0"/>
                  <w:vAlign w:val="top"/>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A是相对于详细评价工作内容而言，在描述危险物质、环境影响途径、环境危害后果、风险防范措施等方面给出定性的说明。见附录A。</w:t>
                  </w:r>
                </w:p>
              </w:tc>
            </w:tr>
          </w:tbl>
          <w:p>
            <w:pPr>
              <w:pStyle w:val="8"/>
              <w:ind w:firstLine="480"/>
              <w:rPr>
                <w:rFonts w:hint="default" w:ascii="Times New Roman" w:hAnsi="Times New Roman" w:eastAsia="宋体" w:cs="Times New Roman"/>
                <w:bCs/>
                <w:color w:val="auto"/>
                <w:lang w:val="en-US" w:eastAsia="zh-CN"/>
              </w:rPr>
            </w:pPr>
            <w:r>
              <w:rPr>
                <w:rFonts w:hint="default" w:ascii="Times New Roman" w:hAnsi="Times New Roman" w:cs="Times New Roman"/>
                <w:bCs/>
                <w:color w:val="auto"/>
                <w:lang w:eastAsia="zh-CN"/>
              </w:rPr>
              <w:t>本项目环境风险潜势为</w:t>
            </w:r>
            <w:r>
              <w:rPr>
                <w:rFonts w:hint="default" w:ascii="Times New Roman" w:hAnsi="Times New Roman" w:cs="Times New Roman"/>
                <w:bCs/>
                <w:color w:val="auto"/>
                <w:lang w:val="en-US" w:eastAsia="zh-CN"/>
              </w:rPr>
              <w:t>Ⅰ，根据表7-14判断，本项目环境风险评价等级为</w:t>
            </w:r>
            <w:r>
              <w:rPr>
                <w:rFonts w:hint="default" w:ascii="Times New Roman" w:hAnsi="Times New Roman" w:eastAsia="宋体" w:cs="Times New Roman"/>
                <w:bCs/>
                <w:color w:val="auto"/>
                <w:lang w:val="en-US" w:eastAsia="zh-CN"/>
              </w:rPr>
              <w:t>“简单分析”。</w:t>
            </w:r>
          </w:p>
          <w:p>
            <w:pPr>
              <w:pStyle w:val="8"/>
              <w:ind w:firstLine="480"/>
              <w:rPr>
                <w:rFonts w:hint="default" w:ascii="Times New Roman" w:hAnsi="Times New Roman" w:eastAsia="宋体" w:cs="Times New Roman"/>
                <w:bCs/>
                <w:color w:val="auto"/>
                <w:lang w:eastAsia="zh-CN"/>
              </w:rPr>
            </w:pPr>
            <w:r>
              <w:rPr>
                <w:rFonts w:hint="default" w:ascii="Times New Roman" w:hAnsi="Times New Roman" w:cs="Times New Roman"/>
                <w:bCs/>
                <w:color w:val="auto"/>
                <w:lang w:eastAsia="zh-CN"/>
              </w:rPr>
              <w:t>（</w:t>
            </w:r>
            <w:r>
              <w:rPr>
                <w:rFonts w:hint="default" w:ascii="Times New Roman" w:hAnsi="Times New Roman" w:cs="Times New Roman"/>
                <w:bCs/>
                <w:color w:val="auto"/>
                <w:lang w:val="en-US" w:eastAsia="zh-CN"/>
              </w:rPr>
              <w:t>3</w:t>
            </w:r>
            <w:r>
              <w:rPr>
                <w:rFonts w:hint="default" w:ascii="Times New Roman" w:hAnsi="Times New Roman" w:cs="Times New Roman"/>
                <w:bCs/>
                <w:color w:val="auto"/>
                <w:lang w:eastAsia="zh-CN"/>
              </w:rPr>
              <w:t>）环境敏感目标概况</w:t>
            </w:r>
          </w:p>
          <w:p>
            <w:pPr>
              <w:pStyle w:val="8"/>
              <w:ind w:firstLine="480"/>
              <w:rPr>
                <w:rFonts w:hint="default" w:ascii="Times New Roman" w:hAnsi="Times New Roman" w:eastAsia="宋体" w:cs="Times New Roman"/>
                <w:bCs/>
                <w:color w:val="auto"/>
                <w:lang w:val="en-US" w:eastAsia="zh-CN"/>
              </w:rPr>
            </w:pPr>
            <w:r>
              <w:rPr>
                <w:rFonts w:hint="default" w:ascii="Times New Roman" w:hAnsi="Times New Roman" w:cs="Times New Roman"/>
                <w:bCs/>
                <w:color w:val="auto"/>
                <w:lang w:eastAsia="zh-CN"/>
              </w:rPr>
              <w:t>根据现场勘察，距离本项目最近的敏感点为位于项目南侧的赵庄村，与项目厂界的距离约为</w:t>
            </w:r>
            <w:r>
              <w:rPr>
                <w:rFonts w:hint="default" w:ascii="Times New Roman" w:hAnsi="Times New Roman" w:cs="Times New Roman"/>
                <w:bCs/>
                <w:color w:val="auto"/>
                <w:lang w:val="en-US" w:eastAsia="zh-CN"/>
              </w:rPr>
              <w:t>15m，约100户300人。</w:t>
            </w:r>
          </w:p>
          <w:p>
            <w:pPr>
              <w:pStyle w:val="8"/>
              <w:ind w:firstLine="480"/>
              <w:rPr>
                <w:rFonts w:hint="default" w:ascii="Times New Roman" w:hAnsi="Times New Roman" w:eastAsia="宋体" w:cs="Times New Roman"/>
                <w:bCs/>
                <w:color w:val="auto"/>
                <w:lang w:eastAsia="zh-CN"/>
              </w:rPr>
            </w:pPr>
            <w:r>
              <w:rPr>
                <w:rFonts w:hint="default" w:ascii="Times New Roman" w:hAnsi="Times New Roman" w:cs="Times New Roman"/>
                <w:bCs/>
                <w:color w:val="auto"/>
                <w:lang w:eastAsia="zh-CN"/>
              </w:rPr>
              <w:t>（</w:t>
            </w:r>
            <w:r>
              <w:rPr>
                <w:rFonts w:hint="default" w:ascii="Times New Roman" w:hAnsi="Times New Roman" w:cs="Times New Roman"/>
                <w:bCs/>
                <w:color w:val="auto"/>
                <w:lang w:val="en-US" w:eastAsia="zh-CN"/>
              </w:rPr>
              <w:t>4</w:t>
            </w:r>
            <w:r>
              <w:rPr>
                <w:rFonts w:hint="default" w:ascii="Times New Roman" w:hAnsi="Times New Roman" w:cs="Times New Roman"/>
                <w:bCs/>
                <w:color w:val="auto"/>
                <w:lang w:eastAsia="zh-CN"/>
              </w:rPr>
              <w:t>）环境风险识别</w:t>
            </w:r>
          </w:p>
          <w:p>
            <w:pPr>
              <w:pStyle w:val="8"/>
              <w:ind w:firstLine="480"/>
              <w:rPr>
                <w:rFonts w:hint="default" w:ascii="Times New Roman" w:hAnsi="Times New Roman" w:eastAsia="宋体" w:cs="Times New Roman"/>
                <w:bCs/>
                <w:color w:val="auto"/>
                <w:lang w:eastAsia="zh-CN"/>
              </w:rPr>
            </w:pPr>
            <w:r>
              <w:rPr>
                <w:rFonts w:hint="default" w:ascii="Times New Roman" w:hAnsi="Times New Roman" w:cs="Times New Roman"/>
                <w:bCs/>
                <w:color w:val="auto"/>
                <w:lang w:eastAsia="zh-CN"/>
              </w:rPr>
              <w:t>根据有毒有害物质放散起因，分为火灾、爆炸和泄漏三种类型。</w:t>
            </w:r>
          </w:p>
          <w:p>
            <w:pPr>
              <w:pStyle w:val="8"/>
              <w:ind w:firstLine="480"/>
              <w:rPr>
                <w:rFonts w:hint="default" w:ascii="Times New Roman" w:hAnsi="Times New Roman" w:eastAsia="宋体" w:cs="Times New Roman"/>
                <w:bCs/>
                <w:color w:val="auto"/>
                <w:lang w:eastAsia="zh-CN"/>
              </w:rPr>
            </w:pPr>
            <w:r>
              <w:rPr>
                <w:rFonts w:hint="default" w:ascii="Times New Roman" w:hAnsi="Times New Roman" w:cs="Times New Roman"/>
                <w:bCs/>
                <w:color w:val="auto"/>
                <w:lang w:eastAsia="zh-CN"/>
              </w:rPr>
              <w:t>根据拟建工程所涉及的危险物质，同时类比调查同类项目，本项目的事故风险类型确定为气体储罐泄漏、火灾和爆炸等。</w:t>
            </w:r>
          </w:p>
          <w:p>
            <w:pPr>
              <w:pStyle w:val="8"/>
              <w:ind w:firstLine="480"/>
              <w:rPr>
                <w:rFonts w:hint="default" w:ascii="Times New Roman" w:hAnsi="Times New Roman" w:eastAsia="宋体" w:cs="Times New Roman"/>
                <w:bCs/>
                <w:color w:val="auto"/>
                <w:lang w:eastAsia="zh-CN"/>
              </w:rPr>
            </w:pPr>
            <w:r>
              <w:rPr>
                <w:rFonts w:hint="default" w:ascii="Times New Roman" w:hAnsi="Times New Roman" w:cs="Times New Roman"/>
                <w:bCs/>
                <w:color w:val="auto"/>
                <w:lang w:eastAsia="zh-CN"/>
              </w:rPr>
              <w:t>（</w:t>
            </w:r>
            <w:r>
              <w:rPr>
                <w:rFonts w:hint="default" w:ascii="Times New Roman" w:hAnsi="Times New Roman" w:cs="Times New Roman"/>
                <w:bCs/>
                <w:color w:val="auto"/>
                <w:lang w:val="en-US" w:eastAsia="zh-CN"/>
              </w:rPr>
              <w:t>5</w:t>
            </w:r>
            <w:r>
              <w:rPr>
                <w:rFonts w:hint="default" w:ascii="Times New Roman" w:hAnsi="Times New Roman" w:cs="Times New Roman"/>
                <w:bCs/>
                <w:color w:val="auto"/>
                <w:lang w:eastAsia="zh-CN"/>
              </w:rPr>
              <w:t>）环境风险分析</w:t>
            </w:r>
          </w:p>
          <w:p>
            <w:pPr>
              <w:pStyle w:val="9"/>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 xml:space="preserve">表7- </w:t>
            </w:r>
            <w:r>
              <w:rPr>
                <w:rFonts w:hint="default" w:ascii="Times New Roman" w:hAnsi="Times New Roman" w:eastAsia="宋体" w:cs="Times New Roman"/>
                <w:b/>
                <w:bCs/>
                <w:color w:val="auto"/>
                <w:sz w:val="21"/>
                <w:szCs w:val="21"/>
                <w:lang w:val="en-US" w:eastAsia="zh-CN"/>
              </w:rPr>
              <w:t>17   甲醇理化性质及危害特性一览表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36"/>
              <w:gridCol w:w="1379"/>
              <w:gridCol w:w="1413"/>
              <w:gridCol w:w="1659"/>
              <w:gridCol w:w="191"/>
              <w:gridCol w:w="968"/>
              <w:gridCol w:w="1153"/>
              <w:gridCol w:w="15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1915" w:type="dxa"/>
                  <w:gridSpan w:val="2"/>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类别与性质</w:t>
                  </w:r>
                </w:p>
              </w:tc>
              <w:tc>
                <w:tcPr>
                  <w:tcW w:w="6907" w:type="dxa"/>
                  <w:gridSpan w:val="6"/>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危险有害特性与防护措施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536"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理化性质</w:t>
                  </w:r>
                </w:p>
              </w:tc>
              <w:tc>
                <w:tcPr>
                  <w:tcW w:w="1379"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外观与性状</w:t>
                  </w:r>
                </w:p>
              </w:tc>
              <w:tc>
                <w:tcPr>
                  <w:tcW w:w="6907" w:type="dxa"/>
                  <w:gridSpan w:val="6"/>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无色、透明、高度挥发、易燃液体。能与水、乙醇、乙醚、苯、酮、卤代烃和许多其他有机溶剂相混溶。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536"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p>
              </w:tc>
              <w:tc>
                <w:tcPr>
                  <w:tcW w:w="1379"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分子式：</w:t>
                  </w:r>
                </w:p>
              </w:tc>
              <w:tc>
                <w:tcPr>
                  <w:tcW w:w="6907" w:type="dxa"/>
                  <w:gridSpan w:val="6"/>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OH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536"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p>
              </w:tc>
              <w:tc>
                <w:tcPr>
                  <w:tcW w:w="1379"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沸点：</w:t>
                  </w:r>
                </w:p>
              </w:tc>
              <w:tc>
                <w:tcPr>
                  <w:tcW w:w="3263" w:type="dxa"/>
                  <w:gridSpan w:val="3"/>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64.5℃</w:t>
                  </w:r>
                </w:p>
              </w:tc>
              <w:tc>
                <w:tcPr>
                  <w:tcW w:w="3644" w:type="dxa"/>
                  <w:gridSpan w:val="3"/>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熔点：-97.8℃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536"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p>
              </w:tc>
              <w:tc>
                <w:tcPr>
                  <w:tcW w:w="1379"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密度：</w:t>
                  </w:r>
                </w:p>
              </w:tc>
              <w:tc>
                <w:tcPr>
                  <w:tcW w:w="6907" w:type="dxa"/>
                  <w:gridSpan w:val="6"/>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0.792(20/4℃)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536"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健康危害和急救措施</w:t>
                  </w:r>
                </w:p>
              </w:tc>
              <w:tc>
                <w:tcPr>
                  <w:tcW w:w="1379"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侵入途径</w:t>
                  </w:r>
                </w:p>
              </w:tc>
              <w:tc>
                <w:tcPr>
                  <w:tcW w:w="6907" w:type="dxa"/>
                  <w:gridSpan w:val="6"/>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吸入，食入、经皮肤吸收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536"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p>
              </w:tc>
              <w:tc>
                <w:tcPr>
                  <w:tcW w:w="1379"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毒性</w:t>
                  </w:r>
                </w:p>
              </w:tc>
              <w:tc>
                <w:tcPr>
                  <w:tcW w:w="6907" w:type="dxa"/>
                  <w:gridSpan w:val="6"/>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中等毒类</w:t>
                  </w:r>
                  <w:r>
                    <w:rPr>
                      <w:rFonts w:hint="default" w:ascii="Times New Roman" w:hAnsi="Times New Roman" w:cs="Times New Roman"/>
                      <w:color w:val="auto"/>
                      <w:kern w:val="0"/>
                      <w:sz w:val="21"/>
                      <w:szCs w:val="21"/>
                    </w:rPr>
                    <w:t>。</w:t>
                  </w:r>
                  <w:r>
                    <w:rPr>
                      <w:rFonts w:hint="default" w:ascii="Times New Roman" w:hAnsi="Times New Roman" w:cs="Times New Roman"/>
                      <w:color w:val="auto"/>
                      <w:sz w:val="21"/>
                      <w:szCs w:val="21"/>
                    </w:rPr>
                    <w:t>LD</w:t>
                  </w:r>
                  <w:r>
                    <w:rPr>
                      <w:rFonts w:hint="default" w:ascii="Times New Roman" w:hAnsi="Times New Roman" w:cs="Times New Roman"/>
                      <w:color w:val="auto"/>
                      <w:sz w:val="21"/>
                      <w:szCs w:val="21"/>
                      <w:vertAlign w:val="subscript"/>
                    </w:rPr>
                    <w:t>50</w:t>
                  </w:r>
                  <w:r>
                    <w:rPr>
                      <w:rFonts w:hint="default" w:ascii="Times New Roman" w:hAnsi="Times New Roman" w:cs="Times New Roman"/>
                      <w:color w:val="auto"/>
                      <w:sz w:val="21"/>
                      <w:szCs w:val="21"/>
                    </w:rPr>
                    <w:t>5628mg/kg(大鼠经口)；15800mg/kg(兔经皮)；LC</w:t>
                  </w:r>
                  <w:r>
                    <w:rPr>
                      <w:rFonts w:hint="default" w:ascii="Times New Roman" w:hAnsi="Times New Roman" w:cs="Times New Roman"/>
                      <w:color w:val="auto"/>
                      <w:sz w:val="21"/>
                      <w:szCs w:val="21"/>
                      <w:vertAlign w:val="subscript"/>
                    </w:rPr>
                    <w:t>50</w:t>
                  </w:r>
                  <w:r>
                    <w:rPr>
                      <w:rFonts w:hint="default" w:ascii="Times New Roman" w:hAnsi="Times New Roman" w:cs="Times New Roman"/>
                      <w:color w:val="auto"/>
                      <w:sz w:val="21"/>
                      <w:szCs w:val="21"/>
                    </w:rPr>
                    <w:t>82776mg/kg，4小时(大鼠吸入)；人经口5～10ml，潜伏期8～36小时，致昏迷；人经口15ml，48小时内产生视网膜炎，失明；人经口30～100ml中枢神经系统严重损害，呼吸衰弱，死亡</w:t>
                  </w: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536"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p>
              </w:tc>
              <w:tc>
                <w:tcPr>
                  <w:tcW w:w="1379"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健康危害</w:t>
                  </w:r>
                </w:p>
              </w:tc>
              <w:tc>
                <w:tcPr>
                  <w:tcW w:w="6907" w:type="dxa"/>
                  <w:gridSpan w:val="6"/>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8"/>
                      <w:kern w:val="0"/>
                      <w:sz w:val="21"/>
                      <w:szCs w:val="21"/>
                    </w:rPr>
                    <w:t>本品对粘膜有刺激性，有麻醉作用。吸入蒸气可引起鼻和喉刺激；高浓度吸入出现头晕等。对眼有损害，损害可持续数天。长期皮肤接触可致皮肤干燥。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536"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p>
              </w:tc>
              <w:tc>
                <w:tcPr>
                  <w:tcW w:w="1379"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急救</w:t>
                  </w:r>
                </w:p>
              </w:tc>
              <w:tc>
                <w:tcPr>
                  <w:tcW w:w="6907" w:type="dxa"/>
                  <w:gridSpan w:val="6"/>
                  <w:noWrap w:val="0"/>
                  <w:vAlign w:val="center"/>
                </w:tcPr>
                <w:p>
                  <w:pPr>
                    <w:keepNext w:val="0"/>
                    <w:keepLines w:val="0"/>
                    <w:pageBreakBefore w:val="0"/>
                    <w:widowControl/>
                    <w:shd w:val="clear" w:color="auto" w:fill="FAFAFA"/>
                    <w:kinsoku/>
                    <w:wordWrap/>
                    <w:overflowPunct/>
                    <w:topLinePunct w:val="0"/>
                    <w:autoSpaceDE/>
                    <w:autoSpaceDN/>
                    <w:bidi w:val="0"/>
                    <w:adjustRightInd/>
                    <w:snapToGrid/>
                    <w:spacing w:beforeAutospacing="0" w:afterAutospacing="0" w:line="240" w:lineRule="auto"/>
                    <w:ind w:firstLine="0" w:firstLineChars="0"/>
                    <w:jc w:val="both"/>
                    <w:textAlignment w:val="auto"/>
                    <w:rPr>
                      <w:rFonts w:hint="default" w:ascii="Times New Roman" w:hAnsi="Times New Roman" w:cs="Times New Roman"/>
                      <w:color w:val="auto"/>
                      <w:spacing w:val="8"/>
                      <w:kern w:val="0"/>
                      <w:sz w:val="21"/>
                      <w:szCs w:val="21"/>
                    </w:rPr>
                  </w:pPr>
                  <w:r>
                    <w:rPr>
                      <w:rFonts w:hint="default" w:ascii="Times New Roman" w:hAnsi="Times New Roman" w:cs="Times New Roman"/>
                      <w:color w:val="auto"/>
                      <w:spacing w:val="8"/>
                      <w:kern w:val="0"/>
                      <w:sz w:val="21"/>
                      <w:szCs w:val="21"/>
                    </w:rPr>
                    <w:t xml:space="preserve">皮肤接触：脱去被污染的衣着，用肥皂水和清水彻底冲洗皮肤。 </w:t>
                  </w:r>
                </w:p>
                <w:p>
                  <w:pPr>
                    <w:keepNext w:val="0"/>
                    <w:keepLines w:val="0"/>
                    <w:pageBreakBefore w:val="0"/>
                    <w:widowControl/>
                    <w:shd w:val="clear" w:color="auto" w:fill="FAFAFA"/>
                    <w:kinsoku/>
                    <w:wordWrap/>
                    <w:overflowPunct/>
                    <w:topLinePunct w:val="0"/>
                    <w:autoSpaceDE/>
                    <w:autoSpaceDN/>
                    <w:bidi w:val="0"/>
                    <w:adjustRightInd/>
                    <w:snapToGrid/>
                    <w:spacing w:beforeAutospacing="0" w:afterAutospacing="0" w:line="240" w:lineRule="auto"/>
                    <w:ind w:firstLine="0" w:firstLineChars="0"/>
                    <w:jc w:val="both"/>
                    <w:textAlignment w:val="auto"/>
                    <w:rPr>
                      <w:rFonts w:hint="default" w:ascii="Times New Roman" w:hAnsi="Times New Roman" w:cs="Times New Roman"/>
                      <w:color w:val="auto"/>
                      <w:spacing w:val="8"/>
                      <w:kern w:val="0"/>
                      <w:sz w:val="21"/>
                      <w:szCs w:val="21"/>
                    </w:rPr>
                  </w:pPr>
                  <w:r>
                    <w:rPr>
                      <w:rFonts w:hint="default" w:ascii="Times New Roman" w:hAnsi="Times New Roman" w:cs="Times New Roman"/>
                      <w:color w:val="auto"/>
                      <w:spacing w:val="8"/>
                      <w:kern w:val="0"/>
                      <w:sz w:val="21"/>
                      <w:szCs w:val="21"/>
                    </w:rPr>
                    <w:t xml:space="preserve">眼睛接触：提起眼睑，用流动清水或生理盐水冲洗。就医。 </w:t>
                  </w:r>
                </w:p>
                <w:p>
                  <w:pPr>
                    <w:keepNext w:val="0"/>
                    <w:keepLines w:val="0"/>
                    <w:pageBreakBefore w:val="0"/>
                    <w:widowControl/>
                    <w:shd w:val="clear" w:color="auto" w:fill="FAFAFA"/>
                    <w:kinsoku/>
                    <w:wordWrap/>
                    <w:overflowPunct/>
                    <w:topLinePunct w:val="0"/>
                    <w:autoSpaceDE/>
                    <w:autoSpaceDN/>
                    <w:bidi w:val="0"/>
                    <w:adjustRightInd/>
                    <w:snapToGrid/>
                    <w:spacing w:beforeAutospacing="0" w:afterAutospacing="0" w:line="240" w:lineRule="auto"/>
                    <w:ind w:firstLine="0" w:firstLineChars="0"/>
                    <w:jc w:val="both"/>
                    <w:textAlignment w:val="auto"/>
                    <w:rPr>
                      <w:rFonts w:hint="default" w:ascii="Times New Roman" w:hAnsi="Times New Roman" w:cs="Times New Roman"/>
                      <w:color w:val="auto"/>
                      <w:spacing w:val="8"/>
                      <w:kern w:val="0"/>
                      <w:sz w:val="21"/>
                      <w:szCs w:val="21"/>
                    </w:rPr>
                  </w:pPr>
                  <w:r>
                    <w:rPr>
                      <w:rFonts w:hint="default" w:ascii="Times New Roman" w:hAnsi="Times New Roman" w:cs="Times New Roman"/>
                      <w:color w:val="auto"/>
                      <w:spacing w:val="8"/>
                      <w:kern w:val="0"/>
                      <w:sz w:val="21"/>
                      <w:szCs w:val="21"/>
                    </w:rPr>
                    <w:t xml:space="preserve">吸入：迅速脱离现场至空气新鲜处。保持呼吸道通畅。如呼吸困难，给输氧。如呼吸停止，立即进行人工呼吸。就医。 </w:t>
                  </w:r>
                </w:p>
                <w:p>
                  <w:pPr>
                    <w:keepNext w:val="0"/>
                    <w:keepLines w:val="0"/>
                    <w:pageBreakBefore w:val="0"/>
                    <w:widowControl/>
                    <w:shd w:val="clear" w:color="auto" w:fill="FAFAFA"/>
                    <w:kinsoku/>
                    <w:wordWrap/>
                    <w:overflowPunct/>
                    <w:topLinePunct w:val="0"/>
                    <w:autoSpaceDE/>
                    <w:autoSpaceDN/>
                    <w:bidi w:val="0"/>
                    <w:adjustRightInd/>
                    <w:snapToGrid/>
                    <w:spacing w:beforeAutospacing="0" w:afterAutospacing="0" w:line="240" w:lineRule="auto"/>
                    <w:ind w:firstLine="0" w:firstLineChars="0"/>
                    <w:jc w:val="both"/>
                    <w:textAlignment w:val="auto"/>
                    <w:rPr>
                      <w:rFonts w:hint="default" w:ascii="Times New Roman" w:hAnsi="Times New Roman" w:cs="Times New Roman"/>
                      <w:color w:val="auto"/>
                      <w:spacing w:val="8"/>
                      <w:kern w:val="0"/>
                      <w:sz w:val="21"/>
                      <w:szCs w:val="21"/>
                    </w:rPr>
                  </w:pPr>
                  <w:r>
                    <w:rPr>
                      <w:rFonts w:hint="default" w:ascii="Times New Roman" w:hAnsi="Times New Roman" w:cs="Times New Roman"/>
                      <w:color w:val="auto"/>
                      <w:spacing w:val="8"/>
                      <w:kern w:val="0"/>
                      <w:sz w:val="21"/>
                      <w:szCs w:val="21"/>
                    </w:rPr>
                    <w:t>食入：饮足量温水，催吐，</w:t>
                  </w:r>
                  <w:r>
                    <w:rPr>
                      <w:rFonts w:hint="default" w:ascii="Times New Roman" w:hAnsi="Times New Roman" w:cs="Times New Roman"/>
                      <w:color w:val="auto"/>
                      <w:sz w:val="21"/>
                      <w:szCs w:val="21"/>
                    </w:rPr>
                    <w:t>用清水或 1％硫代硫酸钠溶液洗胃。</w:t>
                  </w:r>
                  <w:r>
                    <w:rPr>
                      <w:rFonts w:hint="default" w:ascii="Times New Roman" w:hAnsi="Times New Roman" w:cs="Times New Roman"/>
                      <w:color w:val="auto"/>
                      <w:spacing w:val="8"/>
                      <w:kern w:val="0"/>
                      <w:sz w:val="21"/>
                      <w:szCs w:val="21"/>
                    </w:rPr>
                    <w:t xml:space="preserve">就医。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536"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p>
              </w:tc>
              <w:tc>
                <w:tcPr>
                  <w:tcW w:w="1379"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防护措施</w:t>
                  </w:r>
                </w:p>
              </w:tc>
              <w:tc>
                <w:tcPr>
                  <w:tcW w:w="6907" w:type="dxa"/>
                  <w:gridSpan w:val="6"/>
                  <w:noWrap w:val="0"/>
                  <w:vAlign w:val="center"/>
                </w:tcPr>
                <w:p>
                  <w:pPr>
                    <w:keepNext w:val="0"/>
                    <w:keepLines w:val="0"/>
                    <w:pageBreakBefore w:val="0"/>
                    <w:widowControl/>
                    <w:shd w:val="clear" w:color="auto" w:fill="FAFAFA"/>
                    <w:kinsoku/>
                    <w:wordWrap/>
                    <w:overflowPunct/>
                    <w:topLinePunct w:val="0"/>
                    <w:autoSpaceDE/>
                    <w:autoSpaceDN/>
                    <w:bidi w:val="0"/>
                    <w:adjustRightInd/>
                    <w:snapToGrid/>
                    <w:spacing w:beforeAutospacing="0" w:afterAutospacing="0" w:line="240" w:lineRule="auto"/>
                    <w:ind w:firstLine="0" w:firstLineChars="0"/>
                    <w:jc w:val="both"/>
                    <w:textAlignment w:val="auto"/>
                    <w:rPr>
                      <w:rFonts w:hint="default" w:ascii="Times New Roman" w:hAnsi="Times New Roman" w:cs="Times New Roman"/>
                      <w:color w:val="auto"/>
                      <w:spacing w:val="8"/>
                      <w:kern w:val="0"/>
                      <w:sz w:val="21"/>
                      <w:szCs w:val="21"/>
                    </w:rPr>
                  </w:pPr>
                  <w:r>
                    <w:rPr>
                      <w:rFonts w:hint="default" w:ascii="Times New Roman" w:hAnsi="Times New Roman" w:cs="Times New Roman"/>
                      <w:color w:val="auto"/>
                      <w:spacing w:val="8"/>
                      <w:kern w:val="0"/>
                      <w:sz w:val="21"/>
                      <w:szCs w:val="21"/>
                    </w:rPr>
                    <w:t xml:space="preserve">呼吸系统防护：空气中浓度超标时，佩戴过滤式防毒面具(半面罩)。 </w:t>
                  </w:r>
                </w:p>
                <w:p>
                  <w:pPr>
                    <w:keepNext w:val="0"/>
                    <w:keepLines w:val="0"/>
                    <w:pageBreakBefore w:val="0"/>
                    <w:widowControl/>
                    <w:shd w:val="clear" w:color="auto" w:fill="FAFAFA"/>
                    <w:kinsoku/>
                    <w:wordWrap/>
                    <w:overflowPunct/>
                    <w:topLinePunct w:val="0"/>
                    <w:autoSpaceDE/>
                    <w:autoSpaceDN/>
                    <w:bidi w:val="0"/>
                    <w:adjustRightInd/>
                    <w:snapToGrid/>
                    <w:spacing w:beforeAutospacing="0" w:afterAutospacing="0" w:line="240" w:lineRule="auto"/>
                    <w:ind w:firstLine="0" w:firstLineChars="0"/>
                    <w:jc w:val="both"/>
                    <w:textAlignment w:val="auto"/>
                    <w:rPr>
                      <w:rFonts w:hint="default" w:ascii="Times New Roman" w:hAnsi="Times New Roman" w:cs="Times New Roman"/>
                      <w:color w:val="auto"/>
                      <w:spacing w:val="8"/>
                      <w:kern w:val="0"/>
                      <w:sz w:val="21"/>
                      <w:szCs w:val="21"/>
                    </w:rPr>
                  </w:pPr>
                  <w:r>
                    <w:rPr>
                      <w:rFonts w:hint="default" w:ascii="Times New Roman" w:hAnsi="Times New Roman" w:cs="Times New Roman"/>
                      <w:color w:val="auto"/>
                      <w:spacing w:val="8"/>
                      <w:kern w:val="0"/>
                      <w:sz w:val="21"/>
                      <w:szCs w:val="21"/>
                    </w:rPr>
                    <w:t xml:space="preserve">眼睛防护：戴化学安全防护眼镜。 </w:t>
                  </w:r>
                </w:p>
                <w:p>
                  <w:pPr>
                    <w:keepNext w:val="0"/>
                    <w:keepLines w:val="0"/>
                    <w:pageBreakBefore w:val="0"/>
                    <w:widowControl/>
                    <w:shd w:val="clear" w:color="auto" w:fill="FAFAFA"/>
                    <w:kinsoku/>
                    <w:wordWrap/>
                    <w:overflowPunct/>
                    <w:topLinePunct w:val="0"/>
                    <w:autoSpaceDE/>
                    <w:autoSpaceDN/>
                    <w:bidi w:val="0"/>
                    <w:adjustRightInd/>
                    <w:snapToGrid/>
                    <w:spacing w:beforeAutospacing="0" w:afterAutospacing="0" w:line="240" w:lineRule="auto"/>
                    <w:ind w:firstLine="0" w:firstLineChars="0"/>
                    <w:jc w:val="both"/>
                    <w:textAlignment w:val="auto"/>
                    <w:rPr>
                      <w:rFonts w:hint="default" w:ascii="Times New Roman" w:hAnsi="Times New Roman" w:cs="Times New Roman"/>
                      <w:color w:val="auto"/>
                      <w:spacing w:val="8"/>
                      <w:kern w:val="0"/>
                      <w:sz w:val="21"/>
                      <w:szCs w:val="21"/>
                    </w:rPr>
                  </w:pPr>
                  <w:r>
                    <w:rPr>
                      <w:rFonts w:hint="default" w:ascii="Times New Roman" w:hAnsi="Times New Roman" w:cs="Times New Roman"/>
                      <w:color w:val="auto"/>
                      <w:spacing w:val="8"/>
                      <w:kern w:val="0"/>
                      <w:sz w:val="21"/>
                      <w:szCs w:val="21"/>
                    </w:rPr>
                    <w:t xml:space="preserve">身体防护：穿防静电工作服。 </w:t>
                  </w:r>
                </w:p>
                <w:p>
                  <w:pPr>
                    <w:keepNext w:val="0"/>
                    <w:keepLines w:val="0"/>
                    <w:pageBreakBefore w:val="0"/>
                    <w:widowControl/>
                    <w:shd w:val="clear" w:color="auto" w:fill="FAFAFA"/>
                    <w:kinsoku/>
                    <w:wordWrap/>
                    <w:overflowPunct/>
                    <w:topLinePunct w:val="0"/>
                    <w:autoSpaceDE/>
                    <w:autoSpaceDN/>
                    <w:bidi w:val="0"/>
                    <w:adjustRightInd/>
                    <w:snapToGrid/>
                    <w:spacing w:beforeAutospacing="0" w:afterAutospacing="0" w:line="240" w:lineRule="auto"/>
                    <w:ind w:firstLine="0" w:firstLineChars="0"/>
                    <w:jc w:val="both"/>
                    <w:textAlignment w:val="auto"/>
                    <w:rPr>
                      <w:rFonts w:hint="default" w:ascii="Times New Roman" w:hAnsi="Times New Roman" w:cs="Times New Roman"/>
                      <w:color w:val="auto"/>
                      <w:spacing w:val="8"/>
                      <w:kern w:val="0"/>
                      <w:sz w:val="21"/>
                      <w:szCs w:val="21"/>
                    </w:rPr>
                  </w:pPr>
                  <w:r>
                    <w:rPr>
                      <w:rFonts w:hint="default" w:ascii="Times New Roman" w:hAnsi="Times New Roman" w:cs="Times New Roman"/>
                      <w:color w:val="auto"/>
                      <w:spacing w:val="8"/>
                      <w:kern w:val="0"/>
                      <w:sz w:val="21"/>
                      <w:szCs w:val="21"/>
                    </w:rPr>
                    <w:t xml:space="preserve">手防护：戴橡胶手套。 其它：工作现场禁止吸烟、进食和饮水。工作毕，淋浴更衣。注意个人清洁卫生。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trHeight w:val="397" w:hRule="atLeast"/>
                <w:jc w:val="center"/>
              </w:trPr>
              <w:tc>
                <w:tcPr>
                  <w:tcW w:w="536"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燃烧危险性及应急措施</w:t>
                  </w:r>
                </w:p>
              </w:tc>
              <w:tc>
                <w:tcPr>
                  <w:tcW w:w="1379"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 烧 性</w:t>
                  </w:r>
                </w:p>
              </w:tc>
              <w:tc>
                <w:tcPr>
                  <w:tcW w:w="1413"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易燃</w:t>
                  </w:r>
                </w:p>
              </w:tc>
              <w:tc>
                <w:tcPr>
                  <w:tcW w:w="1659"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建规火险分级</w:t>
                  </w:r>
                </w:p>
              </w:tc>
              <w:tc>
                <w:tcPr>
                  <w:tcW w:w="1159" w:type="dxa"/>
                  <w:gridSpan w:val="2"/>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p>
              </w:tc>
              <w:tc>
                <w:tcPr>
                  <w:tcW w:w="1153"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稳定性</w:t>
                  </w:r>
                </w:p>
              </w:tc>
              <w:tc>
                <w:tcPr>
                  <w:tcW w:w="1523"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稳定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trHeight w:val="397" w:hRule="atLeast"/>
                <w:jc w:val="center"/>
              </w:trPr>
              <w:tc>
                <w:tcPr>
                  <w:tcW w:w="536"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p>
              </w:tc>
              <w:tc>
                <w:tcPr>
                  <w:tcW w:w="1379"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闪点（℃）</w:t>
                  </w:r>
                </w:p>
              </w:tc>
              <w:tc>
                <w:tcPr>
                  <w:tcW w:w="1413"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12.22℃</w:t>
                  </w:r>
                </w:p>
              </w:tc>
              <w:tc>
                <w:tcPr>
                  <w:tcW w:w="1659"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自然点（℃）</w:t>
                  </w:r>
                </w:p>
              </w:tc>
              <w:tc>
                <w:tcPr>
                  <w:tcW w:w="1159" w:type="dxa"/>
                  <w:gridSpan w:val="2"/>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463.89℃</w:t>
                  </w:r>
                </w:p>
              </w:tc>
              <w:tc>
                <w:tcPr>
                  <w:tcW w:w="1153"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禁忌物</w:t>
                  </w:r>
                </w:p>
              </w:tc>
              <w:tc>
                <w:tcPr>
                  <w:tcW w:w="1523"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8"/>
                      <w:kern w:val="0"/>
                      <w:sz w:val="21"/>
                      <w:szCs w:val="21"/>
                    </w:rPr>
                    <w:t>明火、高热及强氧化剂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536"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p>
              </w:tc>
              <w:tc>
                <w:tcPr>
                  <w:tcW w:w="1379"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w:t>
                  </w:r>
                </w:p>
              </w:tc>
              <w:tc>
                <w:tcPr>
                  <w:tcW w:w="6907" w:type="dxa"/>
                  <w:gridSpan w:val="6"/>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蒸气与空气可形成爆炸性混合物，遇明火、高热能引起燃烧爆炸。与氧化剂接触发生化学反应或引起燃烧。在火场中，受热的容器有爆炸危险。其蒸气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536"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p>
              </w:tc>
              <w:tc>
                <w:tcPr>
                  <w:tcW w:w="1379"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泄漏处理</w:t>
                  </w:r>
                </w:p>
              </w:tc>
              <w:tc>
                <w:tcPr>
                  <w:tcW w:w="6907" w:type="dxa"/>
                  <w:gridSpan w:val="6"/>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迅速撤离泄漏污染区人员至安全区，并进行隔离，严格限制出入。切断火源。建议应急处理人员戴自给正压式呼吸器，穿防静电工作服。不要直接接触泄漏物。尽可能切断泄漏源。防止流入下水道、排洪沟等限制性空间。小量泄漏：用砂土或其它不燃材料吸附或吸收。也可以用大量水冲洗，洗水稀释后放入废水系统。大量泄漏：构筑围堤或挖坑收容。用泡沫覆盖，降低蒸气灾害。用防爆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536"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p>
              </w:tc>
              <w:tc>
                <w:tcPr>
                  <w:tcW w:w="1379"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w:t>
                  </w:r>
                </w:p>
              </w:tc>
              <w:tc>
                <w:tcPr>
                  <w:tcW w:w="6907" w:type="dxa"/>
                  <w:gridSpan w:val="6"/>
                  <w:noWrap w:val="0"/>
                  <w:vAlign w:val="center"/>
                </w:tcPr>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存于阴凉、通风的库房。远离火种、热源。库温不宜超过30℃。保持容器密封。应与氧化剂、酸类、碱金属等分开存放，切忌混储。采用防爆型照明、通风设施。禁止使用易产生火花的机械设备和工具。储区应备有泄漏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atLeast"/>
                <w:jc w:val="center"/>
              </w:trPr>
              <w:tc>
                <w:tcPr>
                  <w:tcW w:w="536"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p>
              </w:tc>
              <w:tc>
                <w:tcPr>
                  <w:tcW w:w="1379"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灭火剂</w:t>
                  </w:r>
                </w:p>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（方法）</w:t>
                  </w:r>
                </w:p>
              </w:tc>
              <w:tc>
                <w:tcPr>
                  <w:tcW w:w="6907" w:type="dxa"/>
                  <w:gridSpan w:val="6"/>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8"/>
                      <w:kern w:val="0"/>
                      <w:sz w:val="21"/>
                      <w:szCs w:val="21"/>
                    </w:rPr>
                    <w:t>灭火方法：尽可能将容器从火场移至空旷处。喷水保持火场容器冷却，直至灭火结束。处在火场中的容器若已变色或从安全泄压装置中产生声音，必须马上撤离。灭火剂：抗溶性泡沫、干粉、二氧化碳、砂土。用水灭火无效。</w:t>
                  </w:r>
                </w:p>
              </w:tc>
            </w:tr>
          </w:tbl>
          <w:p>
            <w:pPr>
              <w:pStyle w:val="8"/>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w:t>
            </w:r>
            <w:r>
              <w:rPr>
                <w:rFonts w:hint="default" w:ascii="Times New Roman" w:hAnsi="Times New Roman" w:cs="Times New Roman"/>
                <w:bCs/>
                <w:color w:val="auto"/>
                <w:lang w:val="en-US" w:eastAsia="zh-CN"/>
              </w:rPr>
              <w:t>6</w:t>
            </w:r>
            <w:r>
              <w:rPr>
                <w:rFonts w:hint="default" w:ascii="Times New Roman" w:hAnsi="Times New Roman" w:cs="Times New Roman"/>
                <w:bCs/>
                <w:color w:val="auto"/>
                <w:lang w:eastAsia="zh-CN"/>
              </w:rPr>
              <w:t>）事故源项分析及风险防范措施</w:t>
            </w:r>
          </w:p>
          <w:p>
            <w:pPr>
              <w:pStyle w:val="8"/>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bCs/>
                <w:color w:val="auto"/>
                <w:lang w:eastAsia="zh-CN"/>
              </w:rPr>
            </w:pPr>
            <w:r>
              <w:rPr>
                <w:rFonts w:hint="default" w:ascii="Times New Roman" w:hAnsi="Times New Roman" w:eastAsia="宋体" w:cs="Times New Roman"/>
                <w:bCs/>
                <w:color w:val="auto"/>
              </w:rPr>
              <w:t>①</w:t>
            </w:r>
            <w:r>
              <w:rPr>
                <w:rFonts w:hint="default" w:ascii="Times New Roman" w:hAnsi="Times New Roman" w:eastAsia="宋体" w:cs="Times New Roman"/>
                <w:bCs/>
                <w:color w:val="auto"/>
                <w:lang w:eastAsia="zh-CN"/>
              </w:rPr>
              <w:t>本项目生产过程中可能存在以下不安全因素</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a.</w:t>
            </w:r>
            <w:r>
              <w:rPr>
                <w:rFonts w:hint="default" w:ascii="Times New Roman" w:hAnsi="Times New Roman" w:cs="Times New Roman"/>
                <w:color w:val="auto"/>
                <w:sz w:val="24"/>
              </w:rPr>
              <w:t>甲醇泄漏后，气体将直接进入大气环境，造成大气环境的污染。但由于甲醇密度比空气小，一旦发生泄漏事故，甲醇会很快散发，只会对较近的大气环境造成短时间的影响，而不会对周围的生态环境及人类构成较大威胁</w:t>
            </w:r>
            <w:r>
              <w:rPr>
                <w:rFonts w:hint="default" w:ascii="Times New Roman" w:hAnsi="Times New Roman" w:cs="Times New Roman"/>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b.</w:t>
            </w:r>
            <w:r>
              <w:rPr>
                <w:rFonts w:hint="default" w:ascii="Times New Roman" w:hAnsi="Times New Roman" w:cs="Times New Roman"/>
                <w:color w:val="auto"/>
                <w:sz w:val="24"/>
              </w:rPr>
              <w:t>发生火灾、爆炸后，物质燃烧会产生一定量的有毒有害物质，本项目主要考虑甲醇燃烧后产生的新污染物CO扩散进入大气后对周边环境的影响。</w:t>
            </w:r>
          </w:p>
          <w:p>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Cs/>
                <w:color w:val="auto"/>
              </w:rPr>
            </w:pPr>
            <w:r>
              <w:rPr>
                <w:rFonts w:hint="default" w:ascii="Times New Roman" w:hAnsi="Times New Roman" w:eastAsia="宋体" w:cs="Times New Roman"/>
                <w:bCs/>
                <w:color w:val="auto"/>
              </w:rPr>
              <w:t>②</w:t>
            </w:r>
            <w:r>
              <w:rPr>
                <w:rFonts w:hint="default" w:ascii="Times New Roman" w:hAnsi="Times New Roman" w:eastAsia="宋体" w:cs="Times New Roman"/>
                <w:bCs/>
                <w:color w:val="auto"/>
                <w:lang w:eastAsia="zh-CN"/>
              </w:rPr>
              <w:t>环境</w:t>
            </w:r>
            <w:r>
              <w:rPr>
                <w:rFonts w:hint="default" w:ascii="Times New Roman" w:hAnsi="Times New Roman" w:cs="Times New Roman"/>
                <w:bCs/>
                <w:color w:val="auto"/>
              </w:rPr>
              <w:t>风险防范措施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的建设必然伴随着潜在的危险，若防范措施完善，则事故的发生概率必然会降低，但不会为零。一旦发生事故，需采取相应的应急措施，控制和减少事故危害。因此，提出以下风险防范措施，从根本上杜绝泄漏、爆炸、燃烧事故的发生，使风险发生概率降到最低。</w:t>
            </w:r>
          </w:p>
          <w:p>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Cs/>
                <w:color w:val="auto"/>
              </w:rPr>
            </w:pPr>
            <w:r>
              <w:rPr>
                <w:rFonts w:hint="default" w:ascii="Times New Roman" w:hAnsi="Times New Roman" w:cs="Times New Roman"/>
                <w:bCs/>
                <w:color w:val="auto"/>
              </w:rPr>
              <w:t>针对</w:t>
            </w:r>
            <w:r>
              <w:rPr>
                <w:rFonts w:hint="default" w:ascii="Times New Roman" w:hAnsi="Times New Roman" w:cs="Times New Roman"/>
                <w:bCs/>
                <w:color w:val="auto"/>
                <w:lang w:eastAsia="zh-CN"/>
              </w:rPr>
              <w:t>气体</w:t>
            </w:r>
            <w:r>
              <w:rPr>
                <w:rFonts w:hint="default" w:ascii="Times New Roman" w:hAnsi="Times New Roman" w:cs="Times New Roman"/>
                <w:bCs/>
                <w:color w:val="auto"/>
              </w:rPr>
              <w:t>泄漏导致环境风险的情况，提出如下防范措施：</w:t>
            </w:r>
          </w:p>
          <w:p>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Cs/>
                <w:color w:val="auto"/>
              </w:rPr>
            </w:pPr>
            <w:r>
              <w:rPr>
                <w:rFonts w:hint="default" w:ascii="Times New Roman" w:hAnsi="Times New Roman" w:cs="Times New Roman"/>
                <w:bCs/>
                <w:color w:val="auto"/>
                <w:lang w:val="en-US" w:eastAsia="zh-CN"/>
              </w:rPr>
              <w:t>a.</w:t>
            </w:r>
            <w:r>
              <w:rPr>
                <w:rFonts w:hint="default" w:ascii="Times New Roman" w:hAnsi="Times New Roman" w:cs="Times New Roman"/>
                <w:bCs/>
                <w:color w:val="auto"/>
              </w:rPr>
              <w:t>加强工作人员的安全教育，提高安全防范风险的意识；</w:t>
            </w:r>
          </w:p>
          <w:p>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Cs/>
                <w:color w:val="auto"/>
              </w:rPr>
            </w:pPr>
            <w:r>
              <w:rPr>
                <w:rFonts w:hint="default" w:ascii="Times New Roman" w:hAnsi="Times New Roman" w:cs="Times New Roman"/>
                <w:bCs/>
                <w:color w:val="auto"/>
                <w:lang w:val="en-US" w:eastAsia="zh-CN"/>
              </w:rPr>
              <w:t>b.</w:t>
            </w:r>
            <w:r>
              <w:rPr>
                <w:rFonts w:hint="default" w:ascii="Times New Roman" w:hAnsi="Times New Roman" w:cs="Times New Roman"/>
                <w:bCs/>
                <w:color w:val="auto"/>
              </w:rPr>
              <w:t>对设施运行过程中可能发生的异常现象和存在的安全隐患，设置合理可行的技术措施，制定严格的操作规程；</w:t>
            </w:r>
          </w:p>
          <w:p>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Cs/>
                <w:color w:val="auto"/>
              </w:rPr>
            </w:pPr>
            <w:r>
              <w:rPr>
                <w:rFonts w:hint="default" w:ascii="Times New Roman" w:hAnsi="Times New Roman" w:cs="Times New Roman"/>
                <w:bCs/>
                <w:color w:val="auto"/>
                <w:lang w:val="en-US" w:eastAsia="zh-CN"/>
              </w:rPr>
              <w:t>c.</w:t>
            </w:r>
            <w:r>
              <w:rPr>
                <w:rFonts w:hint="default" w:ascii="Times New Roman" w:hAnsi="Times New Roman" w:cs="Times New Roman"/>
                <w:bCs/>
                <w:color w:val="auto"/>
              </w:rPr>
              <w:t>实行定期的巡检制度，及时发现问题，尽快解决；</w:t>
            </w:r>
          </w:p>
          <w:p>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Cs/>
                <w:color w:val="auto"/>
              </w:rPr>
            </w:pPr>
            <w:r>
              <w:rPr>
                <w:rFonts w:hint="default" w:ascii="Times New Roman" w:hAnsi="Times New Roman" w:cs="Times New Roman"/>
                <w:bCs/>
                <w:color w:val="auto"/>
                <w:lang w:val="en-US" w:eastAsia="zh-CN"/>
              </w:rPr>
              <w:t>d.</w:t>
            </w:r>
            <w:r>
              <w:rPr>
                <w:rFonts w:hint="default" w:ascii="Times New Roman" w:hAnsi="Times New Roman" w:cs="Times New Roman"/>
                <w:bCs/>
                <w:color w:val="auto"/>
              </w:rPr>
              <w:t>建立健全安全、环境管理体系及高效的安全生产机构，一旦发生事故，要做到快速、高效、安全处置。</w:t>
            </w:r>
          </w:p>
          <w:p>
            <w:pPr>
              <w:pStyle w:val="8"/>
              <w:rPr>
                <w:rFonts w:hint="default" w:ascii="Times New Roman" w:hAnsi="Times New Roman" w:eastAsia="宋体" w:cs="Times New Roman"/>
                <w:bCs/>
                <w:color w:val="auto"/>
                <w:lang w:val="en-US" w:eastAsia="zh-CN"/>
              </w:rPr>
            </w:pPr>
            <w:r>
              <w:rPr>
                <w:rFonts w:hint="default" w:ascii="Times New Roman" w:hAnsi="Times New Roman" w:cs="Times New Roman"/>
                <w:bCs/>
                <w:color w:val="auto"/>
              </w:rPr>
              <w:t>（</w:t>
            </w:r>
            <w:r>
              <w:rPr>
                <w:rFonts w:hint="default" w:ascii="Times New Roman" w:hAnsi="Times New Roman" w:cs="Times New Roman"/>
                <w:bCs/>
                <w:color w:val="auto"/>
                <w:lang w:val="en-US" w:eastAsia="zh-CN"/>
              </w:rPr>
              <w:t>7</w:t>
            </w:r>
            <w:r>
              <w:rPr>
                <w:rFonts w:hint="default" w:ascii="Times New Roman" w:hAnsi="Times New Roman" w:cs="Times New Roman"/>
                <w:bCs/>
                <w:color w:val="auto"/>
              </w:rPr>
              <w:t>）</w:t>
            </w:r>
            <w:r>
              <w:rPr>
                <w:rFonts w:hint="default" w:ascii="Times New Roman" w:hAnsi="Times New Roman" w:cs="Times New Roman"/>
                <w:bCs/>
                <w:color w:val="auto"/>
                <w:lang w:eastAsia="zh-CN"/>
              </w:rPr>
              <w:t>分析结论</w:t>
            </w:r>
          </w:p>
          <w:p>
            <w:pPr>
              <w:pStyle w:val="8"/>
              <w:rPr>
                <w:rFonts w:hint="default" w:ascii="Times New Roman" w:hAnsi="Times New Roman" w:eastAsia="宋体" w:cs="Times New Roman"/>
                <w:bCs/>
                <w:color w:val="auto"/>
                <w:lang w:eastAsia="zh-CN"/>
              </w:rPr>
            </w:pPr>
            <w:r>
              <w:rPr>
                <w:rFonts w:hint="default" w:ascii="Times New Roman" w:hAnsi="Times New Roman" w:cs="Times New Roman"/>
                <w:bCs/>
                <w:color w:val="auto"/>
                <w:lang w:eastAsia="zh-CN"/>
              </w:rPr>
              <w:t>本项目涉及的危险物质为甲醇，对人体的危害途径主要为吸入，项目运营期必须严格按照安全评价要求建设，做好应急预案相关工作，贯彻防治结合、以防为主的安全生产原则，制定和完全落实环境风险防范措施。在采取以上措施后，建设项目环境风险可以防控。</w:t>
            </w:r>
          </w:p>
          <w:p>
            <w:pPr>
              <w:pStyle w:val="8"/>
              <w:rPr>
                <w:rFonts w:hint="default" w:ascii="Times New Roman" w:hAnsi="Times New Roman" w:eastAsia="宋体" w:cs="Times New Roman"/>
                <w:bCs/>
                <w:color w:val="auto"/>
                <w:highlight w:val="yellow"/>
                <w:lang w:val="en-US" w:eastAsia="zh-CN"/>
              </w:rPr>
            </w:pPr>
            <w:r>
              <w:rPr>
                <w:rFonts w:hint="default" w:ascii="Times New Roman" w:hAnsi="Times New Roman" w:cs="Times New Roman"/>
                <w:bCs/>
                <w:color w:val="auto"/>
                <w:lang w:eastAsia="zh-CN"/>
              </w:rPr>
              <w:t>建设项目环境风险</w:t>
            </w:r>
            <w:r>
              <w:rPr>
                <w:rFonts w:hint="default" w:ascii="Times New Roman" w:hAnsi="Times New Roman" w:cs="Times New Roman"/>
                <w:bCs/>
                <w:color w:val="auto"/>
                <w:highlight w:val="none"/>
                <w:lang w:eastAsia="zh-CN"/>
              </w:rPr>
              <w:t>简单分析内容见表</w:t>
            </w:r>
            <w:r>
              <w:rPr>
                <w:rFonts w:hint="default" w:ascii="Times New Roman" w:hAnsi="Times New Roman" w:cs="Times New Roman"/>
                <w:bCs/>
                <w:color w:val="auto"/>
                <w:highlight w:val="none"/>
                <w:lang w:val="en-US" w:eastAsia="zh-CN"/>
              </w:rPr>
              <w:t>7-18。</w:t>
            </w:r>
          </w:p>
          <w:p>
            <w:pPr>
              <w:pStyle w:val="9"/>
              <w:keepNext w:val="0"/>
              <w:keepLines w:val="0"/>
              <w:pageBreakBefore w:val="0"/>
              <w:widowControl w:val="0"/>
              <w:kinsoku/>
              <w:wordWrap/>
              <w:overflowPunct/>
              <w:topLinePunct w:val="0"/>
              <w:autoSpaceDE/>
              <w:autoSpaceDN/>
              <w:bidi w:val="0"/>
              <w:adjustRightInd/>
              <w:snapToGrid/>
              <w:spacing w:before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 xml:space="preserve">表7- </w:t>
            </w:r>
            <w:r>
              <w:rPr>
                <w:rFonts w:hint="default" w:ascii="Times New Roman" w:hAnsi="Times New Roman" w:eastAsia="宋体" w:cs="Times New Roman"/>
                <w:b/>
                <w:bCs/>
                <w:color w:val="auto"/>
                <w:sz w:val="21"/>
                <w:szCs w:val="21"/>
                <w:highlight w:val="none"/>
                <w:lang w:val="en-US" w:eastAsia="zh-CN"/>
              </w:rPr>
              <w:t xml:space="preserve">18  </w:t>
            </w:r>
            <w:r>
              <w:rPr>
                <w:rFonts w:hint="default" w:ascii="Times New Roman" w:hAnsi="Times New Roman" w:eastAsia="宋体" w:cs="Times New Roman"/>
                <w:b/>
                <w:bCs/>
                <w:color w:val="auto"/>
                <w:sz w:val="21"/>
                <w:szCs w:val="21"/>
                <w:highlight w:val="none"/>
                <w:lang w:eastAsia="zh-CN"/>
              </w:rPr>
              <w:t>建设项目环境风险简单分析内容表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1176"/>
              <w:gridCol w:w="1920"/>
              <w:gridCol w:w="1395"/>
              <w:gridCol w:w="1185"/>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5"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eastAsia="zh-CN"/>
                    </w:rPr>
                  </w:pPr>
                  <w:r>
                    <w:rPr>
                      <w:rFonts w:hint="default" w:ascii="Times New Roman" w:hAnsi="Times New Roman" w:cs="Times New Roman"/>
                      <w:bCs/>
                      <w:color w:val="auto"/>
                      <w:sz w:val="21"/>
                      <w:szCs w:val="21"/>
                      <w:vertAlign w:val="baseline"/>
                      <w:lang w:eastAsia="zh-CN"/>
                    </w:rPr>
                    <w:t>建设项目名称</w:t>
                  </w:r>
                </w:p>
              </w:tc>
              <w:tc>
                <w:tcPr>
                  <w:tcW w:w="7147" w:type="dxa"/>
                  <w:gridSpan w:val="5"/>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rPr>
                  </w:pPr>
                  <w:r>
                    <w:rPr>
                      <w:rFonts w:hint="default" w:ascii="Times New Roman" w:hAnsi="Times New Roman" w:cs="Times New Roman"/>
                      <w:bCs/>
                      <w:color w:val="auto"/>
                      <w:sz w:val="21"/>
                      <w:szCs w:val="21"/>
                      <w:vertAlign w:val="baseline"/>
                      <w:lang w:eastAsia="zh-CN"/>
                    </w:rPr>
                    <w:t>纸制品制造项目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5"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eastAsia="zh-CN"/>
                    </w:rPr>
                  </w:pPr>
                  <w:r>
                    <w:rPr>
                      <w:rFonts w:hint="default" w:ascii="Times New Roman" w:hAnsi="Times New Roman" w:cs="Times New Roman"/>
                      <w:bCs/>
                      <w:color w:val="auto"/>
                      <w:sz w:val="21"/>
                      <w:szCs w:val="21"/>
                      <w:vertAlign w:val="baseline"/>
                      <w:lang w:eastAsia="zh-CN"/>
                    </w:rPr>
                    <w:t>建设地点</w:t>
                  </w:r>
                </w:p>
              </w:tc>
              <w:tc>
                <w:tcPr>
                  <w:tcW w:w="1176"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eastAsia="zh-CN"/>
                    </w:rPr>
                  </w:pPr>
                  <w:r>
                    <w:rPr>
                      <w:rFonts w:hint="default" w:ascii="Times New Roman" w:hAnsi="Times New Roman" w:cs="Times New Roman"/>
                      <w:bCs/>
                      <w:color w:val="auto"/>
                      <w:sz w:val="21"/>
                      <w:szCs w:val="21"/>
                      <w:vertAlign w:val="baseline"/>
                      <w:lang w:eastAsia="zh-CN"/>
                    </w:rPr>
                    <w:t>（陕西）省</w:t>
                  </w:r>
                </w:p>
              </w:tc>
              <w:tc>
                <w:tcPr>
                  <w:tcW w:w="1920"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eastAsia="zh-CN"/>
                    </w:rPr>
                  </w:pPr>
                  <w:r>
                    <w:rPr>
                      <w:rFonts w:hint="default" w:ascii="Times New Roman" w:hAnsi="Times New Roman" w:cs="Times New Roman"/>
                      <w:bCs/>
                      <w:color w:val="auto"/>
                      <w:sz w:val="21"/>
                      <w:szCs w:val="21"/>
                      <w:vertAlign w:val="baseline"/>
                      <w:lang w:eastAsia="zh-CN"/>
                    </w:rPr>
                    <w:t>（</w:t>
                  </w:r>
                  <w:r>
                    <w:rPr>
                      <w:rFonts w:hint="default" w:ascii="Times New Roman" w:hAnsi="Times New Roman" w:cs="Times New Roman"/>
                      <w:bCs/>
                      <w:color w:val="auto"/>
                      <w:sz w:val="21"/>
                      <w:szCs w:val="21"/>
                      <w:vertAlign w:val="baseline"/>
                      <w:lang w:val="en-US" w:eastAsia="zh-CN"/>
                    </w:rPr>
                    <w:t>西安</w:t>
                  </w:r>
                  <w:r>
                    <w:rPr>
                      <w:rFonts w:hint="default" w:ascii="Times New Roman" w:hAnsi="Times New Roman" w:cs="Times New Roman"/>
                      <w:bCs/>
                      <w:color w:val="auto"/>
                      <w:sz w:val="21"/>
                      <w:szCs w:val="21"/>
                      <w:vertAlign w:val="baseline"/>
                      <w:lang w:eastAsia="zh-CN"/>
                    </w:rPr>
                    <w:t>）市</w:t>
                  </w:r>
                </w:p>
              </w:tc>
              <w:tc>
                <w:tcPr>
                  <w:tcW w:w="1395"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eastAsia="zh-CN"/>
                    </w:rPr>
                  </w:pPr>
                  <w:r>
                    <w:rPr>
                      <w:rFonts w:hint="default" w:ascii="Times New Roman" w:hAnsi="Times New Roman" w:cs="Times New Roman"/>
                      <w:bCs/>
                      <w:color w:val="auto"/>
                      <w:sz w:val="21"/>
                      <w:szCs w:val="21"/>
                      <w:vertAlign w:val="baseline"/>
                      <w:lang w:eastAsia="zh-CN"/>
                    </w:rPr>
                    <w:t>（灞桥）区</w:t>
                  </w:r>
                </w:p>
              </w:tc>
              <w:tc>
                <w:tcPr>
                  <w:tcW w:w="1185"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eastAsia="zh-CN"/>
                    </w:rPr>
                  </w:pPr>
                  <w:r>
                    <w:rPr>
                      <w:rFonts w:hint="default" w:ascii="Times New Roman" w:hAnsi="Times New Roman" w:cs="Times New Roman"/>
                      <w:bCs/>
                      <w:color w:val="auto"/>
                      <w:sz w:val="21"/>
                      <w:szCs w:val="21"/>
                      <w:vertAlign w:val="baseline"/>
                      <w:lang w:eastAsia="zh-CN"/>
                    </w:rPr>
                    <w:t>（</w:t>
                  </w:r>
                  <w:r>
                    <w:rPr>
                      <w:rFonts w:hint="default" w:ascii="Times New Roman" w:hAnsi="Times New Roman" w:cs="Times New Roman"/>
                      <w:bCs/>
                      <w:color w:val="auto"/>
                      <w:sz w:val="21"/>
                      <w:szCs w:val="21"/>
                      <w:vertAlign w:val="baseline"/>
                      <w:lang w:val="en-US" w:eastAsia="zh-CN"/>
                    </w:rPr>
                    <w:t>/</w:t>
                  </w:r>
                  <w:r>
                    <w:rPr>
                      <w:rFonts w:hint="default" w:ascii="Times New Roman" w:hAnsi="Times New Roman" w:cs="Times New Roman"/>
                      <w:bCs/>
                      <w:color w:val="auto"/>
                      <w:sz w:val="21"/>
                      <w:szCs w:val="21"/>
                      <w:vertAlign w:val="baseline"/>
                      <w:lang w:eastAsia="zh-CN"/>
                    </w:rPr>
                    <w:t>）镇</w:t>
                  </w:r>
                </w:p>
              </w:tc>
              <w:tc>
                <w:tcPr>
                  <w:tcW w:w="1471"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vertAlign w:val="baseline"/>
                      <w:lang w:val="en-US"/>
                    </w:rPr>
                  </w:pPr>
                  <w:r>
                    <w:rPr>
                      <w:rFonts w:hint="default" w:ascii="Times New Roman" w:hAnsi="Times New Roman" w:cs="Times New Roman"/>
                      <w:bCs/>
                      <w:color w:val="auto"/>
                      <w:sz w:val="21"/>
                      <w:szCs w:val="21"/>
                      <w:vertAlign w:val="baseline"/>
                      <w:lang w:eastAsia="zh-CN"/>
                    </w:rPr>
                    <w:t>红旗街道办赵庄村</w:t>
                  </w:r>
                  <w:r>
                    <w:rPr>
                      <w:rFonts w:hint="default" w:ascii="Times New Roman" w:hAnsi="Times New Roman" w:cs="Times New Roman"/>
                      <w:bCs/>
                      <w:color w:val="auto"/>
                      <w:sz w:val="21"/>
                      <w:szCs w:val="21"/>
                      <w:vertAlign w:val="baseline"/>
                      <w:lang w:val="en-US" w:eastAsia="zh-CN"/>
                    </w:rPr>
                    <w:t>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5"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eastAsia="zh-CN"/>
                    </w:rPr>
                  </w:pPr>
                  <w:r>
                    <w:rPr>
                      <w:rFonts w:hint="default" w:ascii="Times New Roman" w:hAnsi="Times New Roman" w:cs="Times New Roman"/>
                      <w:bCs/>
                      <w:color w:val="auto"/>
                      <w:sz w:val="21"/>
                      <w:szCs w:val="21"/>
                      <w:vertAlign w:val="baseline"/>
                      <w:lang w:eastAsia="zh-CN"/>
                    </w:rPr>
                    <w:t>地理坐标</w:t>
                  </w:r>
                </w:p>
              </w:tc>
              <w:tc>
                <w:tcPr>
                  <w:tcW w:w="1176"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eastAsia="zh-CN"/>
                    </w:rPr>
                  </w:pPr>
                  <w:r>
                    <w:rPr>
                      <w:rFonts w:hint="default" w:ascii="Times New Roman" w:hAnsi="Times New Roman" w:cs="Times New Roman"/>
                      <w:bCs/>
                      <w:color w:val="auto"/>
                      <w:sz w:val="21"/>
                      <w:szCs w:val="21"/>
                      <w:vertAlign w:val="baseline"/>
                      <w:lang w:eastAsia="zh-CN"/>
                    </w:rPr>
                    <w:t>经度</w:t>
                  </w:r>
                </w:p>
              </w:tc>
              <w:tc>
                <w:tcPr>
                  <w:tcW w:w="1920"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E109°03'39.31"</w:t>
                  </w:r>
                </w:p>
              </w:tc>
              <w:tc>
                <w:tcPr>
                  <w:tcW w:w="1395"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eastAsia="zh-CN"/>
                    </w:rPr>
                  </w:pPr>
                  <w:r>
                    <w:rPr>
                      <w:rFonts w:hint="default" w:ascii="Times New Roman" w:hAnsi="Times New Roman" w:cs="Times New Roman"/>
                      <w:bCs/>
                      <w:color w:val="auto"/>
                      <w:sz w:val="21"/>
                      <w:szCs w:val="21"/>
                      <w:vertAlign w:val="baseline"/>
                      <w:lang w:eastAsia="zh-CN"/>
                    </w:rPr>
                    <w:t>维度</w:t>
                  </w:r>
                </w:p>
              </w:tc>
              <w:tc>
                <w:tcPr>
                  <w:tcW w:w="2656" w:type="dxa"/>
                  <w:gridSpan w:val="2"/>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N34°11'14.65"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5"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eastAsia="zh-CN"/>
                    </w:rPr>
                  </w:pPr>
                  <w:r>
                    <w:rPr>
                      <w:rFonts w:hint="default" w:ascii="Times New Roman" w:hAnsi="Times New Roman" w:cs="Times New Roman"/>
                      <w:bCs/>
                      <w:color w:val="auto"/>
                      <w:sz w:val="21"/>
                      <w:szCs w:val="21"/>
                      <w:vertAlign w:val="baseline"/>
                      <w:lang w:eastAsia="zh-CN"/>
                    </w:rPr>
                    <w:t>主要危险物质及分布</w:t>
                  </w:r>
                </w:p>
              </w:tc>
              <w:tc>
                <w:tcPr>
                  <w:tcW w:w="7147" w:type="dxa"/>
                  <w:gridSpan w:val="5"/>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eastAsia="zh-CN"/>
                    </w:rPr>
                  </w:pPr>
                  <w:r>
                    <w:rPr>
                      <w:rFonts w:hint="default" w:ascii="Times New Roman" w:hAnsi="Times New Roman" w:cs="Times New Roman"/>
                      <w:bCs/>
                      <w:color w:val="auto"/>
                      <w:sz w:val="21"/>
                      <w:szCs w:val="21"/>
                      <w:vertAlign w:val="baseline"/>
                      <w:lang w:eastAsia="zh-CN"/>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5"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eastAsia="zh-CN"/>
                    </w:rPr>
                  </w:pPr>
                  <w:r>
                    <w:rPr>
                      <w:rFonts w:hint="default" w:ascii="Times New Roman" w:hAnsi="Times New Roman" w:cs="Times New Roman"/>
                      <w:bCs/>
                      <w:color w:val="auto"/>
                      <w:sz w:val="21"/>
                      <w:szCs w:val="21"/>
                      <w:vertAlign w:val="baseline"/>
                      <w:lang w:eastAsia="zh-CN"/>
                    </w:rPr>
                    <w:t>环境影响途径及危害后果（大气、地表水、地下水等）</w:t>
                  </w:r>
                </w:p>
              </w:tc>
              <w:tc>
                <w:tcPr>
                  <w:tcW w:w="7147" w:type="dxa"/>
                  <w:gridSpan w:val="5"/>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eastAsia="zh-CN"/>
                    </w:rPr>
                  </w:pPr>
                  <w:r>
                    <w:rPr>
                      <w:rFonts w:hint="default" w:ascii="Times New Roman" w:hAnsi="Times New Roman" w:eastAsia="宋体" w:cs="Times New Roman"/>
                      <w:bCs/>
                      <w:color w:val="auto"/>
                      <w:sz w:val="21"/>
                      <w:szCs w:val="21"/>
                      <w:vertAlign w:val="baseline"/>
                      <w:lang w:eastAsia="zh-CN"/>
                    </w:rPr>
                    <w:t>气体泄漏后可能发生火灾、爆炸后，物质燃烧会产生一定量的有毒有害物质污染大气环境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5"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eastAsia="zh-CN"/>
                    </w:rPr>
                  </w:pPr>
                  <w:r>
                    <w:rPr>
                      <w:rFonts w:hint="default" w:ascii="Times New Roman" w:hAnsi="Times New Roman" w:cs="Times New Roman"/>
                      <w:bCs/>
                      <w:color w:val="auto"/>
                      <w:sz w:val="21"/>
                      <w:szCs w:val="21"/>
                      <w:vertAlign w:val="baseline"/>
                      <w:lang w:eastAsia="zh-CN"/>
                    </w:rPr>
                    <w:t>风险防范措施要求</w:t>
                  </w:r>
                </w:p>
              </w:tc>
              <w:tc>
                <w:tcPr>
                  <w:tcW w:w="7147" w:type="dxa"/>
                  <w:gridSpan w:val="5"/>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eastAsia="zh-CN"/>
                    </w:rPr>
                  </w:pPr>
                  <w:r>
                    <w:rPr>
                      <w:rFonts w:hint="default" w:ascii="Times New Roman" w:hAnsi="Times New Roman" w:cs="Times New Roman"/>
                      <w:bCs/>
                      <w:color w:val="auto"/>
                      <w:sz w:val="21"/>
                      <w:szCs w:val="21"/>
                      <w:vertAlign w:val="baseline"/>
                      <w:lang w:eastAsia="zh-CN"/>
                    </w:rPr>
                    <w:t>本项目的所有操作人员均应经过培训和严格训练，严格执行操作规程，保证系统处于正常状态。检修部门定期对设备进行检修和检测，保证设备完好。公司主要领导负责全公司的消防、安全、环保工作，并组织安环科及车间专业人员成立事故处理应急小组，指定事故处理的应急预案，并进行定期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5"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eastAsia="zh-CN"/>
                    </w:rPr>
                  </w:pPr>
                  <w:r>
                    <w:rPr>
                      <w:rFonts w:hint="default" w:ascii="Times New Roman" w:hAnsi="Times New Roman" w:cs="Times New Roman"/>
                      <w:bCs/>
                      <w:color w:val="auto"/>
                      <w:sz w:val="21"/>
                      <w:szCs w:val="21"/>
                      <w:vertAlign w:val="baseline"/>
                      <w:lang w:eastAsia="zh-CN"/>
                    </w:rPr>
                    <w:t>填表说明（列出项目相关信息及评价说明）</w:t>
                  </w:r>
                </w:p>
              </w:tc>
              <w:tc>
                <w:tcPr>
                  <w:tcW w:w="7147" w:type="dxa"/>
                  <w:gridSpan w:val="5"/>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vertAlign w:val="baseline"/>
                      <w:lang w:eastAsia="zh-CN"/>
                    </w:rPr>
                  </w:pPr>
                  <w:r>
                    <w:rPr>
                      <w:rFonts w:hint="default" w:ascii="Times New Roman" w:hAnsi="Times New Roman" w:cs="Times New Roman"/>
                      <w:bCs/>
                      <w:color w:val="auto"/>
                      <w:sz w:val="21"/>
                      <w:szCs w:val="21"/>
                      <w:vertAlign w:val="baseline"/>
                      <w:lang w:eastAsia="zh-CN"/>
                    </w:rPr>
                    <w:t>本项目涉及到甲醇的储存。项目环境风险潜势为</w:t>
                  </w:r>
                  <w:r>
                    <w:rPr>
                      <w:rFonts w:hint="default" w:ascii="Times New Roman" w:hAnsi="Times New Roman" w:cs="Times New Roman"/>
                      <w:bCs/>
                      <w:color w:val="auto"/>
                      <w:sz w:val="21"/>
                      <w:szCs w:val="21"/>
                      <w:vertAlign w:val="baseline"/>
                      <w:lang w:val="en-US" w:eastAsia="zh-CN"/>
                    </w:rPr>
                    <w:t>Ⅰ，根据《建设项目环境风险评价技术导则》（HJ169-2018）判定，本项目环境风险评价等级为</w:t>
                  </w:r>
                  <w:r>
                    <w:rPr>
                      <w:rFonts w:hint="default" w:ascii="Times New Roman" w:hAnsi="Times New Roman" w:eastAsia="宋体" w:cs="Times New Roman"/>
                      <w:bCs/>
                      <w:color w:val="auto"/>
                      <w:sz w:val="21"/>
                      <w:szCs w:val="21"/>
                      <w:vertAlign w:val="baseline"/>
                      <w:lang w:val="en-US" w:eastAsia="zh-CN"/>
                    </w:rPr>
                    <w:t>“简单分析”</w:t>
                  </w:r>
                  <w:r>
                    <w:rPr>
                      <w:rFonts w:hint="default" w:ascii="Times New Roman" w:hAnsi="Times New Roman" w:cs="Times New Roman"/>
                      <w:bCs/>
                      <w:color w:val="auto"/>
                      <w:sz w:val="21"/>
                      <w:szCs w:val="21"/>
                      <w:vertAlign w:val="baseline"/>
                      <w:lang w:val="en-US" w:eastAsia="zh-CN"/>
                    </w:rPr>
                    <w:t>。</w:t>
                  </w:r>
                </w:p>
              </w:tc>
            </w:tr>
          </w:tbl>
          <w:p>
            <w:pPr>
              <w:ind w:firstLine="482"/>
              <w:rPr>
                <w:rFonts w:hint="default" w:ascii="Times New Roman" w:hAnsi="Times New Roman" w:cs="Times New Roman"/>
                <w:b/>
                <w:bCs/>
                <w:color w:val="auto"/>
              </w:rPr>
            </w:pPr>
            <w:r>
              <w:rPr>
                <w:rFonts w:hint="default" w:ascii="Times New Roman" w:hAnsi="Times New Roman" w:cs="Times New Roman"/>
                <w:b/>
                <w:bCs/>
                <w:color w:val="auto"/>
                <w:lang w:val="en-US" w:eastAsia="zh-CN"/>
              </w:rPr>
              <w:t>7</w:t>
            </w:r>
            <w:r>
              <w:rPr>
                <w:rFonts w:hint="default" w:ascii="Times New Roman" w:hAnsi="Times New Roman" w:cs="Times New Roman"/>
                <w:b/>
                <w:bCs/>
                <w:color w:val="auto"/>
              </w:rPr>
              <w:t>、环境管理与监测计划</w:t>
            </w:r>
          </w:p>
          <w:p>
            <w:pPr>
              <w:rPr>
                <w:rFonts w:hint="default" w:ascii="Times New Roman" w:hAnsi="Times New Roman" w:cs="Times New Roman"/>
                <w:color w:val="auto"/>
              </w:rPr>
            </w:pPr>
            <w:r>
              <w:rPr>
                <w:rFonts w:hint="default" w:ascii="Times New Roman" w:hAnsi="Times New Roman" w:cs="Times New Roman"/>
                <w:color w:val="auto"/>
              </w:rPr>
              <w:t>（1）环境管理</w:t>
            </w:r>
          </w:p>
          <w:p>
            <w:pPr>
              <w:rPr>
                <w:rFonts w:hint="default" w:ascii="Times New Roman" w:hAnsi="Times New Roman" w:cs="Times New Roman"/>
                <w:color w:val="auto"/>
              </w:rPr>
            </w:pPr>
            <w:r>
              <w:rPr>
                <w:rFonts w:hint="default" w:ascii="Times New Roman" w:hAnsi="Times New Roman" w:cs="Times New Roman"/>
                <w:color w:val="auto"/>
              </w:rPr>
              <w:t>项目的污染物排放水平与环境管理水平密切相关，因此在采取环境保护工程措施的同时，必须加强环境管理。</w:t>
            </w:r>
          </w:p>
          <w:p>
            <w:pPr>
              <w:rPr>
                <w:rFonts w:hint="default" w:ascii="Times New Roman" w:hAnsi="Times New Roman" w:cs="Times New Roman"/>
                <w:color w:val="auto"/>
              </w:rPr>
            </w:pPr>
            <w:r>
              <w:rPr>
                <w:rFonts w:hint="default" w:ascii="Times New Roman" w:hAnsi="Times New Roman" w:cs="Times New Roman"/>
                <w:color w:val="auto"/>
              </w:rPr>
              <w:t>a、贯彻执行国家和地方各项环保方针、政策和法规，将环境指标纳入运营计划指标，建立公司内部的环境保护机构，制订与其相适应的管理规章制度及细则；</w:t>
            </w:r>
          </w:p>
          <w:p>
            <w:pPr>
              <w:rPr>
                <w:rFonts w:hint="default" w:ascii="Times New Roman" w:hAnsi="Times New Roman" w:cs="Times New Roman"/>
                <w:color w:val="auto"/>
              </w:rPr>
            </w:pPr>
            <w:r>
              <w:rPr>
                <w:rFonts w:hint="default" w:ascii="Times New Roman" w:hAnsi="Times New Roman" w:cs="Times New Roman"/>
                <w:color w:val="auto"/>
              </w:rPr>
              <w:t>b、加强对职工的环保教育，包括业务能力、环保管理知识的教育，以增强他们的环保意识，提高管理水平；</w:t>
            </w:r>
          </w:p>
          <w:p>
            <w:pPr>
              <w:rPr>
                <w:rFonts w:hint="default" w:ascii="Times New Roman" w:hAnsi="Times New Roman" w:cs="Times New Roman"/>
                <w:color w:val="auto"/>
              </w:rPr>
            </w:pPr>
            <w:r>
              <w:rPr>
                <w:rFonts w:hint="default" w:ascii="Times New Roman" w:hAnsi="Times New Roman" w:cs="Times New Roman"/>
                <w:color w:val="auto"/>
              </w:rPr>
              <w:t>c、建立公司设备维护、维修制度，定期检查各设备运行情况，杜绝事故发生。</w:t>
            </w:r>
          </w:p>
          <w:p>
            <w:pPr>
              <w:rPr>
                <w:rFonts w:hint="default" w:ascii="Times New Roman" w:hAnsi="Times New Roman" w:cs="Times New Roman"/>
                <w:color w:val="auto"/>
              </w:rPr>
            </w:pPr>
            <w:r>
              <w:rPr>
                <w:rFonts w:hint="default" w:ascii="Times New Roman" w:hAnsi="Times New Roman" w:cs="Times New Roman"/>
                <w:color w:val="auto"/>
              </w:rPr>
              <w:t>项目运营期污染物排放清单及污染物排放管理要求如下：</w:t>
            </w:r>
          </w:p>
          <w:p>
            <w:pPr>
              <w:pStyle w:val="9"/>
              <w:spacing w:beforeLines="0"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表7- </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9</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污染物排放清单及管理要求</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74"/>
              <w:gridCol w:w="869"/>
              <w:gridCol w:w="2251"/>
              <w:gridCol w:w="1665"/>
              <w:gridCol w:w="2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426" w:type="dxa"/>
                  <w:noWrap w:val="0"/>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类别</w:t>
                  </w:r>
                </w:p>
              </w:tc>
              <w:tc>
                <w:tcPr>
                  <w:tcW w:w="874" w:type="dxa"/>
                  <w:noWrap w:val="0"/>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污染源</w:t>
                  </w:r>
                </w:p>
              </w:tc>
              <w:tc>
                <w:tcPr>
                  <w:tcW w:w="869" w:type="dxa"/>
                  <w:noWrap w:val="0"/>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污染物</w:t>
                  </w:r>
                </w:p>
              </w:tc>
              <w:tc>
                <w:tcPr>
                  <w:tcW w:w="2251" w:type="dxa"/>
                  <w:noWrap w:val="0"/>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排放浓度/排放量</w:t>
                  </w:r>
                </w:p>
              </w:tc>
              <w:tc>
                <w:tcPr>
                  <w:tcW w:w="1665" w:type="dxa"/>
                  <w:noWrap w:val="0"/>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环保措施</w:t>
                  </w:r>
                </w:p>
              </w:tc>
              <w:tc>
                <w:tcPr>
                  <w:tcW w:w="2737" w:type="dxa"/>
                  <w:noWrap w:val="0"/>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35" w:hRule="atLeast"/>
              </w:trPr>
              <w:tc>
                <w:tcPr>
                  <w:tcW w:w="426" w:type="dxa"/>
                  <w:vMerge w:val="restart"/>
                  <w:noWrap w:val="0"/>
                  <w:vAlign w:val="center"/>
                </w:tcPr>
                <w:p>
                  <w:pPr>
                    <w:pStyle w:val="79"/>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废气</w:t>
                  </w:r>
                </w:p>
              </w:tc>
              <w:tc>
                <w:tcPr>
                  <w:tcW w:w="874" w:type="dxa"/>
                  <w:noWrap w:val="0"/>
                  <w:vAlign w:val="center"/>
                </w:tcPr>
                <w:p>
                  <w:pPr>
                    <w:pStyle w:val="79"/>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印刷</w:t>
                  </w:r>
                </w:p>
              </w:tc>
              <w:tc>
                <w:tcPr>
                  <w:tcW w:w="869" w:type="dxa"/>
                  <w:vMerge w:val="restart"/>
                  <w:noWrap w:val="0"/>
                  <w:vAlign w:val="center"/>
                </w:tcPr>
                <w:p>
                  <w:pPr>
                    <w:pStyle w:val="19"/>
                    <w:rPr>
                      <w:rFonts w:hint="default" w:ascii="Times New Roman" w:hAnsi="Times New Roman" w:cs="Times New Roman"/>
                      <w:b w:val="0"/>
                      <w:bCs/>
                      <w:color w:val="auto"/>
                    </w:rPr>
                  </w:pPr>
                  <w:r>
                    <w:rPr>
                      <w:rFonts w:hint="default" w:ascii="Times New Roman" w:hAnsi="Times New Roman" w:cs="Times New Roman"/>
                      <w:b w:val="0"/>
                      <w:bCs/>
                      <w:color w:val="auto"/>
                    </w:rPr>
                    <w:t>非甲烷总烃</w:t>
                  </w:r>
                </w:p>
              </w:tc>
              <w:tc>
                <w:tcPr>
                  <w:tcW w:w="2251" w:type="dxa"/>
                  <w:noWrap w:val="0"/>
                  <w:vAlign w:val="center"/>
                </w:tcPr>
                <w:p>
                  <w:pPr>
                    <w:pStyle w:val="79"/>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有组织排放：</w:t>
                  </w:r>
                  <w:r>
                    <w:rPr>
                      <w:rFonts w:hint="eastAsia" w:ascii="Times New Roman" w:hAnsi="Times New Roman" w:cs="Times New Roman"/>
                      <w:b w:val="0"/>
                      <w:bCs/>
                      <w:color w:val="auto"/>
                      <w:lang w:val="en-US" w:eastAsia="zh-CN"/>
                    </w:rPr>
                    <w:t>16.16</w:t>
                  </w:r>
                  <w:r>
                    <w:rPr>
                      <w:rFonts w:hint="default" w:ascii="Times New Roman" w:hAnsi="Times New Roman" w:cs="Times New Roman"/>
                      <w:b w:val="0"/>
                      <w:bCs/>
                      <w:color w:val="auto"/>
                    </w:rPr>
                    <w:t>mg/m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，0.</w:t>
                  </w:r>
                  <w:r>
                    <w:rPr>
                      <w:rFonts w:hint="eastAsia" w:ascii="Times New Roman" w:hAnsi="Times New Roman" w:cs="Times New Roman"/>
                      <w:b w:val="0"/>
                      <w:bCs/>
                      <w:color w:val="auto"/>
                      <w:lang w:val="en-US" w:eastAsia="zh-CN"/>
                    </w:rPr>
                    <w:t>194</w:t>
                  </w:r>
                  <w:r>
                    <w:rPr>
                      <w:rFonts w:hint="default" w:ascii="Times New Roman" w:hAnsi="Times New Roman" w:cs="Times New Roman"/>
                      <w:b w:val="0"/>
                      <w:bCs/>
                      <w:color w:val="auto"/>
                    </w:rPr>
                    <w:t>t/a</w:t>
                  </w:r>
                  <w:r>
                    <w:rPr>
                      <w:rFonts w:hint="default" w:ascii="Times New Roman" w:hAnsi="Times New Roman" w:cs="Times New Roman"/>
                      <w:b w:val="0"/>
                      <w:bCs/>
                      <w:color w:val="auto"/>
                      <w:lang w:eastAsia="zh-CN"/>
                    </w:rPr>
                    <w:t>；</w:t>
                  </w:r>
                </w:p>
                <w:p>
                  <w:pPr>
                    <w:pStyle w:val="79"/>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eastAsia="zh-CN"/>
                    </w:rPr>
                    <w:t>无组织排放：</w:t>
                  </w:r>
                  <w:r>
                    <w:rPr>
                      <w:rFonts w:hint="default" w:ascii="Times New Roman" w:hAnsi="Times New Roman" w:cs="Times New Roman"/>
                      <w:b w:val="0"/>
                      <w:bCs/>
                      <w:color w:val="auto"/>
                      <w:lang w:val="en-US" w:eastAsia="zh-CN"/>
                    </w:rPr>
                    <w:t>0.108t/a</w:t>
                  </w:r>
                </w:p>
              </w:tc>
              <w:tc>
                <w:tcPr>
                  <w:tcW w:w="1665" w:type="dxa"/>
                  <w:vMerge w:val="restart"/>
                  <w:noWrap w:val="0"/>
                  <w:vAlign w:val="center"/>
                </w:tcPr>
                <w:p>
                  <w:pPr>
                    <w:pStyle w:val="79"/>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sz w:val="21"/>
                      <w:szCs w:val="21"/>
                      <w:lang w:eastAsia="zh-CN"/>
                    </w:rPr>
                    <w:t>印刷</w:t>
                  </w:r>
                  <w:r>
                    <w:rPr>
                      <w:rFonts w:hint="eastAsia" w:ascii="Times New Roman" w:hAnsi="Times New Roman" w:cs="Times New Roman"/>
                      <w:b w:val="0"/>
                      <w:bCs/>
                      <w:color w:val="auto"/>
                      <w:sz w:val="21"/>
                      <w:szCs w:val="21"/>
                      <w:lang w:eastAsia="zh-CN"/>
                    </w:rPr>
                    <w:t>产生的</w:t>
                  </w:r>
                  <w:r>
                    <w:rPr>
                      <w:rFonts w:hint="default" w:ascii="Times New Roman" w:hAnsi="Times New Roman" w:cs="Times New Roman"/>
                      <w:b w:val="0"/>
                      <w:bCs/>
                      <w:color w:val="auto"/>
                      <w:sz w:val="21"/>
                      <w:szCs w:val="21"/>
                      <w:lang w:eastAsia="zh-CN"/>
                    </w:rPr>
                    <w:t>有机废气</w:t>
                  </w:r>
                  <w:r>
                    <w:rPr>
                      <w:rFonts w:hint="eastAsia" w:ascii="Times New Roman" w:hAnsi="Times New Roman" w:cs="Times New Roman"/>
                      <w:b w:val="0"/>
                      <w:bCs/>
                      <w:color w:val="auto"/>
                      <w:sz w:val="21"/>
                      <w:szCs w:val="21"/>
                      <w:lang w:eastAsia="zh-CN"/>
                    </w:rPr>
                    <w:t>经集气罩收集后</w:t>
                  </w:r>
                  <w:r>
                    <w:rPr>
                      <w:rFonts w:hint="default" w:ascii="Times New Roman" w:hAnsi="Times New Roman" w:cs="Times New Roman"/>
                      <w:b w:val="0"/>
                      <w:bCs/>
                      <w:color w:val="auto"/>
                      <w:sz w:val="21"/>
                      <w:szCs w:val="21"/>
                      <w:lang w:eastAsia="zh-CN"/>
                    </w:rPr>
                    <w:t>和</w:t>
                  </w:r>
                  <w:r>
                    <w:rPr>
                      <w:rFonts w:hint="eastAsia" w:cs="Times New Roman"/>
                      <w:b w:val="0"/>
                      <w:bCs/>
                      <w:color w:val="auto"/>
                      <w:sz w:val="21"/>
                      <w:szCs w:val="21"/>
                      <w:lang w:eastAsia="zh-CN"/>
                    </w:rPr>
                    <w:t>手工粘合</w:t>
                  </w:r>
                  <w:r>
                    <w:rPr>
                      <w:rFonts w:hint="default" w:ascii="Times New Roman" w:hAnsi="Times New Roman" w:cs="Times New Roman"/>
                      <w:b w:val="0"/>
                      <w:bCs/>
                      <w:color w:val="auto"/>
                      <w:sz w:val="21"/>
                      <w:szCs w:val="21"/>
                      <w:lang w:eastAsia="zh-CN"/>
                    </w:rPr>
                    <w:t>环节产生的有机废气经</w:t>
                  </w:r>
                  <w:r>
                    <w:rPr>
                      <w:rFonts w:hint="eastAsia" w:ascii="Times New Roman" w:hAnsi="Times New Roman" w:cs="Times New Roman"/>
                      <w:b w:val="0"/>
                      <w:bCs/>
                      <w:color w:val="auto"/>
                      <w:sz w:val="21"/>
                      <w:szCs w:val="21"/>
                      <w:lang w:eastAsia="zh-CN"/>
                    </w:rPr>
                    <w:t>密闭厂房抽风系统收集，最终一起经</w:t>
                  </w:r>
                  <w:r>
                    <w:rPr>
                      <w:rFonts w:hint="default" w:ascii="Times New Roman" w:hAnsi="Times New Roman" w:cs="Times New Roman"/>
                      <w:b w:val="0"/>
                      <w:bCs/>
                      <w:color w:val="auto"/>
                      <w:sz w:val="21"/>
                      <w:szCs w:val="21"/>
                      <w:lang w:val="en-US" w:eastAsia="zh-CN"/>
                    </w:rPr>
                    <w:t>活性炭吸附后通过15m排气筒</w:t>
                  </w:r>
                  <w:r>
                    <w:rPr>
                      <w:rFonts w:hint="default" w:ascii="Times New Roman" w:hAnsi="Times New Roman" w:cs="Times New Roman"/>
                      <w:b w:val="0"/>
                      <w:bCs/>
                      <w:color w:val="auto"/>
                      <w:sz w:val="21"/>
                      <w:szCs w:val="21"/>
                      <w:lang w:eastAsia="zh-CN"/>
                    </w:rPr>
                    <w:t>达标排放</w:t>
                  </w:r>
                </w:p>
              </w:tc>
              <w:tc>
                <w:tcPr>
                  <w:tcW w:w="2737" w:type="dxa"/>
                  <w:vMerge w:val="restart"/>
                  <w:noWrap w:val="0"/>
                  <w:vAlign w:val="center"/>
                </w:tcPr>
                <w:p>
                  <w:pPr>
                    <w:pStyle w:val="79"/>
                    <w:rPr>
                      <w:rFonts w:hint="default" w:ascii="Times New Roman" w:hAnsi="Times New Roman" w:cs="Times New Roman"/>
                      <w:b w:val="0"/>
                      <w:bCs/>
                      <w:color w:val="auto"/>
                      <w:sz w:val="24"/>
                      <w:szCs w:val="24"/>
                    </w:rPr>
                  </w:pPr>
                  <w:r>
                    <w:rPr>
                      <w:rFonts w:hint="default" w:ascii="Times New Roman" w:hAnsi="Times New Roman" w:cs="Times New Roman"/>
                      <w:b w:val="0"/>
                      <w:bCs/>
                      <w:color w:val="auto"/>
                    </w:rPr>
                    <w:t>《</w:t>
                  </w:r>
                  <w:r>
                    <w:rPr>
                      <w:rFonts w:hint="default" w:ascii="Times New Roman" w:hAnsi="Times New Roman" w:cs="Times New Roman"/>
                      <w:b w:val="0"/>
                      <w:bCs/>
                      <w:color w:val="auto"/>
                      <w:lang w:eastAsia="zh-CN"/>
                    </w:rPr>
                    <w:t>挥发性有机物排放控制标准</w:t>
                  </w:r>
                  <w:r>
                    <w:rPr>
                      <w:rFonts w:hint="default" w:ascii="Times New Roman" w:hAnsi="Times New Roman" w:cs="Times New Roman"/>
                      <w:b w:val="0"/>
                      <w:bCs/>
                      <w:color w:val="auto"/>
                    </w:rPr>
                    <w:t>》（</w:t>
                  </w:r>
                  <w:r>
                    <w:rPr>
                      <w:rFonts w:hint="default" w:ascii="Times New Roman" w:hAnsi="Times New Roman" w:cs="Times New Roman"/>
                      <w:b w:val="0"/>
                      <w:bCs/>
                      <w:color w:val="auto"/>
                      <w:lang w:val="en-US" w:eastAsia="zh-CN"/>
                    </w:rPr>
                    <w:t>DB61/T1061-2017</w:t>
                  </w:r>
                  <w:r>
                    <w:rPr>
                      <w:rFonts w:hint="default" w:ascii="Times New Roman" w:hAnsi="Times New Roman" w:cs="Times New Roman"/>
                      <w:b w:val="0"/>
                      <w:bCs/>
                      <w:color w:val="auto"/>
                    </w:rPr>
                    <w:t>）</w:t>
                  </w:r>
                  <w:r>
                    <w:rPr>
                      <w:rFonts w:hint="default" w:ascii="Times New Roman" w:hAnsi="Times New Roman" w:cs="Times New Roman"/>
                      <w:b w:val="0"/>
                      <w:bCs/>
                      <w:color w:val="auto"/>
                      <w:lang w:eastAsia="zh-CN"/>
                    </w:rPr>
                    <w:t>表</w:t>
                  </w:r>
                  <w:r>
                    <w:rPr>
                      <w:rFonts w:hint="default" w:ascii="Times New Roman" w:hAnsi="Times New Roman" w:cs="Times New Roman"/>
                      <w:b w:val="0"/>
                      <w:bCs/>
                      <w:color w:val="auto"/>
                      <w:lang w:val="en-US" w:eastAsia="zh-CN"/>
                    </w:rPr>
                    <w:t>1</w:t>
                  </w:r>
                  <w:r>
                    <w:rPr>
                      <w:rFonts w:hint="default" w:ascii="Times New Roman" w:hAnsi="Times New Roman" w:cs="Times New Roman"/>
                      <w:b w:val="0"/>
                      <w:bCs/>
                      <w:color w:val="auto"/>
                    </w:rPr>
                    <w:t>中</w:t>
                  </w:r>
                  <w:r>
                    <w:rPr>
                      <w:rFonts w:hint="default" w:ascii="Times New Roman" w:hAnsi="Times New Roman" w:cs="Times New Roman"/>
                      <w:b w:val="0"/>
                      <w:bCs/>
                      <w:color w:val="auto"/>
                      <w:lang w:eastAsia="zh-CN"/>
                    </w:rPr>
                    <w:t>的印刷行业的有组织排放浓度限值、</w:t>
                  </w:r>
                  <w:r>
                    <w:rPr>
                      <w:rFonts w:hint="default" w:ascii="Times New Roman" w:hAnsi="Times New Roman" w:cs="Times New Roman"/>
                      <w:b w:val="0"/>
                      <w:bCs/>
                      <w:color w:val="auto"/>
                      <w:lang w:val="en-US" w:eastAsia="zh-CN"/>
                    </w:rPr>
                    <w:t>表3中的企业边界监控点浓度限值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35" w:hRule="atLeast"/>
              </w:trPr>
              <w:tc>
                <w:tcPr>
                  <w:tcW w:w="426" w:type="dxa"/>
                  <w:vMerge w:val="continue"/>
                  <w:noWrap w:val="0"/>
                  <w:vAlign w:val="center"/>
                </w:tcPr>
                <w:p>
                  <w:pPr>
                    <w:pStyle w:val="79"/>
                    <w:rPr>
                      <w:rFonts w:hint="default" w:ascii="Times New Roman" w:hAnsi="Times New Roman" w:cs="Times New Roman"/>
                      <w:b w:val="0"/>
                      <w:bCs/>
                      <w:color w:val="auto"/>
                      <w:lang w:eastAsia="zh-CN"/>
                    </w:rPr>
                  </w:pPr>
                </w:p>
              </w:tc>
              <w:tc>
                <w:tcPr>
                  <w:tcW w:w="874" w:type="dxa"/>
                  <w:noWrap w:val="0"/>
                  <w:vAlign w:val="center"/>
                </w:tcPr>
                <w:p>
                  <w:pPr>
                    <w:pStyle w:val="79"/>
                    <w:rPr>
                      <w:rFonts w:hint="default" w:ascii="Times New Roman" w:hAnsi="Times New Roman" w:cs="Times New Roman"/>
                      <w:b w:val="0"/>
                      <w:bCs/>
                      <w:color w:val="auto"/>
                      <w:lang w:eastAsia="zh-CN"/>
                    </w:rPr>
                  </w:pPr>
                  <w:r>
                    <w:rPr>
                      <w:rFonts w:hint="eastAsia" w:cs="Times New Roman"/>
                      <w:b w:val="0"/>
                      <w:bCs/>
                      <w:color w:val="auto"/>
                      <w:lang w:eastAsia="zh-CN"/>
                    </w:rPr>
                    <w:t>手工粘合</w:t>
                  </w:r>
                </w:p>
              </w:tc>
              <w:tc>
                <w:tcPr>
                  <w:tcW w:w="869" w:type="dxa"/>
                  <w:vMerge w:val="continue"/>
                  <w:noWrap w:val="0"/>
                  <w:vAlign w:val="center"/>
                </w:tcPr>
                <w:p>
                  <w:pPr>
                    <w:pStyle w:val="19"/>
                    <w:rPr>
                      <w:rFonts w:hint="default" w:ascii="Times New Roman" w:hAnsi="Times New Roman" w:cs="Times New Roman"/>
                      <w:b w:val="0"/>
                      <w:bCs/>
                      <w:color w:val="auto"/>
                    </w:rPr>
                  </w:pPr>
                </w:p>
              </w:tc>
              <w:tc>
                <w:tcPr>
                  <w:tcW w:w="2251" w:type="dxa"/>
                  <w:noWrap w:val="0"/>
                  <w:vAlign w:val="center"/>
                </w:tcPr>
                <w:p>
                  <w:pPr>
                    <w:pStyle w:val="79"/>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有组织排放：</w:t>
                  </w:r>
                  <w:r>
                    <w:rPr>
                      <w:rFonts w:hint="eastAsia" w:ascii="Times New Roman" w:hAnsi="Times New Roman" w:cs="Times New Roman"/>
                      <w:b w:val="0"/>
                      <w:bCs/>
                      <w:color w:val="auto"/>
                      <w:lang w:val="en-US" w:eastAsia="zh-CN"/>
                    </w:rPr>
                    <w:t>1.83</w:t>
                  </w:r>
                  <w:r>
                    <w:rPr>
                      <w:rFonts w:hint="default" w:ascii="Times New Roman" w:hAnsi="Times New Roman" w:cs="Times New Roman"/>
                      <w:b w:val="0"/>
                      <w:bCs/>
                      <w:color w:val="auto"/>
                    </w:rPr>
                    <w:t>mg/m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，0.</w:t>
                  </w:r>
                  <w:r>
                    <w:rPr>
                      <w:rFonts w:hint="default" w:ascii="Times New Roman" w:hAnsi="Times New Roman" w:cs="Times New Roman"/>
                      <w:b w:val="0"/>
                      <w:bCs/>
                      <w:color w:val="auto"/>
                      <w:lang w:val="en-US" w:eastAsia="zh-CN"/>
                    </w:rPr>
                    <w:t>0</w:t>
                  </w:r>
                  <w:r>
                    <w:rPr>
                      <w:rFonts w:hint="eastAsia" w:ascii="Times New Roman" w:hAnsi="Times New Roman" w:cs="Times New Roman"/>
                      <w:b w:val="0"/>
                      <w:bCs/>
                      <w:color w:val="auto"/>
                      <w:lang w:val="en-US" w:eastAsia="zh-CN"/>
                    </w:rPr>
                    <w:t>22</w:t>
                  </w:r>
                  <w:r>
                    <w:rPr>
                      <w:rFonts w:hint="default" w:ascii="Times New Roman" w:hAnsi="Times New Roman" w:cs="Times New Roman"/>
                      <w:b w:val="0"/>
                      <w:bCs/>
                      <w:color w:val="auto"/>
                    </w:rPr>
                    <w:t>t/a</w:t>
                  </w:r>
                  <w:r>
                    <w:rPr>
                      <w:rFonts w:hint="default" w:ascii="Times New Roman" w:hAnsi="Times New Roman" w:cs="Times New Roman"/>
                      <w:b w:val="0"/>
                      <w:bCs/>
                      <w:color w:val="auto"/>
                      <w:lang w:eastAsia="zh-CN"/>
                    </w:rPr>
                    <w:t>；</w:t>
                  </w:r>
                </w:p>
                <w:p>
                  <w:pPr>
                    <w:pStyle w:val="79"/>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eastAsia="zh-CN"/>
                    </w:rPr>
                    <w:t>无组织排放：</w:t>
                  </w:r>
                  <w:r>
                    <w:rPr>
                      <w:rFonts w:hint="default" w:ascii="Times New Roman" w:hAnsi="Times New Roman" w:cs="Times New Roman"/>
                      <w:b w:val="0"/>
                      <w:bCs/>
                      <w:color w:val="auto"/>
                      <w:lang w:val="en-US" w:eastAsia="zh-CN"/>
                    </w:rPr>
                    <w:t>0.012t/a</w:t>
                  </w:r>
                </w:p>
              </w:tc>
              <w:tc>
                <w:tcPr>
                  <w:tcW w:w="1665" w:type="dxa"/>
                  <w:vMerge w:val="continue"/>
                  <w:noWrap w:val="0"/>
                  <w:vAlign w:val="center"/>
                </w:tcPr>
                <w:p>
                  <w:pPr>
                    <w:pStyle w:val="79"/>
                    <w:rPr>
                      <w:rFonts w:hint="default" w:ascii="Times New Roman" w:hAnsi="Times New Roman" w:eastAsia="宋体" w:cs="Times New Roman"/>
                      <w:b w:val="0"/>
                      <w:bCs/>
                      <w:color w:val="auto"/>
                      <w:lang w:val="en-US" w:eastAsia="zh-CN"/>
                    </w:rPr>
                  </w:pPr>
                </w:p>
              </w:tc>
              <w:tc>
                <w:tcPr>
                  <w:tcW w:w="2737" w:type="dxa"/>
                  <w:vMerge w:val="continue"/>
                  <w:noWrap w:val="0"/>
                  <w:vAlign w:val="center"/>
                </w:tcPr>
                <w:p>
                  <w:pPr>
                    <w:pStyle w:val="79"/>
                    <w:rPr>
                      <w:rFonts w:hint="default" w:ascii="Times New Roman" w:hAnsi="Times New Roman" w:cs="Times New Roman"/>
                      <w:b w:val="0"/>
                      <w:b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7" w:hRule="atLeast"/>
              </w:trPr>
              <w:tc>
                <w:tcPr>
                  <w:tcW w:w="426" w:type="dxa"/>
                  <w:vMerge w:val="restart"/>
                  <w:noWrap w:val="0"/>
                  <w:vAlign w:val="center"/>
                </w:tcPr>
                <w:p>
                  <w:pPr>
                    <w:pStyle w:val="79"/>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废水</w:t>
                  </w:r>
                </w:p>
              </w:tc>
              <w:tc>
                <w:tcPr>
                  <w:tcW w:w="874" w:type="dxa"/>
                  <w:vMerge w:val="restart"/>
                  <w:noWrap w:val="0"/>
                  <w:vAlign w:val="center"/>
                </w:tcPr>
                <w:p>
                  <w:pPr>
                    <w:pStyle w:val="79"/>
                    <w:rPr>
                      <w:rFonts w:hint="default" w:ascii="Times New Roman" w:hAnsi="Times New Roman" w:eastAsia="宋体" w:cs="Times New Roman"/>
                      <w:b w:val="0"/>
                      <w:bCs/>
                      <w:color w:val="auto"/>
                      <w:lang w:eastAsia="zh-CN"/>
                    </w:rPr>
                  </w:pPr>
                  <w:r>
                    <w:rPr>
                      <w:rFonts w:hint="default" w:ascii="Times New Roman" w:hAnsi="Times New Roman" w:eastAsia="宋体" w:cs="Times New Roman"/>
                      <w:b w:val="0"/>
                      <w:bCs/>
                      <w:color w:val="auto"/>
                      <w:lang w:eastAsia="zh-CN"/>
                    </w:rPr>
                    <w:t>生活污水</w:t>
                  </w:r>
                  <w:r>
                    <w:rPr>
                      <w:rFonts w:hint="default" w:ascii="Times New Roman" w:hAnsi="Times New Roman" w:eastAsia="宋体" w:cs="Times New Roman"/>
                      <w:b w:val="0"/>
                      <w:bCs/>
                      <w:color w:val="auto"/>
                      <w:lang w:val="en-US" w:eastAsia="zh-CN"/>
                    </w:rPr>
                    <w:t>+食堂餐饮废水</w:t>
                  </w:r>
                </w:p>
              </w:tc>
              <w:tc>
                <w:tcPr>
                  <w:tcW w:w="869" w:type="dxa"/>
                  <w:noWrap w:val="0"/>
                  <w:vAlign w:val="center"/>
                </w:tcPr>
                <w:p>
                  <w:pPr>
                    <w:pStyle w:val="19"/>
                    <w:adjustRightInd/>
                    <w:snapToGrid/>
                    <w:ind w:firstLine="0" w:firstLineChars="0"/>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废水量</w:t>
                  </w:r>
                </w:p>
              </w:tc>
              <w:tc>
                <w:tcPr>
                  <w:tcW w:w="2251" w:type="dxa"/>
                  <w:noWrap w:val="0"/>
                  <w:vAlign w:val="center"/>
                </w:tcPr>
                <w:p>
                  <w:pPr>
                    <w:pStyle w:val="19"/>
                    <w:adjustRightInd/>
                    <w:snapToGrid/>
                    <w:ind w:firstLine="0" w:firstLineChars="0"/>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918</w:t>
                  </w:r>
                  <w:r>
                    <w:rPr>
                      <w:rFonts w:hint="default" w:ascii="Times New Roman" w:hAnsi="Times New Roman" w:eastAsia="宋体" w:cs="Times New Roman"/>
                      <w:b w:val="0"/>
                      <w:bCs/>
                      <w:color w:val="auto"/>
                      <w:sz w:val="21"/>
                      <w:szCs w:val="21"/>
                      <w:lang w:eastAsia="zh-CN"/>
                    </w:rPr>
                    <w:t>m</w:t>
                  </w:r>
                  <w:r>
                    <w:rPr>
                      <w:rFonts w:hint="default" w:ascii="Times New Roman" w:hAnsi="Times New Roman" w:eastAsia="宋体" w:cs="Times New Roman"/>
                      <w:b w:val="0"/>
                      <w:bCs/>
                      <w:color w:val="auto"/>
                      <w:sz w:val="21"/>
                      <w:szCs w:val="21"/>
                      <w:vertAlign w:val="superscript"/>
                      <w:lang w:eastAsia="zh-CN"/>
                    </w:rPr>
                    <w:t>3</w:t>
                  </w:r>
                  <w:r>
                    <w:rPr>
                      <w:rFonts w:hint="default" w:ascii="Times New Roman" w:hAnsi="Times New Roman" w:eastAsia="宋体" w:cs="Times New Roman"/>
                      <w:b w:val="0"/>
                      <w:bCs/>
                      <w:color w:val="auto"/>
                      <w:sz w:val="21"/>
                      <w:szCs w:val="21"/>
                      <w:lang w:eastAsia="zh-CN"/>
                    </w:rPr>
                    <w:t>/a</w:t>
                  </w:r>
                </w:p>
              </w:tc>
              <w:tc>
                <w:tcPr>
                  <w:tcW w:w="1665" w:type="dxa"/>
                  <w:vMerge w:val="restart"/>
                  <w:noWrap w:val="0"/>
                  <w:vAlign w:val="center"/>
                </w:tcPr>
                <w:p>
                  <w:pPr>
                    <w:pStyle w:val="79"/>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eastAsia="zh-CN"/>
                    </w:rPr>
                    <w:t>隔油池</w:t>
                  </w:r>
                  <w:r>
                    <w:rPr>
                      <w:rFonts w:hint="default" w:ascii="Times New Roman" w:hAnsi="Times New Roman" w:eastAsia="宋体" w:cs="Times New Roman"/>
                      <w:b w:val="0"/>
                      <w:bCs/>
                      <w:color w:val="auto"/>
                      <w:lang w:val="en-US" w:eastAsia="zh-CN"/>
                    </w:rPr>
                    <w:t>+化粪池</w:t>
                  </w:r>
                </w:p>
              </w:tc>
              <w:tc>
                <w:tcPr>
                  <w:tcW w:w="2737" w:type="dxa"/>
                  <w:vMerge w:val="restart"/>
                  <w:noWrap w:val="0"/>
                  <w:vAlign w:val="center"/>
                </w:tcPr>
                <w:p>
                  <w:pPr>
                    <w:pStyle w:val="79"/>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sz w:val="21"/>
                      <w:szCs w:val="21"/>
                    </w:rPr>
                    <w:t>《污水综合排放标准》（GB8978-1996）中的三级标准</w:t>
                  </w:r>
                  <w:r>
                    <w:rPr>
                      <w:rFonts w:hint="default" w:ascii="Times New Roman" w:hAnsi="Times New Roman" w:cs="Times New Roman"/>
                      <w:b w:val="0"/>
                      <w:bCs/>
                      <w:color w:val="auto"/>
                      <w:sz w:val="21"/>
                      <w:szCs w:val="21"/>
                      <w:lang w:eastAsia="zh-CN"/>
                    </w:rPr>
                    <w:t>；氨氮执行</w:t>
                  </w:r>
                  <w:r>
                    <w:rPr>
                      <w:rFonts w:hint="default" w:ascii="Times New Roman" w:hAnsi="Times New Roman" w:cs="Times New Roman"/>
                      <w:b w:val="0"/>
                      <w:bCs/>
                      <w:color w:val="auto"/>
                      <w:sz w:val="21"/>
                      <w:szCs w:val="21"/>
                    </w:rPr>
                    <w:t>《污水排入城镇下水道水质标准》（GB/T 31962-2015）B级标准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7" w:hRule="atLeast"/>
              </w:trPr>
              <w:tc>
                <w:tcPr>
                  <w:tcW w:w="426" w:type="dxa"/>
                  <w:vMerge w:val="continue"/>
                  <w:noWrap w:val="0"/>
                  <w:vAlign w:val="center"/>
                </w:tcPr>
                <w:p>
                  <w:pPr>
                    <w:pStyle w:val="79"/>
                    <w:rPr>
                      <w:rFonts w:hint="default" w:ascii="Times New Roman" w:hAnsi="Times New Roman" w:cs="Times New Roman"/>
                      <w:b w:val="0"/>
                      <w:bCs/>
                      <w:color w:val="auto"/>
                      <w:lang w:eastAsia="zh-CN"/>
                    </w:rPr>
                  </w:pPr>
                </w:p>
              </w:tc>
              <w:tc>
                <w:tcPr>
                  <w:tcW w:w="874" w:type="dxa"/>
                  <w:vMerge w:val="continue"/>
                  <w:noWrap w:val="0"/>
                  <w:vAlign w:val="center"/>
                </w:tcPr>
                <w:p>
                  <w:pPr>
                    <w:pStyle w:val="79"/>
                    <w:rPr>
                      <w:rFonts w:hint="default" w:ascii="Times New Roman" w:hAnsi="Times New Roman" w:eastAsia="宋体" w:cs="Times New Roman"/>
                      <w:b w:val="0"/>
                      <w:bCs/>
                      <w:color w:val="auto"/>
                      <w:lang w:eastAsia="zh-CN"/>
                    </w:rPr>
                  </w:pPr>
                </w:p>
              </w:tc>
              <w:tc>
                <w:tcPr>
                  <w:tcW w:w="869" w:type="dxa"/>
                  <w:noWrap w:val="0"/>
                  <w:vAlign w:val="center"/>
                </w:tcPr>
                <w:p>
                  <w:pPr>
                    <w:pStyle w:val="19"/>
                    <w:adjustRightInd/>
                    <w:snapToGrid/>
                    <w:ind w:firstLine="0" w:firstLineChars="0"/>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COD</w:t>
                  </w:r>
                </w:p>
              </w:tc>
              <w:tc>
                <w:tcPr>
                  <w:tcW w:w="2251" w:type="dxa"/>
                  <w:noWrap w:val="0"/>
                  <w:vAlign w:val="center"/>
                </w:tcPr>
                <w:p>
                  <w:pPr>
                    <w:pStyle w:val="19"/>
                    <w:adjustRightInd/>
                    <w:snapToGrid/>
                    <w:ind w:firstLine="0" w:firstLineChars="0"/>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297.5</w:t>
                  </w:r>
                  <w:r>
                    <w:rPr>
                      <w:rFonts w:hint="default" w:ascii="Times New Roman" w:hAnsi="Times New Roman" w:cs="Times New Roman"/>
                      <w:b w:val="0"/>
                      <w:bCs/>
                      <w:color w:val="auto"/>
                      <w:sz w:val="21"/>
                      <w:szCs w:val="21"/>
                    </w:rPr>
                    <w:t>mg/m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lang w:val="en-US" w:eastAsia="zh-CN"/>
                    </w:rPr>
                    <w:t>0.27t/a</w:t>
                  </w:r>
                </w:p>
              </w:tc>
              <w:tc>
                <w:tcPr>
                  <w:tcW w:w="1665" w:type="dxa"/>
                  <w:vMerge w:val="continue"/>
                  <w:noWrap w:val="0"/>
                  <w:vAlign w:val="center"/>
                </w:tcPr>
                <w:p>
                  <w:pPr>
                    <w:pStyle w:val="79"/>
                    <w:rPr>
                      <w:rFonts w:hint="default" w:ascii="Times New Roman" w:hAnsi="Times New Roman" w:eastAsia="宋体" w:cs="Times New Roman"/>
                      <w:b w:val="0"/>
                      <w:bCs/>
                      <w:color w:val="auto"/>
                      <w:lang w:eastAsia="zh-CN"/>
                    </w:rPr>
                  </w:pPr>
                </w:p>
              </w:tc>
              <w:tc>
                <w:tcPr>
                  <w:tcW w:w="2737" w:type="dxa"/>
                  <w:vMerge w:val="continue"/>
                  <w:noWrap w:val="0"/>
                  <w:vAlign w:val="center"/>
                </w:tcPr>
                <w:p>
                  <w:pPr>
                    <w:pStyle w:val="79"/>
                    <w:rPr>
                      <w:rFonts w:hint="default" w:ascii="Times New Roman" w:hAnsi="Times New Roman" w:eastAsia="宋体" w:cs="Times New Roman"/>
                      <w:b w:val="0"/>
                      <w:bCs/>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7" w:hRule="atLeast"/>
              </w:trPr>
              <w:tc>
                <w:tcPr>
                  <w:tcW w:w="426" w:type="dxa"/>
                  <w:vMerge w:val="continue"/>
                  <w:noWrap w:val="0"/>
                  <w:vAlign w:val="center"/>
                </w:tcPr>
                <w:p>
                  <w:pPr>
                    <w:pStyle w:val="79"/>
                    <w:rPr>
                      <w:rFonts w:hint="default" w:ascii="Times New Roman" w:hAnsi="Times New Roman" w:cs="Times New Roman"/>
                      <w:b w:val="0"/>
                      <w:bCs/>
                      <w:color w:val="auto"/>
                      <w:lang w:eastAsia="zh-CN"/>
                    </w:rPr>
                  </w:pPr>
                </w:p>
              </w:tc>
              <w:tc>
                <w:tcPr>
                  <w:tcW w:w="874" w:type="dxa"/>
                  <w:vMerge w:val="continue"/>
                  <w:noWrap w:val="0"/>
                  <w:vAlign w:val="center"/>
                </w:tcPr>
                <w:p>
                  <w:pPr>
                    <w:pStyle w:val="79"/>
                    <w:rPr>
                      <w:rFonts w:hint="default" w:ascii="Times New Roman" w:hAnsi="Times New Roman" w:eastAsia="宋体" w:cs="Times New Roman"/>
                      <w:b w:val="0"/>
                      <w:bCs/>
                      <w:color w:val="auto"/>
                      <w:lang w:eastAsia="zh-CN"/>
                    </w:rPr>
                  </w:pPr>
                </w:p>
              </w:tc>
              <w:tc>
                <w:tcPr>
                  <w:tcW w:w="869" w:type="dxa"/>
                  <w:noWrap w:val="0"/>
                  <w:vAlign w:val="center"/>
                </w:tcPr>
                <w:p>
                  <w:pPr>
                    <w:pStyle w:val="19"/>
                    <w:adjustRightInd/>
                    <w:snapToGrid/>
                    <w:ind w:firstLine="0" w:firstLineChars="0"/>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BOD</w:t>
                  </w:r>
                  <w:r>
                    <w:rPr>
                      <w:rFonts w:hint="default" w:ascii="Times New Roman" w:hAnsi="Times New Roman" w:cs="Times New Roman"/>
                      <w:b w:val="0"/>
                      <w:bCs/>
                      <w:color w:val="auto"/>
                      <w:sz w:val="21"/>
                      <w:szCs w:val="21"/>
                      <w:vertAlign w:val="subscript"/>
                      <w:lang w:val="en-US" w:eastAsia="zh-CN"/>
                    </w:rPr>
                    <w:t>5</w:t>
                  </w:r>
                </w:p>
              </w:tc>
              <w:tc>
                <w:tcPr>
                  <w:tcW w:w="2251" w:type="dxa"/>
                  <w:noWrap w:val="0"/>
                  <w:vAlign w:val="center"/>
                </w:tcPr>
                <w:p>
                  <w:pPr>
                    <w:pStyle w:val="19"/>
                    <w:adjustRightInd/>
                    <w:snapToGrid/>
                    <w:ind w:firstLine="0" w:firstLineChars="0"/>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150</w:t>
                  </w:r>
                  <w:r>
                    <w:rPr>
                      <w:rFonts w:hint="default" w:ascii="Times New Roman" w:hAnsi="Times New Roman" w:cs="Times New Roman"/>
                      <w:b w:val="0"/>
                      <w:bCs/>
                      <w:color w:val="auto"/>
                      <w:sz w:val="21"/>
                      <w:szCs w:val="21"/>
                    </w:rPr>
                    <w:t>mg/m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lang w:val="en-US" w:eastAsia="zh-CN"/>
                    </w:rPr>
                    <w:t>0.14t/a</w:t>
                  </w:r>
                </w:p>
              </w:tc>
              <w:tc>
                <w:tcPr>
                  <w:tcW w:w="1665" w:type="dxa"/>
                  <w:vMerge w:val="continue"/>
                  <w:noWrap w:val="0"/>
                  <w:vAlign w:val="center"/>
                </w:tcPr>
                <w:p>
                  <w:pPr>
                    <w:pStyle w:val="79"/>
                    <w:rPr>
                      <w:rFonts w:hint="default" w:ascii="Times New Roman" w:hAnsi="Times New Roman" w:eastAsia="宋体" w:cs="Times New Roman"/>
                      <w:b w:val="0"/>
                      <w:bCs/>
                      <w:color w:val="auto"/>
                      <w:lang w:eastAsia="zh-CN"/>
                    </w:rPr>
                  </w:pPr>
                </w:p>
              </w:tc>
              <w:tc>
                <w:tcPr>
                  <w:tcW w:w="2737" w:type="dxa"/>
                  <w:vMerge w:val="continue"/>
                  <w:noWrap w:val="0"/>
                  <w:vAlign w:val="center"/>
                </w:tcPr>
                <w:p>
                  <w:pPr>
                    <w:pStyle w:val="79"/>
                    <w:rPr>
                      <w:rFonts w:hint="default" w:ascii="Times New Roman" w:hAnsi="Times New Roman" w:eastAsia="宋体" w:cs="Times New Roman"/>
                      <w:b w:val="0"/>
                      <w:bCs/>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7" w:hRule="atLeast"/>
              </w:trPr>
              <w:tc>
                <w:tcPr>
                  <w:tcW w:w="426" w:type="dxa"/>
                  <w:vMerge w:val="continue"/>
                  <w:noWrap w:val="0"/>
                  <w:vAlign w:val="center"/>
                </w:tcPr>
                <w:p>
                  <w:pPr>
                    <w:pStyle w:val="79"/>
                    <w:rPr>
                      <w:rFonts w:hint="default" w:ascii="Times New Roman" w:hAnsi="Times New Roman" w:cs="Times New Roman"/>
                      <w:b w:val="0"/>
                      <w:bCs/>
                      <w:color w:val="auto"/>
                      <w:lang w:eastAsia="zh-CN"/>
                    </w:rPr>
                  </w:pPr>
                </w:p>
              </w:tc>
              <w:tc>
                <w:tcPr>
                  <w:tcW w:w="874" w:type="dxa"/>
                  <w:vMerge w:val="continue"/>
                  <w:noWrap w:val="0"/>
                  <w:vAlign w:val="center"/>
                </w:tcPr>
                <w:p>
                  <w:pPr>
                    <w:pStyle w:val="79"/>
                    <w:rPr>
                      <w:rFonts w:hint="default" w:ascii="Times New Roman" w:hAnsi="Times New Roman" w:eastAsia="宋体" w:cs="Times New Roman"/>
                      <w:b w:val="0"/>
                      <w:bCs/>
                      <w:color w:val="auto"/>
                      <w:lang w:eastAsia="zh-CN"/>
                    </w:rPr>
                  </w:pPr>
                </w:p>
              </w:tc>
              <w:tc>
                <w:tcPr>
                  <w:tcW w:w="869" w:type="dxa"/>
                  <w:noWrap w:val="0"/>
                  <w:vAlign w:val="center"/>
                </w:tcPr>
                <w:p>
                  <w:pPr>
                    <w:pStyle w:val="19"/>
                    <w:adjustRightInd/>
                    <w:snapToGrid/>
                    <w:ind w:firstLine="0" w:firstLineChars="0"/>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SS</w:t>
                  </w:r>
                </w:p>
              </w:tc>
              <w:tc>
                <w:tcPr>
                  <w:tcW w:w="2251" w:type="dxa"/>
                  <w:noWrap w:val="0"/>
                  <w:vAlign w:val="center"/>
                </w:tcPr>
                <w:p>
                  <w:pPr>
                    <w:pStyle w:val="19"/>
                    <w:adjustRightInd/>
                    <w:snapToGrid/>
                    <w:ind w:firstLine="0" w:firstLineChars="0"/>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132</w:t>
                  </w:r>
                  <w:r>
                    <w:rPr>
                      <w:rFonts w:hint="default" w:ascii="Times New Roman" w:hAnsi="Times New Roman" w:cs="Times New Roman"/>
                      <w:b w:val="0"/>
                      <w:bCs/>
                      <w:color w:val="auto"/>
                      <w:sz w:val="21"/>
                      <w:szCs w:val="21"/>
                    </w:rPr>
                    <w:t>mg/m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lang w:val="en-US" w:eastAsia="zh-CN"/>
                    </w:rPr>
                    <w:t>0.12t/a</w:t>
                  </w:r>
                </w:p>
              </w:tc>
              <w:tc>
                <w:tcPr>
                  <w:tcW w:w="1665" w:type="dxa"/>
                  <w:vMerge w:val="continue"/>
                  <w:noWrap w:val="0"/>
                  <w:vAlign w:val="center"/>
                </w:tcPr>
                <w:p>
                  <w:pPr>
                    <w:pStyle w:val="79"/>
                    <w:rPr>
                      <w:rFonts w:hint="default" w:ascii="Times New Roman" w:hAnsi="Times New Roman" w:eastAsia="宋体" w:cs="Times New Roman"/>
                      <w:b w:val="0"/>
                      <w:bCs/>
                      <w:color w:val="auto"/>
                      <w:lang w:eastAsia="zh-CN"/>
                    </w:rPr>
                  </w:pPr>
                </w:p>
              </w:tc>
              <w:tc>
                <w:tcPr>
                  <w:tcW w:w="2737" w:type="dxa"/>
                  <w:vMerge w:val="continue"/>
                  <w:noWrap w:val="0"/>
                  <w:vAlign w:val="center"/>
                </w:tcPr>
                <w:p>
                  <w:pPr>
                    <w:pStyle w:val="79"/>
                    <w:rPr>
                      <w:rFonts w:hint="default" w:ascii="Times New Roman" w:hAnsi="Times New Roman" w:eastAsia="宋体" w:cs="Times New Roman"/>
                      <w:b w:val="0"/>
                      <w:bCs/>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7" w:hRule="atLeast"/>
              </w:trPr>
              <w:tc>
                <w:tcPr>
                  <w:tcW w:w="426" w:type="dxa"/>
                  <w:vMerge w:val="continue"/>
                  <w:noWrap w:val="0"/>
                  <w:vAlign w:val="center"/>
                </w:tcPr>
                <w:p>
                  <w:pPr>
                    <w:pStyle w:val="79"/>
                    <w:rPr>
                      <w:rFonts w:hint="default" w:ascii="Times New Roman" w:hAnsi="Times New Roman" w:cs="Times New Roman"/>
                      <w:b w:val="0"/>
                      <w:bCs/>
                      <w:color w:val="auto"/>
                      <w:lang w:eastAsia="zh-CN"/>
                    </w:rPr>
                  </w:pPr>
                </w:p>
              </w:tc>
              <w:tc>
                <w:tcPr>
                  <w:tcW w:w="874" w:type="dxa"/>
                  <w:vMerge w:val="continue"/>
                  <w:noWrap w:val="0"/>
                  <w:vAlign w:val="center"/>
                </w:tcPr>
                <w:p>
                  <w:pPr>
                    <w:pStyle w:val="79"/>
                    <w:rPr>
                      <w:rFonts w:hint="default" w:ascii="Times New Roman" w:hAnsi="Times New Roman" w:eastAsia="宋体" w:cs="Times New Roman"/>
                      <w:b w:val="0"/>
                      <w:bCs/>
                      <w:color w:val="auto"/>
                      <w:lang w:eastAsia="zh-CN"/>
                    </w:rPr>
                  </w:pPr>
                </w:p>
              </w:tc>
              <w:tc>
                <w:tcPr>
                  <w:tcW w:w="869" w:type="dxa"/>
                  <w:noWrap w:val="0"/>
                  <w:vAlign w:val="center"/>
                </w:tcPr>
                <w:p>
                  <w:pPr>
                    <w:pStyle w:val="19"/>
                    <w:adjustRightInd/>
                    <w:snapToGrid/>
                    <w:ind w:firstLine="0" w:firstLineChars="0"/>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氨氮</w:t>
                  </w:r>
                </w:p>
              </w:tc>
              <w:tc>
                <w:tcPr>
                  <w:tcW w:w="2251" w:type="dxa"/>
                  <w:noWrap w:val="0"/>
                  <w:vAlign w:val="center"/>
                </w:tcPr>
                <w:p>
                  <w:pPr>
                    <w:pStyle w:val="19"/>
                    <w:adjustRightInd/>
                    <w:snapToGrid/>
                    <w:ind w:firstLine="0" w:firstLineChars="0"/>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25mg/m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lang w:val="en-US" w:eastAsia="zh-CN"/>
                    </w:rPr>
                    <w:t>0.023t/a</w:t>
                  </w:r>
                </w:p>
              </w:tc>
              <w:tc>
                <w:tcPr>
                  <w:tcW w:w="1665" w:type="dxa"/>
                  <w:vMerge w:val="continue"/>
                  <w:noWrap w:val="0"/>
                  <w:vAlign w:val="center"/>
                </w:tcPr>
                <w:p>
                  <w:pPr>
                    <w:pStyle w:val="79"/>
                    <w:rPr>
                      <w:rFonts w:hint="default" w:ascii="Times New Roman" w:hAnsi="Times New Roman" w:eastAsia="宋体" w:cs="Times New Roman"/>
                      <w:b w:val="0"/>
                      <w:bCs/>
                      <w:color w:val="auto"/>
                      <w:lang w:eastAsia="zh-CN"/>
                    </w:rPr>
                  </w:pPr>
                </w:p>
              </w:tc>
              <w:tc>
                <w:tcPr>
                  <w:tcW w:w="2737" w:type="dxa"/>
                  <w:vMerge w:val="continue"/>
                  <w:noWrap w:val="0"/>
                  <w:vAlign w:val="center"/>
                </w:tcPr>
                <w:p>
                  <w:pPr>
                    <w:pStyle w:val="79"/>
                    <w:rPr>
                      <w:rFonts w:hint="default" w:ascii="Times New Roman" w:hAnsi="Times New Roman" w:eastAsia="宋体" w:cs="Times New Roman"/>
                      <w:b w:val="0"/>
                      <w:bCs/>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7" w:hRule="atLeast"/>
              </w:trPr>
              <w:tc>
                <w:tcPr>
                  <w:tcW w:w="426" w:type="dxa"/>
                  <w:vMerge w:val="continue"/>
                  <w:noWrap w:val="0"/>
                  <w:vAlign w:val="center"/>
                </w:tcPr>
                <w:p>
                  <w:pPr>
                    <w:pStyle w:val="79"/>
                    <w:rPr>
                      <w:rFonts w:hint="default" w:ascii="Times New Roman" w:hAnsi="Times New Roman" w:cs="Times New Roman"/>
                      <w:b w:val="0"/>
                      <w:bCs/>
                      <w:color w:val="auto"/>
                      <w:lang w:eastAsia="zh-CN"/>
                    </w:rPr>
                  </w:pPr>
                </w:p>
              </w:tc>
              <w:tc>
                <w:tcPr>
                  <w:tcW w:w="874" w:type="dxa"/>
                  <w:vMerge w:val="continue"/>
                  <w:noWrap w:val="0"/>
                  <w:vAlign w:val="center"/>
                </w:tcPr>
                <w:p>
                  <w:pPr>
                    <w:pStyle w:val="79"/>
                    <w:rPr>
                      <w:rFonts w:hint="default" w:ascii="Times New Roman" w:hAnsi="Times New Roman" w:eastAsia="宋体" w:cs="Times New Roman"/>
                      <w:b w:val="0"/>
                      <w:bCs/>
                      <w:color w:val="auto"/>
                      <w:lang w:eastAsia="zh-CN"/>
                    </w:rPr>
                  </w:pPr>
                </w:p>
              </w:tc>
              <w:tc>
                <w:tcPr>
                  <w:tcW w:w="869" w:type="dxa"/>
                  <w:noWrap w:val="0"/>
                  <w:vAlign w:val="center"/>
                </w:tcPr>
                <w:p>
                  <w:pPr>
                    <w:pStyle w:val="19"/>
                    <w:adjustRightInd/>
                    <w:snapToGrid/>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动植</w:t>
                  </w:r>
                </w:p>
                <w:p>
                  <w:pPr>
                    <w:pStyle w:val="19"/>
                    <w:adjustRightInd/>
                    <w:snapToGrid/>
                    <w:ind w:firstLine="0" w:firstLineChars="0"/>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物油</w:t>
                  </w:r>
                </w:p>
              </w:tc>
              <w:tc>
                <w:tcPr>
                  <w:tcW w:w="2251" w:type="dxa"/>
                  <w:noWrap w:val="0"/>
                  <w:vAlign w:val="center"/>
                </w:tcPr>
                <w:p>
                  <w:pPr>
                    <w:pStyle w:val="19"/>
                    <w:adjustRightInd/>
                    <w:snapToGrid/>
                    <w:ind w:firstLine="0" w:firstLineChars="0"/>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20</w:t>
                  </w:r>
                  <w:r>
                    <w:rPr>
                      <w:rFonts w:hint="default" w:ascii="Times New Roman" w:hAnsi="Times New Roman" w:cs="Times New Roman"/>
                      <w:b w:val="0"/>
                      <w:bCs/>
                      <w:color w:val="auto"/>
                      <w:sz w:val="21"/>
                      <w:szCs w:val="21"/>
                    </w:rPr>
                    <w:t>mg/m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lang w:val="en-US" w:eastAsia="zh-CN"/>
                    </w:rPr>
                    <w:t>0.018t/a</w:t>
                  </w:r>
                </w:p>
              </w:tc>
              <w:tc>
                <w:tcPr>
                  <w:tcW w:w="1665" w:type="dxa"/>
                  <w:vMerge w:val="continue"/>
                  <w:noWrap w:val="0"/>
                  <w:vAlign w:val="center"/>
                </w:tcPr>
                <w:p>
                  <w:pPr>
                    <w:pStyle w:val="79"/>
                    <w:rPr>
                      <w:rFonts w:hint="default" w:ascii="Times New Roman" w:hAnsi="Times New Roman" w:eastAsia="宋体" w:cs="Times New Roman"/>
                      <w:b w:val="0"/>
                      <w:bCs/>
                      <w:color w:val="auto"/>
                      <w:lang w:eastAsia="zh-CN"/>
                    </w:rPr>
                  </w:pPr>
                </w:p>
              </w:tc>
              <w:tc>
                <w:tcPr>
                  <w:tcW w:w="2737" w:type="dxa"/>
                  <w:vMerge w:val="continue"/>
                  <w:noWrap w:val="0"/>
                  <w:vAlign w:val="center"/>
                </w:tcPr>
                <w:p>
                  <w:pPr>
                    <w:pStyle w:val="79"/>
                    <w:rPr>
                      <w:rFonts w:hint="default" w:ascii="Times New Roman" w:hAnsi="Times New Roman" w:eastAsia="宋体" w:cs="Times New Roman"/>
                      <w:b w:val="0"/>
                      <w:bCs/>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426" w:type="dxa"/>
                  <w:noWrap w:val="0"/>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噪声</w:t>
                  </w:r>
                </w:p>
              </w:tc>
              <w:tc>
                <w:tcPr>
                  <w:tcW w:w="1743" w:type="dxa"/>
                  <w:gridSpan w:val="2"/>
                  <w:noWrap w:val="0"/>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设备机械噪声</w:t>
                  </w:r>
                </w:p>
              </w:tc>
              <w:tc>
                <w:tcPr>
                  <w:tcW w:w="2251" w:type="dxa"/>
                  <w:noWrap w:val="0"/>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昼间/夜间：6</w:t>
                  </w:r>
                  <w:r>
                    <w:rPr>
                      <w:rFonts w:hint="default" w:ascii="Times New Roman" w:hAnsi="Times New Roman" w:cs="Times New Roman"/>
                      <w:b w:val="0"/>
                      <w:bCs/>
                      <w:color w:val="auto"/>
                      <w:lang w:val="en-US" w:eastAsia="zh-CN"/>
                    </w:rPr>
                    <w:t>0</w:t>
                  </w:r>
                  <w:r>
                    <w:rPr>
                      <w:rFonts w:hint="default" w:ascii="Times New Roman" w:hAnsi="Times New Roman" w:cs="Times New Roman"/>
                      <w:b w:val="0"/>
                      <w:bCs/>
                      <w:color w:val="auto"/>
                    </w:rPr>
                    <w:t>/5</w:t>
                  </w:r>
                  <w:r>
                    <w:rPr>
                      <w:rFonts w:hint="default" w:ascii="Times New Roman" w:hAnsi="Times New Roman" w:cs="Times New Roman"/>
                      <w:b w:val="0"/>
                      <w:bCs/>
                      <w:color w:val="auto"/>
                      <w:lang w:val="en-US" w:eastAsia="zh-CN"/>
                    </w:rPr>
                    <w:t>0</w:t>
                  </w:r>
                  <w:r>
                    <w:rPr>
                      <w:rFonts w:hint="default" w:ascii="Times New Roman" w:hAnsi="Times New Roman" w:cs="Times New Roman"/>
                      <w:b w:val="0"/>
                      <w:bCs/>
                      <w:color w:val="auto"/>
                    </w:rPr>
                    <w:t>dB(A)</w:t>
                  </w:r>
                </w:p>
              </w:tc>
              <w:tc>
                <w:tcPr>
                  <w:tcW w:w="1665" w:type="dxa"/>
                  <w:noWrap w:val="0"/>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采用低噪设备、厂房隔声、基础减震、柔性连接等</w:t>
                  </w:r>
                </w:p>
              </w:tc>
              <w:tc>
                <w:tcPr>
                  <w:tcW w:w="2737" w:type="dxa"/>
                  <w:noWrap w:val="0"/>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《工业企业厂界环境噪声排放标准》（GB12348-2008）中的</w:t>
                  </w:r>
                  <w:r>
                    <w:rPr>
                      <w:rFonts w:hint="default" w:ascii="Times New Roman" w:hAnsi="Times New Roman" w:cs="Times New Roman"/>
                      <w:b w:val="0"/>
                      <w:bCs/>
                      <w:color w:val="auto"/>
                      <w:lang w:val="en-US" w:eastAsia="zh-CN"/>
                    </w:rPr>
                    <w:t>2</w:t>
                  </w:r>
                  <w:r>
                    <w:rPr>
                      <w:rFonts w:hint="default" w:ascii="Times New Roman" w:hAnsi="Times New Roman" w:cs="Times New Roman"/>
                      <w:b w:val="0"/>
                      <w:bCs/>
                      <w:color w:val="auto"/>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426" w:type="dxa"/>
                  <w:vMerge w:val="restart"/>
                  <w:noWrap w:val="0"/>
                  <w:vAlign w:val="center"/>
                </w:tcPr>
                <w:p>
                  <w:pPr>
                    <w:pStyle w:val="79"/>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固废</w:t>
                  </w:r>
                </w:p>
              </w:tc>
              <w:tc>
                <w:tcPr>
                  <w:tcW w:w="1743" w:type="dxa"/>
                  <w:gridSpan w:val="2"/>
                  <w:noWrap w:val="0"/>
                  <w:vAlign w:val="center"/>
                </w:tcPr>
                <w:p>
                  <w:pPr>
                    <w:pStyle w:val="19"/>
                    <w:adjustRightInd/>
                    <w:snapToGrid/>
                    <w:ind w:firstLine="0" w:firstLineChars="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eastAsia="zh-CN"/>
                    </w:rPr>
                    <w:t>生活垃圾</w:t>
                  </w:r>
                </w:p>
              </w:tc>
              <w:tc>
                <w:tcPr>
                  <w:tcW w:w="2251" w:type="dxa"/>
                  <w:noWrap w:val="0"/>
                  <w:vAlign w:val="center"/>
                </w:tcPr>
                <w:p>
                  <w:pPr>
                    <w:pStyle w:val="19"/>
                    <w:adjustRightInd/>
                    <w:snapToGrid/>
                    <w:ind w:firstLine="0" w:firstLineChars="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9t/a</w:t>
                  </w:r>
                </w:p>
              </w:tc>
              <w:tc>
                <w:tcPr>
                  <w:tcW w:w="4402" w:type="dxa"/>
                  <w:gridSpan w:val="2"/>
                  <w:noWrap/>
                  <w:vAlign w:val="center"/>
                </w:tcPr>
                <w:p>
                  <w:pPr>
                    <w:pStyle w:val="19"/>
                    <w:adjustRightInd/>
                    <w:snapToGrid/>
                    <w:ind w:firstLine="0" w:firstLineChars="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eastAsia="zh-CN"/>
                    </w:rPr>
                    <w:t>分类收集，由环卫部门定期清运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426" w:type="dxa"/>
                  <w:vMerge w:val="continue"/>
                  <w:noWrap w:val="0"/>
                  <w:vAlign w:val="center"/>
                </w:tcPr>
                <w:p>
                  <w:pPr>
                    <w:pStyle w:val="79"/>
                    <w:rPr>
                      <w:rFonts w:hint="default" w:ascii="Times New Roman" w:hAnsi="Times New Roman" w:cs="Times New Roman"/>
                      <w:b w:val="0"/>
                      <w:bCs/>
                      <w:color w:val="auto"/>
                      <w:lang w:eastAsia="zh-CN"/>
                    </w:rPr>
                  </w:pPr>
                </w:p>
              </w:tc>
              <w:tc>
                <w:tcPr>
                  <w:tcW w:w="1743" w:type="dxa"/>
                  <w:gridSpan w:val="2"/>
                  <w:noWrap w:val="0"/>
                  <w:vAlign w:val="center"/>
                </w:tcPr>
                <w:p>
                  <w:pPr>
                    <w:pStyle w:val="19"/>
                    <w:adjustRightInd/>
                    <w:snapToGrid/>
                    <w:ind w:firstLine="0" w:firstLineChars="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eastAsia="zh-CN"/>
                    </w:rPr>
                    <w:t>边角料及不合格产品</w:t>
                  </w:r>
                </w:p>
              </w:tc>
              <w:tc>
                <w:tcPr>
                  <w:tcW w:w="2251" w:type="dxa"/>
                  <w:noWrap w:val="0"/>
                  <w:vAlign w:val="center"/>
                </w:tcPr>
                <w:p>
                  <w:pPr>
                    <w:pStyle w:val="19"/>
                    <w:adjustRightInd/>
                    <w:snapToGrid/>
                    <w:ind w:firstLine="0" w:firstLineChars="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26t/a</w:t>
                  </w:r>
                </w:p>
              </w:tc>
              <w:tc>
                <w:tcPr>
                  <w:tcW w:w="4402" w:type="dxa"/>
                  <w:gridSpan w:val="2"/>
                  <w:noWrap/>
                  <w:vAlign w:val="center"/>
                </w:tcPr>
                <w:p>
                  <w:pPr>
                    <w:pStyle w:val="19"/>
                    <w:adjustRightInd/>
                    <w:snapToGrid/>
                    <w:ind w:firstLine="0" w:firstLineChars="0"/>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集中收集，</w:t>
                  </w:r>
                  <w:r>
                    <w:rPr>
                      <w:rFonts w:hint="default" w:ascii="Times New Roman" w:hAnsi="Times New Roman" w:cs="Times New Roman"/>
                      <w:b w:val="0"/>
                      <w:bCs/>
                      <w:color w:val="auto"/>
                      <w:sz w:val="21"/>
                      <w:szCs w:val="21"/>
                    </w:rPr>
                    <w:t>定期外售废品收购站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426" w:type="dxa"/>
                  <w:vMerge w:val="continue"/>
                  <w:noWrap w:val="0"/>
                  <w:vAlign w:val="center"/>
                </w:tcPr>
                <w:p>
                  <w:pPr>
                    <w:pStyle w:val="79"/>
                    <w:rPr>
                      <w:rFonts w:hint="default" w:ascii="Times New Roman" w:hAnsi="Times New Roman" w:cs="Times New Roman"/>
                      <w:b w:val="0"/>
                      <w:bCs/>
                      <w:color w:val="auto"/>
                      <w:lang w:eastAsia="zh-CN"/>
                    </w:rPr>
                  </w:pPr>
                </w:p>
              </w:tc>
              <w:tc>
                <w:tcPr>
                  <w:tcW w:w="1743" w:type="dxa"/>
                  <w:gridSpan w:val="2"/>
                  <w:noWrap w:val="0"/>
                  <w:vAlign w:val="center"/>
                </w:tcPr>
                <w:p>
                  <w:pPr>
                    <w:pStyle w:val="19"/>
                    <w:adjustRightInd/>
                    <w:snapToGrid/>
                    <w:ind w:firstLine="0" w:firstLineChars="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eastAsia="zh-CN"/>
                    </w:rPr>
                    <w:t>餐厨垃圾</w:t>
                  </w:r>
                </w:p>
              </w:tc>
              <w:tc>
                <w:tcPr>
                  <w:tcW w:w="2251" w:type="dxa"/>
                  <w:noWrap w:val="0"/>
                  <w:vAlign w:val="center"/>
                </w:tcPr>
                <w:p>
                  <w:pPr>
                    <w:pStyle w:val="19"/>
                    <w:adjustRightInd/>
                    <w:snapToGrid/>
                    <w:ind w:firstLine="0" w:firstLineChars="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9</w:t>
                  </w:r>
                  <w:r>
                    <w:rPr>
                      <w:rFonts w:hint="default" w:ascii="Times New Roman" w:hAnsi="Times New Roman" w:cs="Times New Roman"/>
                      <w:b w:val="0"/>
                      <w:bCs/>
                      <w:color w:val="auto"/>
                      <w:sz w:val="21"/>
                      <w:szCs w:val="21"/>
                    </w:rPr>
                    <w:t>t/a</w:t>
                  </w:r>
                </w:p>
              </w:tc>
              <w:tc>
                <w:tcPr>
                  <w:tcW w:w="4402" w:type="dxa"/>
                  <w:gridSpan w:val="2"/>
                  <w:noWrap/>
                  <w:vAlign w:val="center"/>
                </w:tcPr>
                <w:p>
                  <w:pPr>
                    <w:pStyle w:val="19"/>
                    <w:ind w:firstLine="0" w:firstLineChars="0"/>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与生活垃圾一同处理，交由环卫部门定期清运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426" w:type="dxa"/>
                  <w:vMerge w:val="continue"/>
                  <w:noWrap w:val="0"/>
                  <w:vAlign w:val="center"/>
                </w:tcPr>
                <w:p>
                  <w:pPr>
                    <w:pStyle w:val="79"/>
                    <w:rPr>
                      <w:rFonts w:hint="default" w:ascii="Times New Roman" w:hAnsi="Times New Roman" w:cs="Times New Roman"/>
                      <w:b w:val="0"/>
                      <w:bCs/>
                      <w:color w:val="auto"/>
                      <w:lang w:eastAsia="zh-CN"/>
                    </w:rPr>
                  </w:pPr>
                </w:p>
              </w:tc>
              <w:tc>
                <w:tcPr>
                  <w:tcW w:w="1743" w:type="dxa"/>
                  <w:gridSpan w:val="2"/>
                  <w:noWrap w:val="0"/>
                  <w:vAlign w:val="center"/>
                </w:tcPr>
                <w:p>
                  <w:pPr>
                    <w:pStyle w:val="19"/>
                    <w:adjustRightInd/>
                    <w:snapToGrid/>
                    <w:ind w:firstLine="0" w:firstLineChars="0"/>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lang w:eastAsia="zh-CN"/>
                    </w:rPr>
                    <w:t>废油脂</w:t>
                  </w:r>
                </w:p>
              </w:tc>
              <w:tc>
                <w:tcPr>
                  <w:tcW w:w="2251" w:type="dxa"/>
                  <w:noWrap w:val="0"/>
                  <w:vAlign w:val="center"/>
                </w:tcPr>
                <w:p>
                  <w:pPr>
                    <w:pStyle w:val="19"/>
                    <w:adjustRightInd/>
                    <w:snapToGrid/>
                    <w:ind w:firstLine="0" w:firstLineChars="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rPr>
                    <w:t>0.</w:t>
                  </w:r>
                  <w:r>
                    <w:rPr>
                      <w:rFonts w:hint="default" w:ascii="Times New Roman" w:hAnsi="Times New Roman" w:cs="Times New Roman"/>
                      <w:b w:val="0"/>
                      <w:bCs/>
                      <w:color w:val="auto"/>
                      <w:sz w:val="21"/>
                      <w:szCs w:val="21"/>
                      <w:lang w:val="en-US" w:eastAsia="zh-CN"/>
                    </w:rPr>
                    <w:t>16</w:t>
                  </w:r>
                  <w:r>
                    <w:rPr>
                      <w:rFonts w:hint="default" w:ascii="Times New Roman" w:hAnsi="Times New Roman" w:cs="Times New Roman"/>
                      <w:b w:val="0"/>
                      <w:bCs/>
                      <w:color w:val="auto"/>
                      <w:sz w:val="21"/>
                      <w:szCs w:val="21"/>
                    </w:rPr>
                    <w:t>t/a</w:t>
                  </w:r>
                </w:p>
              </w:tc>
              <w:tc>
                <w:tcPr>
                  <w:tcW w:w="4402" w:type="dxa"/>
                  <w:gridSpan w:val="2"/>
                  <w:noWrap/>
                  <w:vAlign w:val="center"/>
                </w:tcPr>
                <w:p>
                  <w:pPr>
                    <w:pStyle w:val="19"/>
                    <w:ind w:firstLine="0" w:firstLineChars="0"/>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426" w:type="dxa"/>
                  <w:vMerge w:val="continue"/>
                  <w:noWrap w:val="0"/>
                  <w:vAlign w:val="center"/>
                </w:tcPr>
                <w:p>
                  <w:pPr>
                    <w:pStyle w:val="79"/>
                    <w:rPr>
                      <w:rFonts w:hint="default" w:ascii="Times New Roman" w:hAnsi="Times New Roman" w:cs="Times New Roman"/>
                      <w:b w:val="0"/>
                      <w:bCs/>
                      <w:color w:val="auto"/>
                    </w:rPr>
                  </w:pPr>
                </w:p>
              </w:tc>
              <w:tc>
                <w:tcPr>
                  <w:tcW w:w="1743" w:type="dxa"/>
                  <w:gridSpan w:val="2"/>
                  <w:noWrap w:val="0"/>
                  <w:vAlign w:val="center"/>
                </w:tcPr>
                <w:p>
                  <w:pPr>
                    <w:pStyle w:val="19"/>
                    <w:adjustRightInd/>
                    <w:snapToGrid/>
                    <w:ind w:firstLine="0" w:firstLineChars="0"/>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lang w:eastAsia="zh-CN"/>
                    </w:rPr>
                    <w:t>废油墨桶</w:t>
                  </w:r>
                </w:p>
              </w:tc>
              <w:tc>
                <w:tcPr>
                  <w:tcW w:w="2251" w:type="dxa"/>
                  <w:noWrap w:val="0"/>
                  <w:vAlign w:val="center"/>
                </w:tcPr>
                <w:p>
                  <w:pPr>
                    <w:pStyle w:val="19"/>
                    <w:adjustRightInd/>
                    <w:snapToGrid/>
                    <w:ind w:firstLine="0" w:firstLineChars="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0.1t/a</w:t>
                  </w:r>
                </w:p>
              </w:tc>
              <w:tc>
                <w:tcPr>
                  <w:tcW w:w="4402" w:type="dxa"/>
                  <w:gridSpan w:val="2"/>
                  <w:vMerge w:val="restart"/>
                  <w:noWrap/>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lang w:eastAsia="zh-CN"/>
                    </w:rPr>
                    <w:t>分类收集，</w:t>
                  </w:r>
                  <w:r>
                    <w:rPr>
                      <w:rFonts w:hint="default" w:ascii="Times New Roman" w:hAnsi="Times New Roman" w:cs="Times New Roman"/>
                      <w:b w:val="0"/>
                      <w:bCs/>
                      <w:color w:val="auto"/>
                    </w:rPr>
                    <w:t>存放于危废暂存间，交由有资质单位进行处理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426" w:type="dxa"/>
                  <w:vMerge w:val="continue"/>
                  <w:noWrap w:val="0"/>
                  <w:vAlign w:val="center"/>
                </w:tcPr>
                <w:p>
                  <w:pPr>
                    <w:pStyle w:val="79"/>
                    <w:rPr>
                      <w:rFonts w:hint="default" w:ascii="Times New Roman" w:hAnsi="Times New Roman" w:cs="Times New Roman"/>
                      <w:b w:val="0"/>
                      <w:bCs/>
                      <w:color w:val="auto"/>
                    </w:rPr>
                  </w:pPr>
                </w:p>
              </w:tc>
              <w:tc>
                <w:tcPr>
                  <w:tcW w:w="1743" w:type="dxa"/>
                  <w:gridSpan w:val="2"/>
                  <w:noWrap w:val="0"/>
                  <w:vAlign w:val="center"/>
                </w:tcPr>
                <w:p>
                  <w:pPr>
                    <w:pStyle w:val="19"/>
                    <w:adjustRightInd/>
                    <w:snapToGrid/>
                    <w:ind w:firstLine="0" w:firstLineChars="0"/>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lang w:eastAsia="zh-CN"/>
                    </w:rPr>
                    <w:t>废擦机布</w:t>
                  </w:r>
                </w:p>
              </w:tc>
              <w:tc>
                <w:tcPr>
                  <w:tcW w:w="2251" w:type="dxa"/>
                  <w:noWrap w:val="0"/>
                  <w:vAlign w:val="center"/>
                </w:tcPr>
                <w:p>
                  <w:pPr>
                    <w:pStyle w:val="19"/>
                    <w:adjustRightInd/>
                    <w:snapToGrid/>
                    <w:ind w:firstLine="0" w:firstLineChars="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0.25t/a</w:t>
                  </w:r>
                </w:p>
              </w:tc>
              <w:tc>
                <w:tcPr>
                  <w:tcW w:w="4402" w:type="dxa"/>
                  <w:gridSpan w:val="2"/>
                  <w:vMerge w:val="continue"/>
                  <w:noWrap/>
                  <w:vAlign w:val="center"/>
                </w:tcPr>
                <w:p>
                  <w:pPr>
                    <w:pStyle w:val="79"/>
                    <w:rPr>
                      <w:rFonts w:hint="default" w:ascii="Times New Roman" w:hAnsi="Times New Roman" w:cs="Times New Roman"/>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426" w:type="dxa"/>
                  <w:vMerge w:val="continue"/>
                  <w:noWrap w:val="0"/>
                  <w:vAlign w:val="center"/>
                </w:tcPr>
                <w:p>
                  <w:pPr>
                    <w:pStyle w:val="79"/>
                    <w:rPr>
                      <w:rFonts w:hint="default" w:ascii="Times New Roman" w:hAnsi="Times New Roman" w:cs="Times New Roman"/>
                      <w:b w:val="0"/>
                      <w:bCs/>
                      <w:color w:val="auto"/>
                    </w:rPr>
                  </w:pPr>
                </w:p>
              </w:tc>
              <w:tc>
                <w:tcPr>
                  <w:tcW w:w="1743" w:type="dxa"/>
                  <w:gridSpan w:val="2"/>
                  <w:noWrap w:val="0"/>
                  <w:vAlign w:val="center"/>
                </w:tcPr>
                <w:p>
                  <w:pPr>
                    <w:pStyle w:val="19"/>
                    <w:adjustRightInd/>
                    <w:snapToGrid/>
                    <w:ind w:firstLine="0" w:firstLineChars="0"/>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lang w:eastAsia="zh-CN"/>
                    </w:rPr>
                    <w:t>废机油</w:t>
                  </w:r>
                </w:p>
              </w:tc>
              <w:tc>
                <w:tcPr>
                  <w:tcW w:w="2251" w:type="dxa"/>
                  <w:noWrap w:val="0"/>
                  <w:vAlign w:val="center"/>
                </w:tcPr>
                <w:p>
                  <w:pPr>
                    <w:pStyle w:val="19"/>
                    <w:adjustRightInd/>
                    <w:snapToGrid/>
                    <w:ind w:firstLine="0" w:firstLineChars="0"/>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0.6t/a</w:t>
                  </w:r>
                </w:p>
              </w:tc>
              <w:tc>
                <w:tcPr>
                  <w:tcW w:w="4402" w:type="dxa"/>
                  <w:gridSpan w:val="2"/>
                  <w:vMerge w:val="continue"/>
                  <w:noWrap/>
                  <w:vAlign w:val="center"/>
                </w:tcPr>
                <w:p>
                  <w:pPr>
                    <w:pStyle w:val="79"/>
                    <w:rPr>
                      <w:rFonts w:hint="default" w:ascii="Times New Roman" w:hAnsi="Times New Roman" w:cs="Times New Roman"/>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426" w:type="dxa"/>
                  <w:vMerge w:val="continue"/>
                  <w:noWrap w:val="0"/>
                  <w:vAlign w:val="center"/>
                </w:tcPr>
                <w:p>
                  <w:pPr>
                    <w:pStyle w:val="79"/>
                    <w:rPr>
                      <w:rFonts w:hint="default" w:ascii="Times New Roman" w:hAnsi="Times New Roman" w:cs="Times New Roman"/>
                      <w:b w:val="0"/>
                      <w:bCs/>
                      <w:color w:val="auto"/>
                    </w:rPr>
                  </w:pPr>
                </w:p>
              </w:tc>
              <w:tc>
                <w:tcPr>
                  <w:tcW w:w="1743" w:type="dxa"/>
                  <w:gridSpan w:val="2"/>
                  <w:noWrap w:val="0"/>
                  <w:vAlign w:val="center"/>
                </w:tcPr>
                <w:p>
                  <w:pPr>
                    <w:pStyle w:val="19"/>
                    <w:adjustRightInd/>
                    <w:snapToGrid/>
                    <w:ind w:firstLine="0" w:firstLineChars="0"/>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废棉纱</w:t>
                  </w:r>
                </w:p>
              </w:tc>
              <w:tc>
                <w:tcPr>
                  <w:tcW w:w="2251" w:type="dxa"/>
                  <w:noWrap w:val="0"/>
                  <w:vAlign w:val="center"/>
                </w:tcPr>
                <w:p>
                  <w:pPr>
                    <w:pStyle w:val="19"/>
                    <w:adjustRightInd/>
                    <w:snapToGrid/>
                    <w:ind w:firstLine="0" w:firstLineChars="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0.01t/a</w:t>
                  </w:r>
                </w:p>
              </w:tc>
              <w:tc>
                <w:tcPr>
                  <w:tcW w:w="4402" w:type="dxa"/>
                  <w:gridSpan w:val="2"/>
                  <w:vMerge w:val="continue"/>
                  <w:noWrap/>
                  <w:vAlign w:val="center"/>
                </w:tcPr>
                <w:p>
                  <w:pPr>
                    <w:pStyle w:val="79"/>
                    <w:rPr>
                      <w:rFonts w:hint="default" w:ascii="Times New Roman" w:hAnsi="Times New Roman" w:cs="Times New Roman"/>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426" w:type="dxa"/>
                  <w:vMerge w:val="continue"/>
                  <w:noWrap w:val="0"/>
                  <w:vAlign w:val="center"/>
                </w:tcPr>
                <w:p>
                  <w:pPr>
                    <w:pStyle w:val="79"/>
                    <w:rPr>
                      <w:rFonts w:hint="default" w:ascii="Times New Roman" w:hAnsi="Times New Roman" w:cs="Times New Roman"/>
                      <w:b w:val="0"/>
                      <w:bCs/>
                      <w:color w:val="auto"/>
                    </w:rPr>
                  </w:pPr>
                </w:p>
              </w:tc>
              <w:tc>
                <w:tcPr>
                  <w:tcW w:w="1743" w:type="dxa"/>
                  <w:gridSpan w:val="2"/>
                  <w:noWrap w:val="0"/>
                  <w:vAlign w:val="center"/>
                </w:tcPr>
                <w:p>
                  <w:pPr>
                    <w:pStyle w:val="19"/>
                    <w:adjustRightInd/>
                    <w:snapToGrid/>
                    <w:ind w:firstLine="0" w:firstLineChars="0"/>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废活性炭</w:t>
                  </w:r>
                </w:p>
              </w:tc>
              <w:tc>
                <w:tcPr>
                  <w:tcW w:w="2251" w:type="dxa"/>
                  <w:noWrap w:val="0"/>
                  <w:vAlign w:val="center"/>
                </w:tcPr>
                <w:p>
                  <w:pPr>
                    <w:pStyle w:val="19"/>
                    <w:adjustRightInd/>
                    <w:snapToGrid/>
                    <w:ind w:firstLine="0" w:firstLineChars="0"/>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2.36</w:t>
                  </w:r>
                  <w:r>
                    <w:rPr>
                      <w:rFonts w:hint="default" w:ascii="Times New Roman" w:hAnsi="Times New Roman" w:cs="Times New Roman"/>
                      <w:b w:val="0"/>
                      <w:bCs/>
                      <w:color w:val="auto"/>
                      <w:sz w:val="21"/>
                      <w:szCs w:val="21"/>
                    </w:rPr>
                    <w:t>t/a</w:t>
                  </w:r>
                </w:p>
              </w:tc>
              <w:tc>
                <w:tcPr>
                  <w:tcW w:w="4402" w:type="dxa"/>
                  <w:gridSpan w:val="2"/>
                  <w:vMerge w:val="continue"/>
                  <w:noWrap/>
                  <w:vAlign w:val="center"/>
                </w:tcPr>
                <w:p>
                  <w:pPr>
                    <w:pStyle w:val="79"/>
                    <w:rPr>
                      <w:rFonts w:hint="default" w:ascii="Times New Roman" w:hAnsi="Times New Roman" w:cs="Times New Roman"/>
                      <w:b w:val="0"/>
                      <w:bCs/>
                      <w:color w:val="auto"/>
                    </w:rPr>
                  </w:pPr>
                </w:p>
              </w:tc>
            </w:tr>
          </w:tbl>
          <w:p>
            <w:pPr>
              <w:rPr>
                <w:rFonts w:hint="default" w:ascii="Times New Roman" w:hAnsi="Times New Roman" w:cs="Times New Roman"/>
                <w:color w:val="auto"/>
              </w:rPr>
            </w:pPr>
            <w:r>
              <w:rPr>
                <w:rFonts w:hint="default" w:ascii="Times New Roman" w:hAnsi="Times New Roman" w:cs="Times New Roman"/>
                <w:color w:val="auto"/>
              </w:rPr>
              <w:t>（3）日常管理要求</w:t>
            </w:r>
          </w:p>
          <w:p>
            <w:pPr>
              <w:rPr>
                <w:rFonts w:hint="default" w:ascii="Times New Roman" w:hAnsi="Times New Roman" w:cs="Times New Roman"/>
                <w:color w:val="auto"/>
              </w:rPr>
            </w:pPr>
            <w:r>
              <w:rPr>
                <w:rFonts w:hint="default" w:ascii="Times New Roman" w:hAnsi="Times New Roman" w:cs="Times New Roman"/>
                <w:color w:val="auto"/>
              </w:rPr>
              <w:t>①管理要求</w:t>
            </w:r>
          </w:p>
          <w:p>
            <w:pPr>
              <w:rPr>
                <w:rFonts w:hint="default" w:ascii="Times New Roman" w:hAnsi="Times New Roman" w:cs="Times New Roman"/>
                <w:color w:val="auto"/>
              </w:rPr>
            </w:pPr>
            <w:r>
              <w:rPr>
                <w:rFonts w:hint="default" w:ascii="Times New Roman" w:hAnsi="Times New Roman" w:cs="Times New Roman"/>
                <w:color w:val="auto"/>
              </w:rPr>
              <w:t>环境管理的基本任务是控制污染物的排放量和避免或减轻排出污染物对环境的损害。为了控制污染物的排放，就需要加强计划、生产、技术、质量、设备、劳动等方面的管理，把环境管理渗透到整个企业的管理中，将环境目标与生产目标融合在一起，以减少从生产过程中各环节排出的污染物。</w:t>
            </w:r>
          </w:p>
          <w:p>
            <w:pPr>
              <w:rPr>
                <w:rFonts w:hint="default" w:ascii="Times New Roman" w:hAnsi="Times New Roman" w:cs="Times New Roman"/>
                <w:color w:val="auto"/>
              </w:rPr>
            </w:pPr>
            <w:r>
              <w:rPr>
                <w:rFonts w:hint="default" w:ascii="Times New Roman" w:hAnsi="Times New Roman" w:cs="Times New Roman"/>
                <w:color w:val="auto"/>
              </w:rPr>
              <w:t>按照《建设项目环境保护管理设计规定》等有关要求，建设单位应建立健全环境管理机构与职责，加强对项目环保设施的运行管理和污染预防，应设环保专职管理人员1～2人。</w:t>
            </w:r>
          </w:p>
          <w:p>
            <w:pPr>
              <w:rPr>
                <w:rFonts w:hint="default" w:ascii="Times New Roman" w:hAnsi="Times New Roman" w:cs="Times New Roman"/>
                <w:color w:val="auto"/>
              </w:rPr>
            </w:pPr>
            <w:r>
              <w:rPr>
                <w:rFonts w:hint="default" w:ascii="Times New Roman" w:hAnsi="Times New Roman" w:cs="Times New Roman"/>
                <w:color w:val="auto"/>
              </w:rPr>
              <w:t>②环境管理职责</w:t>
            </w:r>
          </w:p>
          <w:p>
            <w:pPr>
              <w:rPr>
                <w:rFonts w:hint="default" w:ascii="Times New Roman" w:hAnsi="Times New Roman" w:cs="Times New Roman"/>
                <w:color w:val="auto"/>
              </w:rPr>
            </w:pPr>
            <w:r>
              <w:rPr>
                <w:rFonts w:hint="default" w:ascii="Times New Roman" w:hAnsi="Times New Roman" w:cs="Times New Roman"/>
                <w:color w:val="auto"/>
              </w:rPr>
              <w:t>a 认真贯彻国家环境保护政策、法规，制定环保规划与环保规章制度，并实施检查和监督。</w:t>
            </w:r>
          </w:p>
          <w:p>
            <w:pPr>
              <w:rPr>
                <w:rFonts w:hint="default" w:ascii="Times New Roman" w:hAnsi="Times New Roman" w:cs="Times New Roman"/>
                <w:color w:val="auto"/>
              </w:rPr>
            </w:pPr>
            <w:r>
              <w:rPr>
                <w:rFonts w:hint="default" w:ascii="Times New Roman" w:hAnsi="Times New Roman" w:cs="Times New Roman"/>
                <w:color w:val="auto"/>
              </w:rPr>
              <w:t>b 拟定环保工作计划，配合领导完成环境保护责任目标。</w:t>
            </w:r>
          </w:p>
          <w:p>
            <w:pPr>
              <w:rPr>
                <w:rFonts w:hint="default" w:ascii="Times New Roman" w:hAnsi="Times New Roman" w:cs="Times New Roman"/>
                <w:color w:val="auto"/>
              </w:rPr>
            </w:pPr>
            <w:r>
              <w:rPr>
                <w:rFonts w:hint="default" w:ascii="Times New Roman" w:hAnsi="Times New Roman" w:cs="Times New Roman"/>
                <w:color w:val="auto"/>
              </w:rPr>
              <w:t>c 组织、配合有资质环境监测部门开展环境与污染源监测，落实环保工程治理方案。</w:t>
            </w:r>
          </w:p>
          <w:p>
            <w:pPr>
              <w:rPr>
                <w:rFonts w:hint="default" w:ascii="Times New Roman" w:hAnsi="Times New Roman" w:cs="Times New Roman"/>
                <w:color w:val="auto"/>
              </w:rPr>
            </w:pPr>
            <w:r>
              <w:rPr>
                <w:rFonts w:hint="default" w:ascii="Times New Roman" w:hAnsi="Times New Roman" w:cs="Times New Roman"/>
                <w:color w:val="auto"/>
              </w:rPr>
              <w:t>d 确保污水处理设施正常运行。</w:t>
            </w:r>
          </w:p>
          <w:p>
            <w:pPr>
              <w:rPr>
                <w:rFonts w:hint="default" w:ascii="Times New Roman" w:hAnsi="Times New Roman" w:cs="Times New Roman"/>
                <w:color w:val="auto"/>
              </w:rPr>
            </w:pPr>
            <w:r>
              <w:rPr>
                <w:rFonts w:hint="default" w:ascii="Times New Roman" w:hAnsi="Times New Roman" w:cs="Times New Roman"/>
                <w:color w:val="auto"/>
              </w:rPr>
              <w:t>e 确保工业固体废物、生活垃圾等能够按照国家规范处置。</w:t>
            </w:r>
          </w:p>
          <w:p>
            <w:pPr>
              <w:rPr>
                <w:rFonts w:hint="default" w:ascii="Times New Roman" w:hAnsi="Times New Roman" w:cs="Times New Roman"/>
                <w:color w:val="auto"/>
              </w:rPr>
            </w:pPr>
            <w:r>
              <w:rPr>
                <w:rFonts w:hint="default" w:ascii="Times New Roman" w:hAnsi="Times New Roman" w:cs="Times New Roman"/>
                <w:color w:val="auto"/>
              </w:rPr>
              <w:t>f 执行建设项目环境影响评价制度</w:t>
            </w:r>
            <w:r>
              <w:rPr>
                <w:rFonts w:hint="default" w:ascii="Times New Roman" w:hAnsi="Times New Roman" w:eastAsia="宋体" w:cs="Times New Roman"/>
                <w:color w:val="auto"/>
              </w:rPr>
              <w:t>和“三同时”</w:t>
            </w:r>
            <w:r>
              <w:rPr>
                <w:rFonts w:hint="default" w:ascii="Times New Roman" w:hAnsi="Times New Roman" w:cs="Times New Roman"/>
                <w:color w:val="auto"/>
              </w:rPr>
              <w:t>制度，组织专家和有关管理部门对工程进行竣工验收，配合领导完成环保责任目标，保证污染物达标排放。</w:t>
            </w:r>
          </w:p>
          <w:p>
            <w:pPr>
              <w:rPr>
                <w:rFonts w:hint="default" w:ascii="Times New Roman" w:hAnsi="Times New Roman" w:cs="Times New Roman"/>
                <w:color w:val="auto"/>
              </w:rPr>
            </w:pPr>
            <w:r>
              <w:rPr>
                <w:rFonts w:hint="default" w:ascii="Times New Roman" w:hAnsi="Times New Roman" w:cs="Times New Roman"/>
                <w:color w:val="auto"/>
              </w:rPr>
              <w:t>g 建立环境保护档案，开展日常环境保护工作。</w:t>
            </w:r>
          </w:p>
          <w:p>
            <w:pPr>
              <w:rPr>
                <w:rFonts w:hint="default" w:ascii="Times New Roman" w:hAnsi="Times New Roman" w:cs="Times New Roman"/>
                <w:color w:val="auto"/>
              </w:rPr>
            </w:pPr>
            <w:r>
              <w:rPr>
                <w:rFonts w:hint="default" w:ascii="Times New Roman" w:hAnsi="Times New Roman" w:cs="Times New Roman"/>
                <w:color w:val="auto"/>
              </w:rPr>
              <w:t>h 明确各层次职责，加强环境保护宣传教育培训和专业培训，普及环保知识，提高员工环保意识和能力，确保实现持续改进。</w:t>
            </w:r>
          </w:p>
          <w:p>
            <w:pPr>
              <w:rPr>
                <w:rFonts w:hint="default" w:ascii="Times New Roman" w:hAnsi="Times New Roman" w:cs="Times New Roman"/>
                <w:color w:val="auto"/>
              </w:rPr>
            </w:pPr>
            <w:r>
              <w:rPr>
                <w:rFonts w:hint="default" w:ascii="Times New Roman" w:hAnsi="Times New Roman" w:cs="Times New Roman"/>
                <w:color w:val="auto"/>
              </w:rPr>
              <w:t>i 负责厂区环境绿化和环境保护管理，主动接受上级环保行政主管部门工作指导和检查。</w:t>
            </w:r>
          </w:p>
          <w:p>
            <w:pPr>
              <w:rPr>
                <w:rFonts w:hint="default" w:ascii="Times New Roman" w:hAnsi="Times New Roman" w:cs="Times New Roman"/>
                <w:color w:val="auto"/>
              </w:rPr>
            </w:pPr>
            <w:r>
              <w:rPr>
                <w:rFonts w:hint="default" w:ascii="Times New Roman" w:hAnsi="Times New Roman" w:cs="Times New Roman"/>
                <w:color w:val="auto"/>
              </w:rPr>
              <w:t>③环保投入费用保障计划</w:t>
            </w:r>
          </w:p>
          <w:p>
            <w:pPr>
              <w:rPr>
                <w:rFonts w:hint="default" w:ascii="Times New Roman" w:hAnsi="Times New Roman" w:cs="Times New Roman"/>
                <w:color w:val="auto"/>
              </w:rPr>
            </w:pPr>
            <w:r>
              <w:rPr>
                <w:rFonts w:hint="default" w:ascii="Times New Roman" w:hAnsi="Times New Roman" w:cs="Times New Roman"/>
                <w:color w:val="auto"/>
              </w:rPr>
              <w:t>为了使污染治理措施能落到实处，评价要求。</w:t>
            </w:r>
          </w:p>
          <w:p>
            <w:pPr>
              <w:rPr>
                <w:rFonts w:hint="default" w:ascii="Times New Roman" w:hAnsi="Times New Roman" w:cs="Times New Roman"/>
                <w:color w:val="auto"/>
              </w:rPr>
            </w:pPr>
            <w:r>
              <w:rPr>
                <w:rFonts w:hint="default" w:ascii="Times New Roman" w:hAnsi="Times New Roman" w:cs="Times New Roman"/>
                <w:color w:val="auto"/>
              </w:rPr>
              <w:t>a 环保投资必须落实，专款专用。</w:t>
            </w:r>
          </w:p>
          <w:p>
            <w:pPr>
              <w:rPr>
                <w:rFonts w:hint="default" w:ascii="Times New Roman" w:hAnsi="Times New Roman" w:cs="Times New Roman"/>
                <w:color w:val="auto"/>
              </w:rPr>
            </w:pPr>
            <w:r>
              <w:rPr>
                <w:rFonts w:hint="default" w:ascii="Times New Roman" w:hAnsi="Times New Roman" w:cs="Times New Roman"/>
                <w:color w:val="auto"/>
              </w:rPr>
              <w:t>b 应合理安排经费，使各项环保措施都能认真得到贯彻执行。</w:t>
            </w:r>
          </w:p>
          <w:p>
            <w:pPr>
              <w:rPr>
                <w:rFonts w:hint="default" w:ascii="Times New Roman" w:hAnsi="Times New Roman" w:cs="Times New Roman"/>
                <w:color w:val="auto"/>
              </w:rPr>
            </w:pPr>
            <w:r>
              <w:rPr>
                <w:rFonts w:hint="default" w:ascii="Times New Roman" w:hAnsi="Times New Roman" w:cs="Times New Roman"/>
                <w:color w:val="auto"/>
              </w:rPr>
              <w:t>c 本工程竣工后，对各项环保设施要进行检查验收，保证污染防治措施安全高效运行。</w:t>
            </w:r>
          </w:p>
          <w:p>
            <w:pPr>
              <w:rPr>
                <w:rFonts w:hint="default" w:ascii="Times New Roman" w:hAnsi="Times New Roman" w:cs="Times New Roman"/>
                <w:color w:val="auto"/>
              </w:rPr>
            </w:pPr>
            <w:r>
              <w:rPr>
                <w:rFonts w:hint="default" w:ascii="Times New Roman" w:hAnsi="Times New Roman" w:cs="Times New Roman"/>
                <w:color w:val="auto"/>
              </w:rPr>
              <w:t>（4）运营期监测及管理计划</w:t>
            </w:r>
          </w:p>
          <w:p>
            <w:pPr>
              <w:rPr>
                <w:rFonts w:hint="default" w:ascii="Times New Roman" w:hAnsi="Times New Roman" w:cs="Times New Roman"/>
                <w:color w:val="auto"/>
              </w:rPr>
            </w:pPr>
            <w:r>
              <w:rPr>
                <w:rFonts w:hint="default" w:ascii="Times New Roman" w:hAnsi="Times New Roman" w:cs="Times New Roman"/>
                <w:color w:val="auto"/>
              </w:rPr>
              <w:t>根据本项目运营期环境污染特点，应委托有环境监测资质的单位对大气、噪声进行定期监测，企业应自觉接受当地环保部门的监督与管理。具体见表7-</w:t>
            </w:r>
            <w:r>
              <w:rPr>
                <w:rFonts w:hint="default" w:ascii="Times New Roman" w:hAnsi="Times New Roman" w:cs="Times New Roman"/>
                <w:color w:val="auto"/>
                <w:lang w:val="en-US" w:eastAsia="zh-CN"/>
              </w:rPr>
              <w:t>20</w:t>
            </w:r>
            <w:r>
              <w:rPr>
                <w:rFonts w:hint="default" w:ascii="Times New Roman" w:hAnsi="Times New Roman" w:cs="Times New Roman"/>
                <w:color w:val="auto"/>
              </w:rPr>
              <w:t>。</w:t>
            </w:r>
          </w:p>
          <w:p>
            <w:pPr>
              <w:pStyle w:val="9"/>
              <w:spacing w:beforeLines="0"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表7-</w:t>
            </w: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0   </w:t>
            </w:r>
            <w:r>
              <w:rPr>
                <w:rFonts w:hint="default" w:ascii="Times New Roman" w:hAnsi="Times New Roman" w:eastAsia="宋体" w:cs="Times New Roman"/>
                <w:b/>
                <w:bCs/>
                <w:color w:val="auto"/>
                <w:sz w:val="21"/>
                <w:szCs w:val="21"/>
              </w:rPr>
              <w:t xml:space="preserve"> 运营期环境监测及管理计划一览表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979"/>
              <w:gridCol w:w="1368"/>
              <w:gridCol w:w="1240"/>
              <w:gridCol w:w="1103"/>
              <w:gridCol w:w="3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14" w:type="dxa"/>
                  <w:gridSpan w:val="2"/>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监测内容</w:t>
                  </w:r>
                </w:p>
              </w:tc>
              <w:tc>
                <w:tcPr>
                  <w:tcW w:w="1368" w:type="dxa"/>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监测点位</w:t>
                  </w:r>
                </w:p>
              </w:tc>
              <w:tc>
                <w:tcPr>
                  <w:tcW w:w="1240" w:type="dxa"/>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监测项目</w:t>
                  </w:r>
                </w:p>
              </w:tc>
              <w:tc>
                <w:tcPr>
                  <w:tcW w:w="1103" w:type="dxa"/>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监测频率</w:t>
                  </w:r>
                </w:p>
              </w:tc>
              <w:tc>
                <w:tcPr>
                  <w:tcW w:w="3697" w:type="dxa"/>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控制目标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35" w:type="dxa"/>
                  <w:vMerge w:val="restart"/>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废气</w:t>
                  </w:r>
                </w:p>
              </w:tc>
              <w:tc>
                <w:tcPr>
                  <w:tcW w:w="979" w:type="dxa"/>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有组织废气</w:t>
                  </w:r>
                </w:p>
              </w:tc>
              <w:tc>
                <w:tcPr>
                  <w:tcW w:w="1368" w:type="dxa"/>
                  <w:noWrap w:val="0"/>
                  <w:vAlign w:val="center"/>
                </w:tcPr>
                <w:p>
                  <w:pPr>
                    <w:pStyle w:val="96"/>
                    <w:rPr>
                      <w:rFonts w:hint="default" w:ascii="Times New Roman" w:hAnsi="Times New Roman" w:eastAsia="宋体" w:cs="Times New Roman"/>
                      <w:color w:val="auto"/>
                      <w:lang w:eastAsia="zh-CN"/>
                    </w:rPr>
                  </w:pPr>
                  <w:r>
                    <w:rPr>
                      <w:rFonts w:hint="default" w:ascii="Times New Roman" w:hAnsi="Times New Roman" w:cs="Times New Roman"/>
                      <w:color w:val="auto"/>
                    </w:rPr>
                    <w:t>排气筒P1</w:t>
                  </w:r>
                </w:p>
              </w:tc>
              <w:tc>
                <w:tcPr>
                  <w:tcW w:w="1240" w:type="dxa"/>
                  <w:noWrap w:val="0"/>
                  <w:vAlign w:val="center"/>
                </w:tcPr>
                <w:p>
                  <w:pPr>
                    <w:pStyle w:val="96"/>
                    <w:rPr>
                      <w:rFonts w:hint="default" w:ascii="Times New Roman" w:hAnsi="Times New Roman" w:eastAsia="宋体" w:cs="Times New Roman"/>
                      <w:color w:val="auto"/>
                      <w:lang w:eastAsia="zh-CN"/>
                    </w:rPr>
                  </w:pPr>
                  <w:r>
                    <w:rPr>
                      <w:rFonts w:hint="default" w:ascii="Times New Roman" w:hAnsi="Times New Roman" w:cs="Times New Roman"/>
                      <w:color w:val="auto"/>
                    </w:rPr>
                    <w:t>非甲烷总烃</w:t>
                  </w:r>
                </w:p>
              </w:tc>
              <w:tc>
                <w:tcPr>
                  <w:tcW w:w="1103" w:type="dxa"/>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1次/半年</w:t>
                  </w:r>
                </w:p>
              </w:tc>
              <w:tc>
                <w:tcPr>
                  <w:tcW w:w="3697" w:type="dxa"/>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eastAsia="zh-CN"/>
                    </w:rPr>
                    <w:t>挥发性有机物排放控制标准</w:t>
                  </w:r>
                  <w:r>
                    <w:rPr>
                      <w:rFonts w:hint="default" w:ascii="Times New Roman" w:hAnsi="Times New Roman" w:cs="Times New Roman"/>
                      <w:color w:val="auto"/>
                    </w:rPr>
                    <w:t>》（</w:t>
                  </w:r>
                  <w:r>
                    <w:rPr>
                      <w:rFonts w:hint="default" w:ascii="Times New Roman" w:hAnsi="Times New Roman" w:cs="Times New Roman"/>
                      <w:color w:val="auto"/>
                      <w:lang w:val="en-US" w:eastAsia="zh-CN"/>
                    </w:rPr>
                    <w:t>DB61/T1061-2017</w:t>
                  </w:r>
                  <w:r>
                    <w:rPr>
                      <w:rFonts w:hint="default" w:ascii="Times New Roman" w:hAnsi="Times New Roman" w:cs="Times New Roman"/>
                      <w:color w:val="auto"/>
                    </w:rPr>
                    <w:t>）</w:t>
                  </w: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1</w:t>
                  </w:r>
                  <w:r>
                    <w:rPr>
                      <w:rFonts w:hint="default" w:ascii="Times New Roman" w:hAnsi="Times New Roman" w:cs="Times New Roman"/>
                      <w:color w:val="auto"/>
                    </w:rPr>
                    <w:t>中</w:t>
                  </w:r>
                  <w:r>
                    <w:rPr>
                      <w:rFonts w:hint="default" w:ascii="Times New Roman" w:hAnsi="Times New Roman" w:cs="Times New Roman"/>
                      <w:color w:val="auto"/>
                      <w:lang w:eastAsia="zh-CN"/>
                    </w:rPr>
                    <w:t>的印刷行业的有组织排放浓度限值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35" w:type="dxa"/>
                  <w:vMerge w:val="continue"/>
                  <w:noWrap w:val="0"/>
                  <w:vAlign w:val="center"/>
                </w:tcPr>
                <w:p>
                  <w:pPr>
                    <w:pStyle w:val="96"/>
                    <w:rPr>
                      <w:rFonts w:hint="default" w:ascii="Times New Roman" w:hAnsi="Times New Roman" w:cs="Times New Roman"/>
                      <w:color w:val="auto"/>
                    </w:rPr>
                  </w:pPr>
                </w:p>
              </w:tc>
              <w:tc>
                <w:tcPr>
                  <w:tcW w:w="979" w:type="dxa"/>
                  <w:vMerge w:val="restart"/>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无组织废气</w:t>
                  </w:r>
                </w:p>
              </w:tc>
              <w:tc>
                <w:tcPr>
                  <w:tcW w:w="1368" w:type="dxa"/>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厂界上风向1个</w:t>
                  </w:r>
                </w:p>
              </w:tc>
              <w:tc>
                <w:tcPr>
                  <w:tcW w:w="1240" w:type="dxa"/>
                  <w:vMerge w:val="restart"/>
                  <w:noWrap w:val="0"/>
                  <w:vAlign w:val="center"/>
                </w:tcPr>
                <w:p>
                  <w:pPr>
                    <w:pStyle w:val="96"/>
                    <w:rPr>
                      <w:rFonts w:hint="default" w:ascii="Times New Roman" w:hAnsi="Times New Roman" w:eastAsia="宋体" w:cs="Times New Roman"/>
                      <w:color w:val="auto"/>
                      <w:lang w:eastAsia="zh-CN"/>
                    </w:rPr>
                  </w:pPr>
                  <w:r>
                    <w:rPr>
                      <w:rFonts w:hint="default" w:ascii="Times New Roman" w:hAnsi="Times New Roman" w:cs="Times New Roman"/>
                      <w:color w:val="auto"/>
                    </w:rPr>
                    <w:t>非甲烷总烃</w:t>
                  </w:r>
                </w:p>
              </w:tc>
              <w:tc>
                <w:tcPr>
                  <w:tcW w:w="1103" w:type="dxa"/>
                  <w:vMerge w:val="restart"/>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1次/半年</w:t>
                  </w:r>
                </w:p>
              </w:tc>
              <w:tc>
                <w:tcPr>
                  <w:tcW w:w="3697" w:type="dxa"/>
                  <w:vMerge w:val="restart"/>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eastAsia="zh-CN"/>
                    </w:rPr>
                    <w:t>挥发性有机物排放控制标准</w:t>
                  </w:r>
                  <w:r>
                    <w:rPr>
                      <w:rFonts w:hint="default" w:ascii="Times New Roman" w:hAnsi="Times New Roman" w:cs="Times New Roman"/>
                      <w:color w:val="auto"/>
                    </w:rPr>
                    <w:t>》（</w:t>
                  </w:r>
                  <w:r>
                    <w:rPr>
                      <w:rFonts w:hint="default" w:ascii="Times New Roman" w:hAnsi="Times New Roman" w:cs="Times New Roman"/>
                      <w:color w:val="auto"/>
                      <w:lang w:val="en-US" w:eastAsia="zh-CN"/>
                    </w:rPr>
                    <w:t>DB61/T1061-2017</w:t>
                  </w:r>
                  <w:r>
                    <w:rPr>
                      <w:rFonts w:hint="default" w:ascii="Times New Roman" w:hAnsi="Times New Roman" w:cs="Times New Roman"/>
                      <w:color w:val="auto"/>
                    </w:rPr>
                    <w:t>）</w:t>
                  </w: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2中的厂区内监控点浓度限值和表3中的企业边界监控点浓度限值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35" w:type="dxa"/>
                  <w:vMerge w:val="continue"/>
                  <w:noWrap w:val="0"/>
                  <w:vAlign w:val="center"/>
                </w:tcPr>
                <w:p>
                  <w:pPr>
                    <w:pStyle w:val="96"/>
                    <w:rPr>
                      <w:rFonts w:hint="default" w:ascii="Times New Roman" w:hAnsi="Times New Roman" w:cs="Times New Roman"/>
                      <w:color w:val="auto"/>
                    </w:rPr>
                  </w:pPr>
                </w:p>
              </w:tc>
              <w:tc>
                <w:tcPr>
                  <w:tcW w:w="979" w:type="dxa"/>
                  <w:vMerge w:val="continue"/>
                  <w:noWrap w:val="0"/>
                  <w:vAlign w:val="center"/>
                </w:tcPr>
                <w:p>
                  <w:pPr>
                    <w:pStyle w:val="96"/>
                    <w:rPr>
                      <w:rFonts w:hint="default" w:ascii="Times New Roman" w:hAnsi="Times New Roman" w:cs="Times New Roman"/>
                      <w:color w:val="auto"/>
                    </w:rPr>
                  </w:pPr>
                </w:p>
              </w:tc>
              <w:tc>
                <w:tcPr>
                  <w:tcW w:w="1368" w:type="dxa"/>
                  <w:noWrap w:val="0"/>
                  <w:vAlign w:val="center"/>
                </w:tcPr>
                <w:p>
                  <w:pPr>
                    <w:pStyle w:val="96"/>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厂区监控点</w:t>
                  </w:r>
                  <w:r>
                    <w:rPr>
                      <w:rFonts w:hint="default" w:ascii="Times New Roman" w:hAnsi="Times New Roman" w:cs="Times New Roman"/>
                      <w:color w:val="auto"/>
                      <w:lang w:val="en-US" w:eastAsia="zh-CN"/>
                    </w:rPr>
                    <w:t>1个</w:t>
                  </w:r>
                </w:p>
              </w:tc>
              <w:tc>
                <w:tcPr>
                  <w:tcW w:w="1240" w:type="dxa"/>
                  <w:vMerge w:val="continue"/>
                  <w:noWrap w:val="0"/>
                  <w:vAlign w:val="center"/>
                </w:tcPr>
                <w:p>
                  <w:pPr>
                    <w:pStyle w:val="96"/>
                    <w:rPr>
                      <w:rFonts w:hint="default" w:ascii="Times New Roman" w:hAnsi="Times New Roman" w:cs="Times New Roman"/>
                      <w:color w:val="auto"/>
                    </w:rPr>
                  </w:pPr>
                </w:p>
              </w:tc>
              <w:tc>
                <w:tcPr>
                  <w:tcW w:w="1103" w:type="dxa"/>
                  <w:vMerge w:val="continue"/>
                  <w:noWrap w:val="0"/>
                  <w:vAlign w:val="center"/>
                </w:tcPr>
                <w:p>
                  <w:pPr>
                    <w:pStyle w:val="96"/>
                    <w:rPr>
                      <w:rFonts w:hint="default" w:ascii="Times New Roman" w:hAnsi="Times New Roman" w:cs="Times New Roman"/>
                      <w:color w:val="auto"/>
                    </w:rPr>
                  </w:pPr>
                </w:p>
              </w:tc>
              <w:tc>
                <w:tcPr>
                  <w:tcW w:w="3697" w:type="dxa"/>
                  <w:vMerge w:val="continue"/>
                  <w:noWrap w:val="0"/>
                  <w:vAlign w:val="center"/>
                </w:tcPr>
                <w:p>
                  <w:pPr>
                    <w:pStyle w:val="96"/>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35" w:type="dxa"/>
                  <w:vMerge w:val="continue"/>
                  <w:noWrap w:val="0"/>
                  <w:vAlign w:val="center"/>
                </w:tcPr>
                <w:p>
                  <w:pPr>
                    <w:pStyle w:val="96"/>
                    <w:rPr>
                      <w:rFonts w:hint="default" w:ascii="Times New Roman" w:hAnsi="Times New Roman" w:cs="Times New Roman"/>
                      <w:color w:val="auto"/>
                    </w:rPr>
                  </w:pPr>
                </w:p>
              </w:tc>
              <w:tc>
                <w:tcPr>
                  <w:tcW w:w="979" w:type="dxa"/>
                  <w:vMerge w:val="continue"/>
                  <w:noWrap w:val="0"/>
                  <w:vAlign w:val="center"/>
                </w:tcPr>
                <w:p>
                  <w:pPr>
                    <w:pStyle w:val="96"/>
                    <w:rPr>
                      <w:rFonts w:hint="default" w:ascii="Times New Roman" w:hAnsi="Times New Roman" w:cs="Times New Roman"/>
                      <w:color w:val="auto"/>
                    </w:rPr>
                  </w:pPr>
                </w:p>
              </w:tc>
              <w:tc>
                <w:tcPr>
                  <w:tcW w:w="1368" w:type="dxa"/>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厂界下风向3个</w:t>
                  </w:r>
                </w:p>
              </w:tc>
              <w:tc>
                <w:tcPr>
                  <w:tcW w:w="1240" w:type="dxa"/>
                  <w:vMerge w:val="continue"/>
                  <w:noWrap w:val="0"/>
                  <w:vAlign w:val="center"/>
                </w:tcPr>
                <w:p>
                  <w:pPr>
                    <w:pStyle w:val="96"/>
                    <w:rPr>
                      <w:rFonts w:hint="default" w:ascii="Times New Roman" w:hAnsi="Times New Roman" w:cs="Times New Roman"/>
                      <w:color w:val="auto"/>
                    </w:rPr>
                  </w:pPr>
                </w:p>
              </w:tc>
              <w:tc>
                <w:tcPr>
                  <w:tcW w:w="1103" w:type="dxa"/>
                  <w:vMerge w:val="continue"/>
                  <w:noWrap w:val="0"/>
                  <w:vAlign w:val="center"/>
                </w:tcPr>
                <w:p>
                  <w:pPr>
                    <w:pStyle w:val="96"/>
                    <w:rPr>
                      <w:rFonts w:hint="default" w:ascii="Times New Roman" w:hAnsi="Times New Roman" w:cs="Times New Roman"/>
                      <w:color w:val="auto"/>
                    </w:rPr>
                  </w:pPr>
                </w:p>
              </w:tc>
              <w:tc>
                <w:tcPr>
                  <w:tcW w:w="3697" w:type="dxa"/>
                  <w:vMerge w:val="continue"/>
                  <w:noWrap w:val="0"/>
                  <w:vAlign w:val="center"/>
                </w:tcPr>
                <w:p>
                  <w:pPr>
                    <w:pStyle w:val="96"/>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14" w:type="dxa"/>
                  <w:gridSpan w:val="2"/>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废水</w:t>
                  </w:r>
                </w:p>
              </w:tc>
              <w:tc>
                <w:tcPr>
                  <w:tcW w:w="1368" w:type="dxa"/>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化粪池排口</w:t>
                  </w:r>
                </w:p>
              </w:tc>
              <w:tc>
                <w:tcPr>
                  <w:tcW w:w="1240" w:type="dxa"/>
                  <w:noWrap w:val="0"/>
                  <w:vAlign w:val="center"/>
                </w:tcPr>
                <w:p>
                  <w:pPr>
                    <w:pStyle w:val="96"/>
                    <w:rPr>
                      <w:rFonts w:hint="default" w:ascii="Times New Roman" w:hAnsi="Times New Roman" w:eastAsia="宋体" w:cs="Times New Roman"/>
                      <w:color w:val="auto"/>
                      <w:lang w:eastAsia="zh-CN"/>
                    </w:rPr>
                  </w:pPr>
                  <w:r>
                    <w:rPr>
                      <w:rFonts w:hint="default" w:ascii="Times New Roman" w:hAnsi="Times New Roman" w:cs="Times New Roman"/>
                      <w:bCs/>
                      <w:color w:val="auto"/>
                    </w:rPr>
                    <w:t>COD、BOD</w:t>
                  </w:r>
                  <w:r>
                    <w:rPr>
                      <w:rFonts w:hint="default" w:ascii="Times New Roman" w:hAnsi="Times New Roman" w:cs="Times New Roman"/>
                      <w:bCs/>
                      <w:color w:val="auto"/>
                      <w:vertAlign w:val="subscript"/>
                    </w:rPr>
                    <w:t>5</w:t>
                  </w:r>
                  <w:r>
                    <w:rPr>
                      <w:rFonts w:hint="default" w:ascii="Times New Roman" w:hAnsi="Times New Roman" w:cs="Times New Roman"/>
                      <w:bCs/>
                      <w:color w:val="auto"/>
                    </w:rPr>
                    <w:t>、SS、氨氮、</w:t>
                  </w:r>
                  <w:r>
                    <w:rPr>
                      <w:rFonts w:hint="default" w:ascii="Times New Roman" w:hAnsi="Times New Roman" w:cs="Times New Roman"/>
                      <w:bCs/>
                      <w:color w:val="auto"/>
                      <w:lang w:eastAsia="zh-CN"/>
                    </w:rPr>
                    <w:t>动植物油</w:t>
                  </w:r>
                </w:p>
              </w:tc>
              <w:tc>
                <w:tcPr>
                  <w:tcW w:w="1103" w:type="dxa"/>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1次/半年</w:t>
                  </w:r>
                </w:p>
              </w:tc>
              <w:tc>
                <w:tcPr>
                  <w:tcW w:w="3697" w:type="dxa"/>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《污水综合排放标准》（GB8978-1996）中的三级标准，氨氮执行《污水排入下水道水质标准》（GB/T31962-2015）表1中B级标准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14" w:type="dxa"/>
                  <w:gridSpan w:val="2"/>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噪声</w:t>
                  </w:r>
                </w:p>
              </w:tc>
              <w:tc>
                <w:tcPr>
                  <w:tcW w:w="1368" w:type="dxa"/>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厂界四周</w:t>
                  </w:r>
                </w:p>
              </w:tc>
              <w:tc>
                <w:tcPr>
                  <w:tcW w:w="1240" w:type="dxa"/>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等效声级</w:t>
                  </w:r>
                </w:p>
              </w:tc>
              <w:tc>
                <w:tcPr>
                  <w:tcW w:w="1103" w:type="dxa"/>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1次/半年</w:t>
                  </w:r>
                </w:p>
              </w:tc>
              <w:tc>
                <w:tcPr>
                  <w:tcW w:w="3697" w:type="dxa"/>
                  <w:noWrap w:val="0"/>
                  <w:vAlign w:val="center"/>
                </w:tcPr>
                <w:p>
                  <w:pPr>
                    <w:pStyle w:val="96"/>
                    <w:rPr>
                      <w:rFonts w:hint="default" w:ascii="Times New Roman" w:hAnsi="Times New Roman" w:cs="Times New Roman"/>
                      <w:color w:val="auto"/>
                    </w:rPr>
                  </w:pPr>
                  <w:r>
                    <w:rPr>
                      <w:rFonts w:hint="default" w:ascii="Times New Roman" w:hAnsi="Times New Roman" w:cs="Times New Roman"/>
                      <w:color w:val="auto"/>
                    </w:rPr>
                    <w:t>《工业企业厂界环境噪声排放标准》（GB12348-2008）</w:t>
                  </w:r>
                  <w:r>
                    <w:rPr>
                      <w:rFonts w:hint="default" w:ascii="Times New Roman" w:hAnsi="Times New Roman" w:cs="Times New Roman"/>
                      <w:color w:val="auto"/>
                      <w:lang w:val="en-US" w:eastAsia="zh-CN"/>
                    </w:rPr>
                    <w:t>2</w:t>
                  </w:r>
                  <w:r>
                    <w:rPr>
                      <w:rFonts w:hint="default" w:ascii="Times New Roman" w:hAnsi="Times New Roman" w:cs="Times New Roman"/>
                      <w:color w:val="auto"/>
                    </w:rPr>
                    <w:t>类标准</w:t>
                  </w:r>
                </w:p>
              </w:tc>
            </w:tr>
          </w:tbl>
          <w:p>
            <w:pPr>
              <w:pStyle w:val="8"/>
              <w:ind w:firstLine="482"/>
              <w:rPr>
                <w:rFonts w:hint="default" w:ascii="Times New Roman" w:hAnsi="Times New Roman" w:cs="Times New Roman"/>
                <w:b/>
                <w:bCs/>
                <w:color w:val="auto"/>
              </w:rPr>
            </w:pPr>
            <w:r>
              <w:rPr>
                <w:rFonts w:hint="default" w:ascii="Times New Roman" w:hAnsi="Times New Roman" w:cs="Times New Roman"/>
                <w:b/>
                <w:bCs/>
                <w:color w:val="auto"/>
                <w:lang w:val="en-US" w:eastAsia="zh-CN"/>
              </w:rPr>
              <w:t>8</w:t>
            </w:r>
            <w:r>
              <w:rPr>
                <w:rFonts w:hint="default" w:ascii="Times New Roman" w:hAnsi="Times New Roman" w:cs="Times New Roman"/>
                <w:b/>
                <w:bCs/>
                <w:color w:val="auto"/>
              </w:rPr>
              <w:t>、环保设施清单及环保投资估算</w:t>
            </w:r>
          </w:p>
          <w:p>
            <w:pPr>
              <w:rPr>
                <w:rFonts w:hint="default" w:ascii="Times New Roman" w:hAnsi="Times New Roman" w:cs="Times New Roman"/>
                <w:color w:val="auto"/>
              </w:rPr>
            </w:pPr>
            <w:r>
              <w:rPr>
                <w:rFonts w:hint="default" w:ascii="Times New Roman" w:hAnsi="Times New Roman" w:cs="Times New Roman"/>
                <w:color w:val="auto"/>
              </w:rPr>
              <w:t>本项目总投资</w:t>
            </w:r>
            <w:r>
              <w:rPr>
                <w:rFonts w:hint="default" w:ascii="Times New Roman" w:hAnsi="Times New Roman" w:cs="Times New Roman"/>
                <w:color w:val="auto"/>
                <w:lang w:val="en-US" w:eastAsia="zh-CN"/>
              </w:rPr>
              <w:t>1000</w:t>
            </w:r>
            <w:r>
              <w:rPr>
                <w:rFonts w:hint="default" w:ascii="Times New Roman" w:hAnsi="Times New Roman" w:cs="Times New Roman"/>
                <w:color w:val="auto"/>
              </w:rPr>
              <w:t>万元，环保投资</w:t>
            </w:r>
            <w:r>
              <w:rPr>
                <w:rFonts w:hint="default" w:ascii="Times New Roman" w:hAnsi="Times New Roman" w:cs="Times New Roman"/>
                <w:color w:val="auto"/>
                <w:lang w:val="en-US" w:eastAsia="zh-CN"/>
              </w:rPr>
              <w:t>10</w:t>
            </w:r>
            <w:r>
              <w:rPr>
                <w:rFonts w:hint="default" w:ascii="Times New Roman" w:hAnsi="Times New Roman" w:cs="Times New Roman"/>
                <w:color w:val="auto"/>
              </w:rPr>
              <w:t>万元，占总投资额的</w:t>
            </w:r>
            <w:r>
              <w:rPr>
                <w:rFonts w:hint="default" w:ascii="Times New Roman" w:hAnsi="Times New Roman" w:cs="Times New Roman"/>
                <w:color w:val="auto"/>
                <w:lang w:val="en-US" w:eastAsia="zh-CN"/>
              </w:rPr>
              <w:t>1</w:t>
            </w:r>
            <w:r>
              <w:rPr>
                <w:rFonts w:hint="default" w:ascii="Times New Roman" w:hAnsi="Times New Roman" w:cs="Times New Roman"/>
                <w:color w:val="auto"/>
              </w:rPr>
              <w:t>%。项目具体的环保投资见表7-</w:t>
            </w:r>
            <w:r>
              <w:rPr>
                <w:rFonts w:hint="default" w:ascii="Times New Roman" w:hAnsi="Times New Roman" w:cs="Times New Roman"/>
                <w:color w:val="auto"/>
                <w:lang w:val="en-US" w:eastAsia="zh-CN"/>
              </w:rPr>
              <w:t>21</w:t>
            </w:r>
            <w:r>
              <w:rPr>
                <w:rFonts w:hint="default" w:ascii="Times New Roman" w:hAnsi="Times New Roman" w:cs="Times New Roman"/>
                <w:color w:val="auto"/>
              </w:rPr>
              <w:t>。</w:t>
            </w:r>
          </w:p>
          <w:p>
            <w:pPr>
              <w:pStyle w:val="9"/>
              <w:spacing w:beforeLines="0"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表7- </w:t>
            </w: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1  </w:t>
            </w:r>
            <w:r>
              <w:rPr>
                <w:rFonts w:hint="default" w:ascii="Times New Roman" w:hAnsi="Times New Roman" w:eastAsia="宋体" w:cs="Times New Roman"/>
                <w:b/>
                <w:bCs/>
                <w:color w:val="auto"/>
                <w:sz w:val="21"/>
                <w:szCs w:val="21"/>
              </w:rPr>
              <w:t>环境保护投资估算一览表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3"/>
              <w:gridCol w:w="899"/>
              <w:gridCol w:w="1184"/>
              <w:gridCol w:w="3040"/>
              <w:gridCol w:w="1582"/>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3" w:type="dxa"/>
                  <w:noWrap w:val="0"/>
                  <w:tcMar>
                    <w:left w:w="0" w:type="dxa"/>
                    <w:right w:w="0" w:type="dxa"/>
                  </w:tcMar>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序号</w:t>
                  </w:r>
                </w:p>
              </w:tc>
              <w:tc>
                <w:tcPr>
                  <w:tcW w:w="2083" w:type="dxa"/>
                  <w:gridSpan w:val="2"/>
                  <w:noWrap w:val="0"/>
                  <w:tcMar>
                    <w:left w:w="0" w:type="dxa"/>
                    <w:right w:w="0" w:type="dxa"/>
                  </w:tcMar>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治理项目</w:t>
                  </w:r>
                </w:p>
              </w:tc>
              <w:tc>
                <w:tcPr>
                  <w:tcW w:w="3040" w:type="dxa"/>
                  <w:noWrap w:val="0"/>
                  <w:tcMar>
                    <w:left w:w="0" w:type="dxa"/>
                    <w:right w:w="0" w:type="dxa"/>
                  </w:tcMar>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污染防治设施或措施</w:t>
                  </w:r>
                </w:p>
              </w:tc>
              <w:tc>
                <w:tcPr>
                  <w:tcW w:w="1582" w:type="dxa"/>
                  <w:noWrap w:val="0"/>
                  <w:tcMar>
                    <w:left w:w="0" w:type="dxa"/>
                    <w:right w:w="0" w:type="dxa"/>
                  </w:tcMar>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数量</w:t>
                  </w:r>
                </w:p>
              </w:tc>
              <w:tc>
                <w:tcPr>
                  <w:tcW w:w="1584" w:type="dxa"/>
                  <w:noWrap w:val="0"/>
                  <w:tcMar>
                    <w:left w:w="0" w:type="dxa"/>
                    <w:right w:w="0" w:type="dxa"/>
                  </w:tcMar>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3" w:type="dxa"/>
                  <w:noWrap w:val="0"/>
                  <w:tcMar>
                    <w:left w:w="0" w:type="dxa"/>
                    <w:right w:w="0" w:type="dxa"/>
                  </w:tcMar>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1</w:t>
                  </w:r>
                </w:p>
              </w:tc>
              <w:tc>
                <w:tcPr>
                  <w:tcW w:w="899" w:type="dxa"/>
                  <w:noWrap w:val="0"/>
                  <w:tcMar>
                    <w:left w:w="0" w:type="dxa"/>
                    <w:right w:w="0" w:type="dxa"/>
                  </w:tcMar>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废气</w:t>
                  </w:r>
                </w:p>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治理</w:t>
                  </w:r>
                </w:p>
              </w:tc>
              <w:tc>
                <w:tcPr>
                  <w:tcW w:w="1184" w:type="dxa"/>
                  <w:noWrap w:val="0"/>
                  <w:tcMar>
                    <w:left w:w="0" w:type="dxa"/>
                    <w:right w:w="0" w:type="dxa"/>
                  </w:tcMar>
                  <w:vAlign w:val="center"/>
                </w:tcPr>
                <w:p>
                  <w:pPr>
                    <w:pStyle w:val="79"/>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印刷</w:t>
                  </w:r>
                  <w:r>
                    <w:rPr>
                      <w:rFonts w:hint="eastAsia" w:cs="Times New Roman"/>
                      <w:b w:val="0"/>
                      <w:bCs/>
                      <w:color w:val="auto"/>
                      <w:lang w:eastAsia="zh-CN"/>
                    </w:rPr>
                    <w:t>、手工粘合</w:t>
                  </w:r>
                  <w:r>
                    <w:rPr>
                      <w:rFonts w:hint="default" w:ascii="Times New Roman" w:hAnsi="Times New Roman" w:cs="Times New Roman"/>
                      <w:b w:val="0"/>
                      <w:bCs/>
                      <w:color w:val="auto"/>
                      <w:lang w:eastAsia="zh-CN"/>
                    </w:rPr>
                    <w:t>产生的非甲烷总烃</w:t>
                  </w:r>
                </w:p>
              </w:tc>
              <w:tc>
                <w:tcPr>
                  <w:tcW w:w="3040" w:type="dxa"/>
                  <w:noWrap w:val="0"/>
                  <w:tcMar>
                    <w:left w:w="0" w:type="dxa"/>
                    <w:right w:w="0" w:type="dxa"/>
                  </w:tcMar>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集气罩收集</w:t>
                  </w:r>
                  <w:r>
                    <w:rPr>
                      <w:rFonts w:hint="eastAsia" w:cs="Times New Roman"/>
                      <w:b w:val="0"/>
                      <w:bCs/>
                      <w:color w:val="auto"/>
                      <w:lang w:eastAsia="zh-CN"/>
                    </w:rPr>
                    <w:t>（密闭车间风机抽风系统）</w:t>
                  </w:r>
                  <w:r>
                    <w:rPr>
                      <w:rFonts w:hint="default" w:ascii="Times New Roman" w:hAnsi="Times New Roman" w:cs="Times New Roman"/>
                      <w:b w:val="0"/>
                      <w:bCs/>
                      <w:color w:val="auto"/>
                    </w:rPr>
                    <w:t>+活性炭吸附+15m以上排气筒</w:t>
                  </w:r>
                </w:p>
              </w:tc>
              <w:tc>
                <w:tcPr>
                  <w:tcW w:w="1582" w:type="dxa"/>
                  <w:noWrap w:val="0"/>
                  <w:tcMar>
                    <w:left w:w="0" w:type="dxa"/>
                    <w:right w:w="0" w:type="dxa"/>
                  </w:tcMar>
                  <w:vAlign w:val="center"/>
                </w:tcPr>
                <w:p>
                  <w:pPr>
                    <w:pStyle w:val="79"/>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1套</w:t>
                  </w:r>
                </w:p>
              </w:tc>
              <w:tc>
                <w:tcPr>
                  <w:tcW w:w="1584" w:type="dxa"/>
                  <w:noWrap w:val="0"/>
                  <w:tcMar>
                    <w:left w:w="0" w:type="dxa"/>
                    <w:right w:w="0" w:type="dxa"/>
                  </w:tcMar>
                  <w:vAlign w:val="center"/>
                </w:tcPr>
                <w:p>
                  <w:pPr>
                    <w:pStyle w:val="79"/>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3" w:type="dxa"/>
                  <w:noWrap w:val="0"/>
                  <w:tcMar>
                    <w:left w:w="0" w:type="dxa"/>
                    <w:right w:w="0" w:type="dxa"/>
                  </w:tcMar>
                  <w:vAlign w:val="center"/>
                </w:tcPr>
                <w:p>
                  <w:pPr>
                    <w:pStyle w:val="79"/>
                    <w:ind w:firstLine="0" w:firstLineChars="0"/>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2</w:t>
                  </w:r>
                </w:p>
              </w:tc>
              <w:tc>
                <w:tcPr>
                  <w:tcW w:w="899" w:type="dxa"/>
                  <w:noWrap w:val="0"/>
                  <w:tcMar>
                    <w:left w:w="0" w:type="dxa"/>
                    <w:right w:w="0" w:type="dxa"/>
                  </w:tcMar>
                  <w:vAlign w:val="center"/>
                </w:tcPr>
                <w:p>
                  <w:pPr>
                    <w:pStyle w:val="79"/>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废水</w:t>
                  </w:r>
                </w:p>
                <w:p>
                  <w:pPr>
                    <w:pStyle w:val="79"/>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治理</w:t>
                  </w:r>
                </w:p>
              </w:tc>
              <w:tc>
                <w:tcPr>
                  <w:tcW w:w="1184" w:type="dxa"/>
                  <w:noWrap w:val="0"/>
                  <w:tcMar>
                    <w:left w:w="0" w:type="dxa"/>
                    <w:right w:w="0" w:type="dxa"/>
                  </w:tcMar>
                  <w:vAlign w:val="center"/>
                </w:tcPr>
                <w:p>
                  <w:pPr>
                    <w:pStyle w:val="79"/>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生活污水</w:t>
                  </w:r>
                </w:p>
              </w:tc>
              <w:tc>
                <w:tcPr>
                  <w:tcW w:w="3040" w:type="dxa"/>
                  <w:noWrap w:val="0"/>
                  <w:tcMar>
                    <w:left w:w="0" w:type="dxa"/>
                    <w:right w:w="0" w:type="dxa"/>
                  </w:tcMar>
                  <w:vAlign w:val="center"/>
                </w:tcPr>
                <w:p>
                  <w:pPr>
                    <w:pStyle w:val="79"/>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隔油池、化粪池</w:t>
                  </w:r>
                </w:p>
              </w:tc>
              <w:tc>
                <w:tcPr>
                  <w:tcW w:w="1582" w:type="dxa"/>
                  <w:noWrap w:val="0"/>
                  <w:tcMar>
                    <w:left w:w="0" w:type="dxa"/>
                    <w:right w:w="0" w:type="dxa"/>
                  </w:tcMar>
                  <w:vAlign w:val="center"/>
                </w:tcPr>
                <w:p>
                  <w:pPr>
                    <w:pStyle w:val="79"/>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eastAsia="zh-CN"/>
                    </w:rPr>
                    <w:t>各</w:t>
                  </w:r>
                  <w:r>
                    <w:rPr>
                      <w:rFonts w:hint="default" w:ascii="Times New Roman" w:hAnsi="Times New Roman" w:cs="Times New Roman"/>
                      <w:b w:val="0"/>
                      <w:bCs/>
                      <w:color w:val="auto"/>
                      <w:lang w:val="en-US" w:eastAsia="zh-CN"/>
                    </w:rPr>
                    <w:t>1个</w:t>
                  </w:r>
                </w:p>
              </w:tc>
              <w:tc>
                <w:tcPr>
                  <w:tcW w:w="1584" w:type="dxa"/>
                  <w:noWrap w:val="0"/>
                  <w:tcMar>
                    <w:left w:w="0" w:type="dxa"/>
                    <w:right w:w="0" w:type="dxa"/>
                  </w:tcMar>
                  <w:vAlign w:val="center"/>
                </w:tcPr>
                <w:p>
                  <w:pPr>
                    <w:pStyle w:val="79"/>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3" w:type="dxa"/>
                  <w:noWrap w:val="0"/>
                  <w:tcMar>
                    <w:left w:w="0" w:type="dxa"/>
                    <w:right w:w="0" w:type="dxa"/>
                  </w:tcMar>
                  <w:vAlign w:val="center"/>
                </w:tcPr>
                <w:p>
                  <w:pPr>
                    <w:pStyle w:val="79"/>
                    <w:ind w:firstLine="0" w:firstLineChars="0"/>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val="en-US" w:eastAsia="zh-CN"/>
                    </w:rPr>
                    <w:t>3</w:t>
                  </w:r>
                </w:p>
              </w:tc>
              <w:tc>
                <w:tcPr>
                  <w:tcW w:w="899" w:type="dxa"/>
                  <w:noWrap w:val="0"/>
                  <w:tcMar>
                    <w:left w:w="0" w:type="dxa"/>
                    <w:right w:w="0" w:type="dxa"/>
                  </w:tcMar>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噪声</w:t>
                  </w:r>
                </w:p>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治理</w:t>
                  </w:r>
                </w:p>
              </w:tc>
              <w:tc>
                <w:tcPr>
                  <w:tcW w:w="1184" w:type="dxa"/>
                  <w:noWrap w:val="0"/>
                  <w:tcMar>
                    <w:left w:w="0" w:type="dxa"/>
                    <w:right w:w="0" w:type="dxa"/>
                  </w:tcMar>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设备噪声</w:t>
                  </w:r>
                </w:p>
              </w:tc>
              <w:tc>
                <w:tcPr>
                  <w:tcW w:w="3040" w:type="dxa"/>
                  <w:noWrap w:val="0"/>
                  <w:tcMar>
                    <w:left w:w="0" w:type="dxa"/>
                    <w:right w:w="0" w:type="dxa"/>
                  </w:tcMar>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隔声、减振、柔性连接、设置隔声罩等措施</w:t>
                  </w:r>
                </w:p>
              </w:tc>
              <w:tc>
                <w:tcPr>
                  <w:tcW w:w="1582" w:type="dxa"/>
                  <w:noWrap w:val="0"/>
                  <w:tcMar>
                    <w:left w:w="0" w:type="dxa"/>
                    <w:right w:w="0" w:type="dxa"/>
                  </w:tcMar>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1584" w:type="dxa"/>
                  <w:noWrap w:val="0"/>
                  <w:tcMar>
                    <w:left w:w="0" w:type="dxa"/>
                    <w:right w:w="0" w:type="dxa"/>
                  </w:tcMar>
                  <w:vAlign w:val="center"/>
                </w:tcPr>
                <w:p>
                  <w:pPr>
                    <w:pStyle w:val="79"/>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3" w:type="dxa"/>
                  <w:vMerge w:val="restart"/>
                  <w:noWrap w:val="0"/>
                  <w:tcMar>
                    <w:left w:w="0" w:type="dxa"/>
                    <w:right w:w="0" w:type="dxa"/>
                  </w:tcMar>
                  <w:vAlign w:val="center"/>
                </w:tcPr>
                <w:p>
                  <w:pPr>
                    <w:pStyle w:val="79"/>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4</w:t>
                  </w:r>
                </w:p>
              </w:tc>
              <w:tc>
                <w:tcPr>
                  <w:tcW w:w="899" w:type="dxa"/>
                  <w:vMerge w:val="restart"/>
                  <w:noWrap w:val="0"/>
                  <w:tcMar>
                    <w:left w:w="0" w:type="dxa"/>
                    <w:right w:w="0" w:type="dxa"/>
                  </w:tcMar>
                  <w:vAlign w:val="center"/>
                </w:tcPr>
                <w:p>
                  <w:pPr>
                    <w:pStyle w:val="79"/>
                    <w:rPr>
                      <w:rFonts w:hint="default" w:ascii="Times New Roman" w:hAnsi="Times New Roman" w:cs="Times New Roman"/>
                      <w:b w:val="0"/>
                      <w:bCs/>
                      <w:color w:val="auto"/>
                      <w:lang w:eastAsia="zh-CN"/>
                    </w:rPr>
                  </w:pPr>
                  <w:r>
                    <w:rPr>
                      <w:rFonts w:hint="default" w:ascii="Times New Roman" w:hAnsi="Times New Roman" w:cs="Times New Roman"/>
                      <w:b w:val="0"/>
                      <w:bCs/>
                      <w:color w:val="auto"/>
                      <w:lang w:eastAsia="zh-CN"/>
                    </w:rPr>
                    <w:t>固废</w:t>
                  </w:r>
                </w:p>
                <w:p>
                  <w:pPr>
                    <w:pStyle w:val="79"/>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eastAsia="zh-CN"/>
                    </w:rPr>
                    <w:t>治理</w:t>
                  </w:r>
                </w:p>
              </w:tc>
              <w:tc>
                <w:tcPr>
                  <w:tcW w:w="1184" w:type="dxa"/>
                  <w:vMerge w:val="restart"/>
                  <w:noWrap w:val="0"/>
                  <w:tcMar>
                    <w:left w:w="0" w:type="dxa"/>
                    <w:right w:w="0" w:type="dxa"/>
                  </w:tcMar>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危险废物</w:t>
                  </w:r>
                </w:p>
              </w:tc>
              <w:tc>
                <w:tcPr>
                  <w:tcW w:w="3040" w:type="dxa"/>
                  <w:noWrap w:val="0"/>
                  <w:tcMar>
                    <w:left w:w="0" w:type="dxa"/>
                    <w:right w:w="0" w:type="dxa"/>
                  </w:tcMar>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lang w:eastAsia="zh-CN"/>
                    </w:rPr>
                    <w:t>容器</w:t>
                  </w:r>
                </w:p>
              </w:tc>
              <w:tc>
                <w:tcPr>
                  <w:tcW w:w="1582" w:type="dxa"/>
                  <w:noWrap w:val="0"/>
                  <w:tcMar>
                    <w:left w:w="0" w:type="dxa"/>
                    <w:right w:w="0" w:type="dxa"/>
                  </w:tcMar>
                  <w:vAlign w:val="center"/>
                </w:tcPr>
                <w:p>
                  <w:pPr>
                    <w:pStyle w:val="79"/>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val="en-US" w:eastAsia="zh-CN"/>
                    </w:rPr>
                    <w:t>5个</w:t>
                  </w:r>
                </w:p>
              </w:tc>
              <w:tc>
                <w:tcPr>
                  <w:tcW w:w="1584" w:type="dxa"/>
                  <w:noWrap w:val="0"/>
                  <w:tcMar>
                    <w:left w:w="0" w:type="dxa"/>
                    <w:right w:w="0" w:type="dxa"/>
                  </w:tcMar>
                  <w:vAlign w:val="center"/>
                </w:tcPr>
                <w:p>
                  <w:pPr>
                    <w:pStyle w:val="79"/>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3" w:type="dxa"/>
                  <w:vMerge w:val="continue"/>
                  <w:noWrap w:val="0"/>
                  <w:tcMar>
                    <w:left w:w="0" w:type="dxa"/>
                    <w:right w:w="0" w:type="dxa"/>
                  </w:tcMar>
                  <w:vAlign w:val="center"/>
                </w:tcPr>
                <w:p>
                  <w:pPr>
                    <w:pStyle w:val="79"/>
                    <w:rPr>
                      <w:rFonts w:hint="default" w:ascii="Times New Roman" w:hAnsi="Times New Roman" w:cs="Times New Roman"/>
                      <w:b w:val="0"/>
                      <w:bCs/>
                      <w:color w:val="auto"/>
                      <w:lang w:val="en-US" w:eastAsia="zh-CN"/>
                    </w:rPr>
                  </w:pPr>
                </w:p>
              </w:tc>
              <w:tc>
                <w:tcPr>
                  <w:tcW w:w="899" w:type="dxa"/>
                  <w:vMerge w:val="continue"/>
                  <w:noWrap w:val="0"/>
                  <w:tcMar>
                    <w:left w:w="0" w:type="dxa"/>
                    <w:right w:w="0" w:type="dxa"/>
                  </w:tcMar>
                  <w:vAlign w:val="center"/>
                </w:tcPr>
                <w:p>
                  <w:pPr>
                    <w:pStyle w:val="79"/>
                    <w:rPr>
                      <w:rFonts w:hint="default" w:ascii="Times New Roman" w:hAnsi="Times New Roman" w:cs="Times New Roman"/>
                      <w:b w:val="0"/>
                      <w:bCs/>
                      <w:color w:val="auto"/>
                      <w:lang w:eastAsia="zh-CN"/>
                    </w:rPr>
                  </w:pPr>
                </w:p>
              </w:tc>
              <w:tc>
                <w:tcPr>
                  <w:tcW w:w="1184" w:type="dxa"/>
                  <w:vMerge w:val="continue"/>
                  <w:noWrap w:val="0"/>
                  <w:tcMar>
                    <w:left w:w="0" w:type="dxa"/>
                    <w:right w:w="0" w:type="dxa"/>
                  </w:tcMar>
                  <w:vAlign w:val="center"/>
                </w:tcPr>
                <w:p>
                  <w:pPr>
                    <w:pStyle w:val="79"/>
                    <w:rPr>
                      <w:rFonts w:hint="default" w:ascii="Times New Roman" w:hAnsi="Times New Roman" w:cs="Times New Roman"/>
                      <w:b w:val="0"/>
                      <w:bCs/>
                      <w:color w:val="auto"/>
                    </w:rPr>
                  </w:pPr>
                </w:p>
              </w:tc>
              <w:tc>
                <w:tcPr>
                  <w:tcW w:w="3040" w:type="dxa"/>
                  <w:noWrap w:val="0"/>
                  <w:tcMar>
                    <w:left w:w="0" w:type="dxa"/>
                    <w:right w:w="0" w:type="dxa"/>
                  </w:tcMar>
                  <w:vAlign w:val="center"/>
                </w:tcPr>
                <w:p>
                  <w:pPr>
                    <w:pStyle w:val="79"/>
                    <w:rPr>
                      <w:rFonts w:hint="default" w:ascii="Times New Roman" w:hAnsi="Times New Roman" w:cs="Times New Roman"/>
                      <w:b w:val="0"/>
                      <w:bCs/>
                      <w:color w:val="auto"/>
                      <w:lang w:eastAsia="zh-CN"/>
                    </w:rPr>
                  </w:pPr>
                  <w:r>
                    <w:rPr>
                      <w:rFonts w:hint="default" w:ascii="Times New Roman" w:hAnsi="Times New Roman" w:cs="Times New Roman"/>
                      <w:b w:val="0"/>
                      <w:bCs/>
                      <w:color w:val="auto"/>
                    </w:rPr>
                    <w:t>危废暂存间</w:t>
                  </w:r>
                </w:p>
              </w:tc>
              <w:tc>
                <w:tcPr>
                  <w:tcW w:w="1582" w:type="dxa"/>
                  <w:noWrap w:val="0"/>
                  <w:tcMar>
                    <w:left w:w="0" w:type="dxa"/>
                    <w:right w:w="0" w:type="dxa"/>
                  </w:tcMar>
                  <w:vAlign w:val="center"/>
                </w:tcPr>
                <w:p>
                  <w:pPr>
                    <w:pStyle w:val="79"/>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1间</w:t>
                  </w:r>
                </w:p>
              </w:tc>
              <w:tc>
                <w:tcPr>
                  <w:tcW w:w="1584" w:type="dxa"/>
                  <w:noWrap w:val="0"/>
                  <w:tcMar>
                    <w:left w:w="0" w:type="dxa"/>
                    <w:right w:w="0" w:type="dxa"/>
                  </w:tcMar>
                  <w:vAlign w:val="center"/>
                </w:tcPr>
                <w:p>
                  <w:pPr>
                    <w:pStyle w:val="79"/>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32" w:type="dxa"/>
                  <w:gridSpan w:val="2"/>
                  <w:noWrap w:val="0"/>
                  <w:tcMar>
                    <w:left w:w="0" w:type="dxa"/>
                    <w:right w:w="0" w:type="dxa"/>
                  </w:tcMar>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合计</w:t>
                  </w:r>
                </w:p>
              </w:tc>
              <w:tc>
                <w:tcPr>
                  <w:tcW w:w="4224" w:type="dxa"/>
                  <w:gridSpan w:val="2"/>
                  <w:noWrap w:val="0"/>
                  <w:tcMar>
                    <w:left w:w="0" w:type="dxa"/>
                    <w:right w:w="0" w:type="dxa"/>
                  </w:tcMar>
                  <w:vAlign w:val="center"/>
                </w:tcPr>
                <w:p>
                  <w:pPr>
                    <w:pStyle w:val="79"/>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1582" w:type="dxa"/>
                  <w:noWrap w:val="0"/>
                  <w:tcMar>
                    <w:left w:w="0" w:type="dxa"/>
                    <w:right w:w="0" w:type="dxa"/>
                  </w:tcMar>
                  <w:vAlign w:val="center"/>
                </w:tcPr>
                <w:p>
                  <w:pPr>
                    <w:pStyle w:val="79"/>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w:t>
                  </w:r>
                </w:p>
              </w:tc>
              <w:tc>
                <w:tcPr>
                  <w:tcW w:w="1584" w:type="dxa"/>
                  <w:noWrap w:val="0"/>
                  <w:tcMar>
                    <w:left w:w="0" w:type="dxa"/>
                    <w:right w:w="0" w:type="dxa"/>
                  </w:tcMar>
                  <w:vAlign w:val="center"/>
                </w:tcPr>
                <w:p>
                  <w:pPr>
                    <w:pStyle w:val="79"/>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10</w:t>
                  </w:r>
                </w:p>
              </w:tc>
            </w:tr>
          </w:tbl>
          <w:p>
            <w:pPr>
              <w:pStyle w:val="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szCs w:val="24"/>
                <w:lang w:eastAsia="zh-CN"/>
              </w:rPr>
            </w:pPr>
            <w:r>
              <w:rPr>
                <w:rFonts w:hint="default" w:ascii="Times New Roman" w:hAnsi="Times New Roman" w:cs="Times New Roman"/>
                <w:b/>
                <w:color w:val="auto"/>
                <w:sz w:val="24"/>
                <w:szCs w:val="24"/>
                <w:lang w:val="en-US" w:eastAsia="zh-CN"/>
              </w:rPr>
              <w:t>9、</w:t>
            </w:r>
            <w:r>
              <w:rPr>
                <w:rFonts w:hint="default" w:ascii="Times New Roman" w:hAnsi="Times New Roman" w:cs="Times New Roman"/>
                <w:b/>
                <w:color w:val="auto"/>
                <w:sz w:val="24"/>
                <w:szCs w:val="24"/>
                <w:lang w:eastAsia="zh-CN"/>
              </w:rPr>
              <w:t>三同时竣工验收</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eastAsia" w:ascii="宋体" w:hAnsi="宋体" w:eastAsia="宋体" w:cs="宋体"/>
                <w:color w:val="auto"/>
                <w:sz w:val="24"/>
                <w:szCs w:val="24"/>
              </w:rPr>
              <w:t>“三同时”是</w:t>
            </w:r>
            <w:r>
              <w:rPr>
                <w:rFonts w:hint="default" w:ascii="Times New Roman" w:hAnsi="Times New Roman" w:cs="Times New Roman"/>
                <w:color w:val="auto"/>
                <w:sz w:val="24"/>
                <w:szCs w:val="24"/>
              </w:rPr>
              <w:t>我国环境管理中的一项重要制度，《中华人民共和国环境保护法》把这一原则规定为法律制度。因此，建设单位必须予以高度重视，建设项目中的防治污染的设施必须与主体工程同时设计、同时施工、同时投产。</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依据《国务院关于第一批取消62项中央指定地方实施行政审批事项的决定》（国发[2015]57号），取消建设项目试生产审批。建设项目竣工后，建设单位应当按照</w:t>
            </w:r>
            <w:r>
              <w:rPr>
                <w:rFonts w:hint="default" w:ascii="Times New Roman" w:hAnsi="Times New Roman" w:eastAsia="宋体" w:cs="Times New Roman"/>
                <w:color w:val="auto"/>
                <w:sz w:val="24"/>
                <w:szCs w:val="24"/>
              </w:rPr>
              <w:t>“关于发布《建设项目竣工环境保护验收暂行办法》的公告（国环规环评[2017]4 号）”中“《建设项目竣工环境保护验收暂行办法》”要求，</w:t>
            </w:r>
            <w:r>
              <w:rPr>
                <w:rFonts w:hint="default" w:ascii="Times New Roman" w:hAnsi="Times New Roman" w:cs="Times New Roman"/>
                <w:color w:val="auto"/>
                <w:sz w:val="24"/>
                <w:szCs w:val="24"/>
              </w:rPr>
              <w:t>可以组织成立验收工作组，采取现场检查、资料查阅、召开验收会议等方式，协助开展验收工作，自行或委托有能力的技术机构编制验收报告，验收报告编制完成后5个工作日内，公开验收报告，公示的期限不得少于20个工作日，验收报告公示期满后5个工作日内，建设单位应当登录全国建设项目竣工环境保护验收信息平台，填报建设项目基本信息、环境保护设施验收情况等相关信息。</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环评要求建设单位严格按照上述环境管理中各项法律法规的规定认真履行法律义务，把环保验收工作真正落到实处，杜绝违规行为的发生。根据环境保护“三同时”的有关规定，项目竣工后由建设单位申请竣工环境保护验收。本项目竣工环境保护验收建议方案见下表。</w:t>
            </w:r>
          </w:p>
          <w:p>
            <w:pPr>
              <w:pStyle w:val="8"/>
              <w:adjustRightInd w:val="0"/>
              <w:snapToGrid w:val="0"/>
              <w:spacing w:line="240" w:lineRule="auto"/>
              <w:ind w:firstLineChars="0"/>
              <w:jc w:val="center"/>
              <w:rPr>
                <w:rFonts w:hint="default" w:ascii="Times New Roman" w:hAnsi="Times New Roman" w:cs="Times New Roman"/>
                <w:b/>
                <w:color w:val="auto"/>
                <w:sz w:val="21"/>
              </w:rPr>
            </w:pPr>
            <w:r>
              <w:rPr>
                <w:rFonts w:hint="default" w:ascii="Times New Roman" w:hAnsi="Times New Roman" w:cs="Times New Roman"/>
                <w:b/>
                <w:color w:val="auto"/>
                <w:sz w:val="21"/>
              </w:rPr>
              <w:t>表7-</w:t>
            </w:r>
            <w:r>
              <w:rPr>
                <w:rFonts w:hint="default" w:ascii="Times New Roman" w:hAnsi="Times New Roman" w:cs="Times New Roman"/>
                <w:b/>
                <w:color w:val="auto"/>
                <w:sz w:val="21"/>
                <w:lang w:val="en-US" w:eastAsia="zh-CN"/>
              </w:rPr>
              <w:t>22</w:t>
            </w:r>
            <w:r>
              <w:rPr>
                <w:rFonts w:hint="default" w:ascii="Times New Roman" w:hAnsi="Times New Roman" w:cs="Times New Roman"/>
                <w:b/>
                <w:color w:val="auto"/>
                <w:sz w:val="21"/>
              </w:rPr>
              <w:t xml:space="preserve">   本项目“三同时”验收一览表</w:t>
            </w:r>
          </w:p>
          <w:tbl>
            <w:tblPr>
              <w:tblStyle w:val="2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6"/>
              <w:gridCol w:w="1569"/>
              <w:gridCol w:w="2610"/>
              <w:gridCol w:w="39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6"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1569"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治理项目</w:t>
                  </w:r>
                </w:p>
              </w:tc>
              <w:tc>
                <w:tcPr>
                  <w:tcW w:w="2610"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污染防治措施</w:t>
                  </w:r>
                </w:p>
              </w:tc>
              <w:tc>
                <w:tcPr>
                  <w:tcW w:w="3987"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6" w:type="dxa"/>
                  <w:vMerge w:val="restart"/>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1569" w:type="dxa"/>
                  <w:tcBorders>
                    <w:bottom w:val="single" w:color="000000"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印刷废气</w:t>
                  </w:r>
                </w:p>
              </w:tc>
              <w:tc>
                <w:tcPr>
                  <w:tcW w:w="2610" w:type="dxa"/>
                  <w:vMerge w:val="restart"/>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b w:val="0"/>
                      <w:bCs/>
                      <w:color w:val="auto"/>
                      <w:sz w:val="21"/>
                      <w:szCs w:val="21"/>
                      <w:lang w:eastAsia="zh-CN"/>
                    </w:rPr>
                    <w:t>印刷</w:t>
                  </w:r>
                  <w:r>
                    <w:rPr>
                      <w:rFonts w:hint="eastAsia" w:ascii="Times New Roman" w:hAnsi="Times New Roman" w:cs="Times New Roman"/>
                      <w:b w:val="0"/>
                      <w:bCs/>
                      <w:color w:val="auto"/>
                      <w:sz w:val="21"/>
                      <w:szCs w:val="21"/>
                      <w:lang w:eastAsia="zh-CN"/>
                    </w:rPr>
                    <w:t>产生的</w:t>
                  </w:r>
                  <w:r>
                    <w:rPr>
                      <w:rFonts w:hint="default" w:ascii="Times New Roman" w:hAnsi="Times New Roman" w:cs="Times New Roman"/>
                      <w:b w:val="0"/>
                      <w:bCs/>
                      <w:color w:val="auto"/>
                      <w:sz w:val="21"/>
                      <w:szCs w:val="21"/>
                      <w:lang w:eastAsia="zh-CN"/>
                    </w:rPr>
                    <w:t>有机废气</w:t>
                  </w:r>
                  <w:r>
                    <w:rPr>
                      <w:rFonts w:hint="eastAsia" w:ascii="Times New Roman" w:hAnsi="Times New Roman" w:cs="Times New Roman"/>
                      <w:b w:val="0"/>
                      <w:bCs/>
                      <w:color w:val="auto"/>
                      <w:sz w:val="21"/>
                      <w:szCs w:val="21"/>
                      <w:lang w:eastAsia="zh-CN"/>
                    </w:rPr>
                    <w:t>经集气罩收集后</w:t>
                  </w:r>
                  <w:r>
                    <w:rPr>
                      <w:rFonts w:hint="default" w:ascii="Times New Roman" w:hAnsi="Times New Roman" w:cs="Times New Roman"/>
                      <w:b w:val="0"/>
                      <w:bCs/>
                      <w:color w:val="auto"/>
                      <w:sz w:val="21"/>
                      <w:szCs w:val="21"/>
                      <w:lang w:eastAsia="zh-CN"/>
                    </w:rPr>
                    <w:t>和</w:t>
                  </w:r>
                  <w:r>
                    <w:rPr>
                      <w:rFonts w:hint="eastAsia" w:ascii="Times New Roman" w:hAnsi="Times New Roman" w:cs="Times New Roman"/>
                      <w:b w:val="0"/>
                      <w:bCs/>
                      <w:color w:val="auto"/>
                      <w:sz w:val="21"/>
                      <w:szCs w:val="21"/>
                      <w:lang w:eastAsia="zh-CN"/>
                    </w:rPr>
                    <w:t>手工粘合</w:t>
                  </w:r>
                  <w:r>
                    <w:rPr>
                      <w:rFonts w:hint="default" w:ascii="Times New Roman" w:hAnsi="Times New Roman" w:cs="Times New Roman"/>
                      <w:b w:val="0"/>
                      <w:bCs/>
                      <w:color w:val="auto"/>
                      <w:sz w:val="21"/>
                      <w:szCs w:val="21"/>
                      <w:lang w:eastAsia="zh-CN"/>
                    </w:rPr>
                    <w:t>环节产生的有机废气经</w:t>
                  </w:r>
                  <w:r>
                    <w:rPr>
                      <w:rFonts w:hint="eastAsia" w:ascii="Times New Roman" w:hAnsi="Times New Roman" w:cs="Times New Roman"/>
                      <w:b w:val="0"/>
                      <w:bCs/>
                      <w:color w:val="auto"/>
                      <w:sz w:val="21"/>
                      <w:szCs w:val="21"/>
                      <w:lang w:eastAsia="zh-CN"/>
                    </w:rPr>
                    <w:t>密闭厂房抽风系统收集</w:t>
                  </w:r>
                  <w:r>
                    <w:rPr>
                      <w:rFonts w:hint="default" w:ascii="Times New Roman" w:hAnsi="Times New Roman" w:eastAsia="宋体" w:cs="Times New Roman"/>
                      <w:color w:val="auto"/>
                      <w:sz w:val="21"/>
                      <w:szCs w:val="21"/>
                      <w:lang w:eastAsia="zh-CN"/>
                    </w:rPr>
                    <w:t>（收集效率≥</w:t>
                  </w:r>
                  <w:r>
                    <w:rPr>
                      <w:rFonts w:hint="default" w:ascii="Times New Roman" w:hAnsi="Times New Roman" w:eastAsia="宋体" w:cs="Times New Roman"/>
                      <w:color w:val="auto"/>
                      <w:sz w:val="21"/>
                      <w:szCs w:val="21"/>
                      <w:lang w:val="en-US" w:eastAsia="zh-CN"/>
                    </w:rPr>
                    <w:t>90%</w:t>
                  </w:r>
                  <w:r>
                    <w:rPr>
                      <w:rFonts w:hint="default" w:ascii="Times New Roman" w:hAnsi="Times New Roman" w:eastAsia="宋体" w:cs="Times New Roman"/>
                      <w:color w:val="auto"/>
                      <w:sz w:val="21"/>
                      <w:szCs w:val="21"/>
                      <w:lang w:eastAsia="zh-CN"/>
                    </w:rPr>
                    <w:t>）+活性炭吸附（处理效率≥</w:t>
                  </w:r>
                  <w:r>
                    <w:rPr>
                      <w:rFonts w:hint="default" w:ascii="Times New Roman" w:hAnsi="Times New Roman" w:eastAsia="宋体" w:cs="Times New Roman"/>
                      <w:color w:val="auto"/>
                      <w:sz w:val="21"/>
                      <w:szCs w:val="21"/>
                      <w:lang w:val="en-US" w:eastAsia="zh-CN"/>
                    </w:rPr>
                    <w:t>80%</w:t>
                  </w:r>
                  <w:r>
                    <w:rPr>
                      <w:rFonts w:hint="default" w:ascii="Times New Roman" w:hAnsi="Times New Roman" w:eastAsia="宋体" w:cs="Times New Roman"/>
                      <w:color w:val="auto"/>
                      <w:sz w:val="21"/>
                      <w:szCs w:val="21"/>
                      <w:lang w:eastAsia="zh-CN"/>
                    </w:rPr>
                    <w:t>）+15m以上排气筒</w:t>
                  </w:r>
                </w:p>
              </w:tc>
              <w:tc>
                <w:tcPr>
                  <w:tcW w:w="3987" w:type="dxa"/>
                  <w:vMerge w:val="restart"/>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《挥发性有机物排放控制标准》（</w:t>
                  </w:r>
                  <w:r>
                    <w:rPr>
                      <w:rFonts w:hint="default" w:ascii="Times New Roman" w:hAnsi="Times New Roman" w:eastAsia="宋体" w:cs="Times New Roman"/>
                      <w:color w:val="auto"/>
                      <w:sz w:val="21"/>
                      <w:szCs w:val="21"/>
                      <w:lang w:val="en-US" w:eastAsia="zh-CN"/>
                    </w:rPr>
                    <w:t>DB61/T1061-2017</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中的印刷行业的有组织排放浓度限值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6"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569" w:type="dxa"/>
                  <w:tcBorders>
                    <w:bottom w:val="single" w:color="000000"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手工粘合</w:t>
                  </w:r>
                  <w:r>
                    <w:rPr>
                      <w:rFonts w:hint="default" w:ascii="Times New Roman" w:hAnsi="Times New Roman" w:eastAsia="宋体" w:cs="Times New Roman"/>
                      <w:color w:val="auto"/>
                      <w:sz w:val="21"/>
                      <w:szCs w:val="21"/>
                      <w:lang w:eastAsia="zh-CN"/>
                    </w:rPr>
                    <w:t>废气</w:t>
                  </w:r>
                </w:p>
              </w:tc>
              <w:tc>
                <w:tcPr>
                  <w:tcW w:w="2610"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c>
                <w:tcPr>
                  <w:tcW w:w="3987"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6" w:type="dxa"/>
                  <w:vMerge w:val="restart"/>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1569"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2610" w:type="dxa"/>
                  <w:vMerge w:val="restart"/>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隔油池、化粪池</w:t>
                  </w:r>
                </w:p>
              </w:tc>
              <w:tc>
                <w:tcPr>
                  <w:tcW w:w="3987" w:type="dxa"/>
                  <w:vMerge w:val="restart"/>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《污水综合排放标准》（GB8978-1996）中的三级标准，氨氮执行《污水排入下水道水质标准》（GB/T31962-2015）表1中B级标准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6"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569"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餐饮废水</w:t>
                  </w:r>
                </w:p>
              </w:tc>
              <w:tc>
                <w:tcPr>
                  <w:tcW w:w="2610"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987"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6"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569"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2610"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厂界外1m</w:t>
                  </w:r>
                  <w:r>
                    <w:rPr>
                      <w:rFonts w:hint="default" w:ascii="Times New Roman" w:hAnsi="Times New Roman" w:cs="Times New Roman"/>
                      <w:color w:val="auto"/>
                      <w:sz w:val="21"/>
                      <w:szCs w:val="21"/>
                      <w:lang w:eastAsia="zh-CN"/>
                    </w:rPr>
                    <w:t>及附近环境敏感点</w:t>
                  </w:r>
                </w:p>
              </w:tc>
              <w:tc>
                <w:tcPr>
                  <w:tcW w:w="3987"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w:t>
                  </w:r>
                </w:p>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标准》（GB12348-2008）</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6" w:type="dxa"/>
                  <w:vMerge w:val="restart"/>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1569"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废边角料</w:t>
                  </w:r>
                </w:p>
              </w:tc>
              <w:tc>
                <w:tcPr>
                  <w:tcW w:w="2610"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0"/>
                      <w:lang w:eastAsia="zh-CN"/>
                    </w:rPr>
                    <w:t>集中收集，定点存放</w:t>
                  </w:r>
                </w:p>
              </w:tc>
              <w:tc>
                <w:tcPr>
                  <w:tcW w:w="3987"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《一般工业固废储存处置场污</w:t>
                  </w:r>
                </w:p>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染控制标准》（GB18599-2001）及2013年修改清单要求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6"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569"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2610" w:type="dxa"/>
                  <w:vMerge w:val="restart"/>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垃圾箱分类收集，定期交当地环卫部门处理</w:t>
                  </w:r>
                </w:p>
              </w:tc>
              <w:tc>
                <w:tcPr>
                  <w:tcW w:w="3987" w:type="dxa"/>
                  <w:vMerge w:val="restart"/>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处置率</w:t>
                  </w:r>
                  <w:r>
                    <w:rPr>
                      <w:rFonts w:hint="default" w:ascii="Times New Roman" w:hAnsi="Times New Roman" w:cs="Times New Roman"/>
                      <w:color w:val="auto"/>
                      <w:sz w:val="21"/>
                      <w:szCs w:val="21"/>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6"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569"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餐厨垃圾</w:t>
                  </w:r>
                </w:p>
              </w:tc>
              <w:tc>
                <w:tcPr>
                  <w:tcW w:w="2610"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3987"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6"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569"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废油脂</w:t>
                  </w:r>
                </w:p>
              </w:tc>
              <w:tc>
                <w:tcPr>
                  <w:tcW w:w="2610"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委托有资质单位处置</w:t>
                  </w:r>
                </w:p>
              </w:tc>
              <w:tc>
                <w:tcPr>
                  <w:tcW w:w="3987" w:type="dxa"/>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处置率</w:t>
                  </w:r>
                  <w:r>
                    <w:rPr>
                      <w:rFonts w:hint="default" w:ascii="Times New Roman" w:hAnsi="Times New Roman" w:cs="Times New Roman"/>
                      <w:color w:val="auto"/>
                      <w:sz w:val="21"/>
                      <w:szCs w:val="21"/>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6"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569"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废油墨桶</w:t>
                  </w:r>
                </w:p>
              </w:tc>
              <w:tc>
                <w:tcPr>
                  <w:tcW w:w="2610" w:type="dxa"/>
                  <w:vMerge w:val="restart"/>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危废暂存间</w:t>
                  </w:r>
                </w:p>
              </w:tc>
              <w:tc>
                <w:tcPr>
                  <w:tcW w:w="3987" w:type="dxa"/>
                  <w:vMerge w:val="restart"/>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《危险废物贮存污染控制标</w:t>
                  </w:r>
                </w:p>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准》（GB18597-2001）及2013年修改清单要求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6"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569"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废擦机布</w:t>
                  </w:r>
                </w:p>
              </w:tc>
              <w:tc>
                <w:tcPr>
                  <w:tcW w:w="2610"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3987"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6"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569"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废机油</w:t>
                  </w:r>
                </w:p>
              </w:tc>
              <w:tc>
                <w:tcPr>
                  <w:tcW w:w="2610"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3987"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6"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569"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废棉纱</w:t>
                  </w:r>
                </w:p>
              </w:tc>
              <w:tc>
                <w:tcPr>
                  <w:tcW w:w="2610"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3987"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6"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569"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废活性炭</w:t>
                  </w:r>
                </w:p>
              </w:tc>
              <w:tc>
                <w:tcPr>
                  <w:tcW w:w="2610"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3987" w:type="dxa"/>
                  <w:vMerge w:val="continue"/>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bl>
          <w:p>
            <w:pPr>
              <w:rPr>
                <w:rFonts w:hint="default" w:ascii="Times New Roman" w:hAnsi="Times New Roman" w:cs="Times New Roman"/>
                <w:color w:val="auto"/>
              </w:rPr>
            </w:pPr>
          </w:p>
          <w:p>
            <w:pPr>
              <w:ind w:firstLine="0" w:firstLineChars="0"/>
              <w:rPr>
                <w:rFonts w:hint="default" w:ascii="Times New Roman" w:hAnsi="Times New Roman" w:cs="Times New Roman"/>
                <w:color w:val="auto"/>
              </w:rPr>
            </w:pPr>
          </w:p>
          <w:p>
            <w:pPr>
              <w:pStyle w:val="9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 xml:space="preserve"> </w:t>
            </w:r>
          </w:p>
          <w:p>
            <w:pPr>
              <w:ind w:firstLine="0" w:firstLineChars="0"/>
              <w:rPr>
                <w:rFonts w:hint="default" w:ascii="Times New Roman" w:hAnsi="Times New Roman" w:cs="Times New Roman"/>
                <w:color w:val="auto"/>
              </w:rPr>
            </w:pPr>
          </w:p>
        </w:tc>
      </w:tr>
    </w:tbl>
    <w:p>
      <w:pPr>
        <w:pStyle w:val="3"/>
        <w:numPr>
          <w:ilvl w:val="0"/>
          <w:numId w:val="0"/>
        </w:numPr>
        <w:spacing w:before="163"/>
        <w:rPr>
          <w:rFonts w:hint="default" w:ascii="Times New Roman" w:hAnsi="Times New Roman" w:cs="Times New Roman"/>
          <w:color w:val="auto"/>
          <w:kern w:val="0"/>
          <w:highlight w:val="yellow"/>
        </w:rPr>
      </w:pPr>
      <w:r>
        <w:rPr>
          <w:rFonts w:hint="default" w:ascii="Times New Roman" w:hAnsi="Times New Roman" w:cs="Times New Roman"/>
          <w:color w:val="auto"/>
          <w:kern w:val="0"/>
          <w:lang w:val="en-US" w:eastAsia="zh-CN"/>
        </w:rPr>
        <w:t>8.</w:t>
      </w:r>
      <w:r>
        <w:rPr>
          <w:rFonts w:hint="default" w:ascii="Times New Roman" w:hAnsi="Times New Roman" w:cs="Times New Roman"/>
          <w:color w:val="auto"/>
          <w:kern w:val="0"/>
          <w:highlight w:val="none"/>
        </w:rPr>
        <w:t>建设项目拟采取的防治污染措施及预期治理效果</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061"/>
        <w:gridCol w:w="980"/>
        <w:gridCol w:w="2286"/>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tcBorders>
              <w:tl2br w:val="single" w:color="auto" w:sz="4" w:space="0"/>
            </w:tcBorders>
            <w:noWrap w:val="0"/>
            <w:vAlign w:val="center"/>
          </w:tcPr>
          <w:p>
            <w:pPr>
              <w:pStyle w:val="96"/>
              <w:adjustRightInd w:val="0"/>
              <w:snapToGrid w:val="0"/>
              <w:jc w:val="right"/>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 xml:space="preserve">  内容</w:t>
            </w:r>
          </w:p>
          <w:p>
            <w:pPr>
              <w:pStyle w:val="96"/>
              <w:adjustRightInd w:val="0"/>
              <w:snapToGrid w:val="0"/>
              <w:jc w:val="left"/>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类型</w:t>
            </w:r>
          </w:p>
        </w:tc>
        <w:tc>
          <w:tcPr>
            <w:tcW w:w="1061" w:type="dxa"/>
            <w:noWrap w:val="0"/>
            <w:vAlign w:val="center"/>
          </w:tcPr>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排放源</w:t>
            </w:r>
          </w:p>
        </w:tc>
        <w:tc>
          <w:tcPr>
            <w:tcW w:w="980" w:type="dxa"/>
            <w:noWrap w:val="0"/>
            <w:vAlign w:val="center"/>
          </w:tcPr>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污染物</w:t>
            </w:r>
          </w:p>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名称</w:t>
            </w:r>
          </w:p>
        </w:tc>
        <w:tc>
          <w:tcPr>
            <w:tcW w:w="2286" w:type="dxa"/>
            <w:noWrap w:val="0"/>
            <w:vAlign w:val="center"/>
          </w:tcPr>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防治措施</w:t>
            </w:r>
          </w:p>
        </w:tc>
        <w:tc>
          <w:tcPr>
            <w:tcW w:w="3151" w:type="dxa"/>
            <w:noWrap w:val="0"/>
            <w:vAlign w:val="center"/>
          </w:tcPr>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44" w:type="dxa"/>
            <w:vMerge w:val="restart"/>
            <w:noWrap w:val="0"/>
            <w:vAlign w:val="center"/>
          </w:tcPr>
          <w:p>
            <w:pPr>
              <w:pStyle w:val="96"/>
              <w:adjustRightInd w:val="0"/>
              <w:snapToGrid w:val="0"/>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大气污染物</w:t>
            </w:r>
          </w:p>
        </w:tc>
        <w:tc>
          <w:tcPr>
            <w:tcW w:w="1061" w:type="dxa"/>
            <w:noWrap w:val="0"/>
            <w:vAlign w:val="center"/>
          </w:tcPr>
          <w:p>
            <w:pPr>
              <w:pStyle w:val="19"/>
              <w:ind w:firstLine="0" w:firstLineChars="0"/>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印刷</w:t>
            </w:r>
          </w:p>
        </w:tc>
        <w:tc>
          <w:tcPr>
            <w:tcW w:w="980" w:type="dxa"/>
            <w:vMerge w:val="restart"/>
            <w:noWrap w:val="0"/>
            <w:vAlign w:val="center"/>
          </w:tcPr>
          <w:p>
            <w:pPr>
              <w:pStyle w:val="19"/>
              <w:ind w:firstLine="0" w:firstLineChars="0"/>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非甲烷总烃</w:t>
            </w:r>
          </w:p>
        </w:tc>
        <w:tc>
          <w:tcPr>
            <w:tcW w:w="2286" w:type="dxa"/>
            <w:vMerge w:val="restart"/>
            <w:noWrap w:val="0"/>
            <w:vAlign w:val="center"/>
          </w:tcPr>
          <w:p>
            <w:pPr>
              <w:pStyle w:val="79"/>
              <w:rPr>
                <w:rFonts w:hint="default" w:ascii="Times New Roman" w:hAnsi="Times New Roman" w:cs="Times New Roman"/>
                <w:b w:val="0"/>
                <w:bCs w:val="0"/>
                <w:color w:val="auto"/>
                <w:sz w:val="24"/>
                <w:szCs w:val="24"/>
              </w:rPr>
            </w:pPr>
            <w:r>
              <w:rPr>
                <w:rFonts w:hint="default" w:ascii="Times New Roman" w:hAnsi="Times New Roman" w:cs="Times New Roman"/>
                <w:b w:val="0"/>
                <w:bCs/>
                <w:color w:val="auto"/>
                <w:sz w:val="24"/>
                <w:szCs w:val="24"/>
                <w:lang w:eastAsia="zh-CN"/>
              </w:rPr>
              <w:t>印刷</w:t>
            </w:r>
            <w:r>
              <w:rPr>
                <w:rFonts w:hint="eastAsia" w:ascii="Times New Roman" w:hAnsi="Times New Roman" w:cs="Times New Roman"/>
                <w:b w:val="0"/>
                <w:bCs/>
                <w:color w:val="auto"/>
                <w:sz w:val="24"/>
                <w:szCs w:val="24"/>
                <w:lang w:eastAsia="zh-CN"/>
              </w:rPr>
              <w:t>产生的</w:t>
            </w:r>
            <w:r>
              <w:rPr>
                <w:rFonts w:hint="default" w:ascii="Times New Roman" w:hAnsi="Times New Roman" w:cs="Times New Roman"/>
                <w:b w:val="0"/>
                <w:bCs/>
                <w:color w:val="auto"/>
                <w:sz w:val="24"/>
                <w:szCs w:val="24"/>
                <w:lang w:eastAsia="zh-CN"/>
              </w:rPr>
              <w:t>有机废气</w:t>
            </w:r>
            <w:r>
              <w:rPr>
                <w:rFonts w:hint="eastAsia" w:ascii="Times New Roman" w:hAnsi="Times New Roman" w:cs="Times New Roman"/>
                <w:b w:val="0"/>
                <w:bCs/>
                <w:color w:val="auto"/>
                <w:sz w:val="24"/>
                <w:szCs w:val="24"/>
                <w:lang w:eastAsia="zh-CN"/>
              </w:rPr>
              <w:t>经集气罩收集后</w:t>
            </w:r>
            <w:r>
              <w:rPr>
                <w:rFonts w:hint="default" w:ascii="Times New Roman" w:hAnsi="Times New Roman" w:cs="Times New Roman"/>
                <w:b w:val="0"/>
                <w:bCs/>
                <w:color w:val="auto"/>
                <w:sz w:val="24"/>
                <w:szCs w:val="24"/>
                <w:lang w:eastAsia="zh-CN"/>
              </w:rPr>
              <w:t>和</w:t>
            </w:r>
            <w:r>
              <w:rPr>
                <w:rFonts w:hint="eastAsia" w:cs="Times New Roman"/>
                <w:b w:val="0"/>
                <w:bCs/>
                <w:color w:val="auto"/>
                <w:sz w:val="24"/>
                <w:szCs w:val="24"/>
                <w:lang w:eastAsia="zh-CN"/>
              </w:rPr>
              <w:t>手工粘合</w:t>
            </w:r>
            <w:r>
              <w:rPr>
                <w:rFonts w:hint="default" w:ascii="Times New Roman" w:hAnsi="Times New Roman" w:cs="Times New Roman"/>
                <w:b w:val="0"/>
                <w:bCs/>
                <w:color w:val="auto"/>
                <w:sz w:val="24"/>
                <w:szCs w:val="24"/>
                <w:lang w:eastAsia="zh-CN"/>
              </w:rPr>
              <w:t>环节产生的有机废气经</w:t>
            </w:r>
            <w:r>
              <w:rPr>
                <w:rFonts w:hint="eastAsia" w:ascii="Times New Roman" w:hAnsi="Times New Roman" w:cs="Times New Roman"/>
                <w:b w:val="0"/>
                <w:bCs/>
                <w:color w:val="auto"/>
                <w:sz w:val="24"/>
                <w:szCs w:val="24"/>
                <w:lang w:eastAsia="zh-CN"/>
              </w:rPr>
              <w:t>密闭厂房抽风系统收集，最终一起经</w:t>
            </w:r>
            <w:r>
              <w:rPr>
                <w:rFonts w:hint="default" w:ascii="Times New Roman" w:hAnsi="Times New Roman" w:cs="Times New Roman"/>
                <w:b w:val="0"/>
                <w:bCs w:val="0"/>
                <w:color w:val="auto"/>
                <w:sz w:val="24"/>
                <w:szCs w:val="24"/>
                <w:lang w:eastAsia="zh-CN"/>
              </w:rPr>
              <w:t>（收集效率≥</w:t>
            </w:r>
            <w:r>
              <w:rPr>
                <w:rFonts w:hint="default" w:ascii="Times New Roman" w:hAnsi="Times New Roman" w:cs="Times New Roman"/>
                <w:b w:val="0"/>
                <w:bCs w:val="0"/>
                <w:color w:val="auto"/>
                <w:sz w:val="24"/>
                <w:szCs w:val="24"/>
                <w:lang w:val="en-US" w:eastAsia="zh-CN"/>
              </w:rPr>
              <w:t>90%</w:t>
            </w:r>
            <w:r>
              <w:rPr>
                <w:rFonts w:hint="default" w:ascii="Times New Roman" w:hAnsi="Times New Roman" w:cs="Times New Roman"/>
                <w:b w:val="0"/>
                <w:bCs w:val="0"/>
                <w:color w:val="auto"/>
                <w:sz w:val="24"/>
                <w:szCs w:val="24"/>
                <w:lang w:eastAsia="zh-CN"/>
              </w:rPr>
              <w:t>）+活性炭吸附（处理效率≥</w:t>
            </w:r>
            <w:r>
              <w:rPr>
                <w:rFonts w:hint="default" w:ascii="Times New Roman" w:hAnsi="Times New Roman" w:cs="Times New Roman"/>
                <w:b w:val="0"/>
                <w:bCs w:val="0"/>
                <w:color w:val="auto"/>
                <w:sz w:val="24"/>
                <w:szCs w:val="24"/>
                <w:lang w:val="en-US" w:eastAsia="zh-CN"/>
              </w:rPr>
              <w:t>80%</w:t>
            </w:r>
            <w:r>
              <w:rPr>
                <w:rFonts w:hint="default" w:ascii="Times New Roman" w:hAnsi="Times New Roman" w:cs="Times New Roman"/>
                <w:b w:val="0"/>
                <w:bCs w:val="0"/>
                <w:color w:val="auto"/>
                <w:sz w:val="24"/>
                <w:szCs w:val="24"/>
                <w:lang w:eastAsia="zh-CN"/>
              </w:rPr>
              <w:t>）+15m以上排气筒</w:t>
            </w:r>
          </w:p>
        </w:tc>
        <w:tc>
          <w:tcPr>
            <w:tcW w:w="3151" w:type="dxa"/>
            <w:vMerge w:val="restart"/>
            <w:noWrap w:val="0"/>
            <w:vAlign w:val="center"/>
          </w:tcPr>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《挥发性有机物排放控制标准》（</w:t>
            </w:r>
            <w:r>
              <w:rPr>
                <w:rFonts w:hint="default" w:ascii="Times New Roman" w:hAnsi="Times New Roman" w:cs="Times New Roman"/>
                <w:b w:val="0"/>
                <w:bCs w:val="0"/>
                <w:color w:val="auto"/>
                <w:sz w:val="24"/>
                <w:szCs w:val="24"/>
                <w:lang w:val="en-US" w:eastAsia="zh-CN"/>
              </w:rPr>
              <w:t>DB61/T1061-2017</w:t>
            </w:r>
            <w:r>
              <w:rPr>
                <w:rFonts w:hint="default" w:ascii="Times New Roman" w:hAnsi="Times New Roman" w:cs="Times New Roman"/>
                <w:b w:val="0"/>
                <w:bCs w:val="0"/>
                <w:color w:val="auto"/>
                <w:sz w:val="24"/>
                <w:szCs w:val="24"/>
                <w:lang w:eastAsia="zh-CN"/>
              </w:rPr>
              <w:t>）表</w:t>
            </w:r>
            <w:r>
              <w:rPr>
                <w:rFonts w:hint="default" w:ascii="Times New Roman" w:hAnsi="Times New Roman" w:cs="Times New Roman"/>
                <w:b w:val="0"/>
                <w:bCs w:val="0"/>
                <w:color w:val="auto"/>
                <w:sz w:val="24"/>
                <w:szCs w:val="24"/>
                <w:lang w:val="en-US" w:eastAsia="zh-CN"/>
              </w:rPr>
              <w:t>1</w:t>
            </w:r>
            <w:r>
              <w:rPr>
                <w:rFonts w:hint="default" w:ascii="Times New Roman" w:hAnsi="Times New Roman" w:cs="Times New Roman"/>
                <w:b w:val="0"/>
                <w:bCs w:val="0"/>
                <w:color w:val="auto"/>
                <w:sz w:val="24"/>
                <w:szCs w:val="24"/>
                <w:lang w:eastAsia="zh-CN"/>
              </w:rPr>
              <w:t>中的印刷行业的有组织</w:t>
            </w:r>
            <w:r>
              <w:rPr>
                <w:rFonts w:hint="eastAsia" w:ascii="Times New Roman" w:hAnsi="Times New Roman" w:cs="Times New Roman"/>
                <w:b w:val="0"/>
                <w:bCs w:val="0"/>
                <w:color w:val="auto"/>
                <w:sz w:val="24"/>
                <w:szCs w:val="24"/>
                <w:lang w:eastAsia="zh-CN"/>
              </w:rPr>
              <w:t>与无组织</w:t>
            </w:r>
            <w:r>
              <w:rPr>
                <w:rFonts w:hint="default" w:ascii="Times New Roman" w:hAnsi="Times New Roman" w:cs="Times New Roman"/>
                <w:b w:val="0"/>
                <w:bCs w:val="0"/>
                <w:color w:val="auto"/>
                <w:sz w:val="24"/>
                <w:szCs w:val="24"/>
                <w:lang w:eastAsia="zh-CN"/>
              </w:rPr>
              <w:t>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44" w:type="dxa"/>
            <w:vMerge w:val="continue"/>
            <w:noWrap w:val="0"/>
            <w:vAlign w:val="center"/>
          </w:tcPr>
          <w:p>
            <w:pPr>
              <w:pStyle w:val="19"/>
              <w:ind w:firstLine="0" w:firstLineChars="0"/>
              <w:rPr>
                <w:rFonts w:hint="default" w:ascii="Times New Roman" w:hAnsi="Times New Roman" w:cs="Times New Roman"/>
                <w:b w:val="0"/>
                <w:bCs w:val="0"/>
                <w:color w:val="auto"/>
              </w:rPr>
            </w:pPr>
          </w:p>
        </w:tc>
        <w:tc>
          <w:tcPr>
            <w:tcW w:w="1061" w:type="dxa"/>
            <w:noWrap w:val="0"/>
            <w:vAlign w:val="center"/>
          </w:tcPr>
          <w:p>
            <w:pPr>
              <w:pStyle w:val="19"/>
              <w:ind w:firstLine="0" w:firstLineChars="0"/>
              <w:rPr>
                <w:rFonts w:hint="default" w:ascii="Times New Roman" w:hAnsi="Times New Roman" w:eastAsia="宋体"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手工粘合</w:t>
            </w:r>
          </w:p>
        </w:tc>
        <w:tc>
          <w:tcPr>
            <w:tcW w:w="980" w:type="dxa"/>
            <w:vMerge w:val="continue"/>
            <w:noWrap w:val="0"/>
            <w:vAlign w:val="center"/>
          </w:tcPr>
          <w:p>
            <w:pPr>
              <w:pStyle w:val="19"/>
              <w:ind w:firstLine="0" w:firstLineChars="0"/>
              <w:rPr>
                <w:rFonts w:hint="default" w:ascii="Times New Roman" w:hAnsi="Times New Roman" w:cs="Times New Roman"/>
                <w:b w:val="0"/>
                <w:bCs w:val="0"/>
                <w:color w:val="auto"/>
                <w:sz w:val="24"/>
                <w:szCs w:val="24"/>
              </w:rPr>
            </w:pPr>
          </w:p>
        </w:tc>
        <w:tc>
          <w:tcPr>
            <w:tcW w:w="2286" w:type="dxa"/>
            <w:vMerge w:val="continue"/>
            <w:noWrap w:val="0"/>
            <w:vAlign w:val="center"/>
          </w:tcPr>
          <w:p>
            <w:pPr>
              <w:pStyle w:val="19"/>
              <w:ind w:firstLine="0" w:firstLineChars="0"/>
              <w:rPr>
                <w:rFonts w:hint="default" w:ascii="Times New Roman" w:hAnsi="Times New Roman" w:cs="Times New Roman"/>
                <w:b w:val="0"/>
                <w:bCs w:val="0"/>
                <w:color w:val="auto"/>
                <w:sz w:val="24"/>
                <w:szCs w:val="24"/>
              </w:rPr>
            </w:pPr>
          </w:p>
        </w:tc>
        <w:tc>
          <w:tcPr>
            <w:tcW w:w="3151" w:type="dxa"/>
            <w:vMerge w:val="continue"/>
            <w:noWrap w:val="0"/>
            <w:vAlign w:val="center"/>
          </w:tcPr>
          <w:p>
            <w:pPr>
              <w:pStyle w:val="19"/>
              <w:ind w:firstLine="0" w:firstLineChars="0"/>
              <w:rPr>
                <w:rFonts w:hint="default" w:ascii="Times New Roman" w:hAnsi="Times New Roman" w:cs="Times New Roman"/>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44" w:type="dxa"/>
            <w:noWrap w:val="0"/>
            <w:vAlign w:val="center"/>
          </w:tcPr>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水污</w:t>
            </w:r>
          </w:p>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染物</w:t>
            </w:r>
          </w:p>
        </w:tc>
        <w:tc>
          <w:tcPr>
            <w:tcW w:w="2041" w:type="dxa"/>
            <w:gridSpan w:val="2"/>
            <w:noWrap w:val="0"/>
            <w:vAlign w:val="center"/>
          </w:tcPr>
          <w:p>
            <w:pPr>
              <w:pStyle w:val="79"/>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生活污水、餐饮废水</w:t>
            </w:r>
          </w:p>
        </w:tc>
        <w:tc>
          <w:tcPr>
            <w:tcW w:w="2286" w:type="dxa"/>
            <w:noWrap w:val="0"/>
            <w:vAlign w:val="center"/>
          </w:tcPr>
          <w:p>
            <w:pPr>
              <w:pStyle w:val="7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餐饮废水经隔油池后与生活污水</w:t>
            </w:r>
            <w:r>
              <w:rPr>
                <w:rFonts w:hint="default" w:ascii="Times New Roman" w:hAnsi="Times New Roman" w:cs="Times New Roman"/>
                <w:b w:val="0"/>
                <w:bCs w:val="0"/>
                <w:color w:val="auto"/>
                <w:sz w:val="24"/>
                <w:szCs w:val="24"/>
              </w:rPr>
              <w:t>经化粪池后通过污水管网排入</w:t>
            </w:r>
            <w:r>
              <w:rPr>
                <w:rFonts w:hint="default" w:ascii="Times New Roman" w:hAnsi="Times New Roman" w:cs="Times New Roman"/>
                <w:b w:val="0"/>
                <w:bCs w:val="0"/>
                <w:color w:val="auto"/>
                <w:sz w:val="24"/>
                <w:szCs w:val="24"/>
                <w:lang w:eastAsia="zh-CN"/>
              </w:rPr>
              <w:t>高桥</w:t>
            </w:r>
            <w:r>
              <w:rPr>
                <w:rFonts w:hint="default" w:ascii="Times New Roman" w:hAnsi="Times New Roman" w:cs="Times New Roman"/>
                <w:b w:val="0"/>
                <w:bCs w:val="0"/>
                <w:color w:val="auto"/>
                <w:sz w:val="24"/>
                <w:szCs w:val="24"/>
              </w:rPr>
              <w:t>污水处理厂</w:t>
            </w:r>
          </w:p>
        </w:tc>
        <w:tc>
          <w:tcPr>
            <w:tcW w:w="3151" w:type="dxa"/>
            <w:noWrap w:val="0"/>
            <w:vAlign w:val="center"/>
          </w:tcPr>
          <w:p>
            <w:pPr>
              <w:pStyle w:val="7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《污水综合排放标准》（GB8978-1996）中的三级标准，氨氮执行《污水排入下水道水质标准》（GB/T31962-2015）表1中B级标准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44" w:type="dxa"/>
            <w:vMerge w:val="restart"/>
            <w:noWrap w:val="0"/>
            <w:vAlign w:val="center"/>
          </w:tcPr>
          <w:p>
            <w:pPr>
              <w:pStyle w:val="96"/>
              <w:adjustRightInd w:val="0"/>
              <w:snapToGrid w:val="0"/>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固体</w:t>
            </w:r>
          </w:p>
          <w:p>
            <w:pPr>
              <w:pStyle w:val="96"/>
              <w:adjustRightInd w:val="0"/>
              <w:snapToGrid w:val="0"/>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废物</w:t>
            </w:r>
          </w:p>
        </w:tc>
        <w:tc>
          <w:tcPr>
            <w:tcW w:w="2041" w:type="dxa"/>
            <w:gridSpan w:val="2"/>
            <w:noWrap w:val="0"/>
            <w:vAlign w:val="center"/>
          </w:tcPr>
          <w:p>
            <w:pPr>
              <w:pStyle w:val="79"/>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生活垃圾</w:t>
            </w:r>
          </w:p>
        </w:tc>
        <w:tc>
          <w:tcPr>
            <w:tcW w:w="2286" w:type="dxa"/>
            <w:vMerge w:val="restart"/>
            <w:noWrap w:val="0"/>
            <w:vAlign w:val="center"/>
          </w:tcPr>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垃圾箱分类收集，定期交当地环卫部门处理</w:t>
            </w:r>
          </w:p>
        </w:tc>
        <w:tc>
          <w:tcPr>
            <w:tcW w:w="3151" w:type="dxa"/>
            <w:vMerge w:val="restart"/>
            <w:noWrap w:val="0"/>
            <w:vAlign w:val="center"/>
          </w:tcPr>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处置率</w:t>
            </w:r>
            <w:r>
              <w:rPr>
                <w:rFonts w:hint="default" w:ascii="Times New Roman" w:hAnsi="Times New Roman" w:cs="Times New Roman"/>
                <w:b w:val="0"/>
                <w:bCs w:val="0"/>
                <w:color w:val="auto"/>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44" w:type="dxa"/>
            <w:vMerge w:val="continue"/>
            <w:noWrap w:val="0"/>
            <w:vAlign w:val="center"/>
          </w:tcPr>
          <w:p>
            <w:pPr>
              <w:pStyle w:val="96"/>
              <w:adjustRightInd w:val="0"/>
              <w:snapToGrid w:val="0"/>
              <w:rPr>
                <w:rFonts w:hint="default" w:ascii="Times New Roman" w:hAnsi="Times New Roman" w:cs="Times New Roman"/>
                <w:b w:val="0"/>
                <w:bCs w:val="0"/>
                <w:color w:val="auto"/>
                <w:sz w:val="24"/>
                <w:szCs w:val="24"/>
                <w:lang w:eastAsia="zh-CN"/>
              </w:rPr>
            </w:pPr>
          </w:p>
        </w:tc>
        <w:tc>
          <w:tcPr>
            <w:tcW w:w="2041" w:type="dxa"/>
            <w:gridSpan w:val="2"/>
            <w:noWrap w:val="0"/>
            <w:vAlign w:val="center"/>
          </w:tcPr>
          <w:p>
            <w:pPr>
              <w:pStyle w:val="79"/>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餐厨垃圾</w:t>
            </w:r>
          </w:p>
        </w:tc>
        <w:tc>
          <w:tcPr>
            <w:tcW w:w="2286" w:type="dxa"/>
            <w:vMerge w:val="continue"/>
            <w:noWrap w:val="0"/>
            <w:vAlign w:val="center"/>
          </w:tcPr>
          <w:p>
            <w:pPr>
              <w:pStyle w:val="96"/>
              <w:adjustRightInd w:val="0"/>
              <w:snapToGrid w:val="0"/>
              <w:rPr>
                <w:rFonts w:hint="default" w:ascii="Times New Roman" w:hAnsi="Times New Roman" w:cs="Times New Roman"/>
                <w:b w:val="0"/>
                <w:bCs w:val="0"/>
                <w:color w:val="auto"/>
                <w:sz w:val="24"/>
                <w:szCs w:val="24"/>
              </w:rPr>
            </w:pPr>
          </w:p>
        </w:tc>
        <w:tc>
          <w:tcPr>
            <w:tcW w:w="3151" w:type="dxa"/>
            <w:vMerge w:val="continue"/>
            <w:noWrap w:val="0"/>
            <w:vAlign w:val="center"/>
          </w:tcPr>
          <w:p>
            <w:pPr>
              <w:pStyle w:val="96"/>
              <w:adjustRightInd w:val="0"/>
              <w:snapToGrid w:val="0"/>
              <w:rPr>
                <w:rFonts w:hint="default" w:ascii="Times New Roman" w:hAnsi="Times New Roman" w:cs="Times New Roman"/>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44" w:type="dxa"/>
            <w:vMerge w:val="continue"/>
            <w:noWrap w:val="0"/>
            <w:vAlign w:val="center"/>
          </w:tcPr>
          <w:p>
            <w:pPr>
              <w:pStyle w:val="96"/>
              <w:adjustRightInd w:val="0"/>
              <w:snapToGrid w:val="0"/>
              <w:rPr>
                <w:rFonts w:hint="default" w:ascii="Times New Roman" w:hAnsi="Times New Roman" w:cs="Times New Roman"/>
                <w:b w:val="0"/>
                <w:bCs w:val="0"/>
                <w:color w:val="auto"/>
                <w:sz w:val="24"/>
                <w:szCs w:val="24"/>
                <w:lang w:eastAsia="zh-CN"/>
              </w:rPr>
            </w:pPr>
          </w:p>
        </w:tc>
        <w:tc>
          <w:tcPr>
            <w:tcW w:w="2041" w:type="dxa"/>
            <w:gridSpan w:val="2"/>
            <w:noWrap w:val="0"/>
            <w:vAlign w:val="center"/>
          </w:tcPr>
          <w:p>
            <w:pPr>
              <w:pStyle w:val="79"/>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废油脂</w:t>
            </w:r>
          </w:p>
        </w:tc>
        <w:tc>
          <w:tcPr>
            <w:tcW w:w="2286" w:type="dxa"/>
            <w:noWrap w:val="0"/>
            <w:vAlign w:val="center"/>
          </w:tcPr>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委托有资质单位处置</w:t>
            </w:r>
          </w:p>
        </w:tc>
        <w:tc>
          <w:tcPr>
            <w:tcW w:w="3151" w:type="dxa"/>
            <w:vMerge w:val="continue"/>
            <w:noWrap w:val="0"/>
            <w:vAlign w:val="center"/>
          </w:tcPr>
          <w:p>
            <w:pPr>
              <w:pStyle w:val="96"/>
              <w:adjustRightInd w:val="0"/>
              <w:snapToGrid w:val="0"/>
              <w:rPr>
                <w:rFonts w:hint="default" w:ascii="Times New Roman" w:hAnsi="Times New Roman" w:cs="Times New Roman"/>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44" w:type="dxa"/>
            <w:vMerge w:val="continue"/>
            <w:noWrap w:val="0"/>
            <w:vAlign w:val="center"/>
          </w:tcPr>
          <w:p>
            <w:pPr>
              <w:pStyle w:val="96"/>
              <w:adjustRightInd w:val="0"/>
              <w:snapToGrid w:val="0"/>
              <w:rPr>
                <w:rFonts w:hint="default" w:ascii="Times New Roman" w:hAnsi="Times New Roman" w:eastAsia="宋体" w:cs="Times New Roman"/>
                <w:b w:val="0"/>
                <w:bCs w:val="0"/>
                <w:color w:val="auto"/>
                <w:sz w:val="24"/>
                <w:szCs w:val="24"/>
                <w:lang w:eastAsia="zh-CN"/>
              </w:rPr>
            </w:pPr>
          </w:p>
        </w:tc>
        <w:tc>
          <w:tcPr>
            <w:tcW w:w="2041" w:type="dxa"/>
            <w:gridSpan w:val="2"/>
            <w:noWrap w:val="0"/>
            <w:vAlign w:val="center"/>
          </w:tcPr>
          <w:p>
            <w:pPr>
              <w:pStyle w:val="79"/>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边角废料</w:t>
            </w:r>
          </w:p>
        </w:tc>
        <w:tc>
          <w:tcPr>
            <w:tcW w:w="2286" w:type="dxa"/>
            <w:noWrap w:val="0"/>
            <w:vAlign w:val="center"/>
          </w:tcPr>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集中收集，定点存放，</w:t>
            </w:r>
            <w:r>
              <w:rPr>
                <w:rFonts w:hint="default" w:ascii="Times New Roman" w:hAnsi="Times New Roman" w:cs="Times New Roman"/>
                <w:b w:val="0"/>
                <w:bCs w:val="0"/>
                <w:color w:val="auto"/>
                <w:sz w:val="24"/>
                <w:szCs w:val="24"/>
              </w:rPr>
              <w:t>定期外售废品收购站</w:t>
            </w:r>
          </w:p>
        </w:tc>
        <w:tc>
          <w:tcPr>
            <w:tcW w:w="3151" w:type="dxa"/>
            <w:noWrap w:val="0"/>
            <w:vAlign w:val="center"/>
          </w:tcPr>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一般固体废物执行《一般工业固体废物贮存、处置场污染控制标准》（GB18599-2001）及其2013年修改单规定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44" w:type="dxa"/>
            <w:vMerge w:val="continue"/>
            <w:noWrap w:val="0"/>
            <w:vAlign w:val="center"/>
          </w:tcPr>
          <w:p>
            <w:pPr>
              <w:pStyle w:val="96"/>
              <w:adjustRightInd w:val="0"/>
              <w:snapToGrid w:val="0"/>
              <w:rPr>
                <w:rFonts w:hint="default" w:ascii="Times New Roman" w:hAnsi="Times New Roman" w:cs="Times New Roman"/>
                <w:b w:val="0"/>
                <w:bCs w:val="0"/>
                <w:color w:val="auto"/>
                <w:sz w:val="24"/>
                <w:szCs w:val="24"/>
              </w:rPr>
            </w:pPr>
          </w:p>
        </w:tc>
        <w:tc>
          <w:tcPr>
            <w:tcW w:w="2041" w:type="dxa"/>
            <w:gridSpan w:val="2"/>
            <w:noWrap w:val="0"/>
            <w:vAlign w:val="center"/>
          </w:tcPr>
          <w:p>
            <w:pPr>
              <w:pStyle w:val="79"/>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废油墨桶</w:t>
            </w:r>
          </w:p>
        </w:tc>
        <w:tc>
          <w:tcPr>
            <w:tcW w:w="2286" w:type="dxa"/>
            <w:vMerge w:val="restart"/>
            <w:noWrap w:val="0"/>
            <w:vAlign w:val="center"/>
          </w:tcPr>
          <w:p>
            <w:pPr>
              <w:pStyle w:val="96"/>
              <w:adjustRightInd w:val="0"/>
              <w:snapToGrid w:val="0"/>
              <w:jc w:val="center"/>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分类收集，</w:t>
            </w:r>
            <w:r>
              <w:rPr>
                <w:rFonts w:hint="default" w:ascii="Times New Roman" w:hAnsi="Times New Roman" w:cs="Times New Roman"/>
                <w:b w:val="0"/>
                <w:bCs w:val="0"/>
                <w:color w:val="auto"/>
                <w:sz w:val="24"/>
                <w:szCs w:val="24"/>
              </w:rPr>
              <w:t>存放于危废暂存间，交由有资质单位进行处理</w:t>
            </w:r>
          </w:p>
        </w:tc>
        <w:tc>
          <w:tcPr>
            <w:tcW w:w="3151" w:type="dxa"/>
            <w:vMerge w:val="restart"/>
            <w:noWrap w:val="0"/>
            <w:vAlign w:val="center"/>
          </w:tcPr>
          <w:p>
            <w:pPr>
              <w:pStyle w:val="8"/>
              <w:adjustRightInd w:val="0"/>
              <w:snapToGrid w:val="0"/>
              <w:spacing w:line="240" w:lineRule="auto"/>
              <w:ind w:firstLine="0" w:firstLineChars="0"/>
              <w:jc w:val="center"/>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《危险废物贮存污染控制标</w:t>
            </w:r>
          </w:p>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准》（GB18597-2001）及2013年修改清单要求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44" w:type="dxa"/>
            <w:vMerge w:val="continue"/>
            <w:noWrap w:val="0"/>
            <w:vAlign w:val="center"/>
          </w:tcPr>
          <w:p>
            <w:pPr>
              <w:pStyle w:val="96"/>
              <w:adjustRightInd w:val="0"/>
              <w:snapToGrid w:val="0"/>
              <w:rPr>
                <w:rFonts w:hint="default" w:ascii="Times New Roman" w:hAnsi="Times New Roman" w:cs="Times New Roman"/>
                <w:b w:val="0"/>
                <w:bCs w:val="0"/>
                <w:color w:val="auto"/>
                <w:sz w:val="24"/>
                <w:szCs w:val="24"/>
              </w:rPr>
            </w:pPr>
          </w:p>
        </w:tc>
        <w:tc>
          <w:tcPr>
            <w:tcW w:w="2041" w:type="dxa"/>
            <w:gridSpan w:val="2"/>
            <w:noWrap w:val="0"/>
            <w:vAlign w:val="center"/>
          </w:tcPr>
          <w:p>
            <w:pPr>
              <w:pStyle w:val="79"/>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废擦机布</w:t>
            </w:r>
          </w:p>
        </w:tc>
        <w:tc>
          <w:tcPr>
            <w:tcW w:w="2286" w:type="dxa"/>
            <w:vMerge w:val="continue"/>
            <w:noWrap w:val="0"/>
            <w:vAlign w:val="center"/>
          </w:tcPr>
          <w:p>
            <w:pPr>
              <w:pStyle w:val="96"/>
              <w:adjustRightInd w:val="0"/>
              <w:snapToGrid w:val="0"/>
              <w:jc w:val="center"/>
              <w:rPr>
                <w:rFonts w:hint="default" w:ascii="Times New Roman" w:hAnsi="Times New Roman" w:cs="Times New Roman"/>
                <w:b w:val="0"/>
                <w:bCs w:val="0"/>
                <w:color w:val="auto"/>
                <w:sz w:val="24"/>
                <w:szCs w:val="24"/>
                <w:lang w:eastAsia="zh-CN"/>
              </w:rPr>
            </w:pPr>
          </w:p>
        </w:tc>
        <w:tc>
          <w:tcPr>
            <w:tcW w:w="3151" w:type="dxa"/>
            <w:vMerge w:val="continue"/>
            <w:noWrap w:val="0"/>
            <w:vAlign w:val="center"/>
          </w:tcPr>
          <w:p>
            <w:pPr>
              <w:pStyle w:val="96"/>
              <w:adjustRightInd w:val="0"/>
              <w:snapToGrid w:val="0"/>
              <w:rPr>
                <w:rFonts w:hint="default" w:ascii="Times New Roman" w:hAnsi="Times New Roman" w:cs="Times New Roman"/>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44" w:type="dxa"/>
            <w:vMerge w:val="continue"/>
            <w:noWrap w:val="0"/>
            <w:vAlign w:val="center"/>
          </w:tcPr>
          <w:p>
            <w:pPr>
              <w:pStyle w:val="96"/>
              <w:adjustRightInd w:val="0"/>
              <w:snapToGrid w:val="0"/>
              <w:rPr>
                <w:rFonts w:hint="default" w:ascii="Times New Roman" w:hAnsi="Times New Roman" w:cs="Times New Roman"/>
                <w:b w:val="0"/>
                <w:bCs w:val="0"/>
                <w:color w:val="auto"/>
                <w:sz w:val="24"/>
                <w:szCs w:val="24"/>
              </w:rPr>
            </w:pPr>
          </w:p>
        </w:tc>
        <w:tc>
          <w:tcPr>
            <w:tcW w:w="2041" w:type="dxa"/>
            <w:gridSpan w:val="2"/>
            <w:noWrap w:val="0"/>
            <w:vAlign w:val="center"/>
          </w:tcPr>
          <w:p>
            <w:pPr>
              <w:pStyle w:val="79"/>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废机油</w:t>
            </w:r>
          </w:p>
        </w:tc>
        <w:tc>
          <w:tcPr>
            <w:tcW w:w="2286" w:type="dxa"/>
            <w:vMerge w:val="continue"/>
            <w:noWrap w:val="0"/>
            <w:vAlign w:val="top"/>
          </w:tcPr>
          <w:p>
            <w:pPr>
              <w:pStyle w:val="96"/>
              <w:adjustRightInd w:val="0"/>
              <w:snapToGrid w:val="0"/>
              <w:jc w:val="left"/>
              <w:rPr>
                <w:rFonts w:hint="default" w:ascii="Times New Roman" w:hAnsi="Times New Roman" w:cs="Times New Roman"/>
                <w:b w:val="0"/>
                <w:bCs w:val="0"/>
                <w:color w:val="auto"/>
                <w:sz w:val="24"/>
                <w:szCs w:val="24"/>
              </w:rPr>
            </w:pPr>
          </w:p>
        </w:tc>
        <w:tc>
          <w:tcPr>
            <w:tcW w:w="3151" w:type="dxa"/>
            <w:vMerge w:val="continue"/>
            <w:noWrap w:val="0"/>
            <w:vAlign w:val="center"/>
          </w:tcPr>
          <w:p>
            <w:pPr>
              <w:pStyle w:val="96"/>
              <w:adjustRightInd w:val="0"/>
              <w:snapToGrid w:val="0"/>
              <w:rPr>
                <w:rFonts w:hint="default" w:ascii="Times New Roman" w:hAnsi="Times New Roman" w:cs="Times New Roman"/>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44" w:type="dxa"/>
            <w:vMerge w:val="continue"/>
            <w:noWrap w:val="0"/>
            <w:vAlign w:val="center"/>
          </w:tcPr>
          <w:p>
            <w:pPr>
              <w:pStyle w:val="96"/>
              <w:adjustRightInd w:val="0"/>
              <w:snapToGrid w:val="0"/>
              <w:rPr>
                <w:rFonts w:hint="default" w:ascii="Times New Roman" w:hAnsi="Times New Roman" w:cs="Times New Roman"/>
                <w:b w:val="0"/>
                <w:bCs w:val="0"/>
                <w:color w:val="auto"/>
                <w:sz w:val="24"/>
                <w:szCs w:val="24"/>
              </w:rPr>
            </w:pPr>
          </w:p>
        </w:tc>
        <w:tc>
          <w:tcPr>
            <w:tcW w:w="2041" w:type="dxa"/>
            <w:gridSpan w:val="2"/>
            <w:noWrap w:val="0"/>
            <w:vAlign w:val="center"/>
          </w:tcPr>
          <w:p>
            <w:pPr>
              <w:pStyle w:val="79"/>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废棉纱</w:t>
            </w:r>
          </w:p>
        </w:tc>
        <w:tc>
          <w:tcPr>
            <w:tcW w:w="2286" w:type="dxa"/>
            <w:vMerge w:val="continue"/>
            <w:noWrap w:val="0"/>
            <w:vAlign w:val="top"/>
          </w:tcPr>
          <w:p>
            <w:pPr>
              <w:pStyle w:val="96"/>
              <w:adjustRightInd w:val="0"/>
              <w:snapToGrid w:val="0"/>
              <w:jc w:val="left"/>
              <w:rPr>
                <w:rFonts w:hint="default" w:ascii="Times New Roman" w:hAnsi="Times New Roman" w:cs="Times New Roman"/>
                <w:b w:val="0"/>
                <w:bCs w:val="0"/>
                <w:color w:val="auto"/>
                <w:sz w:val="24"/>
                <w:szCs w:val="24"/>
              </w:rPr>
            </w:pPr>
          </w:p>
        </w:tc>
        <w:tc>
          <w:tcPr>
            <w:tcW w:w="3151" w:type="dxa"/>
            <w:vMerge w:val="continue"/>
            <w:noWrap w:val="0"/>
            <w:vAlign w:val="center"/>
          </w:tcPr>
          <w:p>
            <w:pPr>
              <w:pStyle w:val="96"/>
              <w:adjustRightInd w:val="0"/>
              <w:snapToGrid w:val="0"/>
              <w:rPr>
                <w:rFonts w:hint="default" w:ascii="Times New Roman" w:hAnsi="Times New Roman" w:cs="Times New Roman"/>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44" w:type="dxa"/>
            <w:vMerge w:val="continue"/>
            <w:noWrap w:val="0"/>
            <w:vAlign w:val="center"/>
          </w:tcPr>
          <w:p>
            <w:pPr>
              <w:pStyle w:val="96"/>
              <w:adjustRightInd w:val="0"/>
              <w:snapToGrid w:val="0"/>
              <w:rPr>
                <w:rFonts w:hint="default" w:ascii="Times New Roman" w:hAnsi="Times New Roman" w:cs="Times New Roman"/>
                <w:b w:val="0"/>
                <w:bCs w:val="0"/>
                <w:color w:val="auto"/>
                <w:sz w:val="24"/>
                <w:szCs w:val="24"/>
              </w:rPr>
            </w:pPr>
          </w:p>
        </w:tc>
        <w:tc>
          <w:tcPr>
            <w:tcW w:w="2041" w:type="dxa"/>
            <w:gridSpan w:val="2"/>
            <w:noWrap w:val="0"/>
            <w:vAlign w:val="center"/>
          </w:tcPr>
          <w:p>
            <w:pPr>
              <w:pStyle w:val="79"/>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rPr>
              <w:t>废活性炭</w:t>
            </w:r>
          </w:p>
        </w:tc>
        <w:tc>
          <w:tcPr>
            <w:tcW w:w="2286" w:type="dxa"/>
            <w:vMerge w:val="continue"/>
            <w:noWrap w:val="0"/>
            <w:vAlign w:val="center"/>
          </w:tcPr>
          <w:p>
            <w:pPr>
              <w:pStyle w:val="96"/>
              <w:adjustRightInd w:val="0"/>
              <w:snapToGrid w:val="0"/>
              <w:rPr>
                <w:rFonts w:hint="default" w:ascii="Times New Roman" w:hAnsi="Times New Roman" w:cs="Times New Roman"/>
                <w:b w:val="0"/>
                <w:bCs w:val="0"/>
                <w:color w:val="auto"/>
                <w:sz w:val="24"/>
                <w:szCs w:val="24"/>
              </w:rPr>
            </w:pPr>
          </w:p>
        </w:tc>
        <w:tc>
          <w:tcPr>
            <w:tcW w:w="3151" w:type="dxa"/>
            <w:vMerge w:val="continue"/>
            <w:noWrap w:val="0"/>
            <w:vAlign w:val="center"/>
          </w:tcPr>
          <w:p>
            <w:pPr>
              <w:pStyle w:val="96"/>
              <w:adjustRightInd w:val="0"/>
              <w:snapToGrid w:val="0"/>
              <w:rPr>
                <w:rFonts w:hint="default" w:ascii="Times New Roman" w:hAnsi="Times New Roman" w:cs="Times New Roman"/>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 w:type="dxa"/>
            <w:noWrap w:val="0"/>
            <w:vAlign w:val="center"/>
          </w:tcPr>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噪声</w:t>
            </w:r>
          </w:p>
        </w:tc>
        <w:tc>
          <w:tcPr>
            <w:tcW w:w="2041" w:type="dxa"/>
            <w:gridSpan w:val="2"/>
            <w:noWrap w:val="0"/>
            <w:vAlign w:val="center"/>
          </w:tcPr>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机械设备噪声</w:t>
            </w:r>
          </w:p>
        </w:tc>
        <w:tc>
          <w:tcPr>
            <w:tcW w:w="2286" w:type="dxa"/>
            <w:noWrap w:val="0"/>
            <w:vAlign w:val="center"/>
          </w:tcPr>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采用低噪设备、厂房隔声、基础减震、柔性连接等措施</w:t>
            </w:r>
          </w:p>
        </w:tc>
        <w:tc>
          <w:tcPr>
            <w:tcW w:w="3151" w:type="dxa"/>
            <w:noWrap w:val="0"/>
            <w:vAlign w:val="center"/>
          </w:tcPr>
          <w:p>
            <w:pPr>
              <w:pStyle w:val="96"/>
              <w:adjustRightInd w:val="0"/>
              <w:snapToGrid w:val="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《工业企业厂界环境噪声排放标准》（GB12348-2008）中的</w:t>
            </w:r>
            <w:r>
              <w:rPr>
                <w:rFonts w:hint="default" w:ascii="Times New Roman" w:hAnsi="Times New Roman" w:cs="Times New Roman"/>
                <w:b w:val="0"/>
                <w:bCs w:val="0"/>
                <w:color w:val="auto"/>
                <w:sz w:val="24"/>
                <w:szCs w:val="24"/>
                <w:lang w:val="en-US" w:eastAsia="zh-CN"/>
              </w:rPr>
              <w:t>2</w:t>
            </w:r>
            <w:r>
              <w:rPr>
                <w:rFonts w:hint="default" w:ascii="Times New Roman" w:hAnsi="Times New Roman" w:cs="Times New Roman"/>
                <w:b w:val="0"/>
                <w:bCs w:val="0"/>
                <w:color w:val="auto"/>
                <w:sz w:val="24"/>
                <w:szCs w:val="24"/>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2" w:type="dxa"/>
            <w:gridSpan w:val="5"/>
            <w:noWrap w:val="0"/>
            <w:vAlign w:val="top"/>
          </w:tcPr>
          <w:p>
            <w:pPr>
              <w:pStyle w:val="4"/>
              <w:keepNext w:val="0"/>
              <w:keepLines w:val="0"/>
              <w:pageBreakBefore w:val="0"/>
              <w:widowControl w:val="0"/>
              <w:kinsoku/>
              <w:wordWrap/>
              <w:overflowPunct/>
              <w:topLinePunct w:val="0"/>
              <w:autoSpaceDE/>
              <w:autoSpaceDN/>
              <w:bidi w:val="0"/>
              <w:adjustRightInd/>
              <w:snapToGrid/>
              <w:spacing w:beforeLines="0" w:afterLines="0" w:line="440" w:lineRule="exact"/>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生态保护措施及预期效果</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rPr>
              <w:t>本项目</w:t>
            </w:r>
            <w:r>
              <w:rPr>
                <w:rFonts w:hint="default" w:ascii="Times New Roman" w:hAnsi="Times New Roman" w:cs="Times New Roman"/>
                <w:b w:val="0"/>
                <w:bCs w:val="0"/>
                <w:color w:val="auto"/>
                <w:lang w:eastAsia="zh-CN"/>
              </w:rPr>
              <w:t>位于</w:t>
            </w:r>
            <w:r>
              <w:rPr>
                <w:rFonts w:hint="default" w:ascii="Times New Roman" w:hAnsi="Times New Roman" w:eastAsia="宋体" w:cs="Times New Roman"/>
                <w:b w:val="0"/>
                <w:bCs w:val="0"/>
                <w:color w:val="auto"/>
                <w:szCs w:val="24"/>
                <w:lang w:eastAsia="zh-CN"/>
              </w:rPr>
              <w:t>陕西省西安市灞桥区红旗街道办赵庄村</w:t>
            </w:r>
            <w:r>
              <w:rPr>
                <w:rFonts w:hint="default" w:ascii="Times New Roman" w:hAnsi="Times New Roman" w:eastAsia="宋体" w:cs="Times New Roman"/>
                <w:b w:val="0"/>
                <w:bCs w:val="0"/>
                <w:color w:val="auto"/>
                <w:szCs w:val="24"/>
                <w:lang w:val="en-US" w:eastAsia="zh-CN"/>
              </w:rPr>
              <w:t>1号</w:t>
            </w:r>
            <w:r>
              <w:rPr>
                <w:rFonts w:hint="default" w:ascii="Times New Roman" w:hAnsi="Times New Roman" w:cs="Times New Roman"/>
                <w:b w:val="0"/>
                <w:bCs w:val="0"/>
                <w:color w:val="auto"/>
              </w:rPr>
              <w:t>。项目生产生活主要在厂房内部进行，对生态影响较小</w:t>
            </w:r>
            <w:r>
              <w:rPr>
                <w:rFonts w:hint="default" w:ascii="Times New Roman" w:hAnsi="Times New Roman" w:cs="Times New Roman"/>
                <w:b w:val="0"/>
                <w:bCs w:val="0"/>
                <w:color w:val="auto"/>
                <w:lang w:eastAsia="zh-CN"/>
              </w:rPr>
              <w:t>。</w:t>
            </w:r>
          </w:p>
        </w:tc>
      </w:tr>
    </w:tbl>
    <w:p>
      <w:pPr>
        <w:pStyle w:val="3"/>
        <w:numPr>
          <w:ilvl w:val="0"/>
          <w:numId w:val="0"/>
        </w:numPr>
        <w:spacing w:beforeLines="0" w:line="240" w:lineRule="auto"/>
        <w:ind w:leftChars="0"/>
        <w:rPr>
          <w:rFonts w:hint="default" w:ascii="Times New Roman" w:hAnsi="Times New Roman" w:cs="Times New Roman"/>
          <w:color w:val="auto"/>
          <w:kern w:val="0"/>
        </w:rPr>
      </w:pPr>
      <w:r>
        <w:rPr>
          <w:rFonts w:hint="default" w:ascii="Times New Roman" w:hAnsi="Times New Roman" w:cs="Times New Roman"/>
          <w:color w:val="auto"/>
          <w:kern w:val="0"/>
          <w:lang w:val="en-US" w:eastAsia="zh-CN"/>
        </w:rPr>
        <w:t>9.</w:t>
      </w:r>
      <w:r>
        <w:rPr>
          <w:rFonts w:hint="default" w:ascii="Times New Roman" w:hAnsi="Times New Roman" w:cs="Times New Roman"/>
          <w:color w:val="auto"/>
          <w:kern w:val="0"/>
        </w:rPr>
        <w:t>结论与建议</w:t>
      </w:r>
    </w:p>
    <w:tbl>
      <w:tblPr>
        <w:tblStyle w:val="2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
        <w:gridCol w:w="8364"/>
        <w:gridCol w:w="805"/>
        <w:gridCol w:w="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gridAfter w:val="2"/>
          <w:wBefore w:w="108" w:type="dxa"/>
          <w:wAfter w:w="812" w:type="dxa"/>
          <w:trHeight w:val="13032" w:hRule="atLeast"/>
        </w:trPr>
        <w:tc>
          <w:tcPr>
            <w:tcW w:w="8364" w:type="dxa"/>
            <w:noWrap w:val="0"/>
            <w:vAlign w:val="top"/>
          </w:tcPr>
          <w:p>
            <w:pPr>
              <w:pStyle w:val="4"/>
              <w:adjustRightInd/>
              <w:snapToGrid/>
              <w:spacing w:beforeLines="0" w:afterLines="0"/>
              <w:rPr>
                <w:rFonts w:hint="default" w:ascii="Times New Roman" w:hAnsi="Times New Roman" w:cs="Times New Roman"/>
                <w:color w:val="auto"/>
                <w:kern w:val="0"/>
              </w:rPr>
            </w:pPr>
            <w:r>
              <w:rPr>
                <w:rFonts w:hint="default" w:ascii="Times New Roman" w:hAnsi="Times New Roman" w:cs="Times New Roman"/>
                <w:color w:val="auto"/>
                <w:kern w:val="0"/>
              </w:rPr>
              <w:t>结论</w:t>
            </w:r>
          </w:p>
          <w:p>
            <w:pPr>
              <w:tabs>
                <w:tab w:val="left" w:pos="2220"/>
              </w:tabs>
              <w:ind w:firstLine="482"/>
              <w:rPr>
                <w:rFonts w:hint="default" w:ascii="Times New Roman" w:hAnsi="Times New Roman" w:cs="Times New Roman"/>
                <w:b/>
                <w:color w:val="auto"/>
              </w:rPr>
            </w:pPr>
            <w:r>
              <w:rPr>
                <w:rFonts w:hint="default" w:ascii="Times New Roman" w:hAnsi="Times New Roman" w:cs="Times New Roman"/>
                <w:b/>
                <w:color w:val="auto"/>
              </w:rPr>
              <w:t>1、项目概况</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lang w:eastAsia="zh-CN"/>
              </w:rPr>
              <w:t>陕西凯乐包装设计制作有限责任公司拟投资</w:t>
            </w:r>
            <w:r>
              <w:rPr>
                <w:rFonts w:hint="default" w:ascii="Times New Roman" w:hAnsi="Times New Roman" w:eastAsia="宋体" w:cs="Times New Roman"/>
                <w:color w:val="auto"/>
                <w:sz w:val="24"/>
                <w:szCs w:val="24"/>
                <w:lang w:val="en-US" w:eastAsia="zh-CN"/>
              </w:rPr>
              <w:t>1000万元在</w:t>
            </w:r>
            <w:r>
              <w:rPr>
                <w:rFonts w:hint="default" w:ascii="Times New Roman" w:hAnsi="Times New Roman" w:eastAsia="宋体" w:cs="Times New Roman"/>
                <w:color w:val="auto"/>
                <w:szCs w:val="24"/>
                <w:lang w:eastAsia="zh-CN"/>
              </w:rPr>
              <w:t>陕西省西安市灞桥区红旗街道办赵庄村</w:t>
            </w:r>
            <w:r>
              <w:rPr>
                <w:rFonts w:hint="default" w:ascii="Times New Roman" w:hAnsi="Times New Roman" w:eastAsia="宋体" w:cs="Times New Roman"/>
                <w:color w:val="auto"/>
                <w:szCs w:val="24"/>
                <w:lang w:val="en-US" w:eastAsia="zh-CN"/>
              </w:rPr>
              <w:t>1号建设纸制品加工项目，项目建成后年加工纸制品产品</w:t>
            </w:r>
            <w:r>
              <w:rPr>
                <w:rFonts w:hint="default" w:ascii="Times New Roman" w:hAnsi="Times New Roman" w:eastAsia="宋体" w:cs="Times New Roman"/>
                <w:color w:val="auto"/>
                <w:szCs w:val="24"/>
                <w:highlight w:val="none"/>
                <w:lang w:val="en-US" w:eastAsia="zh-CN"/>
              </w:rPr>
              <w:t>800万个</w:t>
            </w:r>
            <w:r>
              <w:rPr>
                <w:rFonts w:hint="default" w:ascii="Times New Roman" w:hAnsi="Times New Roman" w:eastAsia="宋体" w:cs="Times New Roman"/>
                <w:color w:val="auto"/>
                <w:szCs w:val="24"/>
                <w:lang w:val="en-US" w:eastAsia="zh-CN"/>
              </w:rPr>
              <w:t>。</w:t>
            </w:r>
            <w:r>
              <w:rPr>
                <w:rFonts w:hint="default" w:ascii="Times New Roman" w:hAnsi="Times New Roman" w:cs="Times New Roman"/>
                <w:color w:val="auto"/>
              </w:rPr>
              <w:t>项目东</w:t>
            </w:r>
            <w:r>
              <w:rPr>
                <w:rFonts w:hint="default" w:ascii="Times New Roman" w:hAnsi="Times New Roman" w:cs="Times New Roman"/>
                <w:color w:val="auto"/>
                <w:lang w:eastAsia="zh-CN"/>
              </w:rPr>
              <w:t>、西两</w:t>
            </w:r>
            <w:r>
              <w:rPr>
                <w:rFonts w:hint="default" w:ascii="Times New Roman" w:hAnsi="Times New Roman" w:cs="Times New Roman"/>
                <w:color w:val="auto"/>
              </w:rPr>
              <w:t>侧</w:t>
            </w:r>
            <w:r>
              <w:rPr>
                <w:rFonts w:hint="default" w:ascii="Times New Roman" w:hAnsi="Times New Roman" w:cs="Times New Roman"/>
                <w:color w:val="auto"/>
                <w:lang w:eastAsia="zh-CN"/>
              </w:rPr>
              <w:t>均</w:t>
            </w:r>
            <w:r>
              <w:rPr>
                <w:rFonts w:hint="default" w:ascii="Times New Roman" w:hAnsi="Times New Roman" w:cs="Times New Roman"/>
                <w:color w:val="auto"/>
              </w:rPr>
              <w:t>为</w:t>
            </w:r>
            <w:r>
              <w:rPr>
                <w:rFonts w:hint="default" w:ascii="Times New Roman" w:hAnsi="Times New Roman" w:cs="Times New Roman"/>
                <w:color w:val="auto"/>
                <w:lang w:eastAsia="zh-CN"/>
              </w:rPr>
              <w:t>空地</w:t>
            </w:r>
            <w:r>
              <w:rPr>
                <w:rFonts w:hint="default" w:ascii="Times New Roman" w:hAnsi="Times New Roman" w:cs="Times New Roman"/>
                <w:color w:val="auto"/>
              </w:rPr>
              <w:t>；南侧为</w:t>
            </w:r>
            <w:r>
              <w:rPr>
                <w:rFonts w:hint="default" w:ascii="Times New Roman" w:hAnsi="Times New Roman" w:cs="Times New Roman"/>
                <w:color w:val="auto"/>
                <w:lang w:eastAsia="zh-CN"/>
              </w:rPr>
              <w:t>通村道路，隔路为赵庄村居民</w:t>
            </w:r>
            <w:r>
              <w:rPr>
                <w:rFonts w:hint="default" w:ascii="Times New Roman" w:hAnsi="Times New Roman" w:cs="Times New Roman"/>
                <w:color w:val="auto"/>
              </w:rPr>
              <w:t>；</w:t>
            </w:r>
            <w:r>
              <w:rPr>
                <w:rFonts w:hint="default" w:ascii="Times New Roman" w:hAnsi="Times New Roman" w:cs="Times New Roman"/>
                <w:color w:val="auto"/>
                <w:lang w:eastAsia="zh-CN"/>
              </w:rPr>
              <w:t>北</w:t>
            </w:r>
            <w:r>
              <w:rPr>
                <w:rFonts w:hint="default" w:ascii="Times New Roman" w:hAnsi="Times New Roman" w:cs="Times New Roman"/>
                <w:color w:val="auto"/>
              </w:rPr>
              <w:t>侧为</w:t>
            </w:r>
            <w:r>
              <w:rPr>
                <w:rFonts w:hint="default" w:ascii="Times New Roman" w:hAnsi="Times New Roman" w:cs="Times New Roman"/>
                <w:color w:val="auto"/>
                <w:lang w:eastAsia="zh-CN"/>
              </w:rPr>
              <w:t>废弃厂房</w:t>
            </w:r>
            <w:r>
              <w:rPr>
                <w:rFonts w:hint="default" w:ascii="Times New Roman" w:hAnsi="Times New Roman" w:cs="Times New Roman"/>
                <w:color w:val="auto"/>
              </w:rPr>
              <w:t>。评价区范围内无风景名胜区、文物保护区等敏感点。</w:t>
            </w:r>
          </w:p>
          <w:p>
            <w:pPr>
              <w:numPr>
                <w:ilvl w:val="0"/>
                <w:numId w:val="7"/>
              </w:numPr>
              <w:tabs>
                <w:tab w:val="left" w:pos="2220"/>
              </w:tabs>
              <w:ind w:firstLine="482"/>
              <w:rPr>
                <w:rFonts w:hint="default" w:ascii="Times New Roman" w:hAnsi="Times New Roman" w:cs="Times New Roman"/>
                <w:b/>
                <w:color w:val="auto"/>
              </w:rPr>
            </w:pPr>
            <w:r>
              <w:rPr>
                <w:rFonts w:hint="default" w:ascii="Times New Roman" w:hAnsi="Times New Roman" w:cs="Times New Roman"/>
                <w:b/>
                <w:color w:val="auto"/>
              </w:rPr>
              <w:t>产业政策符合性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根据《产业结构调整指导目录（2011年本）》（2013年修正），本项目不属于鼓励类、限制类和淘汰类，因此视为允许类项目；本项目未列入《</w:t>
            </w:r>
            <w:r>
              <w:rPr>
                <w:rFonts w:hint="default" w:ascii="Times New Roman" w:hAnsi="Times New Roman" w:cs="Times New Roman"/>
                <w:color w:val="auto"/>
                <w:lang w:eastAsia="zh-CN"/>
              </w:rPr>
              <w:t>市场准入负面清单</w:t>
            </w:r>
            <w:r>
              <w:rPr>
                <w:rFonts w:hint="default" w:ascii="Times New Roman" w:hAnsi="Times New Roman" w:cs="Times New Roman"/>
                <w:color w:val="auto"/>
              </w:rPr>
              <w:t>》（2018年</w:t>
            </w:r>
            <w:r>
              <w:rPr>
                <w:rFonts w:hint="default" w:ascii="Times New Roman" w:hAnsi="Times New Roman" w:cs="Times New Roman"/>
                <w:color w:val="auto"/>
                <w:lang w:eastAsia="zh-CN"/>
              </w:rPr>
              <w:t>版</w:t>
            </w:r>
            <w:r>
              <w:rPr>
                <w:rFonts w:hint="default" w:ascii="Times New Roman" w:hAnsi="Times New Roman" w:cs="Times New Roman"/>
                <w:color w:val="auto"/>
              </w:rPr>
              <w:t>）限制类、禁止类中，属于允许类；另外，本项目不在《陕西省限制投资类产业指导目录》（陕发改产业[2007]97号）之内，故本项目符合国家现行的有关产业政策。</w:t>
            </w:r>
          </w:p>
          <w:p>
            <w:pPr>
              <w:tabs>
                <w:tab w:val="left" w:pos="2220"/>
              </w:tabs>
              <w:ind w:firstLine="482"/>
              <w:rPr>
                <w:rFonts w:hint="default" w:ascii="Times New Roman" w:hAnsi="Times New Roman" w:cs="Times New Roman"/>
                <w:b/>
                <w:color w:val="auto"/>
              </w:rPr>
            </w:pPr>
            <w:r>
              <w:rPr>
                <w:rFonts w:hint="default" w:ascii="Times New Roman" w:hAnsi="Times New Roman" w:cs="Times New Roman"/>
                <w:b/>
                <w:color w:val="auto"/>
              </w:rPr>
              <w:t>3、环境质量现状</w:t>
            </w:r>
          </w:p>
          <w:p>
            <w:pPr>
              <w:tabs>
                <w:tab w:val="left" w:pos="2220"/>
              </w:tabs>
              <w:rPr>
                <w:rFonts w:hint="default" w:ascii="Times New Roman" w:hAnsi="Times New Roman" w:cs="Times New Roman"/>
                <w:color w:val="auto"/>
              </w:rPr>
            </w:pPr>
            <w:r>
              <w:rPr>
                <w:rFonts w:hint="default" w:ascii="Times New Roman" w:hAnsi="Times New Roman" w:cs="Times New Roman"/>
                <w:color w:val="auto"/>
              </w:rPr>
              <w:t>（1）环境空气质量现状</w:t>
            </w:r>
          </w:p>
          <w:p>
            <w:pPr>
              <w:pStyle w:val="97"/>
              <w:keepNext w:val="0"/>
              <w:keepLines w:val="0"/>
              <w:pageBreakBefore w:val="0"/>
              <w:widowControl w:val="0"/>
              <w:kinsoku/>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b w:val="0"/>
                <w:bCs/>
                <w:color w:val="auto"/>
                <w:sz w:val="24"/>
              </w:rPr>
              <w:t>①</w:t>
            </w:r>
            <w:r>
              <w:rPr>
                <w:rFonts w:hint="default" w:ascii="Times New Roman" w:hAnsi="Times New Roman" w:cs="Times New Roman"/>
                <w:color w:val="auto"/>
                <w:lang w:eastAsia="zh-CN"/>
              </w:rPr>
              <w:t>区域环境质量达标情况</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rPr>
              <w:t>根据</w:t>
            </w:r>
            <w:r>
              <w:rPr>
                <w:rFonts w:hint="default" w:ascii="Times New Roman" w:hAnsi="Times New Roman" w:cs="Times New Roman"/>
                <w:color w:val="auto"/>
                <w:sz w:val="24"/>
              </w:rPr>
              <w:t>陕西省生态环境厅办公室于2019年1月11日发布的《2018年1~12月全省环境空气质量状况》中西安市灞桥区的空气质量状况</w:t>
            </w:r>
            <w:r>
              <w:rPr>
                <w:rFonts w:hint="default" w:ascii="Times New Roman" w:hAnsi="Times New Roman" w:cs="Times New Roman"/>
                <w:color w:val="auto"/>
              </w:rPr>
              <w:t>，评价区环境空气常规六项指标中，SO</w:t>
            </w:r>
            <w:r>
              <w:rPr>
                <w:rFonts w:hint="default" w:ascii="Times New Roman" w:hAnsi="Times New Roman" w:cs="Times New Roman"/>
                <w:color w:val="auto"/>
                <w:vertAlign w:val="subscript"/>
              </w:rPr>
              <w:t>2</w:t>
            </w:r>
            <w:r>
              <w:rPr>
                <w:rFonts w:hint="default" w:ascii="Times New Roman" w:hAnsi="Times New Roman" w:cs="Times New Roman"/>
                <w:color w:val="auto"/>
              </w:rPr>
              <w:t>年平均质量浓度和CO95%百分位数24h平均浓度达到《环境空气质量标准》（GB3095</w:t>
            </w:r>
            <w:r>
              <w:rPr>
                <w:rFonts w:hint="default" w:ascii="Times New Roman" w:hAnsi="Times New Roman" w:cs="Times New Roman"/>
                <w:color w:val="auto"/>
              </w:rPr>
              <w:softHyphen/>
            </w:r>
            <w:r>
              <w:rPr>
                <w:rFonts w:hint="default" w:ascii="Times New Roman" w:hAnsi="Times New Roman" w:cs="Times New Roman"/>
                <w:color w:val="auto"/>
              </w:rPr>
              <w:t>2012）二级标准要求，PM</w:t>
            </w:r>
            <w:r>
              <w:rPr>
                <w:rFonts w:hint="default" w:ascii="Times New Roman" w:hAnsi="Times New Roman" w:cs="Times New Roman"/>
                <w:color w:val="auto"/>
                <w:vertAlign w:val="subscript"/>
              </w:rPr>
              <w:t>2.5</w:t>
            </w:r>
            <w:r>
              <w:rPr>
                <w:rFonts w:hint="default" w:ascii="Times New Roman" w:hAnsi="Times New Roman" w:cs="Times New Roman"/>
                <w:color w:val="auto"/>
              </w:rPr>
              <w:t>年平均质量浓</w:t>
            </w:r>
            <w:r>
              <w:rPr>
                <w:rFonts w:hint="default" w:ascii="Times New Roman" w:hAnsi="Times New Roman" w:cs="Times New Roman"/>
                <w:color w:val="auto"/>
                <w:lang w:eastAsia="zh-CN"/>
              </w:rPr>
              <w:t>度</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 xml:space="preserve"> 年平均质量浓度、NO</w:t>
            </w:r>
            <w:r>
              <w:rPr>
                <w:rFonts w:hint="default" w:ascii="Times New Roman" w:hAnsi="Times New Roman" w:cs="Times New Roman"/>
                <w:color w:val="auto"/>
                <w:vertAlign w:val="subscript"/>
              </w:rPr>
              <w:t>2</w:t>
            </w:r>
            <w:r>
              <w:rPr>
                <w:rFonts w:hint="default" w:ascii="Times New Roman" w:hAnsi="Times New Roman" w:cs="Times New Roman"/>
                <w:color w:val="auto"/>
              </w:rPr>
              <w:t>年平均质量浓度和O</w:t>
            </w:r>
            <w:r>
              <w:rPr>
                <w:rFonts w:hint="default" w:ascii="Times New Roman" w:hAnsi="Times New Roman" w:cs="Times New Roman"/>
                <w:color w:val="auto"/>
                <w:vertAlign w:val="subscript"/>
              </w:rPr>
              <w:t>3</w:t>
            </w:r>
            <w:r>
              <w:rPr>
                <w:rFonts w:hint="default" w:ascii="Times New Roman" w:hAnsi="Times New Roman" w:cs="Times New Roman"/>
                <w:color w:val="auto"/>
              </w:rPr>
              <w:t>90%百分位数8h平均质量浓度均超过《环境空气质量标准》（GB3095</w:t>
            </w:r>
            <w:r>
              <w:rPr>
                <w:rFonts w:hint="default" w:ascii="Times New Roman" w:hAnsi="Times New Roman" w:cs="Times New Roman"/>
                <w:color w:val="auto"/>
              </w:rPr>
              <w:softHyphen/>
            </w:r>
            <w:r>
              <w:rPr>
                <w:rFonts w:hint="default" w:ascii="Times New Roman" w:hAnsi="Times New Roman" w:cs="Times New Roman"/>
                <w:color w:val="auto"/>
              </w:rPr>
              <w:t>2012）二级标准要求。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因此，本项目所在区域属于不达标区域。</w:t>
            </w:r>
          </w:p>
          <w:p>
            <w:pPr>
              <w:keepNext w:val="0"/>
              <w:keepLines w:val="0"/>
              <w:pageBreakBefore w:val="0"/>
              <w:widowControl w:val="0"/>
              <w:kinsoku/>
              <w:overflowPunct/>
              <w:topLinePunct w:val="0"/>
              <w:autoSpaceDE/>
              <w:autoSpaceDN/>
              <w:bidi w:val="0"/>
              <w:adjustRightInd/>
              <w:snapToGrid/>
              <w:ind w:firstLine="482"/>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val="0"/>
                <w:bCs w:val="0"/>
                <w:color w:val="auto"/>
                <w:highlight w:val="none"/>
                <w:lang w:eastAsia="zh-CN"/>
              </w:rPr>
              <w:t>②</w:t>
            </w:r>
            <w:r>
              <w:rPr>
                <w:rFonts w:hint="default" w:ascii="Times New Roman" w:hAnsi="Times New Roman" w:cs="Times New Roman"/>
                <w:color w:val="auto"/>
                <w:highlight w:val="none"/>
                <w:lang w:eastAsia="zh-CN"/>
              </w:rPr>
              <w:t>其他污染物环境</w:t>
            </w:r>
            <w:r>
              <w:rPr>
                <w:rFonts w:hint="default" w:ascii="Times New Roman" w:hAnsi="Times New Roman" w:cs="Times New Roman"/>
                <w:color w:val="auto"/>
                <w:lang w:eastAsia="zh-CN"/>
              </w:rPr>
              <w:t>质量现状监测数据分析情况</w:t>
            </w:r>
          </w:p>
          <w:p>
            <w:pPr>
              <w:keepNext w:val="0"/>
              <w:keepLines w:val="0"/>
              <w:pageBreakBefore w:val="0"/>
              <w:widowControl w:val="0"/>
              <w:kinsoku/>
              <w:overflowPunct/>
              <w:topLinePunct w:val="0"/>
              <w:bidi w:val="0"/>
              <w:adjustRightInd/>
              <w:snapToGrid/>
              <w:spacing w:line="360" w:lineRule="auto"/>
              <w:ind w:leftChars="0"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cs="Times New Roman"/>
                <w:b w:val="0"/>
                <w:bCs w:val="0"/>
                <w:color w:val="auto"/>
                <w:lang w:eastAsia="zh-CN"/>
              </w:rPr>
              <w:t>为了解项目其他污染物环境质量现状，本次监测委托陕西沁润环保科技有限公司于</w:t>
            </w:r>
            <w:r>
              <w:rPr>
                <w:rFonts w:hint="default" w:ascii="Times New Roman" w:hAnsi="Times New Roman" w:cs="Times New Roman"/>
                <w:b w:val="0"/>
                <w:bCs w:val="0"/>
                <w:color w:val="auto"/>
                <w:lang w:val="en-US" w:eastAsia="zh-CN"/>
              </w:rPr>
              <w:t>2019年7月4日至2019年7月10日对项目地进行监测。</w:t>
            </w:r>
            <w:r>
              <w:rPr>
                <w:rFonts w:hint="default" w:ascii="Times New Roman" w:hAnsi="Times New Roman" w:cs="Times New Roman"/>
                <w:color w:val="auto"/>
                <w:lang w:eastAsia="zh-CN"/>
              </w:rPr>
              <w:t>由监测结果可知，区域非甲烷总烃浓度值可满足</w:t>
            </w:r>
            <w:r>
              <w:rPr>
                <w:rFonts w:hint="default" w:ascii="Times New Roman" w:hAnsi="Times New Roman" w:cs="Times New Roman"/>
                <w:color w:val="auto"/>
              </w:rPr>
              <w:t>《大气污染物综合排放标准详解》中的相关标准</w:t>
            </w:r>
            <w:r>
              <w:rPr>
                <w:rFonts w:hint="default" w:ascii="Times New Roman" w:hAnsi="Times New Roman" w:cs="Times New Roman"/>
                <w:color w:val="auto"/>
                <w:lang w:eastAsia="zh-CN"/>
              </w:rPr>
              <w:t>。</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（2）声环境现状</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由监测结果可知，项目</w:t>
            </w:r>
            <w:r>
              <w:rPr>
                <w:rFonts w:hint="default" w:ascii="Times New Roman" w:hAnsi="Times New Roman" w:cs="Times New Roman"/>
                <w:color w:val="auto"/>
                <w:lang w:eastAsia="zh-CN"/>
              </w:rPr>
              <w:t>东、南、西、北</w:t>
            </w:r>
            <w:r>
              <w:rPr>
                <w:rFonts w:hint="default" w:ascii="Times New Roman" w:hAnsi="Times New Roman" w:cs="Times New Roman"/>
                <w:color w:val="auto"/>
              </w:rPr>
              <w:t>厂界</w:t>
            </w:r>
            <w:r>
              <w:rPr>
                <w:rFonts w:hint="default" w:ascii="Times New Roman" w:hAnsi="Times New Roman" w:cs="Times New Roman"/>
                <w:color w:val="auto"/>
                <w:lang w:eastAsia="zh-CN"/>
              </w:rPr>
              <w:t>的</w:t>
            </w:r>
            <w:r>
              <w:rPr>
                <w:rFonts w:hint="default" w:ascii="Times New Roman" w:hAnsi="Times New Roman" w:cs="Times New Roman"/>
                <w:color w:val="auto"/>
              </w:rPr>
              <w:t>昼、夜间噪声监测值均满足《声环境质量标准》（GB3096-2008）中</w:t>
            </w:r>
            <w:r>
              <w:rPr>
                <w:rFonts w:hint="default" w:ascii="Times New Roman" w:hAnsi="Times New Roman" w:cs="Times New Roman"/>
                <w:color w:val="auto"/>
                <w:lang w:val="en-US" w:eastAsia="zh-CN"/>
              </w:rPr>
              <w:t>2</w:t>
            </w:r>
            <w:r>
              <w:rPr>
                <w:rFonts w:hint="default" w:ascii="Times New Roman" w:hAnsi="Times New Roman" w:cs="Times New Roman"/>
                <w:color w:val="auto"/>
              </w:rPr>
              <w:t>类标准</w:t>
            </w:r>
            <w:r>
              <w:rPr>
                <w:rFonts w:hint="default" w:ascii="Times New Roman" w:hAnsi="Times New Roman" w:cs="Times New Roman"/>
                <w:color w:val="auto"/>
                <w:lang w:eastAsia="zh-CN"/>
              </w:rPr>
              <w:t>，</w:t>
            </w:r>
            <w:r>
              <w:rPr>
                <w:rFonts w:hint="default" w:ascii="Times New Roman" w:hAnsi="Times New Roman" w:cs="Times New Roman"/>
                <w:color w:val="auto"/>
              </w:rPr>
              <w:t>说明项目区声环境质量较好。</w:t>
            </w:r>
          </w:p>
          <w:p>
            <w:pPr>
              <w:tabs>
                <w:tab w:val="left" w:pos="2220"/>
              </w:tabs>
              <w:ind w:firstLine="482"/>
              <w:rPr>
                <w:rFonts w:hint="default" w:ascii="Times New Roman" w:hAnsi="Times New Roman" w:cs="Times New Roman"/>
                <w:b/>
                <w:color w:val="auto"/>
              </w:rPr>
            </w:pPr>
            <w:r>
              <w:rPr>
                <w:rFonts w:hint="default" w:ascii="Times New Roman" w:hAnsi="Times New Roman" w:cs="Times New Roman"/>
                <w:b/>
                <w:color w:val="auto"/>
                <w:lang w:val="en-US" w:eastAsia="zh-CN"/>
              </w:rPr>
              <w:t>4</w:t>
            </w:r>
            <w:r>
              <w:rPr>
                <w:rFonts w:hint="default" w:ascii="Times New Roman" w:hAnsi="Times New Roman" w:cs="Times New Roman"/>
                <w:b/>
                <w:color w:val="auto"/>
              </w:rPr>
              <w:t>、主要环境影响</w:t>
            </w:r>
          </w:p>
          <w:p>
            <w:pPr>
              <w:rPr>
                <w:rFonts w:hint="default" w:ascii="Times New Roman" w:hAnsi="Times New Roman" w:cs="Times New Roman"/>
                <w:color w:val="auto"/>
                <w:lang w:eastAsia="zh-CN"/>
              </w:rPr>
            </w:pPr>
            <w:r>
              <w:rPr>
                <w:rFonts w:hint="default" w:ascii="Times New Roman" w:hAnsi="Times New Roman" w:cs="Times New Roman"/>
                <w:color w:val="auto"/>
              </w:rPr>
              <w:t>（1）</w:t>
            </w:r>
            <w:r>
              <w:rPr>
                <w:rFonts w:hint="default" w:ascii="Times New Roman" w:hAnsi="Times New Roman" w:cs="Times New Roman"/>
                <w:color w:val="auto"/>
                <w:lang w:eastAsia="zh-CN"/>
              </w:rPr>
              <w:t>施工期环境影响分析</w:t>
            </w:r>
          </w:p>
          <w:p>
            <w:pPr>
              <w:spacing w:line="500" w:lineRule="exact"/>
              <w:ind w:firstLine="480" w:firstLineChars="200"/>
              <w:rPr>
                <w:rFonts w:hint="default" w:ascii="Times New Roman" w:hAnsi="Times New Roman" w:cs="Times New Roman"/>
                <w:bCs/>
                <w:color w:val="auto"/>
                <w:sz w:val="24"/>
                <w:szCs w:val="24"/>
                <w:lang w:eastAsia="zh-CN"/>
              </w:rPr>
            </w:pPr>
            <w:r>
              <w:rPr>
                <w:rFonts w:hint="default" w:ascii="Times New Roman" w:hAnsi="Times New Roman" w:cs="Times New Roman"/>
                <w:color w:val="auto"/>
                <w:lang w:eastAsia="zh-CN"/>
              </w:rPr>
              <w:t>根据现场踏勘可知，</w:t>
            </w:r>
            <w:r>
              <w:rPr>
                <w:rFonts w:hint="default" w:ascii="Times New Roman" w:hAnsi="Times New Roman" w:cs="Times New Roman"/>
                <w:color w:val="auto"/>
              </w:rPr>
              <w:t>本项目</w:t>
            </w:r>
            <w:r>
              <w:rPr>
                <w:rFonts w:hint="default" w:ascii="Times New Roman" w:hAnsi="Times New Roman" w:cs="Times New Roman"/>
                <w:color w:val="auto"/>
                <w:lang w:eastAsia="zh-CN"/>
              </w:rPr>
              <w:t>厂房</w:t>
            </w:r>
            <w:r>
              <w:rPr>
                <w:rFonts w:hint="default" w:ascii="Times New Roman" w:hAnsi="Times New Roman" w:cs="Times New Roman"/>
                <w:color w:val="auto"/>
              </w:rPr>
              <w:t>已建成，</w:t>
            </w:r>
            <w:r>
              <w:rPr>
                <w:rFonts w:hint="default" w:ascii="Times New Roman" w:hAnsi="Times New Roman" w:cs="Times New Roman"/>
                <w:bCs/>
                <w:color w:val="auto"/>
                <w:sz w:val="24"/>
                <w:szCs w:val="24"/>
                <w:lang w:eastAsia="zh-CN"/>
              </w:rPr>
              <w:t>施工期已结束，无周围居民投诉情况，本次不再对施工期进行评价。</w:t>
            </w:r>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）运营期环境影响分析</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废气</w:t>
            </w:r>
          </w:p>
          <w:p>
            <w:pPr>
              <w:pStyle w:val="97"/>
              <w:keepNext w:val="0"/>
              <w:keepLines w:val="0"/>
              <w:pageBreakBefore w:val="0"/>
              <w:widowControl w:val="0"/>
              <w:numPr>
                <w:ilvl w:val="0"/>
                <w:numId w:val="8"/>
              </w:numPr>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有组织废气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lang w:eastAsia="zh-CN"/>
              </w:rPr>
            </w:pPr>
            <w:r>
              <w:rPr>
                <w:rFonts w:hint="default" w:ascii="Times New Roman" w:hAnsi="Times New Roman" w:cs="Times New Roman"/>
                <w:bCs/>
                <w:color w:val="auto"/>
                <w:sz w:val="24"/>
                <w:szCs w:val="24"/>
              </w:rPr>
              <w:t>由预测结果可知</w:t>
            </w:r>
            <w:r>
              <w:rPr>
                <w:rFonts w:hint="default" w:ascii="Times New Roman" w:hAnsi="Times New Roman" w:cs="Times New Roman"/>
                <w:bCs/>
                <w:color w:val="auto"/>
                <w:sz w:val="24"/>
                <w:szCs w:val="24"/>
                <w:lang w:eastAsia="zh-CN"/>
              </w:rPr>
              <w:t>，印刷阶段产生的</w:t>
            </w:r>
            <w:r>
              <w:rPr>
                <w:rFonts w:hint="default" w:ascii="Times New Roman" w:hAnsi="Times New Roman" w:cs="Times New Roman"/>
                <w:bCs/>
                <w:color w:val="auto"/>
                <w:sz w:val="24"/>
                <w:szCs w:val="24"/>
              </w:rPr>
              <w:t>有组织</w:t>
            </w:r>
            <w:r>
              <w:rPr>
                <w:rFonts w:hint="default" w:ascii="Times New Roman" w:hAnsi="Times New Roman" w:eastAsia="宋体" w:cs="Times New Roman"/>
                <w:b w:val="0"/>
                <w:bCs/>
                <w:color w:val="auto"/>
                <w:sz w:val="24"/>
                <w:szCs w:val="24"/>
                <w:lang w:val="en-US" w:eastAsia="zh-CN"/>
              </w:rPr>
              <w:t>非甲烷总烃</w:t>
            </w:r>
            <w:r>
              <w:rPr>
                <w:rFonts w:hint="default" w:ascii="Times New Roman" w:hAnsi="Times New Roman" w:cs="Times New Roman"/>
                <w:bCs/>
                <w:color w:val="auto"/>
                <w:sz w:val="24"/>
                <w:szCs w:val="24"/>
              </w:rPr>
              <w:t>最大落地浓度为</w:t>
            </w:r>
            <w:r>
              <w:rPr>
                <w:rFonts w:hint="default" w:ascii="Times New Roman" w:hAnsi="Times New Roman" w:cs="Times New Roman"/>
                <w:bCs/>
                <w:color w:val="auto"/>
                <w:sz w:val="24"/>
                <w:szCs w:val="24"/>
                <w:lang w:val="en-US" w:eastAsia="zh-CN"/>
              </w:rPr>
              <w:t>3.015</w:t>
            </w:r>
            <w:r>
              <w:rPr>
                <w:rFonts w:hint="default" w:ascii="Times New Roman" w:hAnsi="Times New Roman" w:cs="Times New Roman"/>
                <w:bCs/>
                <w:color w:val="auto"/>
                <w:kern w:val="0"/>
                <w:sz w:val="21"/>
                <w:szCs w:val="21"/>
                <w:lang w:bidi="ar"/>
              </w:rPr>
              <w:t>µg</w:t>
            </w:r>
            <w:r>
              <w:rPr>
                <w:rFonts w:hint="default" w:ascii="Times New Roman" w:hAnsi="Times New Roman" w:cs="Times New Roman"/>
                <w:bCs/>
                <w:color w:val="auto"/>
                <w:kern w:val="0"/>
                <w:sz w:val="24"/>
                <w:szCs w:val="24"/>
                <w:lang w:bidi="ar"/>
              </w:rPr>
              <w:t>/m</w:t>
            </w:r>
            <w:r>
              <w:rPr>
                <w:rFonts w:hint="default" w:ascii="Times New Roman" w:hAnsi="Times New Roman" w:cs="Times New Roman"/>
                <w:bCs/>
                <w:color w:val="auto"/>
                <w:kern w:val="0"/>
                <w:sz w:val="24"/>
                <w:szCs w:val="24"/>
                <w:vertAlign w:val="superscript"/>
                <w:lang w:bidi="ar"/>
              </w:rPr>
              <w:t>3</w:t>
            </w:r>
            <w:r>
              <w:rPr>
                <w:rFonts w:hint="default" w:ascii="Times New Roman" w:hAnsi="Times New Roman" w:cs="Times New Roman"/>
                <w:bCs/>
                <w:color w:val="auto"/>
                <w:sz w:val="24"/>
                <w:szCs w:val="24"/>
              </w:rPr>
              <w:t xml:space="preserve"> ，最大落地浓度位于下风向</w:t>
            </w:r>
            <w:r>
              <w:rPr>
                <w:rFonts w:hint="default" w:ascii="Times New Roman" w:hAnsi="Times New Roman" w:cs="Times New Roman"/>
                <w:bCs/>
                <w:color w:val="auto"/>
                <w:sz w:val="24"/>
                <w:szCs w:val="24"/>
                <w:lang w:val="en-US" w:eastAsia="zh-CN"/>
              </w:rPr>
              <w:t>323</w:t>
            </w:r>
            <w:r>
              <w:rPr>
                <w:rFonts w:hint="default" w:ascii="Times New Roman" w:hAnsi="Times New Roman" w:cs="Times New Roman"/>
                <w:bCs/>
                <w:color w:val="auto"/>
                <w:sz w:val="24"/>
                <w:szCs w:val="24"/>
              </w:rPr>
              <w:t>m，占标率为</w:t>
            </w:r>
            <w:r>
              <w:rPr>
                <w:rFonts w:hint="default" w:ascii="Times New Roman" w:hAnsi="Times New Roman" w:cs="Times New Roman"/>
                <w:bCs/>
                <w:color w:val="auto"/>
                <w:sz w:val="24"/>
                <w:szCs w:val="24"/>
                <w:lang w:val="en-US" w:eastAsia="zh-CN"/>
              </w:rPr>
              <w:t>0.15</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eastAsia="zh-CN"/>
              </w:rPr>
              <w:t>手工粘合</w:t>
            </w:r>
            <w:r>
              <w:rPr>
                <w:rFonts w:hint="default" w:ascii="Times New Roman" w:hAnsi="Times New Roman" w:cs="Times New Roman"/>
                <w:bCs/>
                <w:color w:val="auto"/>
                <w:sz w:val="24"/>
                <w:szCs w:val="24"/>
                <w:lang w:eastAsia="zh-CN"/>
              </w:rPr>
              <w:t>阶段产生的</w:t>
            </w:r>
            <w:r>
              <w:rPr>
                <w:rFonts w:hint="default" w:ascii="Times New Roman" w:hAnsi="Times New Roman" w:cs="Times New Roman"/>
                <w:bCs/>
                <w:color w:val="auto"/>
                <w:sz w:val="24"/>
                <w:szCs w:val="24"/>
              </w:rPr>
              <w:t>有组织</w:t>
            </w:r>
            <w:r>
              <w:rPr>
                <w:rFonts w:hint="default" w:ascii="Times New Roman" w:hAnsi="Times New Roman" w:eastAsia="宋体" w:cs="Times New Roman"/>
                <w:b w:val="0"/>
                <w:bCs/>
                <w:color w:val="auto"/>
                <w:sz w:val="24"/>
                <w:szCs w:val="24"/>
                <w:lang w:val="en-US" w:eastAsia="zh-CN"/>
              </w:rPr>
              <w:t>非甲烷总烃</w:t>
            </w:r>
            <w:r>
              <w:rPr>
                <w:rFonts w:hint="default" w:ascii="Times New Roman" w:hAnsi="Times New Roman" w:cs="Times New Roman"/>
                <w:bCs/>
                <w:color w:val="auto"/>
                <w:sz w:val="24"/>
                <w:szCs w:val="24"/>
              </w:rPr>
              <w:t>最大落地浓度为</w:t>
            </w:r>
            <w:r>
              <w:rPr>
                <w:rFonts w:hint="default" w:ascii="Times New Roman" w:hAnsi="Times New Roman" w:cs="Times New Roman"/>
                <w:bCs/>
                <w:color w:val="auto"/>
                <w:sz w:val="24"/>
                <w:szCs w:val="24"/>
                <w:lang w:val="en-US" w:eastAsia="zh-CN"/>
              </w:rPr>
              <w:t>0.335</w:t>
            </w:r>
            <w:r>
              <w:rPr>
                <w:rFonts w:hint="default" w:ascii="Times New Roman" w:hAnsi="Times New Roman" w:cs="Times New Roman"/>
                <w:bCs/>
                <w:color w:val="auto"/>
                <w:kern w:val="0"/>
                <w:sz w:val="21"/>
                <w:szCs w:val="21"/>
                <w:lang w:bidi="ar"/>
              </w:rPr>
              <w:t>µg</w:t>
            </w:r>
            <w:r>
              <w:rPr>
                <w:rFonts w:hint="default" w:ascii="Times New Roman" w:hAnsi="Times New Roman" w:cs="Times New Roman"/>
                <w:bCs/>
                <w:color w:val="auto"/>
                <w:kern w:val="0"/>
                <w:sz w:val="24"/>
                <w:szCs w:val="24"/>
                <w:lang w:bidi="ar"/>
              </w:rPr>
              <w:t>/m</w:t>
            </w:r>
            <w:r>
              <w:rPr>
                <w:rFonts w:hint="default" w:ascii="Times New Roman" w:hAnsi="Times New Roman" w:cs="Times New Roman"/>
                <w:bCs/>
                <w:color w:val="auto"/>
                <w:kern w:val="0"/>
                <w:sz w:val="24"/>
                <w:szCs w:val="24"/>
                <w:vertAlign w:val="superscript"/>
                <w:lang w:bidi="ar"/>
              </w:rPr>
              <w:t>3</w:t>
            </w:r>
            <w:r>
              <w:rPr>
                <w:rFonts w:hint="default" w:ascii="Times New Roman" w:hAnsi="Times New Roman" w:cs="Times New Roman"/>
                <w:bCs/>
                <w:color w:val="auto"/>
                <w:sz w:val="24"/>
                <w:szCs w:val="24"/>
              </w:rPr>
              <w:t xml:space="preserve"> ，最大落地浓度位于下风向</w:t>
            </w:r>
            <w:r>
              <w:rPr>
                <w:rFonts w:hint="default" w:ascii="Times New Roman" w:hAnsi="Times New Roman" w:cs="Times New Roman"/>
                <w:bCs/>
                <w:color w:val="auto"/>
                <w:sz w:val="24"/>
                <w:szCs w:val="24"/>
                <w:lang w:val="en-US" w:eastAsia="zh-CN"/>
              </w:rPr>
              <w:t>323</w:t>
            </w:r>
            <w:r>
              <w:rPr>
                <w:rFonts w:hint="default" w:ascii="Times New Roman" w:hAnsi="Times New Roman" w:cs="Times New Roman"/>
                <w:bCs/>
                <w:color w:val="auto"/>
                <w:sz w:val="24"/>
                <w:szCs w:val="24"/>
              </w:rPr>
              <w:t>m，占标率为</w:t>
            </w:r>
            <w:r>
              <w:rPr>
                <w:rFonts w:hint="default" w:ascii="Times New Roman" w:hAnsi="Times New Roman" w:cs="Times New Roman"/>
                <w:bCs/>
                <w:color w:val="auto"/>
                <w:sz w:val="24"/>
                <w:szCs w:val="24"/>
                <w:lang w:val="en-US" w:eastAsia="zh-CN"/>
              </w:rPr>
              <w:t>0.02</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lang w:eastAsia="zh-CN"/>
              </w:rPr>
              <w:t>根据</w:t>
            </w:r>
            <w:r>
              <w:rPr>
                <w:rFonts w:hint="default" w:ascii="Times New Roman" w:hAnsi="Times New Roman" w:cs="Times New Roman"/>
                <w:color w:val="auto"/>
                <w:kern w:val="0"/>
                <w:sz w:val="24"/>
                <w:szCs w:val="24"/>
              </w:rPr>
              <w:t>《环境影响评价技术导则大气环境》（HJ2.2-2018）</w:t>
            </w:r>
            <w:r>
              <w:rPr>
                <w:rFonts w:hint="default" w:ascii="Times New Roman" w:hAnsi="Times New Roman" w:cs="Times New Roman"/>
                <w:color w:val="auto"/>
                <w:kern w:val="0"/>
                <w:sz w:val="24"/>
                <w:szCs w:val="24"/>
                <w:lang w:eastAsia="zh-CN"/>
              </w:rPr>
              <w:t>可知，项目</w:t>
            </w:r>
            <w:r>
              <w:rPr>
                <w:rFonts w:hint="default" w:ascii="Times New Roman" w:hAnsi="Times New Roman" w:cs="Times New Roman"/>
                <w:bCs/>
                <w:color w:val="auto"/>
                <w:sz w:val="24"/>
                <w:szCs w:val="24"/>
                <w:lang w:eastAsia="zh-CN"/>
              </w:rPr>
              <w:t>大气评价等级为三级。</w:t>
            </w:r>
            <w:r>
              <w:rPr>
                <w:rFonts w:hint="default" w:ascii="Times New Roman" w:hAnsi="Times New Roman" w:cs="Times New Roman"/>
                <w:bCs/>
                <w:color w:val="auto"/>
                <w:sz w:val="24"/>
                <w:szCs w:val="24"/>
              </w:rPr>
              <w:t>项目运营期废气经治理</w:t>
            </w:r>
            <w:r>
              <w:rPr>
                <w:rFonts w:hint="default" w:ascii="Times New Roman" w:hAnsi="Times New Roman" w:cs="Times New Roman"/>
                <w:bCs/>
                <w:color w:val="auto"/>
                <w:sz w:val="24"/>
                <w:szCs w:val="24"/>
                <w:lang w:eastAsia="zh-CN"/>
              </w:rPr>
              <w:t>后，</w:t>
            </w:r>
            <w:r>
              <w:rPr>
                <w:rFonts w:hint="default" w:ascii="Times New Roman" w:hAnsi="Times New Roman" w:cs="Times New Roman"/>
                <w:color w:val="auto"/>
                <w:sz w:val="24"/>
                <w:szCs w:val="24"/>
                <w:lang w:eastAsia="zh-CN"/>
              </w:rPr>
              <w:t>非甲烷总烃最大落地浓度</w:t>
            </w:r>
            <w:r>
              <w:rPr>
                <w:rFonts w:hint="default" w:ascii="Times New Roman" w:hAnsi="Times New Roman" w:cs="Times New Roman"/>
                <w:bCs/>
                <w:color w:val="auto"/>
                <w:sz w:val="24"/>
                <w:szCs w:val="24"/>
                <w:lang w:eastAsia="zh-CN"/>
              </w:rPr>
              <w:t>能够满足</w:t>
            </w:r>
            <w:r>
              <w:rPr>
                <w:rFonts w:hint="default" w:ascii="Times New Roman" w:hAnsi="Times New Roman" w:cs="Times New Roman"/>
                <w:color w:val="auto"/>
              </w:rPr>
              <w:t>《</w:t>
            </w:r>
            <w:r>
              <w:rPr>
                <w:rFonts w:hint="default" w:ascii="Times New Roman" w:hAnsi="Times New Roman" w:cs="Times New Roman"/>
                <w:color w:val="auto"/>
                <w:lang w:eastAsia="zh-CN"/>
              </w:rPr>
              <w:t>挥发性有机物排放控制标准</w:t>
            </w:r>
            <w:r>
              <w:rPr>
                <w:rFonts w:hint="default" w:ascii="Times New Roman" w:hAnsi="Times New Roman" w:cs="Times New Roman"/>
                <w:color w:val="auto"/>
              </w:rPr>
              <w:t>》（</w:t>
            </w:r>
            <w:r>
              <w:rPr>
                <w:rFonts w:hint="default" w:ascii="Times New Roman" w:hAnsi="Times New Roman" w:cs="Times New Roman"/>
                <w:color w:val="auto"/>
                <w:lang w:val="en-US" w:eastAsia="zh-CN"/>
              </w:rPr>
              <w:t>DB61/T1061-2017</w:t>
            </w:r>
            <w:r>
              <w:rPr>
                <w:rFonts w:hint="default" w:ascii="Times New Roman" w:hAnsi="Times New Roman" w:cs="Times New Roman"/>
                <w:color w:val="auto"/>
              </w:rPr>
              <w:t>）</w:t>
            </w: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1</w:t>
            </w:r>
            <w:r>
              <w:rPr>
                <w:rFonts w:hint="default" w:ascii="Times New Roman" w:hAnsi="Times New Roman" w:cs="Times New Roman"/>
                <w:color w:val="auto"/>
              </w:rPr>
              <w:t>中</w:t>
            </w:r>
            <w:r>
              <w:rPr>
                <w:rFonts w:hint="default" w:ascii="Times New Roman" w:hAnsi="Times New Roman" w:cs="Times New Roman"/>
                <w:color w:val="auto"/>
                <w:lang w:eastAsia="zh-CN"/>
              </w:rPr>
              <w:t>的印刷行业的有组织排放浓度限值</w:t>
            </w:r>
            <w:r>
              <w:rPr>
                <w:rFonts w:hint="default" w:ascii="Times New Roman" w:hAnsi="Times New Roman" w:cs="Times New Roman"/>
                <w:bCs/>
                <w:color w:val="auto"/>
                <w:sz w:val="24"/>
                <w:szCs w:val="24"/>
              </w:rPr>
              <w:t>，对周围环境影响较小。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bCs/>
                <w:color w:val="auto"/>
                <w:sz w:val="24"/>
                <w:szCs w:val="24"/>
                <w:lang w:val="en-US" w:eastAsia="zh-CN"/>
              </w:rPr>
              <w:t>b.无组织废气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rPr>
              <w:t>由</w:t>
            </w:r>
            <w:r>
              <w:rPr>
                <w:rFonts w:hint="default" w:ascii="Times New Roman" w:hAnsi="Times New Roman" w:cs="Times New Roman"/>
                <w:bCs/>
                <w:color w:val="auto"/>
                <w:sz w:val="24"/>
                <w:szCs w:val="24"/>
                <w:highlight w:val="none"/>
                <w:lang w:eastAsia="zh-CN"/>
              </w:rPr>
              <w:t>估算</w:t>
            </w:r>
            <w:r>
              <w:rPr>
                <w:rFonts w:hint="default" w:ascii="Times New Roman" w:hAnsi="Times New Roman" w:cs="Times New Roman"/>
                <w:bCs/>
                <w:color w:val="auto"/>
                <w:sz w:val="24"/>
                <w:szCs w:val="24"/>
                <w:highlight w:val="none"/>
              </w:rPr>
              <w:t>结果可知，本项目</w:t>
            </w:r>
            <w:r>
              <w:rPr>
                <w:rFonts w:hint="default" w:ascii="Times New Roman" w:hAnsi="Times New Roman" w:cs="Times New Roman"/>
                <w:bCs/>
                <w:color w:val="auto"/>
                <w:sz w:val="24"/>
                <w:szCs w:val="24"/>
                <w:highlight w:val="none"/>
                <w:lang w:eastAsia="zh-CN"/>
              </w:rPr>
              <w:t>印刷工艺的无组织</w:t>
            </w:r>
            <w:r>
              <w:rPr>
                <w:rFonts w:hint="default" w:ascii="Times New Roman" w:hAnsi="Times New Roman" w:cs="Times New Roman"/>
                <w:color w:val="auto"/>
                <w:sz w:val="24"/>
                <w:szCs w:val="24"/>
                <w:highlight w:val="none"/>
                <w:lang w:eastAsia="zh-CN"/>
              </w:rPr>
              <w:t>非甲烷总烃</w:t>
            </w:r>
            <w:r>
              <w:rPr>
                <w:rFonts w:hint="default" w:ascii="Times New Roman" w:hAnsi="Times New Roman" w:cs="Times New Roman"/>
                <w:bCs/>
                <w:color w:val="auto"/>
                <w:sz w:val="24"/>
                <w:szCs w:val="24"/>
                <w:highlight w:val="none"/>
              </w:rPr>
              <w:t>最大占标率为</w:t>
            </w:r>
            <w:r>
              <w:rPr>
                <w:rFonts w:hint="default" w:ascii="Times New Roman" w:hAnsi="Times New Roman" w:cs="Times New Roman"/>
                <w:bCs/>
                <w:color w:val="auto"/>
                <w:sz w:val="24"/>
                <w:szCs w:val="24"/>
                <w:highlight w:val="none"/>
                <w:lang w:val="en-US" w:eastAsia="zh-CN"/>
              </w:rPr>
              <w:t>3.89</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eastAsia="zh-CN"/>
              </w:rPr>
              <w:t>最大落地浓度为</w:t>
            </w:r>
            <w:r>
              <w:rPr>
                <w:rFonts w:hint="default" w:ascii="Times New Roman" w:hAnsi="Times New Roman" w:cs="Times New Roman"/>
                <w:bCs/>
                <w:color w:val="auto"/>
                <w:sz w:val="24"/>
                <w:szCs w:val="24"/>
                <w:highlight w:val="none"/>
                <w:lang w:val="en-US" w:eastAsia="zh-CN"/>
              </w:rPr>
              <w:t>77.75</w:t>
            </w:r>
            <w:r>
              <w:rPr>
                <w:rFonts w:hint="default" w:ascii="Times New Roman" w:hAnsi="Times New Roman" w:cs="Times New Roman"/>
                <w:bCs/>
                <w:color w:val="auto"/>
                <w:kern w:val="0"/>
                <w:szCs w:val="21"/>
                <w:highlight w:val="none"/>
                <w:lang w:bidi="ar"/>
              </w:rPr>
              <w:t>µg</w:t>
            </w:r>
            <w:r>
              <w:rPr>
                <w:rFonts w:hint="default" w:ascii="Times New Roman" w:hAnsi="Times New Roman" w:cs="Times New Roman"/>
                <w:bCs/>
                <w:color w:val="auto"/>
                <w:sz w:val="24"/>
                <w:szCs w:val="24"/>
                <w:highlight w:val="none"/>
              </w:rPr>
              <w:t>/m</w:t>
            </w:r>
            <w:r>
              <w:rPr>
                <w:rFonts w:hint="default" w:ascii="Times New Roman" w:hAnsi="Times New Roman" w:cs="Times New Roman"/>
                <w:bCs/>
                <w:color w:val="auto"/>
                <w:sz w:val="24"/>
                <w:szCs w:val="24"/>
                <w:highlight w:val="none"/>
                <w:vertAlign w:val="superscript"/>
              </w:rPr>
              <w:t>3</w:t>
            </w:r>
            <w:r>
              <w:rPr>
                <w:rFonts w:hint="default" w:ascii="Times New Roman" w:hAnsi="Times New Roman" w:cs="Times New Roman"/>
                <w:bCs/>
                <w:color w:val="auto"/>
                <w:sz w:val="24"/>
                <w:szCs w:val="24"/>
                <w:highlight w:val="none"/>
                <w:lang w:eastAsia="zh-CN"/>
              </w:rPr>
              <w:t>；</w:t>
            </w:r>
            <w:r>
              <w:rPr>
                <w:rFonts w:hint="eastAsia" w:ascii="Times New Roman" w:hAnsi="Times New Roman" w:cs="Times New Roman"/>
                <w:bCs/>
                <w:color w:val="auto"/>
                <w:sz w:val="24"/>
                <w:szCs w:val="24"/>
                <w:highlight w:val="none"/>
                <w:lang w:eastAsia="zh-CN"/>
              </w:rPr>
              <w:t>手工粘合</w:t>
            </w:r>
            <w:r>
              <w:rPr>
                <w:rFonts w:hint="default" w:ascii="Times New Roman" w:hAnsi="Times New Roman" w:cs="Times New Roman"/>
                <w:bCs/>
                <w:color w:val="auto"/>
                <w:sz w:val="24"/>
                <w:szCs w:val="24"/>
                <w:highlight w:val="none"/>
                <w:lang w:eastAsia="zh-CN"/>
              </w:rPr>
              <w:t>阶段产生的无组织非甲烷总烃最大占标率为</w:t>
            </w:r>
            <w:r>
              <w:rPr>
                <w:rFonts w:hint="default" w:ascii="Times New Roman" w:hAnsi="Times New Roman" w:cs="Times New Roman"/>
                <w:bCs/>
                <w:color w:val="auto"/>
                <w:sz w:val="24"/>
                <w:szCs w:val="24"/>
                <w:highlight w:val="none"/>
                <w:lang w:val="en-US" w:eastAsia="zh-CN"/>
              </w:rPr>
              <w:t>3.68%，最大落地浓度为73.56</w:t>
            </w:r>
            <w:r>
              <w:rPr>
                <w:rFonts w:hint="default" w:ascii="Times New Roman" w:hAnsi="Times New Roman" w:cs="Times New Roman"/>
                <w:bCs/>
                <w:color w:val="auto"/>
                <w:kern w:val="0"/>
                <w:szCs w:val="21"/>
                <w:highlight w:val="none"/>
                <w:lang w:bidi="ar"/>
              </w:rPr>
              <w:t>µg</w:t>
            </w:r>
            <w:r>
              <w:rPr>
                <w:rFonts w:hint="default" w:ascii="Times New Roman" w:hAnsi="Times New Roman" w:cs="Times New Roman"/>
                <w:bCs/>
                <w:color w:val="auto"/>
                <w:sz w:val="24"/>
                <w:szCs w:val="24"/>
                <w:highlight w:val="none"/>
              </w:rPr>
              <w:t>/m</w:t>
            </w:r>
            <w:r>
              <w:rPr>
                <w:rFonts w:hint="default" w:ascii="Times New Roman" w:hAnsi="Times New Roman" w:cs="Times New Roman"/>
                <w:bCs/>
                <w:color w:val="auto"/>
                <w:sz w:val="24"/>
                <w:szCs w:val="24"/>
                <w:highlight w:val="none"/>
                <w:vertAlign w:val="superscript"/>
              </w:rPr>
              <w:t>3</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最大落地浓度</w:t>
            </w:r>
            <w:r>
              <w:rPr>
                <w:rFonts w:hint="default" w:ascii="Times New Roman" w:hAnsi="Times New Roman" w:cs="Times New Roman"/>
                <w:bCs/>
                <w:color w:val="auto"/>
                <w:sz w:val="24"/>
                <w:szCs w:val="24"/>
                <w:highlight w:val="none"/>
                <w:lang w:eastAsia="zh-CN"/>
              </w:rPr>
              <w:t>均</w:t>
            </w:r>
            <w:r>
              <w:rPr>
                <w:rFonts w:hint="default" w:ascii="Times New Roman" w:hAnsi="Times New Roman" w:cs="Times New Roman"/>
                <w:bCs/>
                <w:color w:val="auto"/>
                <w:sz w:val="24"/>
                <w:szCs w:val="24"/>
                <w:highlight w:val="none"/>
              </w:rPr>
              <w:t>低于</w:t>
            </w:r>
            <w:r>
              <w:rPr>
                <w:rFonts w:hint="default" w:ascii="Times New Roman" w:hAnsi="Times New Roman" w:cs="Times New Roman"/>
                <w:color w:val="auto"/>
              </w:rPr>
              <w:t>《</w:t>
            </w:r>
            <w:r>
              <w:rPr>
                <w:rFonts w:hint="default" w:ascii="Times New Roman" w:hAnsi="Times New Roman" w:cs="Times New Roman"/>
                <w:color w:val="auto"/>
                <w:lang w:eastAsia="zh-CN"/>
              </w:rPr>
              <w:t>挥发性有机物排放控制标准</w:t>
            </w:r>
            <w:r>
              <w:rPr>
                <w:rFonts w:hint="default" w:ascii="Times New Roman" w:hAnsi="Times New Roman" w:cs="Times New Roman"/>
                <w:color w:val="auto"/>
              </w:rPr>
              <w:t>》（</w:t>
            </w:r>
            <w:r>
              <w:rPr>
                <w:rFonts w:hint="default" w:ascii="Times New Roman" w:hAnsi="Times New Roman" w:cs="Times New Roman"/>
                <w:color w:val="auto"/>
                <w:lang w:val="en-US" w:eastAsia="zh-CN"/>
              </w:rPr>
              <w:t>DB61/T1061-2017</w:t>
            </w:r>
            <w:r>
              <w:rPr>
                <w:rFonts w:hint="default" w:ascii="Times New Roman" w:hAnsi="Times New Roman" w:cs="Times New Roman"/>
                <w:color w:val="auto"/>
              </w:rPr>
              <w:t>）</w:t>
            </w:r>
            <w:r>
              <w:rPr>
                <w:rFonts w:hint="default" w:ascii="Times New Roman" w:hAnsi="Times New Roman" w:cs="Times New Roman"/>
                <w:color w:val="auto"/>
                <w:lang w:val="en-US" w:eastAsia="zh-CN"/>
              </w:rPr>
              <w:t>表3中的企业边界监控点浓度限值</w:t>
            </w:r>
            <w:r>
              <w:rPr>
                <w:rFonts w:hint="default" w:ascii="Times New Roman" w:hAnsi="Times New Roman" w:cs="Times New Roman"/>
                <w:bCs/>
                <w:color w:val="auto"/>
                <w:sz w:val="24"/>
                <w:szCs w:val="24"/>
                <w:highlight w:val="none"/>
                <w:lang w:val="en-US" w:eastAsia="zh-CN"/>
              </w:rPr>
              <w:t>，可以达标排放，对周围环境影响较小。</w:t>
            </w:r>
          </w:p>
          <w:p>
            <w:pPr>
              <w:numPr>
                <w:ilvl w:val="0"/>
                <w:numId w:val="0"/>
              </w:numPr>
              <w:tabs>
                <w:tab w:val="left" w:pos="2220"/>
              </w:tabs>
              <w:ind w:left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c.食堂油烟</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本项目油烟产生浓度与产生量分别为3.4mg/m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、15.3kg/a。本项目食堂安装油烟净化器（处理效率为75%，风机风量为2000m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/h），经处理后油烟排放浓度与排放量分别为0.85mg/m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 xml:space="preserve">、3.83kg/a，最终被处理后的油烟废气经专用烟道排放。项目油烟排放浓度小于2.0mg/m3，满足《饮食业油烟排放标准》（GB18483-2001）中相关排放标准，对周围环境影响较小。  </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综上所述，项目运营期产生的废气对环境影响较小。</w:t>
            </w:r>
          </w:p>
          <w:p>
            <w:pPr>
              <w:tabs>
                <w:tab w:val="left" w:pos="2220"/>
              </w:tabs>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废水</w:t>
            </w:r>
          </w:p>
          <w:p>
            <w:pPr>
              <w:pStyle w:val="8"/>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eastAsia="宋体" w:cs="Times New Roman"/>
                <w:b w:val="0"/>
                <w:bCs w:val="0"/>
                <w:color w:val="auto"/>
                <w:lang w:eastAsia="zh-CN"/>
              </w:rPr>
            </w:pPr>
            <w:r>
              <w:rPr>
                <w:rFonts w:hint="default" w:ascii="Times New Roman" w:hAnsi="Times New Roman" w:cs="Times New Roman"/>
                <w:color w:val="auto"/>
              </w:rPr>
              <w:t>本项目</w:t>
            </w:r>
            <w:r>
              <w:rPr>
                <w:rFonts w:hint="default" w:ascii="Times New Roman" w:hAnsi="Times New Roman" w:cs="Times New Roman"/>
                <w:color w:val="auto"/>
                <w:lang w:eastAsia="zh-CN"/>
              </w:rPr>
              <w:t>生产过程中无</w:t>
            </w:r>
            <w:r>
              <w:rPr>
                <w:rFonts w:hint="default" w:ascii="Times New Roman" w:hAnsi="Times New Roman" w:cs="Times New Roman"/>
                <w:color w:val="auto"/>
              </w:rPr>
              <w:t>废水</w:t>
            </w:r>
            <w:r>
              <w:rPr>
                <w:rFonts w:hint="default" w:ascii="Times New Roman" w:hAnsi="Times New Roman" w:cs="Times New Roman"/>
                <w:color w:val="auto"/>
                <w:lang w:eastAsia="zh-CN"/>
              </w:rPr>
              <w:t>产生，项目产生的废水</w:t>
            </w:r>
            <w:r>
              <w:rPr>
                <w:rFonts w:hint="default" w:ascii="Times New Roman" w:hAnsi="Times New Roman" w:cs="Times New Roman"/>
                <w:color w:val="auto"/>
              </w:rPr>
              <w:t>主要为职工生活污水</w:t>
            </w:r>
            <w:r>
              <w:rPr>
                <w:rFonts w:hint="default" w:ascii="Times New Roman" w:hAnsi="Times New Roman" w:cs="Times New Roman"/>
                <w:color w:val="auto"/>
                <w:lang w:eastAsia="zh-CN"/>
              </w:rPr>
              <w:t>和食堂的餐饮废水</w:t>
            </w:r>
            <w:r>
              <w:rPr>
                <w:rFonts w:hint="default" w:ascii="Times New Roman" w:hAnsi="Times New Roman" w:cs="Times New Roman"/>
                <w:color w:val="auto"/>
              </w:rPr>
              <w:t>，</w:t>
            </w:r>
            <w:r>
              <w:rPr>
                <w:rFonts w:hint="default" w:ascii="Times New Roman" w:hAnsi="Times New Roman" w:cs="Times New Roman"/>
                <w:color w:val="auto"/>
                <w:lang w:eastAsia="zh-CN"/>
              </w:rPr>
              <w:t>食堂废水经隔油池后与</w:t>
            </w:r>
            <w:r>
              <w:rPr>
                <w:rFonts w:hint="default" w:ascii="Times New Roman" w:hAnsi="Times New Roman" w:cs="Times New Roman"/>
                <w:color w:val="auto"/>
              </w:rPr>
              <w:t>生活污水</w:t>
            </w:r>
            <w:r>
              <w:rPr>
                <w:rFonts w:hint="default" w:ascii="Times New Roman" w:hAnsi="Times New Roman" w:cs="Times New Roman"/>
                <w:color w:val="auto"/>
                <w:lang w:eastAsia="zh-CN"/>
              </w:rPr>
              <w:t>一同排入</w:t>
            </w:r>
            <w:r>
              <w:rPr>
                <w:rFonts w:hint="default" w:ascii="Times New Roman" w:hAnsi="Times New Roman" w:cs="Times New Roman"/>
                <w:color w:val="auto"/>
              </w:rPr>
              <w:t>化粪池处理后，</w:t>
            </w:r>
            <w:r>
              <w:rPr>
                <w:rFonts w:hint="default" w:ascii="Times New Roman" w:hAnsi="Times New Roman" w:cs="Times New Roman"/>
                <w:color w:val="auto"/>
                <w:lang w:eastAsia="zh-CN"/>
              </w:rPr>
              <w:t>通过市政管道进入高桥污水处理厂。</w:t>
            </w:r>
          </w:p>
          <w:p>
            <w:pPr>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③</w:t>
            </w:r>
            <w:r>
              <w:rPr>
                <w:rFonts w:hint="default" w:ascii="Times New Roman" w:hAnsi="Times New Roman" w:cs="Times New Roman"/>
                <w:color w:val="auto"/>
                <w:highlight w:val="none"/>
              </w:rPr>
              <w:t>噪声</w:t>
            </w:r>
          </w:p>
          <w:p>
            <w:pPr>
              <w:pStyle w:val="104"/>
              <w:adjustRightInd/>
              <w:spacing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lang w:eastAsia="zh-CN"/>
              </w:rPr>
              <w:t>本项目夜间不生产，</w:t>
            </w:r>
            <w:r>
              <w:rPr>
                <w:rFonts w:hint="default" w:ascii="Times New Roman" w:hAnsi="Times New Roman" w:cs="Times New Roman"/>
                <w:color w:val="auto"/>
              </w:rPr>
              <w:t>由预测结果可知，在采取噪声控制措施后，</w:t>
            </w:r>
            <w:r>
              <w:rPr>
                <w:rFonts w:hint="default" w:ascii="Times New Roman" w:hAnsi="Times New Roman" w:cs="Times New Roman"/>
                <w:color w:val="auto"/>
                <w:lang w:eastAsia="zh-CN"/>
              </w:rPr>
              <w:t>项目</w:t>
            </w:r>
            <w:r>
              <w:rPr>
                <w:rFonts w:hint="default" w:ascii="Times New Roman" w:hAnsi="Times New Roman" w:cs="Times New Roman"/>
                <w:color w:val="auto"/>
              </w:rPr>
              <w:t>各厂界噪声昼间</w:t>
            </w:r>
            <w:r>
              <w:rPr>
                <w:rFonts w:hint="default" w:ascii="Times New Roman" w:hAnsi="Times New Roman" w:cs="Times New Roman"/>
                <w:color w:val="auto"/>
                <w:lang w:eastAsia="zh-CN"/>
              </w:rPr>
              <w:t>贡献叠加</w:t>
            </w:r>
            <w:r>
              <w:rPr>
                <w:rFonts w:hint="default" w:ascii="Times New Roman" w:hAnsi="Times New Roman" w:cs="Times New Roman"/>
                <w:color w:val="auto"/>
              </w:rPr>
              <w:t>值均符合《工业企业厂界环境噪声排放标准》（GB12348-2008）3类标准</w:t>
            </w:r>
            <w:r>
              <w:rPr>
                <w:rFonts w:hint="default" w:ascii="Times New Roman" w:hAnsi="Times New Roman" w:cs="Times New Roman"/>
                <w:color w:val="auto"/>
                <w:lang w:val="en-US" w:eastAsia="zh-CN"/>
              </w:rPr>
              <w:t>。</w:t>
            </w:r>
            <w:r>
              <w:rPr>
                <w:rFonts w:hint="default" w:ascii="Times New Roman" w:hAnsi="Times New Roman" w:cs="Times New Roman"/>
                <w:color w:val="auto"/>
              </w:rPr>
              <w:t>项目运营期产生的噪声对外界影响较小。</w:t>
            </w:r>
          </w:p>
          <w:p>
            <w:pPr>
              <w:rPr>
                <w:rFonts w:hint="default" w:ascii="Times New Roman" w:hAnsi="Times New Roman" w:cs="Times New Roman"/>
                <w:color w:val="auto"/>
              </w:rPr>
            </w:pPr>
            <w:r>
              <w:rPr>
                <w:rFonts w:hint="default" w:ascii="Times New Roman" w:hAnsi="Times New Roman" w:eastAsia="宋体" w:cs="Times New Roman"/>
                <w:color w:val="auto"/>
              </w:rPr>
              <w:t>④</w:t>
            </w:r>
            <w:r>
              <w:rPr>
                <w:rFonts w:hint="default" w:ascii="Times New Roman" w:hAnsi="Times New Roman" w:cs="Times New Roman"/>
                <w:color w:val="auto"/>
              </w:rPr>
              <w:t>固废</w:t>
            </w:r>
          </w:p>
          <w:p>
            <w:pPr>
              <w:tabs>
                <w:tab w:val="left" w:pos="720"/>
              </w:tabs>
              <w:rPr>
                <w:rFonts w:hint="default" w:ascii="Times New Roman" w:hAnsi="Times New Roman" w:cs="Times New Roman"/>
                <w:color w:val="auto"/>
              </w:rPr>
            </w:pPr>
            <w:r>
              <w:rPr>
                <w:rFonts w:hint="default" w:ascii="Times New Roman" w:hAnsi="Times New Roman" w:cs="Times New Roman"/>
                <w:color w:val="auto"/>
              </w:rPr>
              <w:t>本项目运营期间产生的固体废弃物主要包括</w:t>
            </w:r>
            <w:r>
              <w:rPr>
                <w:rFonts w:hint="default" w:ascii="Times New Roman" w:hAnsi="Times New Roman" w:cs="Times New Roman"/>
                <w:color w:val="auto"/>
                <w:lang w:eastAsia="zh-CN"/>
              </w:rPr>
              <w:t>生活垃圾、</w:t>
            </w:r>
            <w:r>
              <w:rPr>
                <w:rFonts w:hint="default" w:ascii="Times New Roman" w:hAnsi="Times New Roman" w:cs="Times New Roman"/>
                <w:color w:val="auto"/>
              </w:rPr>
              <w:t>产品制作过程中的边角废料</w:t>
            </w:r>
            <w:r>
              <w:rPr>
                <w:rFonts w:hint="default" w:ascii="Times New Roman" w:hAnsi="Times New Roman" w:cs="Times New Roman"/>
                <w:color w:val="auto"/>
                <w:lang w:eastAsia="zh-CN"/>
              </w:rPr>
              <w:t>及</w:t>
            </w:r>
            <w:r>
              <w:rPr>
                <w:rFonts w:hint="default" w:ascii="Times New Roman" w:hAnsi="Times New Roman" w:cs="Times New Roman"/>
                <w:color w:val="auto"/>
              </w:rPr>
              <w:t>不合格产品、</w:t>
            </w:r>
            <w:r>
              <w:rPr>
                <w:rFonts w:hint="default" w:ascii="Times New Roman" w:hAnsi="Times New Roman" w:cs="Times New Roman"/>
                <w:color w:val="auto"/>
                <w:lang w:eastAsia="zh-CN"/>
              </w:rPr>
              <w:t>餐厨垃圾和废油脂、</w:t>
            </w:r>
            <w:r>
              <w:rPr>
                <w:rFonts w:hint="default" w:ascii="Times New Roman" w:hAnsi="Times New Roman" w:cs="Times New Roman"/>
                <w:color w:val="auto"/>
              </w:rPr>
              <w:t>废油墨桶、废擦机布、废机油</w:t>
            </w:r>
            <w:r>
              <w:rPr>
                <w:rFonts w:hint="default" w:ascii="Times New Roman" w:hAnsi="Times New Roman" w:cs="Times New Roman"/>
                <w:color w:val="auto"/>
                <w:lang w:eastAsia="zh-CN"/>
              </w:rPr>
              <w:t>、废活性炭</w:t>
            </w:r>
            <w:r>
              <w:rPr>
                <w:rFonts w:hint="default" w:ascii="Times New Roman" w:hAnsi="Times New Roman" w:cs="Times New Roman"/>
                <w:color w:val="auto"/>
              </w:rPr>
              <w:t>。</w:t>
            </w:r>
          </w:p>
          <w:p>
            <w:pPr>
              <w:tabs>
                <w:tab w:val="left" w:pos="2220"/>
              </w:tabs>
              <w:rPr>
                <w:rFonts w:hint="default" w:ascii="Times New Roman" w:hAnsi="Times New Roman" w:cs="Times New Roman"/>
                <w:color w:val="auto"/>
                <w:lang w:eastAsia="zh-CN"/>
              </w:rPr>
            </w:pPr>
            <w:r>
              <w:rPr>
                <w:rFonts w:hint="default" w:ascii="Times New Roman" w:hAnsi="Times New Roman" w:cs="Times New Roman"/>
                <w:color w:val="auto"/>
                <w:lang w:eastAsia="zh-CN"/>
              </w:rPr>
              <w:t>运营期产生的生活垃圾分类收集，由环卫部分定期清运；产品制造过程中的边角废料及不合格产品集中收集，定期外售废品收购站；餐厨垃圾与生活垃圾一同交由环卫部门定期清运；废油脂委托有资质单位处理；废油墨桶、废擦机布、废机油和废活性炭分类收集，暂存于危废暂存间，定期交有资质单位处置。</w:t>
            </w:r>
          </w:p>
          <w:p>
            <w:pPr>
              <w:tabs>
                <w:tab w:val="left" w:pos="2220"/>
              </w:tabs>
              <w:rPr>
                <w:rFonts w:hint="default" w:ascii="Times New Roman" w:hAnsi="Times New Roman" w:cs="Times New Roman"/>
                <w:color w:val="auto"/>
              </w:rPr>
            </w:pPr>
            <w:r>
              <w:rPr>
                <w:rFonts w:hint="default" w:ascii="Times New Roman" w:hAnsi="Times New Roman" w:cs="Times New Roman"/>
                <w:color w:val="auto"/>
              </w:rPr>
              <w:t>综上所述</w:t>
            </w:r>
            <w:r>
              <w:rPr>
                <w:rFonts w:hint="default" w:ascii="Times New Roman" w:hAnsi="Times New Roman" w:cs="Times New Roman"/>
                <w:color w:val="auto"/>
                <w:lang w:eastAsia="zh-CN"/>
              </w:rPr>
              <w:t>，</w:t>
            </w:r>
            <w:r>
              <w:rPr>
                <w:rFonts w:hint="default" w:ascii="Times New Roman" w:hAnsi="Times New Roman" w:cs="Times New Roman"/>
                <w:color w:val="auto"/>
              </w:rPr>
              <w:t>项目产生的固体废弃物不外排，处置妥善，对环境影响较小。</w:t>
            </w:r>
          </w:p>
          <w:p>
            <w:pPr>
              <w:tabs>
                <w:tab w:val="left" w:pos="2220"/>
              </w:tabs>
              <w:ind w:firstLine="482"/>
              <w:rPr>
                <w:rFonts w:hint="default" w:ascii="Times New Roman" w:hAnsi="Times New Roman" w:eastAsia="宋体" w:cs="Times New Roman"/>
                <w:b/>
                <w:color w:val="auto"/>
              </w:rPr>
            </w:pPr>
            <w:r>
              <w:rPr>
                <w:rFonts w:hint="default" w:ascii="Times New Roman" w:hAnsi="Times New Roman" w:cs="Times New Roman"/>
                <w:b/>
                <w:color w:val="auto"/>
              </w:rPr>
              <w:t>5、结论</w:t>
            </w:r>
          </w:p>
          <w:p>
            <w:pPr>
              <w:rPr>
                <w:rFonts w:hint="default" w:ascii="Times New Roman" w:hAnsi="Times New Roman" w:cs="Times New Roman"/>
                <w:color w:val="auto"/>
              </w:rPr>
            </w:pPr>
            <w:r>
              <w:rPr>
                <w:rFonts w:hint="default" w:ascii="Times New Roman" w:hAnsi="Times New Roman" w:eastAsia="宋体" w:cs="Times New Roman"/>
                <w:color w:val="auto"/>
              </w:rPr>
              <w:t>综上所述，本项目的建设符合国家产业政策，运营期间“三废”产生</w:t>
            </w:r>
            <w:r>
              <w:rPr>
                <w:rFonts w:hint="default" w:ascii="Times New Roman" w:hAnsi="Times New Roman" w:cs="Times New Roman"/>
                <w:color w:val="auto"/>
              </w:rPr>
              <w:t>量较小。在严格采取本报告表所提出的各项环境保护措施后，各类污染物均可达标排放，对周围环境的影响在可承受范围之内，因此环评认为，从环保角度出发，本项目的建设是可行。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gridAfter w:val="2"/>
          <w:wBefore w:w="108" w:type="dxa"/>
          <w:wAfter w:w="812" w:type="dxa"/>
          <w:trHeight w:val="12181" w:hRule="atLeast"/>
        </w:trPr>
        <w:tc>
          <w:tcPr>
            <w:tcW w:w="8364" w:type="dxa"/>
            <w:noWrap w:val="0"/>
            <w:vAlign w:val="top"/>
          </w:tcPr>
          <w:p>
            <w:pPr>
              <w:pStyle w:val="4"/>
              <w:spacing w:before="65" w:after="65"/>
              <w:rPr>
                <w:rFonts w:hint="default" w:ascii="Times New Roman" w:hAnsi="Times New Roman" w:cs="Times New Roman"/>
                <w:color w:val="auto"/>
                <w:kern w:val="0"/>
              </w:rPr>
            </w:pPr>
            <w:r>
              <w:rPr>
                <w:rFonts w:hint="default" w:ascii="Times New Roman" w:hAnsi="Times New Roman" w:cs="Times New Roman"/>
                <w:color w:val="auto"/>
                <w:kern w:val="0"/>
              </w:rPr>
              <w:t>要求与建议</w:t>
            </w:r>
          </w:p>
          <w:p>
            <w:pPr>
              <w:rPr>
                <w:rFonts w:hint="default" w:ascii="Times New Roman" w:hAnsi="Times New Roman" w:cs="Times New Roman"/>
                <w:color w:val="auto"/>
              </w:rPr>
            </w:pPr>
            <w:r>
              <w:rPr>
                <w:rFonts w:hint="default" w:ascii="Times New Roman" w:hAnsi="Times New Roman" w:cs="Times New Roman"/>
                <w:color w:val="auto"/>
              </w:rPr>
              <w:t>1、要求</w:t>
            </w:r>
          </w:p>
          <w:p>
            <w:pPr>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）加强环境管理工作，建立一套完善的环保管理制度，制定专门的环境管理规章制度，加强环境保护工作的管理；</w:t>
            </w:r>
          </w:p>
          <w:p>
            <w:pPr>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）加强环保设施日常维护和管理，确保环保设施正常运转和污染物稳定达标排放；</w:t>
            </w:r>
          </w:p>
          <w:p>
            <w:pPr>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）本项目应认真落实本报告提出的污染防治措施，积极配合当地环境保护管理部门的监督和管理。</w:t>
            </w:r>
          </w:p>
          <w:p>
            <w:pPr>
              <w:rPr>
                <w:rFonts w:hint="default" w:ascii="Times New Roman" w:hAnsi="Times New Roman" w:cs="Times New Roman"/>
                <w:color w:val="auto"/>
              </w:rPr>
            </w:pPr>
            <w:r>
              <w:rPr>
                <w:rFonts w:hint="default" w:ascii="Times New Roman" w:hAnsi="Times New Roman" w:cs="Times New Roman"/>
                <w:color w:val="auto"/>
              </w:rPr>
              <w:t>2、建议</w:t>
            </w:r>
          </w:p>
          <w:p>
            <w:pPr>
              <w:rPr>
                <w:rFonts w:hint="default" w:ascii="Times New Roman" w:hAnsi="Times New Roman" w:cs="Times New Roman"/>
                <w:color w:val="auto"/>
              </w:rPr>
            </w:pPr>
            <w:r>
              <w:rPr>
                <w:rFonts w:hint="default" w:ascii="Times New Roman" w:hAnsi="Times New Roman" w:cs="Times New Roman"/>
                <w:color w:val="auto"/>
              </w:rPr>
              <w:t>（1）加强车间卫生与安全管理，减少污染和危险事故的发生；</w:t>
            </w:r>
          </w:p>
          <w:p>
            <w:pPr>
              <w:rPr>
                <w:rFonts w:hint="default" w:ascii="Times New Roman" w:hAnsi="Times New Roman" w:cs="Times New Roman"/>
                <w:color w:val="auto"/>
              </w:rPr>
            </w:pPr>
            <w:r>
              <w:rPr>
                <w:rFonts w:hint="default" w:ascii="Times New Roman" w:hAnsi="Times New Roman" w:cs="Times New Roman"/>
                <w:color w:val="auto"/>
              </w:rPr>
              <w:t>（2）在加强企业管理的同时，建议提高环境保护意识，加强环境管理，提倡清洁文明生产；</w:t>
            </w:r>
          </w:p>
          <w:p>
            <w:pPr>
              <w:rPr>
                <w:rFonts w:hint="default" w:ascii="Times New Roman" w:hAnsi="Times New Roman" w:cs="Times New Roman"/>
                <w:color w:val="auto"/>
              </w:rPr>
            </w:pPr>
            <w:r>
              <w:rPr>
                <w:rFonts w:hint="default" w:ascii="Times New Roman" w:hAnsi="Times New Roman" w:cs="Times New Roman"/>
                <w:color w:val="auto"/>
              </w:rPr>
              <w:t>（3）进一步加强对职工环境保护的宣传教育工作，提高全体员工的环保意识，做到环境保护、人人有责，落实到每个员工身上。</w: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ind w:left="0" w:leftChars="0" w:firstLine="0" w:firstLineChars="0"/>
              <w:rPr>
                <w:rFonts w:hint="default" w:ascii="Times New Roman" w:hAnsi="Times New Roman" w:cs="Times New Roman"/>
                <w:color w:val="auto"/>
              </w:rPr>
            </w:pPr>
          </w:p>
          <w:p>
            <w:pPr>
              <w:rPr>
                <w:rFonts w:hint="default" w:ascii="Times New Roman" w:hAnsi="Times New Roman"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7" w:type="dxa"/>
          <w:trHeight w:val="6752" w:hRule="atLeast"/>
        </w:trPr>
        <w:tc>
          <w:tcPr>
            <w:tcW w:w="9277" w:type="dxa"/>
            <w:gridSpan w:val="3"/>
            <w:noWrap w:val="0"/>
            <w:vAlign w:val="top"/>
          </w:tcPr>
          <w:p>
            <w:pPr>
              <w:ind w:firstLine="482"/>
              <w:rPr>
                <w:rFonts w:hint="default" w:ascii="Times New Roman" w:hAnsi="Times New Roman" w:cs="Times New Roman"/>
                <w:b/>
                <w:color w:val="auto"/>
              </w:rPr>
            </w:pPr>
            <w:r>
              <w:rPr>
                <w:rFonts w:hint="default" w:ascii="Times New Roman" w:hAnsi="Times New Roman" w:cs="Times New Roman"/>
                <w:b/>
                <w:color w:val="auto"/>
              </w:rPr>
              <w:t>预审意见：</w: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公  章</w:t>
            </w:r>
          </w:p>
          <w:p>
            <w:pPr>
              <w:rPr>
                <w:rFonts w:hint="default" w:ascii="Times New Roman" w:hAnsi="Times New Roman" w:cs="Times New Roman"/>
                <w:color w:val="auto"/>
              </w:rPr>
            </w:pPr>
          </w:p>
          <w:p>
            <w:pPr>
              <w:rPr>
                <w:rFonts w:hint="default" w:ascii="Times New Roman" w:hAnsi="Times New Roman" w:cs="Times New Roman"/>
                <w:bCs/>
                <w:color w:val="auto"/>
              </w:rPr>
            </w:pPr>
            <w:r>
              <w:rPr>
                <w:rFonts w:hint="default" w:ascii="Times New Roman" w:hAnsi="Times New Roman" w:cs="Times New Roman"/>
                <w:color w:val="auto"/>
              </w:rPr>
              <w:t>经办人：                                年  月  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7" w:type="dxa"/>
          <w:trHeight w:val="6767" w:hRule="atLeast"/>
        </w:trPr>
        <w:tc>
          <w:tcPr>
            <w:tcW w:w="9277" w:type="dxa"/>
            <w:gridSpan w:val="3"/>
            <w:noWrap w:val="0"/>
            <w:vAlign w:val="bottom"/>
          </w:tcPr>
          <w:p>
            <w:pPr>
              <w:ind w:firstLine="482"/>
              <w:rPr>
                <w:rFonts w:hint="default" w:ascii="Times New Roman" w:hAnsi="Times New Roman" w:cs="Times New Roman"/>
                <w:b/>
                <w:color w:val="auto"/>
              </w:rPr>
            </w:pPr>
            <w:r>
              <w:rPr>
                <w:rFonts w:hint="default" w:ascii="Times New Roman" w:hAnsi="Times New Roman" w:cs="Times New Roman"/>
                <w:b/>
                <w:color w:val="auto"/>
              </w:rPr>
              <w:t>下一级环境保护行政主管部门审查意见：</w: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公  章</w:t>
            </w:r>
          </w:p>
          <w:p>
            <w:pPr>
              <w:rPr>
                <w:rFonts w:hint="default" w:ascii="Times New Roman" w:hAnsi="Times New Roman" w:cs="Times New Roman"/>
                <w:color w:val="auto"/>
              </w:rPr>
            </w:pPr>
            <w:r>
              <w:rPr>
                <w:rFonts w:hint="default" w:ascii="Times New Roman" w:hAnsi="Times New Roman" w:cs="Times New Roman"/>
                <w:color w:val="auto"/>
              </w:rPr>
              <w:t>经办人：                                年  月  日</w:t>
            </w:r>
          </w:p>
          <w:p>
            <w:pPr>
              <w:rPr>
                <w:rFonts w:hint="default" w:ascii="Times New Roman" w:hAnsi="Times New Roman" w:cs="Times New Roman"/>
                <w:bCs/>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216" w:hRule="atLeast"/>
        </w:trPr>
        <w:tc>
          <w:tcPr>
            <w:tcW w:w="9284" w:type="dxa"/>
            <w:gridSpan w:val="4"/>
            <w:noWrap w:val="0"/>
            <w:vAlign w:val="top"/>
          </w:tcPr>
          <w:p>
            <w:pPr>
              <w:ind w:firstLine="482"/>
              <w:rPr>
                <w:rFonts w:hint="default" w:ascii="Times New Roman" w:hAnsi="Times New Roman" w:cs="Times New Roman"/>
                <w:b/>
                <w:color w:val="auto"/>
              </w:rPr>
            </w:pPr>
            <w:r>
              <w:rPr>
                <w:rFonts w:hint="default" w:ascii="Times New Roman" w:hAnsi="Times New Roman" w:cs="Times New Roman"/>
                <w:b/>
                <w:color w:val="auto"/>
              </w:rPr>
              <w:t>审批意见：</w: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ind w:firstLine="560"/>
              <w:rPr>
                <w:rFonts w:hint="default" w:ascii="Times New Roman" w:hAnsi="Times New Roman" w:cs="Times New Roman"/>
                <w:color w:val="auto"/>
                <w:sz w:val="28"/>
              </w:rPr>
            </w:pPr>
            <w:r>
              <w:rPr>
                <w:rFonts w:hint="default" w:ascii="Times New Roman" w:hAnsi="Times New Roman" w:cs="Times New Roman"/>
                <w:color w:val="auto"/>
                <w:sz w:val="28"/>
              </w:rPr>
              <w:t xml:space="preserve"> 公    章</w:t>
            </w:r>
          </w:p>
          <w:p>
            <w:pPr>
              <w:rPr>
                <w:rFonts w:hint="default" w:ascii="Times New Roman" w:hAnsi="Times New Roman" w:cs="Times New Roman"/>
                <w:color w:val="auto"/>
              </w:rPr>
            </w:pPr>
            <w:r>
              <w:rPr>
                <w:rFonts w:hint="default" w:ascii="Times New Roman" w:hAnsi="Times New Roman" w:cs="Times New Roman"/>
                <w:color w:val="auto"/>
              </w:rPr>
              <w:t xml:space="preserve">  经办人：                               年      月     日</w:t>
            </w:r>
          </w:p>
        </w:tc>
      </w:tr>
    </w:tbl>
    <w:p>
      <w:pPr>
        <w:ind w:firstLine="0" w:firstLineChars="0"/>
        <w:rPr>
          <w:rFonts w:hint="default" w:ascii="Times New Roman" w:hAnsi="Times New Roman" w:cs="Times New Roman"/>
          <w:color w:val="auto"/>
        </w:rPr>
      </w:pPr>
    </w:p>
    <w:sectPr>
      <w:headerReference r:id="rId11" w:type="default"/>
      <w:footerReference r:id="rId12" w:type="default"/>
      <w:pgSz w:w="11906" w:h="16838"/>
      <w:pgMar w:top="1440" w:right="1800" w:bottom="1440" w:left="1800" w:header="851" w:footer="1141" w:gutter="0"/>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erif">
    <w:altName w:val="Segoe Print"/>
    <w:panose1 w:val="00000000000000000000"/>
    <w:charset w:val="00"/>
    <w:family w:val="auto"/>
    <w:pitch w:val="default"/>
    <w:sig w:usb0="00000000" w:usb1="00000000" w:usb2="00000000" w:usb3="00000000" w:csb0="00040001" w:csb1="00000000"/>
  </w:font>
  <w:font w:name="Georgia">
    <w:panose1 w:val="02040502050405020303"/>
    <w:charset w:val="00"/>
    <w:family w:val="roman"/>
    <w:pitch w:val="default"/>
    <w:sig w:usb0="00000287" w:usb1="00000000" w:usb2="00000000" w:usb3="00000000" w:csb0="2000009F" w:csb1="00000000"/>
  </w:font>
  <w:font w:name="仿宋_GB2312">
    <w:altName w:val="仿宋"/>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rPr>
        <w:rStyle w:val="31"/>
      </w:rPr>
    </w:pPr>
    <w:r>
      <w:fldChar w:fldCharType="begin"/>
    </w:r>
    <w:r>
      <w:rPr>
        <w:rStyle w:val="31"/>
      </w:rPr>
      <w:instrText xml:space="preserve">PAGE  </w:instrText>
    </w:r>
    <w:r>
      <w:fldChar w:fldCharType="separate"/>
    </w:r>
    <w:r>
      <w:rPr>
        <w:rStyle w:val="31"/>
      </w:rPr>
      <w:t>16</w:t>
    </w:r>
    <w:r>
      <w:fldChar w:fldCharType="end"/>
    </w:r>
  </w:p>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jc w:val="center"/>
    </w:pPr>
    <w:r>
      <w:rPr>
        <w:rFonts w:hint="eastAsia"/>
      </w:rPr>
      <w:t>-</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lang w:val="zh-CN"/>
      </w:rPr>
      <w:t>53</w:t>
    </w:r>
    <w:r>
      <w:rPr>
        <w:rFonts w:hint="default" w:ascii="Times New Roman" w:hAnsi="Times New Roman" w:cs="Times New Roman"/>
        <w:lang w:val="zh-CN"/>
      </w:rPr>
      <w:fldChar w:fldCharType="end"/>
    </w:r>
    <w:r>
      <w:rPr>
        <w:rFonts w:hint="eastAsia"/>
      </w:rPr>
      <w:t>-</w:t>
    </w:r>
  </w:p>
  <w:p>
    <w:pPr>
      <w:pStyle w:val="1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16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PPGH1zAEAAJsDAAAOAAAAAAAAAAEAIAAAAB4BAABkcnMvZTJv&#10;RG9jLnhtbFBLBQYAAAAABgAGAFkBAABcBQAAAAA=&#10;">
              <v:fill on="f" focussize="0,0"/>
              <v:stroke on="f"/>
              <v:imagedata o:title=""/>
              <o:lock v:ext="edit" aspectratio="f"/>
              <v:textbox inset="0mm,0mm,0mm,0mm" style="mso-fit-shape-to-text:t;">
                <w:txbxContent>
                  <w:p>
                    <w:r>
                      <w:fldChar w:fldCharType="begin"/>
                    </w:r>
                    <w:r>
                      <w:instrText xml:space="preserve"> PAGE  \* MERGEFORMAT </w:instrText>
                    </w:r>
                    <w:r>
                      <w:fldChar w:fldCharType="separate"/>
                    </w:r>
                    <w:r>
                      <w:t>1</w:t>
                    </w:r>
                    <w:r>
                      <w:fldChar w:fldCharType="end"/>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645211"/>
    <w:multiLevelType w:val="singleLevel"/>
    <w:tmpl w:val="96645211"/>
    <w:lvl w:ilvl="0" w:tentative="0">
      <w:start w:val="5"/>
      <w:numFmt w:val="decimal"/>
      <w:suff w:val="nothing"/>
      <w:lvlText w:val="%1、"/>
      <w:lvlJc w:val="left"/>
    </w:lvl>
  </w:abstractNum>
  <w:abstractNum w:abstractNumId="1">
    <w:nsid w:val="B6F6DB79"/>
    <w:multiLevelType w:val="singleLevel"/>
    <w:tmpl w:val="B6F6DB79"/>
    <w:lvl w:ilvl="0" w:tentative="0">
      <w:start w:val="1"/>
      <w:numFmt w:val="decimal"/>
      <w:suff w:val="nothing"/>
      <w:lvlText w:val="%1、"/>
      <w:lvlJc w:val="left"/>
    </w:lvl>
  </w:abstractNum>
  <w:abstractNum w:abstractNumId="2">
    <w:nsid w:val="BE34D13F"/>
    <w:multiLevelType w:val="singleLevel"/>
    <w:tmpl w:val="BE34D13F"/>
    <w:lvl w:ilvl="0" w:tentative="0">
      <w:start w:val="1"/>
      <w:numFmt w:val="lowerLetter"/>
      <w:suff w:val="space"/>
      <w:lvlText w:val="%1."/>
      <w:lvlJc w:val="left"/>
    </w:lvl>
  </w:abstractNum>
  <w:abstractNum w:abstractNumId="3">
    <w:nsid w:val="0E39451B"/>
    <w:multiLevelType w:val="multilevel"/>
    <w:tmpl w:val="0E39451B"/>
    <w:lvl w:ilvl="0" w:tentative="0">
      <w:start w:val="1"/>
      <w:numFmt w:val="decimal"/>
      <w:pStyle w:val="6"/>
      <w:lvlText w:val="%1)"/>
      <w:lvlJc w:val="left"/>
      <w:pPr>
        <w:ind w:left="620" w:hanging="420"/>
      </w:p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4">
    <w:nsid w:val="15202D4A"/>
    <w:multiLevelType w:val="multilevel"/>
    <w:tmpl w:val="15202D4A"/>
    <w:lvl w:ilvl="0" w:tentative="0">
      <w:start w:val="1"/>
      <w:numFmt w:val="decimal"/>
      <w:pStyle w:val="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E05CB08"/>
    <w:multiLevelType w:val="singleLevel"/>
    <w:tmpl w:val="2E05CB08"/>
    <w:lvl w:ilvl="0" w:tentative="0">
      <w:start w:val="1"/>
      <w:numFmt w:val="decimal"/>
      <w:suff w:val="nothing"/>
      <w:lvlText w:val="%1、"/>
      <w:lvlJc w:val="left"/>
    </w:lvl>
  </w:abstractNum>
  <w:abstractNum w:abstractNumId="6">
    <w:nsid w:val="3CAE19E1"/>
    <w:multiLevelType w:val="multilevel"/>
    <w:tmpl w:val="3CAE19E1"/>
    <w:lvl w:ilvl="0" w:tentative="0">
      <w:start w:val="1"/>
      <w:numFmt w:val="decimal"/>
      <w:pStyle w:val="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1A571A7"/>
    <w:multiLevelType w:val="singleLevel"/>
    <w:tmpl w:val="71A571A7"/>
    <w:lvl w:ilvl="0" w:tentative="0">
      <w:start w:val="2"/>
      <w:numFmt w:val="decimal"/>
      <w:suff w:val="nothing"/>
      <w:lvlText w:val="%1、"/>
      <w:lvlJc w:val="left"/>
    </w:lvl>
  </w:abstractNum>
  <w:num w:numId="1">
    <w:abstractNumId w:val="4"/>
  </w:num>
  <w:num w:numId="2">
    <w:abstractNumId w:val="6"/>
  </w:num>
  <w:num w:numId="3">
    <w:abstractNumId w:val="3"/>
  </w:num>
  <w:num w:numId="4">
    <w:abstractNumId w:val="0"/>
  </w:num>
  <w:num w:numId="5">
    <w:abstractNumId w:val="1"/>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hyphenationZone w:val="360"/>
  <w:drawingGridHorizontalSpacing w:val="120"/>
  <w:drawingGridVerticalSpacing w:val="163"/>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wZjdhYzIyZjQwNjZkMTY3NzQ4ZjBjZTMyZmQ4OGIifQ=="/>
  </w:docVars>
  <w:rsids>
    <w:rsidRoot w:val="0029380F"/>
    <w:rsid w:val="00000386"/>
    <w:rsid w:val="000003C4"/>
    <w:rsid w:val="00001745"/>
    <w:rsid w:val="00002994"/>
    <w:rsid w:val="00002B60"/>
    <w:rsid w:val="00003AEB"/>
    <w:rsid w:val="00003E77"/>
    <w:rsid w:val="000045AB"/>
    <w:rsid w:val="00004719"/>
    <w:rsid w:val="00004946"/>
    <w:rsid w:val="00004B68"/>
    <w:rsid w:val="000073B3"/>
    <w:rsid w:val="00007869"/>
    <w:rsid w:val="00010C0F"/>
    <w:rsid w:val="00011C41"/>
    <w:rsid w:val="00011F28"/>
    <w:rsid w:val="00011FC0"/>
    <w:rsid w:val="000123C5"/>
    <w:rsid w:val="00013A21"/>
    <w:rsid w:val="00014664"/>
    <w:rsid w:val="000149E9"/>
    <w:rsid w:val="00015603"/>
    <w:rsid w:val="00015818"/>
    <w:rsid w:val="00015B3B"/>
    <w:rsid w:val="000170D3"/>
    <w:rsid w:val="000209C4"/>
    <w:rsid w:val="00021342"/>
    <w:rsid w:val="000216B4"/>
    <w:rsid w:val="0002410F"/>
    <w:rsid w:val="00025652"/>
    <w:rsid w:val="00026A3E"/>
    <w:rsid w:val="00026D57"/>
    <w:rsid w:val="000275D1"/>
    <w:rsid w:val="00027DDC"/>
    <w:rsid w:val="000301F1"/>
    <w:rsid w:val="00030FB5"/>
    <w:rsid w:val="00031396"/>
    <w:rsid w:val="0003289D"/>
    <w:rsid w:val="00033B43"/>
    <w:rsid w:val="000345B1"/>
    <w:rsid w:val="00035E22"/>
    <w:rsid w:val="00036148"/>
    <w:rsid w:val="00036476"/>
    <w:rsid w:val="00036915"/>
    <w:rsid w:val="00036CB1"/>
    <w:rsid w:val="00036CDD"/>
    <w:rsid w:val="00037009"/>
    <w:rsid w:val="00037860"/>
    <w:rsid w:val="00037A15"/>
    <w:rsid w:val="000404F2"/>
    <w:rsid w:val="00040B70"/>
    <w:rsid w:val="00040D8C"/>
    <w:rsid w:val="0004177A"/>
    <w:rsid w:val="00041D2C"/>
    <w:rsid w:val="00042017"/>
    <w:rsid w:val="00042892"/>
    <w:rsid w:val="00042BAC"/>
    <w:rsid w:val="00042C08"/>
    <w:rsid w:val="00043BDC"/>
    <w:rsid w:val="00045178"/>
    <w:rsid w:val="000457A6"/>
    <w:rsid w:val="00045B00"/>
    <w:rsid w:val="00045F08"/>
    <w:rsid w:val="00047A0C"/>
    <w:rsid w:val="0005013B"/>
    <w:rsid w:val="000505F9"/>
    <w:rsid w:val="00050774"/>
    <w:rsid w:val="00051093"/>
    <w:rsid w:val="00051796"/>
    <w:rsid w:val="0005299C"/>
    <w:rsid w:val="00053056"/>
    <w:rsid w:val="00053513"/>
    <w:rsid w:val="00054214"/>
    <w:rsid w:val="000542EB"/>
    <w:rsid w:val="00054A10"/>
    <w:rsid w:val="00054C37"/>
    <w:rsid w:val="00054D7B"/>
    <w:rsid w:val="00055CE7"/>
    <w:rsid w:val="00056716"/>
    <w:rsid w:val="00056881"/>
    <w:rsid w:val="000575A4"/>
    <w:rsid w:val="00060194"/>
    <w:rsid w:val="0006025C"/>
    <w:rsid w:val="00061798"/>
    <w:rsid w:val="000624F2"/>
    <w:rsid w:val="000625AA"/>
    <w:rsid w:val="000626A2"/>
    <w:rsid w:val="000626CD"/>
    <w:rsid w:val="0006276A"/>
    <w:rsid w:val="00062B06"/>
    <w:rsid w:val="000648AD"/>
    <w:rsid w:val="0006517C"/>
    <w:rsid w:val="00065E59"/>
    <w:rsid w:val="00065E91"/>
    <w:rsid w:val="00066A40"/>
    <w:rsid w:val="000676FE"/>
    <w:rsid w:val="00067972"/>
    <w:rsid w:val="000705FE"/>
    <w:rsid w:val="000706C3"/>
    <w:rsid w:val="000709CC"/>
    <w:rsid w:val="00070B7F"/>
    <w:rsid w:val="000734D6"/>
    <w:rsid w:val="000744C8"/>
    <w:rsid w:val="00074818"/>
    <w:rsid w:val="00075E0E"/>
    <w:rsid w:val="00075E8A"/>
    <w:rsid w:val="00076F5E"/>
    <w:rsid w:val="00077678"/>
    <w:rsid w:val="000778A0"/>
    <w:rsid w:val="00080459"/>
    <w:rsid w:val="0008046C"/>
    <w:rsid w:val="000809CB"/>
    <w:rsid w:val="00080F29"/>
    <w:rsid w:val="000814F6"/>
    <w:rsid w:val="00082279"/>
    <w:rsid w:val="0008283A"/>
    <w:rsid w:val="00084576"/>
    <w:rsid w:val="000845C2"/>
    <w:rsid w:val="0008506E"/>
    <w:rsid w:val="00085070"/>
    <w:rsid w:val="00085B04"/>
    <w:rsid w:val="00085F03"/>
    <w:rsid w:val="000864AF"/>
    <w:rsid w:val="00086A3E"/>
    <w:rsid w:val="00086AC8"/>
    <w:rsid w:val="00086D8C"/>
    <w:rsid w:val="0009199B"/>
    <w:rsid w:val="0009346A"/>
    <w:rsid w:val="00093B60"/>
    <w:rsid w:val="000940D0"/>
    <w:rsid w:val="00095547"/>
    <w:rsid w:val="00096219"/>
    <w:rsid w:val="00096741"/>
    <w:rsid w:val="000972FD"/>
    <w:rsid w:val="000974A1"/>
    <w:rsid w:val="00097C3E"/>
    <w:rsid w:val="00097C8F"/>
    <w:rsid w:val="000A02A3"/>
    <w:rsid w:val="000A094F"/>
    <w:rsid w:val="000A141D"/>
    <w:rsid w:val="000A1DCB"/>
    <w:rsid w:val="000A250B"/>
    <w:rsid w:val="000A2D38"/>
    <w:rsid w:val="000A30F1"/>
    <w:rsid w:val="000A34B8"/>
    <w:rsid w:val="000A3D7B"/>
    <w:rsid w:val="000A3FA3"/>
    <w:rsid w:val="000A4305"/>
    <w:rsid w:val="000A469C"/>
    <w:rsid w:val="000A4EB4"/>
    <w:rsid w:val="000A5917"/>
    <w:rsid w:val="000A6B03"/>
    <w:rsid w:val="000A7B57"/>
    <w:rsid w:val="000B192C"/>
    <w:rsid w:val="000B24DA"/>
    <w:rsid w:val="000B2539"/>
    <w:rsid w:val="000B2D34"/>
    <w:rsid w:val="000B30FA"/>
    <w:rsid w:val="000B48FA"/>
    <w:rsid w:val="000B4E93"/>
    <w:rsid w:val="000B55FE"/>
    <w:rsid w:val="000B5736"/>
    <w:rsid w:val="000B607F"/>
    <w:rsid w:val="000B6132"/>
    <w:rsid w:val="000B7C02"/>
    <w:rsid w:val="000C1056"/>
    <w:rsid w:val="000C1B5B"/>
    <w:rsid w:val="000C239D"/>
    <w:rsid w:val="000C240E"/>
    <w:rsid w:val="000C31FE"/>
    <w:rsid w:val="000C32E3"/>
    <w:rsid w:val="000C3AF2"/>
    <w:rsid w:val="000C3B1F"/>
    <w:rsid w:val="000C423D"/>
    <w:rsid w:val="000C4661"/>
    <w:rsid w:val="000C46F0"/>
    <w:rsid w:val="000C50D3"/>
    <w:rsid w:val="000C579D"/>
    <w:rsid w:val="000C5A30"/>
    <w:rsid w:val="000C5C39"/>
    <w:rsid w:val="000C64B3"/>
    <w:rsid w:val="000C79F7"/>
    <w:rsid w:val="000D1D03"/>
    <w:rsid w:val="000D216D"/>
    <w:rsid w:val="000D224A"/>
    <w:rsid w:val="000D2907"/>
    <w:rsid w:val="000D2D1D"/>
    <w:rsid w:val="000D2F3C"/>
    <w:rsid w:val="000D43DF"/>
    <w:rsid w:val="000D4B36"/>
    <w:rsid w:val="000D516B"/>
    <w:rsid w:val="000D51B5"/>
    <w:rsid w:val="000D581C"/>
    <w:rsid w:val="000D6305"/>
    <w:rsid w:val="000D695F"/>
    <w:rsid w:val="000D6DFE"/>
    <w:rsid w:val="000D74B2"/>
    <w:rsid w:val="000E01ED"/>
    <w:rsid w:val="000E20D8"/>
    <w:rsid w:val="000E22EF"/>
    <w:rsid w:val="000E24B0"/>
    <w:rsid w:val="000E2614"/>
    <w:rsid w:val="000E278D"/>
    <w:rsid w:val="000E31C8"/>
    <w:rsid w:val="000E5549"/>
    <w:rsid w:val="000E55BD"/>
    <w:rsid w:val="000E79C7"/>
    <w:rsid w:val="000E7B58"/>
    <w:rsid w:val="000E7BB8"/>
    <w:rsid w:val="000E7CC2"/>
    <w:rsid w:val="000E7EBB"/>
    <w:rsid w:val="000F0736"/>
    <w:rsid w:val="000F1958"/>
    <w:rsid w:val="000F3667"/>
    <w:rsid w:val="000F3722"/>
    <w:rsid w:val="000F405A"/>
    <w:rsid w:val="000F48E1"/>
    <w:rsid w:val="000F52C2"/>
    <w:rsid w:val="000F57DC"/>
    <w:rsid w:val="000F6504"/>
    <w:rsid w:val="000F6A88"/>
    <w:rsid w:val="000F6BC5"/>
    <w:rsid w:val="000F6CB8"/>
    <w:rsid w:val="000F6D1B"/>
    <w:rsid w:val="000F7785"/>
    <w:rsid w:val="000F7B91"/>
    <w:rsid w:val="000F7C91"/>
    <w:rsid w:val="000F7D45"/>
    <w:rsid w:val="00100144"/>
    <w:rsid w:val="00101627"/>
    <w:rsid w:val="00102206"/>
    <w:rsid w:val="0010394D"/>
    <w:rsid w:val="00103D1B"/>
    <w:rsid w:val="00103F46"/>
    <w:rsid w:val="00104D89"/>
    <w:rsid w:val="001051BB"/>
    <w:rsid w:val="00105B96"/>
    <w:rsid w:val="00105DA3"/>
    <w:rsid w:val="001079B7"/>
    <w:rsid w:val="00107EB4"/>
    <w:rsid w:val="00110C76"/>
    <w:rsid w:val="00110DA6"/>
    <w:rsid w:val="00110E3B"/>
    <w:rsid w:val="00110F84"/>
    <w:rsid w:val="00111235"/>
    <w:rsid w:val="00111344"/>
    <w:rsid w:val="00111A41"/>
    <w:rsid w:val="00111FDF"/>
    <w:rsid w:val="00112387"/>
    <w:rsid w:val="00112BA3"/>
    <w:rsid w:val="001136E0"/>
    <w:rsid w:val="00114A33"/>
    <w:rsid w:val="00115D82"/>
    <w:rsid w:val="001171B1"/>
    <w:rsid w:val="001171B6"/>
    <w:rsid w:val="001179AA"/>
    <w:rsid w:val="001209B2"/>
    <w:rsid w:val="00120A0C"/>
    <w:rsid w:val="00122E7A"/>
    <w:rsid w:val="001230B7"/>
    <w:rsid w:val="00124197"/>
    <w:rsid w:val="00124355"/>
    <w:rsid w:val="00126D98"/>
    <w:rsid w:val="00126E7C"/>
    <w:rsid w:val="00127EE1"/>
    <w:rsid w:val="001303B6"/>
    <w:rsid w:val="001304A1"/>
    <w:rsid w:val="001308D6"/>
    <w:rsid w:val="001330C4"/>
    <w:rsid w:val="001340CA"/>
    <w:rsid w:val="0013440E"/>
    <w:rsid w:val="0013445B"/>
    <w:rsid w:val="00134879"/>
    <w:rsid w:val="00134A30"/>
    <w:rsid w:val="00135ADF"/>
    <w:rsid w:val="00135B8F"/>
    <w:rsid w:val="0013655F"/>
    <w:rsid w:val="001368E6"/>
    <w:rsid w:val="00136E53"/>
    <w:rsid w:val="00136F58"/>
    <w:rsid w:val="00140575"/>
    <w:rsid w:val="00140932"/>
    <w:rsid w:val="00141A85"/>
    <w:rsid w:val="001427FD"/>
    <w:rsid w:val="001429D8"/>
    <w:rsid w:val="001434AC"/>
    <w:rsid w:val="001442A9"/>
    <w:rsid w:val="001443F1"/>
    <w:rsid w:val="00144854"/>
    <w:rsid w:val="00144BD0"/>
    <w:rsid w:val="00145A9F"/>
    <w:rsid w:val="0014644E"/>
    <w:rsid w:val="001465EE"/>
    <w:rsid w:val="00146BE6"/>
    <w:rsid w:val="00146C84"/>
    <w:rsid w:val="0014709F"/>
    <w:rsid w:val="00147643"/>
    <w:rsid w:val="001478E1"/>
    <w:rsid w:val="00150782"/>
    <w:rsid w:val="00150B6B"/>
    <w:rsid w:val="00150DE2"/>
    <w:rsid w:val="00154358"/>
    <w:rsid w:val="001545C5"/>
    <w:rsid w:val="001562D9"/>
    <w:rsid w:val="00156524"/>
    <w:rsid w:val="001565BA"/>
    <w:rsid w:val="001565CF"/>
    <w:rsid w:val="001574B2"/>
    <w:rsid w:val="00157968"/>
    <w:rsid w:val="00157C74"/>
    <w:rsid w:val="00157EB4"/>
    <w:rsid w:val="00160C4F"/>
    <w:rsid w:val="00162AAB"/>
    <w:rsid w:val="00162E9E"/>
    <w:rsid w:val="00162F3B"/>
    <w:rsid w:val="00163000"/>
    <w:rsid w:val="0016443B"/>
    <w:rsid w:val="00164838"/>
    <w:rsid w:val="00164E1F"/>
    <w:rsid w:val="0016575D"/>
    <w:rsid w:val="001657EB"/>
    <w:rsid w:val="00166B9A"/>
    <w:rsid w:val="00166D5D"/>
    <w:rsid w:val="00167412"/>
    <w:rsid w:val="0016752C"/>
    <w:rsid w:val="00167B4D"/>
    <w:rsid w:val="00167F33"/>
    <w:rsid w:val="001701B9"/>
    <w:rsid w:val="00171AAD"/>
    <w:rsid w:val="00171D02"/>
    <w:rsid w:val="00171F7B"/>
    <w:rsid w:val="00173413"/>
    <w:rsid w:val="0017352B"/>
    <w:rsid w:val="00173CFC"/>
    <w:rsid w:val="00174660"/>
    <w:rsid w:val="0017469C"/>
    <w:rsid w:val="00174AEE"/>
    <w:rsid w:val="00175351"/>
    <w:rsid w:val="00176AE4"/>
    <w:rsid w:val="00176D64"/>
    <w:rsid w:val="0017746A"/>
    <w:rsid w:val="00177D44"/>
    <w:rsid w:val="00181DF5"/>
    <w:rsid w:val="00182473"/>
    <w:rsid w:val="0018316D"/>
    <w:rsid w:val="00183457"/>
    <w:rsid w:val="00183720"/>
    <w:rsid w:val="00184BAA"/>
    <w:rsid w:val="00184BF3"/>
    <w:rsid w:val="0018564F"/>
    <w:rsid w:val="001857A8"/>
    <w:rsid w:val="001859BD"/>
    <w:rsid w:val="00186739"/>
    <w:rsid w:val="00186F83"/>
    <w:rsid w:val="00187C86"/>
    <w:rsid w:val="00191934"/>
    <w:rsid w:val="00191D56"/>
    <w:rsid w:val="00191D85"/>
    <w:rsid w:val="00191E85"/>
    <w:rsid w:val="0019259A"/>
    <w:rsid w:val="00192AB0"/>
    <w:rsid w:val="0019354D"/>
    <w:rsid w:val="001939AA"/>
    <w:rsid w:val="00193E86"/>
    <w:rsid w:val="001948C1"/>
    <w:rsid w:val="001950EF"/>
    <w:rsid w:val="00197A1F"/>
    <w:rsid w:val="001A106F"/>
    <w:rsid w:val="001A108C"/>
    <w:rsid w:val="001A1410"/>
    <w:rsid w:val="001A1B1F"/>
    <w:rsid w:val="001A1B47"/>
    <w:rsid w:val="001A2122"/>
    <w:rsid w:val="001A23E8"/>
    <w:rsid w:val="001A562D"/>
    <w:rsid w:val="001A58B6"/>
    <w:rsid w:val="001A63B6"/>
    <w:rsid w:val="001A73FC"/>
    <w:rsid w:val="001B0F97"/>
    <w:rsid w:val="001B1486"/>
    <w:rsid w:val="001B1A13"/>
    <w:rsid w:val="001B211A"/>
    <w:rsid w:val="001B2BBE"/>
    <w:rsid w:val="001B39D5"/>
    <w:rsid w:val="001B3C29"/>
    <w:rsid w:val="001B3EFA"/>
    <w:rsid w:val="001B71C4"/>
    <w:rsid w:val="001B7BE0"/>
    <w:rsid w:val="001C00B0"/>
    <w:rsid w:val="001C0138"/>
    <w:rsid w:val="001C0444"/>
    <w:rsid w:val="001C15BB"/>
    <w:rsid w:val="001C25F3"/>
    <w:rsid w:val="001C262E"/>
    <w:rsid w:val="001C2755"/>
    <w:rsid w:val="001C5315"/>
    <w:rsid w:val="001C625B"/>
    <w:rsid w:val="001C7801"/>
    <w:rsid w:val="001C7C00"/>
    <w:rsid w:val="001D0E74"/>
    <w:rsid w:val="001D0F50"/>
    <w:rsid w:val="001D1FFA"/>
    <w:rsid w:val="001D26C4"/>
    <w:rsid w:val="001D3174"/>
    <w:rsid w:val="001D33A9"/>
    <w:rsid w:val="001D3965"/>
    <w:rsid w:val="001D5A40"/>
    <w:rsid w:val="001D5CA3"/>
    <w:rsid w:val="001D5FEB"/>
    <w:rsid w:val="001D62CF"/>
    <w:rsid w:val="001D6A0A"/>
    <w:rsid w:val="001D725E"/>
    <w:rsid w:val="001D72FE"/>
    <w:rsid w:val="001E0E89"/>
    <w:rsid w:val="001E25F5"/>
    <w:rsid w:val="001E2BC9"/>
    <w:rsid w:val="001E3FAD"/>
    <w:rsid w:val="001E4E79"/>
    <w:rsid w:val="001E5254"/>
    <w:rsid w:val="001E56C8"/>
    <w:rsid w:val="001E6388"/>
    <w:rsid w:val="001E6BC3"/>
    <w:rsid w:val="001E6DAF"/>
    <w:rsid w:val="001E70BE"/>
    <w:rsid w:val="001F140B"/>
    <w:rsid w:val="001F187F"/>
    <w:rsid w:val="001F197E"/>
    <w:rsid w:val="001F1EEC"/>
    <w:rsid w:val="001F201C"/>
    <w:rsid w:val="001F271F"/>
    <w:rsid w:val="001F4E14"/>
    <w:rsid w:val="001F5122"/>
    <w:rsid w:val="001F5D13"/>
    <w:rsid w:val="001F60FB"/>
    <w:rsid w:val="001F62F8"/>
    <w:rsid w:val="001F6D6D"/>
    <w:rsid w:val="001F6F81"/>
    <w:rsid w:val="001F779A"/>
    <w:rsid w:val="001F7A1C"/>
    <w:rsid w:val="00200001"/>
    <w:rsid w:val="0020154D"/>
    <w:rsid w:val="0020203D"/>
    <w:rsid w:val="00202EA5"/>
    <w:rsid w:val="0020348A"/>
    <w:rsid w:val="00203BCF"/>
    <w:rsid w:val="0020440D"/>
    <w:rsid w:val="00204424"/>
    <w:rsid w:val="002046BE"/>
    <w:rsid w:val="00204F9E"/>
    <w:rsid w:val="00205336"/>
    <w:rsid w:val="0020539A"/>
    <w:rsid w:val="00206146"/>
    <w:rsid w:val="0020674A"/>
    <w:rsid w:val="00206C4C"/>
    <w:rsid w:val="002073AD"/>
    <w:rsid w:val="002073F1"/>
    <w:rsid w:val="002075F3"/>
    <w:rsid w:val="0020794F"/>
    <w:rsid w:val="00207B96"/>
    <w:rsid w:val="00207C59"/>
    <w:rsid w:val="00207FB3"/>
    <w:rsid w:val="002102CE"/>
    <w:rsid w:val="0021095D"/>
    <w:rsid w:val="00211477"/>
    <w:rsid w:val="00211CD9"/>
    <w:rsid w:val="00212856"/>
    <w:rsid w:val="00212FAC"/>
    <w:rsid w:val="00213373"/>
    <w:rsid w:val="00216A39"/>
    <w:rsid w:val="00217C40"/>
    <w:rsid w:val="00220CAF"/>
    <w:rsid w:val="002216CE"/>
    <w:rsid w:val="002219BC"/>
    <w:rsid w:val="00221CFC"/>
    <w:rsid w:val="0022240D"/>
    <w:rsid w:val="00223C86"/>
    <w:rsid w:val="00224364"/>
    <w:rsid w:val="0022470F"/>
    <w:rsid w:val="00224B3D"/>
    <w:rsid w:val="00224E27"/>
    <w:rsid w:val="00225FA5"/>
    <w:rsid w:val="00226560"/>
    <w:rsid w:val="00226779"/>
    <w:rsid w:val="002273F6"/>
    <w:rsid w:val="00227F08"/>
    <w:rsid w:val="00230B31"/>
    <w:rsid w:val="00230C41"/>
    <w:rsid w:val="002319B2"/>
    <w:rsid w:val="00231C28"/>
    <w:rsid w:val="002320BA"/>
    <w:rsid w:val="00232444"/>
    <w:rsid w:val="00233C83"/>
    <w:rsid w:val="0023491E"/>
    <w:rsid w:val="00234F4A"/>
    <w:rsid w:val="00235021"/>
    <w:rsid w:val="00236CD1"/>
    <w:rsid w:val="002376D1"/>
    <w:rsid w:val="00240C92"/>
    <w:rsid w:val="00240D22"/>
    <w:rsid w:val="00240D3A"/>
    <w:rsid w:val="00241E00"/>
    <w:rsid w:val="00243556"/>
    <w:rsid w:val="00244C67"/>
    <w:rsid w:val="00244DFC"/>
    <w:rsid w:val="00245425"/>
    <w:rsid w:val="00245A1F"/>
    <w:rsid w:val="00246BA3"/>
    <w:rsid w:val="002477B4"/>
    <w:rsid w:val="00250512"/>
    <w:rsid w:val="002520EB"/>
    <w:rsid w:val="00252B5B"/>
    <w:rsid w:val="0025311F"/>
    <w:rsid w:val="00253874"/>
    <w:rsid w:val="00253AB3"/>
    <w:rsid w:val="00253AC2"/>
    <w:rsid w:val="0025403B"/>
    <w:rsid w:val="002553C9"/>
    <w:rsid w:val="002554FF"/>
    <w:rsid w:val="00255660"/>
    <w:rsid w:val="0025580F"/>
    <w:rsid w:val="00256528"/>
    <w:rsid w:val="00260128"/>
    <w:rsid w:val="002603DF"/>
    <w:rsid w:val="002603F6"/>
    <w:rsid w:val="0026175D"/>
    <w:rsid w:val="00261D87"/>
    <w:rsid w:val="00262266"/>
    <w:rsid w:val="00262AB2"/>
    <w:rsid w:val="00263439"/>
    <w:rsid w:val="00264AC6"/>
    <w:rsid w:val="00264F6D"/>
    <w:rsid w:val="00265147"/>
    <w:rsid w:val="002655D4"/>
    <w:rsid w:val="00265D2C"/>
    <w:rsid w:val="00265DB2"/>
    <w:rsid w:val="002669D3"/>
    <w:rsid w:val="002674C8"/>
    <w:rsid w:val="00267C75"/>
    <w:rsid w:val="00267E16"/>
    <w:rsid w:val="00272381"/>
    <w:rsid w:val="002728E5"/>
    <w:rsid w:val="0027303E"/>
    <w:rsid w:val="002732E8"/>
    <w:rsid w:val="002746A1"/>
    <w:rsid w:val="00275380"/>
    <w:rsid w:val="00275925"/>
    <w:rsid w:val="00275977"/>
    <w:rsid w:val="00275F10"/>
    <w:rsid w:val="00276754"/>
    <w:rsid w:val="0027704F"/>
    <w:rsid w:val="002775E3"/>
    <w:rsid w:val="00277823"/>
    <w:rsid w:val="002778CE"/>
    <w:rsid w:val="00277EE0"/>
    <w:rsid w:val="00280FA8"/>
    <w:rsid w:val="0028112E"/>
    <w:rsid w:val="002820AB"/>
    <w:rsid w:val="00284EB6"/>
    <w:rsid w:val="002872BB"/>
    <w:rsid w:val="0028731B"/>
    <w:rsid w:val="00287CE0"/>
    <w:rsid w:val="00290B55"/>
    <w:rsid w:val="00290D34"/>
    <w:rsid w:val="00291F48"/>
    <w:rsid w:val="002929AE"/>
    <w:rsid w:val="0029309E"/>
    <w:rsid w:val="002931F3"/>
    <w:rsid w:val="0029340B"/>
    <w:rsid w:val="0029380F"/>
    <w:rsid w:val="00293B97"/>
    <w:rsid w:val="00293BB1"/>
    <w:rsid w:val="00294CEB"/>
    <w:rsid w:val="002956A8"/>
    <w:rsid w:val="00295780"/>
    <w:rsid w:val="00296735"/>
    <w:rsid w:val="002968DC"/>
    <w:rsid w:val="00297CF7"/>
    <w:rsid w:val="002A0715"/>
    <w:rsid w:val="002A1E70"/>
    <w:rsid w:val="002A2201"/>
    <w:rsid w:val="002A24F6"/>
    <w:rsid w:val="002A256C"/>
    <w:rsid w:val="002A2FF5"/>
    <w:rsid w:val="002A30C3"/>
    <w:rsid w:val="002A3490"/>
    <w:rsid w:val="002A559E"/>
    <w:rsid w:val="002A69B7"/>
    <w:rsid w:val="002A6C49"/>
    <w:rsid w:val="002A72AD"/>
    <w:rsid w:val="002A73D1"/>
    <w:rsid w:val="002A76D7"/>
    <w:rsid w:val="002A78BE"/>
    <w:rsid w:val="002B060B"/>
    <w:rsid w:val="002B0F6B"/>
    <w:rsid w:val="002B1C27"/>
    <w:rsid w:val="002B204C"/>
    <w:rsid w:val="002B240C"/>
    <w:rsid w:val="002B35D4"/>
    <w:rsid w:val="002B4545"/>
    <w:rsid w:val="002B5592"/>
    <w:rsid w:val="002B5952"/>
    <w:rsid w:val="002B6112"/>
    <w:rsid w:val="002B6CC1"/>
    <w:rsid w:val="002B7AD6"/>
    <w:rsid w:val="002B7B10"/>
    <w:rsid w:val="002B7F78"/>
    <w:rsid w:val="002C0AFD"/>
    <w:rsid w:val="002C1703"/>
    <w:rsid w:val="002C18A7"/>
    <w:rsid w:val="002C1905"/>
    <w:rsid w:val="002C27A1"/>
    <w:rsid w:val="002C2B50"/>
    <w:rsid w:val="002C2E8A"/>
    <w:rsid w:val="002C2F9C"/>
    <w:rsid w:val="002C4581"/>
    <w:rsid w:val="002C4869"/>
    <w:rsid w:val="002C53C5"/>
    <w:rsid w:val="002C5AAE"/>
    <w:rsid w:val="002C5B86"/>
    <w:rsid w:val="002C638B"/>
    <w:rsid w:val="002C67A3"/>
    <w:rsid w:val="002C6EEE"/>
    <w:rsid w:val="002C70D9"/>
    <w:rsid w:val="002C7F5B"/>
    <w:rsid w:val="002C7FB1"/>
    <w:rsid w:val="002D0A6F"/>
    <w:rsid w:val="002D1CCE"/>
    <w:rsid w:val="002D1EC9"/>
    <w:rsid w:val="002D29A2"/>
    <w:rsid w:val="002D2B61"/>
    <w:rsid w:val="002D3748"/>
    <w:rsid w:val="002D3942"/>
    <w:rsid w:val="002D4995"/>
    <w:rsid w:val="002D576E"/>
    <w:rsid w:val="002D6A2D"/>
    <w:rsid w:val="002D6A34"/>
    <w:rsid w:val="002D6DDE"/>
    <w:rsid w:val="002D70FC"/>
    <w:rsid w:val="002D71F4"/>
    <w:rsid w:val="002D7778"/>
    <w:rsid w:val="002D7786"/>
    <w:rsid w:val="002E02E1"/>
    <w:rsid w:val="002E163B"/>
    <w:rsid w:val="002E1F90"/>
    <w:rsid w:val="002E284B"/>
    <w:rsid w:val="002E2D8C"/>
    <w:rsid w:val="002E3488"/>
    <w:rsid w:val="002E3533"/>
    <w:rsid w:val="002E3D74"/>
    <w:rsid w:val="002E43FB"/>
    <w:rsid w:val="002E4F5C"/>
    <w:rsid w:val="002E649D"/>
    <w:rsid w:val="002E696A"/>
    <w:rsid w:val="002E6E4D"/>
    <w:rsid w:val="002E7695"/>
    <w:rsid w:val="002E7A3E"/>
    <w:rsid w:val="002F0317"/>
    <w:rsid w:val="002F0494"/>
    <w:rsid w:val="002F04C1"/>
    <w:rsid w:val="002F0D21"/>
    <w:rsid w:val="002F0D26"/>
    <w:rsid w:val="002F11FA"/>
    <w:rsid w:val="002F144D"/>
    <w:rsid w:val="002F1FFC"/>
    <w:rsid w:val="002F24A4"/>
    <w:rsid w:val="002F26F5"/>
    <w:rsid w:val="002F2CCB"/>
    <w:rsid w:val="002F3083"/>
    <w:rsid w:val="002F3272"/>
    <w:rsid w:val="002F385A"/>
    <w:rsid w:val="002F3929"/>
    <w:rsid w:val="002F4D56"/>
    <w:rsid w:val="002F4FDE"/>
    <w:rsid w:val="002F5A56"/>
    <w:rsid w:val="002F63BC"/>
    <w:rsid w:val="002F668B"/>
    <w:rsid w:val="002F69F8"/>
    <w:rsid w:val="002F6A72"/>
    <w:rsid w:val="002F6CEB"/>
    <w:rsid w:val="0030018F"/>
    <w:rsid w:val="00300FE1"/>
    <w:rsid w:val="00301D79"/>
    <w:rsid w:val="00302791"/>
    <w:rsid w:val="00302829"/>
    <w:rsid w:val="00303285"/>
    <w:rsid w:val="003035E3"/>
    <w:rsid w:val="0030484B"/>
    <w:rsid w:val="00304B26"/>
    <w:rsid w:val="00304E3E"/>
    <w:rsid w:val="00304F7F"/>
    <w:rsid w:val="003054FE"/>
    <w:rsid w:val="00306195"/>
    <w:rsid w:val="003063C2"/>
    <w:rsid w:val="00306F2C"/>
    <w:rsid w:val="003076B8"/>
    <w:rsid w:val="003105BB"/>
    <w:rsid w:val="00310651"/>
    <w:rsid w:val="00311094"/>
    <w:rsid w:val="0031156A"/>
    <w:rsid w:val="00311739"/>
    <w:rsid w:val="00311C79"/>
    <w:rsid w:val="00312051"/>
    <w:rsid w:val="00312993"/>
    <w:rsid w:val="00312B14"/>
    <w:rsid w:val="00312EB0"/>
    <w:rsid w:val="003143DE"/>
    <w:rsid w:val="003148C6"/>
    <w:rsid w:val="00315A69"/>
    <w:rsid w:val="00316737"/>
    <w:rsid w:val="003169EA"/>
    <w:rsid w:val="00316BE0"/>
    <w:rsid w:val="00316FEF"/>
    <w:rsid w:val="003171FF"/>
    <w:rsid w:val="00317446"/>
    <w:rsid w:val="003174F9"/>
    <w:rsid w:val="003212DA"/>
    <w:rsid w:val="00322D11"/>
    <w:rsid w:val="003238C8"/>
    <w:rsid w:val="00323F0E"/>
    <w:rsid w:val="0032565A"/>
    <w:rsid w:val="003267E2"/>
    <w:rsid w:val="00326841"/>
    <w:rsid w:val="00326B19"/>
    <w:rsid w:val="00326D04"/>
    <w:rsid w:val="00326E9C"/>
    <w:rsid w:val="00327176"/>
    <w:rsid w:val="00327C07"/>
    <w:rsid w:val="00327C9F"/>
    <w:rsid w:val="00330B53"/>
    <w:rsid w:val="0033268C"/>
    <w:rsid w:val="00332790"/>
    <w:rsid w:val="003327C2"/>
    <w:rsid w:val="00333050"/>
    <w:rsid w:val="0033494C"/>
    <w:rsid w:val="00334F1B"/>
    <w:rsid w:val="003357FB"/>
    <w:rsid w:val="0033692B"/>
    <w:rsid w:val="00336D40"/>
    <w:rsid w:val="003372B5"/>
    <w:rsid w:val="0033769E"/>
    <w:rsid w:val="00337AC6"/>
    <w:rsid w:val="00337B3F"/>
    <w:rsid w:val="003406CF"/>
    <w:rsid w:val="0034088C"/>
    <w:rsid w:val="00340E41"/>
    <w:rsid w:val="0034298B"/>
    <w:rsid w:val="00344035"/>
    <w:rsid w:val="003440FA"/>
    <w:rsid w:val="00344590"/>
    <w:rsid w:val="00345402"/>
    <w:rsid w:val="00345766"/>
    <w:rsid w:val="00350872"/>
    <w:rsid w:val="00350D80"/>
    <w:rsid w:val="00350E4A"/>
    <w:rsid w:val="003511D0"/>
    <w:rsid w:val="00351BA8"/>
    <w:rsid w:val="00352717"/>
    <w:rsid w:val="003529BD"/>
    <w:rsid w:val="00353B45"/>
    <w:rsid w:val="0035467E"/>
    <w:rsid w:val="00355AF8"/>
    <w:rsid w:val="00356EFD"/>
    <w:rsid w:val="0036077E"/>
    <w:rsid w:val="00360D3B"/>
    <w:rsid w:val="00361979"/>
    <w:rsid w:val="003624EB"/>
    <w:rsid w:val="00362692"/>
    <w:rsid w:val="0036366F"/>
    <w:rsid w:val="00363A40"/>
    <w:rsid w:val="00363AD4"/>
    <w:rsid w:val="003670F6"/>
    <w:rsid w:val="003675E8"/>
    <w:rsid w:val="0037198F"/>
    <w:rsid w:val="00371B9B"/>
    <w:rsid w:val="003720D3"/>
    <w:rsid w:val="003722B4"/>
    <w:rsid w:val="0037262B"/>
    <w:rsid w:val="00372C58"/>
    <w:rsid w:val="00372DFF"/>
    <w:rsid w:val="0037348F"/>
    <w:rsid w:val="00375FEE"/>
    <w:rsid w:val="0037657C"/>
    <w:rsid w:val="00376C1C"/>
    <w:rsid w:val="00377217"/>
    <w:rsid w:val="003778E5"/>
    <w:rsid w:val="0038028A"/>
    <w:rsid w:val="00380673"/>
    <w:rsid w:val="00381022"/>
    <w:rsid w:val="00381986"/>
    <w:rsid w:val="00381D46"/>
    <w:rsid w:val="00381D9D"/>
    <w:rsid w:val="00381F26"/>
    <w:rsid w:val="0038269A"/>
    <w:rsid w:val="003847E6"/>
    <w:rsid w:val="00384A08"/>
    <w:rsid w:val="003853FA"/>
    <w:rsid w:val="003863A2"/>
    <w:rsid w:val="00387D50"/>
    <w:rsid w:val="00390227"/>
    <w:rsid w:val="003915E3"/>
    <w:rsid w:val="00391984"/>
    <w:rsid w:val="00391B20"/>
    <w:rsid w:val="00392ABD"/>
    <w:rsid w:val="00393094"/>
    <w:rsid w:val="00393AD4"/>
    <w:rsid w:val="00393C20"/>
    <w:rsid w:val="00393F66"/>
    <w:rsid w:val="003943AF"/>
    <w:rsid w:val="00395E9F"/>
    <w:rsid w:val="00395F88"/>
    <w:rsid w:val="003964DE"/>
    <w:rsid w:val="003A08C5"/>
    <w:rsid w:val="003A0DE5"/>
    <w:rsid w:val="003A1C9E"/>
    <w:rsid w:val="003A2155"/>
    <w:rsid w:val="003A2685"/>
    <w:rsid w:val="003A2B0A"/>
    <w:rsid w:val="003A3038"/>
    <w:rsid w:val="003A5023"/>
    <w:rsid w:val="003A5478"/>
    <w:rsid w:val="003A6BEB"/>
    <w:rsid w:val="003A6C5D"/>
    <w:rsid w:val="003A6F6F"/>
    <w:rsid w:val="003A7B6B"/>
    <w:rsid w:val="003B0D78"/>
    <w:rsid w:val="003B18D0"/>
    <w:rsid w:val="003B19F7"/>
    <w:rsid w:val="003B4214"/>
    <w:rsid w:val="003B4DD4"/>
    <w:rsid w:val="003B4E54"/>
    <w:rsid w:val="003B5644"/>
    <w:rsid w:val="003B578C"/>
    <w:rsid w:val="003B59AA"/>
    <w:rsid w:val="003B59FD"/>
    <w:rsid w:val="003B5F6A"/>
    <w:rsid w:val="003B63C2"/>
    <w:rsid w:val="003C03E4"/>
    <w:rsid w:val="003C12E5"/>
    <w:rsid w:val="003C17F6"/>
    <w:rsid w:val="003C1B0F"/>
    <w:rsid w:val="003C218C"/>
    <w:rsid w:val="003C23D2"/>
    <w:rsid w:val="003C2C21"/>
    <w:rsid w:val="003C351C"/>
    <w:rsid w:val="003C3B9E"/>
    <w:rsid w:val="003C4323"/>
    <w:rsid w:val="003C5034"/>
    <w:rsid w:val="003C5788"/>
    <w:rsid w:val="003C598D"/>
    <w:rsid w:val="003C5F87"/>
    <w:rsid w:val="003C6898"/>
    <w:rsid w:val="003C7213"/>
    <w:rsid w:val="003C7FC4"/>
    <w:rsid w:val="003D0C95"/>
    <w:rsid w:val="003D0EEE"/>
    <w:rsid w:val="003D1C18"/>
    <w:rsid w:val="003D1C53"/>
    <w:rsid w:val="003D2939"/>
    <w:rsid w:val="003D2A1A"/>
    <w:rsid w:val="003D2A7E"/>
    <w:rsid w:val="003D2DA7"/>
    <w:rsid w:val="003D3A1E"/>
    <w:rsid w:val="003D3FAF"/>
    <w:rsid w:val="003D61AB"/>
    <w:rsid w:val="003D6293"/>
    <w:rsid w:val="003D6585"/>
    <w:rsid w:val="003E0E3A"/>
    <w:rsid w:val="003E0EB5"/>
    <w:rsid w:val="003E161E"/>
    <w:rsid w:val="003E18CA"/>
    <w:rsid w:val="003E1AC0"/>
    <w:rsid w:val="003E1DFA"/>
    <w:rsid w:val="003E225B"/>
    <w:rsid w:val="003E2547"/>
    <w:rsid w:val="003E3EA3"/>
    <w:rsid w:val="003E45F9"/>
    <w:rsid w:val="003E4D19"/>
    <w:rsid w:val="003E573B"/>
    <w:rsid w:val="003E5B78"/>
    <w:rsid w:val="003E5DB5"/>
    <w:rsid w:val="003E71C9"/>
    <w:rsid w:val="003F1D74"/>
    <w:rsid w:val="003F1F1A"/>
    <w:rsid w:val="003F20C3"/>
    <w:rsid w:val="003F21BE"/>
    <w:rsid w:val="003F22A7"/>
    <w:rsid w:val="003F2A47"/>
    <w:rsid w:val="003F2F39"/>
    <w:rsid w:val="003F3002"/>
    <w:rsid w:val="003F340C"/>
    <w:rsid w:val="003F429D"/>
    <w:rsid w:val="003F4C43"/>
    <w:rsid w:val="003F4C6E"/>
    <w:rsid w:val="003F566D"/>
    <w:rsid w:val="003F5DBD"/>
    <w:rsid w:val="003F7499"/>
    <w:rsid w:val="003F779F"/>
    <w:rsid w:val="003F7A13"/>
    <w:rsid w:val="003F7B9C"/>
    <w:rsid w:val="0040034B"/>
    <w:rsid w:val="0040078B"/>
    <w:rsid w:val="0040097E"/>
    <w:rsid w:val="00401341"/>
    <w:rsid w:val="004027F0"/>
    <w:rsid w:val="00403DBA"/>
    <w:rsid w:val="004048A6"/>
    <w:rsid w:val="00406313"/>
    <w:rsid w:val="00406D1D"/>
    <w:rsid w:val="00406F15"/>
    <w:rsid w:val="00407A8F"/>
    <w:rsid w:val="00410165"/>
    <w:rsid w:val="00410726"/>
    <w:rsid w:val="00411276"/>
    <w:rsid w:val="00411B5F"/>
    <w:rsid w:val="00411D82"/>
    <w:rsid w:val="00412F71"/>
    <w:rsid w:val="0041419F"/>
    <w:rsid w:val="00414E2E"/>
    <w:rsid w:val="00415C93"/>
    <w:rsid w:val="004164F3"/>
    <w:rsid w:val="00416975"/>
    <w:rsid w:val="004169F9"/>
    <w:rsid w:val="00416C12"/>
    <w:rsid w:val="00417393"/>
    <w:rsid w:val="0041747D"/>
    <w:rsid w:val="00417C1F"/>
    <w:rsid w:val="00417DFD"/>
    <w:rsid w:val="0042244C"/>
    <w:rsid w:val="00422662"/>
    <w:rsid w:val="00423149"/>
    <w:rsid w:val="00423630"/>
    <w:rsid w:val="00423661"/>
    <w:rsid w:val="00423D3F"/>
    <w:rsid w:val="0042452E"/>
    <w:rsid w:val="00424859"/>
    <w:rsid w:val="0042556A"/>
    <w:rsid w:val="00425600"/>
    <w:rsid w:val="004259AA"/>
    <w:rsid w:val="00425A20"/>
    <w:rsid w:val="00425B20"/>
    <w:rsid w:val="00426A16"/>
    <w:rsid w:val="00426DDF"/>
    <w:rsid w:val="00427F91"/>
    <w:rsid w:val="00430373"/>
    <w:rsid w:val="004303E5"/>
    <w:rsid w:val="00430D16"/>
    <w:rsid w:val="00430D30"/>
    <w:rsid w:val="004316A3"/>
    <w:rsid w:val="00431ACB"/>
    <w:rsid w:val="00432161"/>
    <w:rsid w:val="00432735"/>
    <w:rsid w:val="00432FCA"/>
    <w:rsid w:val="00433661"/>
    <w:rsid w:val="00433970"/>
    <w:rsid w:val="00433F92"/>
    <w:rsid w:val="0043429A"/>
    <w:rsid w:val="00435DF1"/>
    <w:rsid w:val="00435FF6"/>
    <w:rsid w:val="00436C28"/>
    <w:rsid w:val="00437480"/>
    <w:rsid w:val="0043792F"/>
    <w:rsid w:val="0044003F"/>
    <w:rsid w:val="00440E59"/>
    <w:rsid w:val="00441909"/>
    <w:rsid w:val="00442315"/>
    <w:rsid w:val="00442B6C"/>
    <w:rsid w:val="00443037"/>
    <w:rsid w:val="00443766"/>
    <w:rsid w:val="00443BA6"/>
    <w:rsid w:val="00445793"/>
    <w:rsid w:val="00445EC4"/>
    <w:rsid w:val="004463D5"/>
    <w:rsid w:val="0044677D"/>
    <w:rsid w:val="004469A1"/>
    <w:rsid w:val="00446B92"/>
    <w:rsid w:val="00446F7E"/>
    <w:rsid w:val="0044789A"/>
    <w:rsid w:val="00447CFA"/>
    <w:rsid w:val="004508E8"/>
    <w:rsid w:val="00451094"/>
    <w:rsid w:val="004515AF"/>
    <w:rsid w:val="0045162C"/>
    <w:rsid w:val="004526FE"/>
    <w:rsid w:val="00452BB3"/>
    <w:rsid w:val="00453435"/>
    <w:rsid w:val="004535B5"/>
    <w:rsid w:val="00453D02"/>
    <w:rsid w:val="00454A91"/>
    <w:rsid w:val="00454AC2"/>
    <w:rsid w:val="00456194"/>
    <w:rsid w:val="004570DF"/>
    <w:rsid w:val="004574E3"/>
    <w:rsid w:val="00457847"/>
    <w:rsid w:val="00457D32"/>
    <w:rsid w:val="00460A35"/>
    <w:rsid w:val="0046149C"/>
    <w:rsid w:val="004614CA"/>
    <w:rsid w:val="00461EA9"/>
    <w:rsid w:val="00462BCB"/>
    <w:rsid w:val="0046318F"/>
    <w:rsid w:val="004631CE"/>
    <w:rsid w:val="00463313"/>
    <w:rsid w:val="00463493"/>
    <w:rsid w:val="00463994"/>
    <w:rsid w:val="00463BE1"/>
    <w:rsid w:val="00464825"/>
    <w:rsid w:val="00465B9F"/>
    <w:rsid w:val="00465D33"/>
    <w:rsid w:val="00467583"/>
    <w:rsid w:val="004717C5"/>
    <w:rsid w:val="00471CAB"/>
    <w:rsid w:val="004720CE"/>
    <w:rsid w:val="004727D7"/>
    <w:rsid w:val="00472854"/>
    <w:rsid w:val="0047356B"/>
    <w:rsid w:val="00473CE3"/>
    <w:rsid w:val="00474B87"/>
    <w:rsid w:val="00475001"/>
    <w:rsid w:val="004753E0"/>
    <w:rsid w:val="00475D00"/>
    <w:rsid w:val="00476BC9"/>
    <w:rsid w:val="00477969"/>
    <w:rsid w:val="0048030B"/>
    <w:rsid w:val="004805F3"/>
    <w:rsid w:val="00480CA7"/>
    <w:rsid w:val="004819B8"/>
    <w:rsid w:val="00481CAB"/>
    <w:rsid w:val="004821C1"/>
    <w:rsid w:val="00482281"/>
    <w:rsid w:val="00482496"/>
    <w:rsid w:val="00482E1B"/>
    <w:rsid w:val="00484FF4"/>
    <w:rsid w:val="00485706"/>
    <w:rsid w:val="00485893"/>
    <w:rsid w:val="0048601F"/>
    <w:rsid w:val="00487D79"/>
    <w:rsid w:val="0049147B"/>
    <w:rsid w:val="004916FE"/>
    <w:rsid w:val="004918FF"/>
    <w:rsid w:val="00492A21"/>
    <w:rsid w:val="00493259"/>
    <w:rsid w:val="0049331C"/>
    <w:rsid w:val="00493512"/>
    <w:rsid w:val="00493DDC"/>
    <w:rsid w:val="00494C21"/>
    <w:rsid w:val="004954B0"/>
    <w:rsid w:val="004957CE"/>
    <w:rsid w:val="004961BF"/>
    <w:rsid w:val="0049678B"/>
    <w:rsid w:val="004968E4"/>
    <w:rsid w:val="004968FB"/>
    <w:rsid w:val="00496B64"/>
    <w:rsid w:val="00496E23"/>
    <w:rsid w:val="004975C8"/>
    <w:rsid w:val="00497654"/>
    <w:rsid w:val="004A08C2"/>
    <w:rsid w:val="004A0A77"/>
    <w:rsid w:val="004A13D7"/>
    <w:rsid w:val="004A1B5B"/>
    <w:rsid w:val="004A3B18"/>
    <w:rsid w:val="004A3C08"/>
    <w:rsid w:val="004A3CF3"/>
    <w:rsid w:val="004A4422"/>
    <w:rsid w:val="004A4DDB"/>
    <w:rsid w:val="004A4EF3"/>
    <w:rsid w:val="004A5461"/>
    <w:rsid w:val="004A57BD"/>
    <w:rsid w:val="004A71F1"/>
    <w:rsid w:val="004A72A9"/>
    <w:rsid w:val="004A738E"/>
    <w:rsid w:val="004A76F2"/>
    <w:rsid w:val="004A778B"/>
    <w:rsid w:val="004A7BD3"/>
    <w:rsid w:val="004B0005"/>
    <w:rsid w:val="004B1AEC"/>
    <w:rsid w:val="004B389F"/>
    <w:rsid w:val="004B3F84"/>
    <w:rsid w:val="004B46B7"/>
    <w:rsid w:val="004B5033"/>
    <w:rsid w:val="004B5BD4"/>
    <w:rsid w:val="004B62B5"/>
    <w:rsid w:val="004B68FF"/>
    <w:rsid w:val="004B6A47"/>
    <w:rsid w:val="004B6CB3"/>
    <w:rsid w:val="004B6EC7"/>
    <w:rsid w:val="004B7878"/>
    <w:rsid w:val="004B7977"/>
    <w:rsid w:val="004B7CC6"/>
    <w:rsid w:val="004C06BC"/>
    <w:rsid w:val="004C0883"/>
    <w:rsid w:val="004C1345"/>
    <w:rsid w:val="004C15EC"/>
    <w:rsid w:val="004C1A48"/>
    <w:rsid w:val="004C25E9"/>
    <w:rsid w:val="004C2E65"/>
    <w:rsid w:val="004C331A"/>
    <w:rsid w:val="004C347A"/>
    <w:rsid w:val="004C3B2B"/>
    <w:rsid w:val="004C3FBF"/>
    <w:rsid w:val="004C4496"/>
    <w:rsid w:val="004C4765"/>
    <w:rsid w:val="004C47BC"/>
    <w:rsid w:val="004C4FDE"/>
    <w:rsid w:val="004C646B"/>
    <w:rsid w:val="004C7023"/>
    <w:rsid w:val="004C7D80"/>
    <w:rsid w:val="004D04B2"/>
    <w:rsid w:val="004D0775"/>
    <w:rsid w:val="004D24EA"/>
    <w:rsid w:val="004D2AEF"/>
    <w:rsid w:val="004D3729"/>
    <w:rsid w:val="004D37F5"/>
    <w:rsid w:val="004D380E"/>
    <w:rsid w:val="004D443C"/>
    <w:rsid w:val="004D4821"/>
    <w:rsid w:val="004D594C"/>
    <w:rsid w:val="004D6821"/>
    <w:rsid w:val="004D6BBF"/>
    <w:rsid w:val="004D7B09"/>
    <w:rsid w:val="004D7E5B"/>
    <w:rsid w:val="004D7F67"/>
    <w:rsid w:val="004E0343"/>
    <w:rsid w:val="004E10FC"/>
    <w:rsid w:val="004E28FF"/>
    <w:rsid w:val="004E2C28"/>
    <w:rsid w:val="004E2EC4"/>
    <w:rsid w:val="004E316E"/>
    <w:rsid w:val="004E31E4"/>
    <w:rsid w:val="004E356F"/>
    <w:rsid w:val="004E3874"/>
    <w:rsid w:val="004E421A"/>
    <w:rsid w:val="004E426C"/>
    <w:rsid w:val="004E48C2"/>
    <w:rsid w:val="004E4A19"/>
    <w:rsid w:val="004E6093"/>
    <w:rsid w:val="004E70F6"/>
    <w:rsid w:val="004E7359"/>
    <w:rsid w:val="004F0635"/>
    <w:rsid w:val="004F16CD"/>
    <w:rsid w:val="004F1BB7"/>
    <w:rsid w:val="004F21D7"/>
    <w:rsid w:val="004F34B8"/>
    <w:rsid w:val="004F6304"/>
    <w:rsid w:val="004F6FD5"/>
    <w:rsid w:val="004F735A"/>
    <w:rsid w:val="004F7470"/>
    <w:rsid w:val="004F7BED"/>
    <w:rsid w:val="00500834"/>
    <w:rsid w:val="005009B8"/>
    <w:rsid w:val="00500EF2"/>
    <w:rsid w:val="00501806"/>
    <w:rsid w:val="00501EEE"/>
    <w:rsid w:val="005020F2"/>
    <w:rsid w:val="00502EB6"/>
    <w:rsid w:val="00503265"/>
    <w:rsid w:val="00503270"/>
    <w:rsid w:val="0050350D"/>
    <w:rsid w:val="00504CAC"/>
    <w:rsid w:val="00504CB0"/>
    <w:rsid w:val="00504F71"/>
    <w:rsid w:val="00505B90"/>
    <w:rsid w:val="00505D6C"/>
    <w:rsid w:val="00506790"/>
    <w:rsid w:val="00506C31"/>
    <w:rsid w:val="00507A34"/>
    <w:rsid w:val="00507C55"/>
    <w:rsid w:val="00507C7C"/>
    <w:rsid w:val="005103DF"/>
    <w:rsid w:val="0051082C"/>
    <w:rsid w:val="0051235E"/>
    <w:rsid w:val="00514376"/>
    <w:rsid w:val="00515B98"/>
    <w:rsid w:val="00515D95"/>
    <w:rsid w:val="0051618B"/>
    <w:rsid w:val="0051708B"/>
    <w:rsid w:val="00520B5C"/>
    <w:rsid w:val="00521795"/>
    <w:rsid w:val="005217CD"/>
    <w:rsid w:val="00521C20"/>
    <w:rsid w:val="00522555"/>
    <w:rsid w:val="005229B2"/>
    <w:rsid w:val="00522A66"/>
    <w:rsid w:val="005233E3"/>
    <w:rsid w:val="005239A2"/>
    <w:rsid w:val="00523A29"/>
    <w:rsid w:val="00523BC2"/>
    <w:rsid w:val="005241A7"/>
    <w:rsid w:val="0052427C"/>
    <w:rsid w:val="00526A8D"/>
    <w:rsid w:val="00526E05"/>
    <w:rsid w:val="0052720A"/>
    <w:rsid w:val="0052743F"/>
    <w:rsid w:val="00527FC0"/>
    <w:rsid w:val="005312CA"/>
    <w:rsid w:val="005312E0"/>
    <w:rsid w:val="00531A36"/>
    <w:rsid w:val="00531B5E"/>
    <w:rsid w:val="00531E1C"/>
    <w:rsid w:val="0053219F"/>
    <w:rsid w:val="00532889"/>
    <w:rsid w:val="00532B62"/>
    <w:rsid w:val="0053371B"/>
    <w:rsid w:val="00533831"/>
    <w:rsid w:val="0053460E"/>
    <w:rsid w:val="00534ABD"/>
    <w:rsid w:val="00536FBF"/>
    <w:rsid w:val="00540490"/>
    <w:rsid w:val="005409FC"/>
    <w:rsid w:val="00540A55"/>
    <w:rsid w:val="00541373"/>
    <w:rsid w:val="005416DF"/>
    <w:rsid w:val="005416F9"/>
    <w:rsid w:val="00541823"/>
    <w:rsid w:val="00541948"/>
    <w:rsid w:val="0054208F"/>
    <w:rsid w:val="00543B60"/>
    <w:rsid w:val="00543E5C"/>
    <w:rsid w:val="0054406F"/>
    <w:rsid w:val="0054414D"/>
    <w:rsid w:val="005446D6"/>
    <w:rsid w:val="005458CB"/>
    <w:rsid w:val="00545F94"/>
    <w:rsid w:val="00546267"/>
    <w:rsid w:val="00546DEA"/>
    <w:rsid w:val="00547F09"/>
    <w:rsid w:val="00550219"/>
    <w:rsid w:val="00550226"/>
    <w:rsid w:val="00550579"/>
    <w:rsid w:val="00550C4D"/>
    <w:rsid w:val="00550F2B"/>
    <w:rsid w:val="00551E6C"/>
    <w:rsid w:val="00552025"/>
    <w:rsid w:val="005522A5"/>
    <w:rsid w:val="00553435"/>
    <w:rsid w:val="005535DD"/>
    <w:rsid w:val="00553EEC"/>
    <w:rsid w:val="005543EA"/>
    <w:rsid w:val="00554E4F"/>
    <w:rsid w:val="00554F21"/>
    <w:rsid w:val="005550CF"/>
    <w:rsid w:val="00555159"/>
    <w:rsid w:val="005556BB"/>
    <w:rsid w:val="0055584C"/>
    <w:rsid w:val="00555862"/>
    <w:rsid w:val="00555E73"/>
    <w:rsid w:val="005561CD"/>
    <w:rsid w:val="005564F3"/>
    <w:rsid w:val="0055740C"/>
    <w:rsid w:val="0055750C"/>
    <w:rsid w:val="00557E18"/>
    <w:rsid w:val="00557E2C"/>
    <w:rsid w:val="005603D5"/>
    <w:rsid w:val="0056093B"/>
    <w:rsid w:val="00560B5B"/>
    <w:rsid w:val="00560E77"/>
    <w:rsid w:val="00563C24"/>
    <w:rsid w:val="00564820"/>
    <w:rsid w:val="005651D0"/>
    <w:rsid w:val="005652E9"/>
    <w:rsid w:val="005656AC"/>
    <w:rsid w:val="005657DC"/>
    <w:rsid w:val="0056590B"/>
    <w:rsid w:val="00565F50"/>
    <w:rsid w:val="00567B69"/>
    <w:rsid w:val="00570C83"/>
    <w:rsid w:val="00570DE6"/>
    <w:rsid w:val="00571A7A"/>
    <w:rsid w:val="005722FD"/>
    <w:rsid w:val="0057281F"/>
    <w:rsid w:val="005731A6"/>
    <w:rsid w:val="005731C3"/>
    <w:rsid w:val="0057371B"/>
    <w:rsid w:val="005741A1"/>
    <w:rsid w:val="005748EC"/>
    <w:rsid w:val="005759D4"/>
    <w:rsid w:val="00575AD7"/>
    <w:rsid w:val="0057699A"/>
    <w:rsid w:val="00576A01"/>
    <w:rsid w:val="00577F02"/>
    <w:rsid w:val="00580126"/>
    <w:rsid w:val="0058041F"/>
    <w:rsid w:val="00580AB7"/>
    <w:rsid w:val="00580F29"/>
    <w:rsid w:val="00580F8A"/>
    <w:rsid w:val="00581211"/>
    <w:rsid w:val="00583204"/>
    <w:rsid w:val="00583390"/>
    <w:rsid w:val="00583C65"/>
    <w:rsid w:val="00583F81"/>
    <w:rsid w:val="005840C2"/>
    <w:rsid w:val="00584373"/>
    <w:rsid w:val="0058483C"/>
    <w:rsid w:val="00585446"/>
    <w:rsid w:val="00586001"/>
    <w:rsid w:val="005865F4"/>
    <w:rsid w:val="00586FE8"/>
    <w:rsid w:val="00590F73"/>
    <w:rsid w:val="00591C14"/>
    <w:rsid w:val="00591C52"/>
    <w:rsid w:val="00591C5B"/>
    <w:rsid w:val="00591F2F"/>
    <w:rsid w:val="005922ED"/>
    <w:rsid w:val="00592952"/>
    <w:rsid w:val="005946F1"/>
    <w:rsid w:val="00594878"/>
    <w:rsid w:val="00594B46"/>
    <w:rsid w:val="00594CEC"/>
    <w:rsid w:val="00594D02"/>
    <w:rsid w:val="0059618B"/>
    <w:rsid w:val="00596CD1"/>
    <w:rsid w:val="00596E79"/>
    <w:rsid w:val="005A0844"/>
    <w:rsid w:val="005A1117"/>
    <w:rsid w:val="005A20F9"/>
    <w:rsid w:val="005A23E8"/>
    <w:rsid w:val="005A2620"/>
    <w:rsid w:val="005A299F"/>
    <w:rsid w:val="005A3DB4"/>
    <w:rsid w:val="005A534A"/>
    <w:rsid w:val="005A673B"/>
    <w:rsid w:val="005A6A44"/>
    <w:rsid w:val="005A6D42"/>
    <w:rsid w:val="005A7922"/>
    <w:rsid w:val="005B0117"/>
    <w:rsid w:val="005B088E"/>
    <w:rsid w:val="005B12A8"/>
    <w:rsid w:val="005B1C27"/>
    <w:rsid w:val="005B4260"/>
    <w:rsid w:val="005B449E"/>
    <w:rsid w:val="005B5762"/>
    <w:rsid w:val="005B5BD1"/>
    <w:rsid w:val="005B78E2"/>
    <w:rsid w:val="005B7BA3"/>
    <w:rsid w:val="005C06BF"/>
    <w:rsid w:val="005C0D6E"/>
    <w:rsid w:val="005C13AB"/>
    <w:rsid w:val="005C1566"/>
    <w:rsid w:val="005C1976"/>
    <w:rsid w:val="005C2181"/>
    <w:rsid w:val="005C2328"/>
    <w:rsid w:val="005C2927"/>
    <w:rsid w:val="005C38AA"/>
    <w:rsid w:val="005C3A26"/>
    <w:rsid w:val="005C3CA8"/>
    <w:rsid w:val="005C49D3"/>
    <w:rsid w:val="005C4DB3"/>
    <w:rsid w:val="005C5130"/>
    <w:rsid w:val="005C60E3"/>
    <w:rsid w:val="005D09D1"/>
    <w:rsid w:val="005D0ECE"/>
    <w:rsid w:val="005D104D"/>
    <w:rsid w:val="005D134E"/>
    <w:rsid w:val="005D18BA"/>
    <w:rsid w:val="005D1DAD"/>
    <w:rsid w:val="005D2491"/>
    <w:rsid w:val="005D2894"/>
    <w:rsid w:val="005D44A9"/>
    <w:rsid w:val="005D4FCD"/>
    <w:rsid w:val="005D5AC6"/>
    <w:rsid w:val="005D613E"/>
    <w:rsid w:val="005D72C7"/>
    <w:rsid w:val="005E023D"/>
    <w:rsid w:val="005E0330"/>
    <w:rsid w:val="005E05FA"/>
    <w:rsid w:val="005E14C5"/>
    <w:rsid w:val="005E1C38"/>
    <w:rsid w:val="005E20B3"/>
    <w:rsid w:val="005E22E3"/>
    <w:rsid w:val="005E2300"/>
    <w:rsid w:val="005E29E6"/>
    <w:rsid w:val="005E2A19"/>
    <w:rsid w:val="005E4078"/>
    <w:rsid w:val="005E41CD"/>
    <w:rsid w:val="005E50E6"/>
    <w:rsid w:val="005E5B8A"/>
    <w:rsid w:val="005E72A7"/>
    <w:rsid w:val="005E773C"/>
    <w:rsid w:val="005F05BC"/>
    <w:rsid w:val="005F0984"/>
    <w:rsid w:val="005F0D57"/>
    <w:rsid w:val="005F0DF3"/>
    <w:rsid w:val="005F164D"/>
    <w:rsid w:val="005F191A"/>
    <w:rsid w:val="005F27C8"/>
    <w:rsid w:val="005F3452"/>
    <w:rsid w:val="005F46A5"/>
    <w:rsid w:val="005F4D30"/>
    <w:rsid w:val="005F6D2A"/>
    <w:rsid w:val="00600BEC"/>
    <w:rsid w:val="00600F5B"/>
    <w:rsid w:val="00600FE3"/>
    <w:rsid w:val="00603136"/>
    <w:rsid w:val="00603F1D"/>
    <w:rsid w:val="00604089"/>
    <w:rsid w:val="00604BF6"/>
    <w:rsid w:val="00604E07"/>
    <w:rsid w:val="006060E3"/>
    <w:rsid w:val="006074B2"/>
    <w:rsid w:val="00607626"/>
    <w:rsid w:val="00607E21"/>
    <w:rsid w:val="00611217"/>
    <w:rsid w:val="0061164B"/>
    <w:rsid w:val="00611895"/>
    <w:rsid w:val="00612DE3"/>
    <w:rsid w:val="00612E62"/>
    <w:rsid w:val="006146FC"/>
    <w:rsid w:val="006157BD"/>
    <w:rsid w:val="006157FC"/>
    <w:rsid w:val="00616337"/>
    <w:rsid w:val="006170BC"/>
    <w:rsid w:val="00617C4C"/>
    <w:rsid w:val="00617FA9"/>
    <w:rsid w:val="00620040"/>
    <w:rsid w:val="00620729"/>
    <w:rsid w:val="00621A0F"/>
    <w:rsid w:val="00622B75"/>
    <w:rsid w:val="00623127"/>
    <w:rsid w:val="0062383A"/>
    <w:rsid w:val="00623877"/>
    <w:rsid w:val="0062399C"/>
    <w:rsid w:val="00623A6A"/>
    <w:rsid w:val="0062422D"/>
    <w:rsid w:val="00624704"/>
    <w:rsid w:val="00624BF5"/>
    <w:rsid w:val="006251E9"/>
    <w:rsid w:val="00625208"/>
    <w:rsid w:val="00625517"/>
    <w:rsid w:val="006260E8"/>
    <w:rsid w:val="006269A1"/>
    <w:rsid w:val="0062745B"/>
    <w:rsid w:val="006300BB"/>
    <w:rsid w:val="00631571"/>
    <w:rsid w:val="006320CB"/>
    <w:rsid w:val="0063224D"/>
    <w:rsid w:val="00632D4D"/>
    <w:rsid w:val="00632F7E"/>
    <w:rsid w:val="006330F0"/>
    <w:rsid w:val="006337BE"/>
    <w:rsid w:val="00633D1D"/>
    <w:rsid w:val="00635EAD"/>
    <w:rsid w:val="00636360"/>
    <w:rsid w:val="006374B8"/>
    <w:rsid w:val="00637BAA"/>
    <w:rsid w:val="00637FBA"/>
    <w:rsid w:val="006400E4"/>
    <w:rsid w:val="00640487"/>
    <w:rsid w:val="00641CA0"/>
    <w:rsid w:val="00642B70"/>
    <w:rsid w:val="00645EF6"/>
    <w:rsid w:val="00647726"/>
    <w:rsid w:val="00647B86"/>
    <w:rsid w:val="00647E60"/>
    <w:rsid w:val="00651062"/>
    <w:rsid w:val="00651932"/>
    <w:rsid w:val="0065230D"/>
    <w:rsid w:val="0065291A"/>
    <w:rsid w:val="00652A00"/>
    <w:rsid w:val="00652A79"/>
    <w:rsid w:val="0065412A"/>
    <w:rsid w:val="00654B3D"/>
    <w:rsid w:val="006559E0"/>
    <w:rsid w:val="006570CD"/>
    <w:rsid w:val="0066039D"/>
    <w:rsid w:val="00660E9F"/>
    <w:rsid w:val="0066193B"/>
    <w:rsid w:val="00661B7C"/>
    <w:rsid w:val="0066275D"/>
    <w:rsid w:val="006633BB"/>
    <w:rsid w:val="00663A38"/>
    <w:rsid w:val="00663D03"/>
    <w:rsid w:val="00664776"/>
    <w:rsid w:val="00665EFA"/>
    <w:rsid w:val="00665F76"/>
    <w:rsid w:val="006660A3"/>
    <w:rsid w:val="0066691E"/>
    <w:rsid w:val="00666E29"/>
    <w:rsid w:val="006671A2"/>
    <w:rsid w:val="00667923"/>
    <w:rsid w:val="00671336"/>
    <w:rsid w:val="006716BE"/>
    <w:rsid w:val="00671A9F"/>
    <w:rsid w:val="00671ECA"/>
    <w:rsid w:val="0067202E"/>
    <w:rsid w:val="006737B3"/>
    <w:rsid w:val="006746DA"/>
    <w:rsid w:val="00674D60"/>
    <w:rsid w:val="00675E51"/>
    <w:rsid w:val="00676860"/>
    <w:rsid w:val="00677AB0"/>
    <w:rsid w:val="00681119"/>
    <w:rsid w:val="0068165B"/>
    <w:rsid w:val="00682A91"/>
    <w:rsid w:val="00682B91"/>
    <w:rsid w:val="006834B2"/>
    <w:rsid w:val="006838CC"/>
    <w:rsid w:val="0068418E"/>
    <w:rsid w:val="00684E40"/>
    <w:rsid w:val="00686420"/>
    <w:rsid w:val="00687638"/>
    <w:rsid w:val="00687DD3"/>
    <w:rsid w:val="006900E8"/>
    <w:rsid w:val="00692FC6"/>
    <w:rsid w:val="00693511"/>
    <w:rsid w:val="006939A6"/>
    <w:rsid w:val="00693B33"/>
    <w:rsid w:val="006942B3"/>
    <w:rsid w:val="00694304"/>
    <w:rsid w:val="00694423"/>
    <w:rsid w:val="006948B8"/>
    <w:rsid w:val="00694D52"/>
    <w:rsid w:val="00695E8B"/>
    <w:rsid w:val="00696343"/>
    <w:rsid w:val="006965E0"/>
    <w:rsid w:val="00696AD8"/>
    <w:rsid w:val="006978E4"/>
    <w:rsid w:val="00697AFD"/>
    <w:rsid w:val="006A06DE"/>
    <w:rsid w:val="006A1407"/>
    <w:rsid w:val="006A15F0"/>
    <w:rsid w:val="006A15F4"/>
    <w:rsid w:val="006A196F"/>
    <w:rsid w:val="006A23B8"/>
    <w:rsid w:val="006A2770"/>
    <w:rsid w:val="006A294C"/>
    <w:rsid w:val="006A3109"/>
    <w:rsid w:val="006A3914"/>
    <w:rsid w:val="006A3D81"/>
    <w:rsid w:val="006A3EEA"/>
    <w:rsid w:val="006A3F61"/>
    <w:rsid w:val="006A5159"/>
    <w:rsid w:val="006A651B"/>
    <w:rsid w:val="006A6852"/>
    <w:rsid w:val="006A71C7"/>
    <w:rsid w:val="006B0FE8"/>
    <w:rsid w:val="006B17CB"/>
    <w:rsid w:val="006B24D0"/>
    <w:rsid w:val="006B3E5E"/>
    <w:rsid w:val="006B5107"/>
    <w:rsid w:val="006B570A"/>
    <w:rsid w:val="006B64F7"/>
    <w:rsid w:val="006B7197"/>
    <w:rsid w:val="006B7BBD"/>
    <w:rsid w:val="006C00FE"/>
    <w:rsid w:val="006C047D"/>
    <w:rsid w:val="006C0B65"/>
    <w:rsid w:val="006C3686"/>
    <w:rsid w:val="006C3844"/>
    <w:rsid w:val="006C3B70"/>
    <w:rsid w:val="006C3C86"/>
    <w:rsid w:val="006C3CEA"/>
    <w:rsid w:val="006C422B"/>
    <w:rsid w:val="006C4710"/>
    <w:rsid w:val="006C4C52"/>
    <w:rsid w:val="006C66CA"/>
    <w:rsid w:val="006C69BF"/>
    <w:rsid w:val="006C7305"/>
    <w:rsid w:val="006C7697"/>
    <w:rsid w:val="006D0D4A"/>
    <w:rsid w:val="006D116A"/>
    <w:rsid w:val="006D15C9"/>
    <w:rsid w:val="006D1A90"/>
    <w:rsid w:val="006D24D0"/>
    <w:rsid w:val="006D2ED9"/>
    <w:rsid w:val="006D306D"/>
    <w:rsid w:val="006D311F"/>
    <w:rsid w:val="006D3541"/>
    <w:rsid w:val="006D3C70"/>
    <w:rsid w:val="006D4212"/>
    <w:rsid w:val="006D4294"/>
    <w:rsid w:val="006D503D"/>
    <w:rsid w:val="006D5BBA"/>
    <w:rsid w:val="006D6906"/>
    <w:rsid w:val="006D757E"/>
    <w:rsid w:val="006D7D0B"/>
    <w:rsid w:val="006E057A"/>
    <w:rsid w:val="006E0FE1"/>
    <w:rsid w:val="006E1017"/>
    <w:rsid w:val="006E1CC8"/>
    <w:rsid w:val="006E1F93"/>
    <w:rsid w:val="006E2894"/>
    <w:rsid w:val="006E2A75"/>
    <w:rsid w:val="006E31F4"/>
    <w:rsid w:val="006E3CB1"/>
    <w:rsid w:val="006E451C"/>
    <w:rsid w:val="006E4D8C"/>
    <w:rsid w:val="006E5E76"/>
    <w:rsid w:val="006E5F00"/>
    <w:rsid w:val="006E6008"/>
    <w:rsid w:val="006E751A"/>
    <w:rsid w:val="006E761A"/>
    <w:rsid w:val="006F03D8"/>
    <w:rsid w:val="006F0A69"/>
    <w:rsid w:val="006F11B7"/>
    <w:rsid w:val="006F13F7"/>
    <w:rsid w:val="006F142D"/>
    <w:rsid w:val="006F160D"/>
    <w:rsid w:val="006F1CCC"/>
    <w:rsid w:val="006F1EEC"/>
    <w:rsid w:val="006F1F40"/>
    <w:rsid w:val="006F24C0"/>
    <w:rsid w:val="006F2A98"/>
    <w:rsid w:val="006F2F10"/>
    <w:rsid w:val="006F38FE"/>
    <w:rsid w:val="006F47DD"/>
    <w:rsid w:val="006F4912"/>
    <w:rsid w:val="006F4C33"/>
    <w:rsid w:val="006F56E8"/>
    <w:rsid w:val="006F5BE9"/>
    <w:rsid w:val="006F602B"/>
    <w:rsid w:val="006F604D"/>
    <w:rsid w:val="006F7131"/>
    <w:rsid w:val="006F7C06"/>
    <w:rsid w:val="0070027B"/>
    <w:rsid w:val="007006DE"/>
    <w:rsid w:val="00701638"/>
    <w:rsid w:val="0070291A"/>
    <w:rsid w:val="00703B70"/>
    <w:rsid w:val="00703E49"/>
    <w:rsid w:val="0070448B"/>
    <w:rsid w:val="007045A1"/>
    <w:rsid w:val="007049CA"/>
    <w:rsid w:val="00704BF6"/>
    <w:rsid w:val="00705422"/>
    <w:rsid w:val="00705C5C"/>
    <w:rsid w:val="007069C1"/>
    <w:rsid w:val="00706B6D"/>
    <w:rsid w:val="00706DED"/>
    <w:rsid w:val="0070742E"/>
    <w:rsid w:val="007076C3"/>
    <w:rsid w:val="0071062A"/>
    <w:rsid w:val="00710753"/>
    <w:rsid w:val="00710F62"/>
    <w:rsid w:val="00711685"/>
    <w:rsid w:val="007119AD"/>
    <w:rsid w:val="0071216C"/>
    <w:rsid w:val="0071226D"/>
    <w:rsid w:val="00712A18"/>
    <w:rsid w:val="0071309D"/>
    <w:rsid w:val="007132FE"/>
    <w:rsid w:val="00713FEA"/>
    <w:rsid w:val="00715AA9"/>
    <w:rsid w:val="007160AF"/>
    <w:rsid w:val="007166BA"/>
    <w:rsid w:val="00716C75"/>
    <w:rsid w:val="00716CAD"/>
    <w:rsid w:val="00717D97"/>
    <w:rsid w:val="00717E8C"/>
    <w:rsid w:val="00720431"/>
    <w:rsid w:val="00721EF0"/>
    <w:rsid w:val="00721F78"/>
    <w:rsid w:val="00723048"/>
    <w:rsid w:val="00723407"/>
    <w:rsid w:val="0072349D"/>
    <w:rsid w:val="00723FBC"/>
    <w:rsid w:val="0072518F"/>
    <w:rsid w:val="007257B3"/>
    <w:rsid w:val="00725D7A"/>
    <w:rsid w:val="00725D87"/>
    <w:rsid w:val="00727609"/>
    <w:rsid w:val="00727622"/>
    <w:rsid w:val="007279FB"/>
    <w:rsid w:val="007306EB"/>
    <w:rsid w:val="00730F84"/>
    <w:rsid w:val="007315EA"/>
    <w:rsid w:val="00732078"/>
    <w:rsid w:val="00732BA3"/>
    <w:rsid w:val="00733D11"/>
    <w:rsid w:val="00734798"/>
    <w:rsid w:val="007347AD"/>
    <w:rsid w:val="007357BB"/>
    <w:rsid w:val="00736362"/>
    <w:rsid w:val="00736B5A"/>
    <w:rsid w:val="00736DF5"/>
    <w:rsid w:val="0073716C"/>
    <w:rsid w:val="007371FF"/>
    <w:rsid w:val="00737B42"/>
    <w:rsid w:val="00741201"/>
    <w:rsid w:val="007413FE"/>
    <w:rsid w:val="00742016"/>
    <w:rsid w:val="007420E6"/>
    <w:rsid w:val="00742C8A"/>
    <w:rsid w:val="007430A1"/>
    <w:rsid w:val="00743CEF"/>
    <w:rsid w:val="00743E7D"/>
    <w:rsid w:val="007464FD"/>
    <w:rsid w:val="007470FD"/>
    <w:rsid w:val="00747B41"/>
    <w:rsid w:val="00750604"/>
    <w:rsid w:val="00750930"/>
    <w:rsid w:val="007509B9"/>
    <w:rsid w:val="00750A2D"/>
    <w:rsid w:val="00751248"/>
    <w:rsid w:val="00751249"/>
    <w:rsid w:val="00751683"/>
    <w:rsid w:val="00751C4B"/>
    <w:rsid w:val="0075307F"/>
    <w:rsid w:val="007539DB"/>
    <w:rsid w:val="00754403"/>
    <w:rsid w:val="007551FD"/>
    <w:rsid w:val="00756A26"/>
    <w:rsid w:val="00760799"/>
    <w:rsid w:val="00760AB4"/>
    <w:rsid w:val="00760C56"/>
    <w:rsid w:val="0076137B"/>
    <w:rsid w:val="00761F70"/>
    <w:rsid w:val="00762890"/>
    <w:rsid w:val="00763259"/>
    <w:rsid w:val="0076338F"/>
    <w:rsid w:val="007636E1"/>
    <w:rsid w:val="00763AEB"/>
    <w:rsid w:val="00763C33"/>
    <w:rsid w:val="00764C8D"/>
    <w:rsid w:val="007659DA"/>
    <w:rsid w:val="00765D0D"/>
    <w:rsid w:val="00765D67"/>
    <w:rsid w:val="0077011D"/>
    <w:rsid w:val="0077039E"/>
    <w:rsid w:val="007709CD"/>
    <w:rsid w:val="007728C8"/>
    <w:rsid w:val="007729C2"/>
    <w:rsid w:val="0077318A"/>
    <w:rsid w:val="00773E0F"/>
    <w:rsid w:val="00773FA1"/>
    <w:rsid w:val="0077418B"/>
    <w:rsid w:val="00774530"/>
    <w:rsid w:val="00775C0D"/>
    <w:rsid w:val="00775FBA"/>
    <w:rsid w:val="007773D7"/>
    <w:rsid w:val="007804DC"/>
    <w:rsid w:val="00780602"/>
    <w:rsid w:val="00780D2D"/>
    <w:rsid w:val="007811E7"/>
    <w:rsid w:val="0078192D"/>
    <w:rsid w:val="00781DD9"/>
    <w:rsid w:val="00782710"/>
    <w:rsid w:val="00782EF2"/>
    <w:rsid w:val="007833F5"/>
    <w:rsid w:val="0078340E"/>
    <w:rsid w:val="00783770"/>
    <w:rsid w:val="00783EE7"/>
    <w:rsid w:val="007847AF"/>
    <w:rsid w:val="00784B6A"/>
    <w:rsid w:val="00784BF2"/>
    <w:rsid w:val="00784FBE"/>
    <w:rsid w:val="00785809"/>
    <w:rsid w:val="007868DF"/>
    <w:rsid w:val="00786925"/>
    <w:rsid w:val="00786DF5"/>
    <w:rsid w:val="00787507"/>
    <w:rsid w:val="0078771B"/>
    <w:rsid w:val="0079035A"/>
    <w:rsid w:val="007905FA"/>
    <w:rsid w:val="00790D2E"/>
    <w:rsid w:val="00790EBE"/>
    <w:rsid w:val="00793F37"/>
    <w:rsid w:val="0079447B"/>
    <w:rsid w:val="0079486A"/>
    <w:rsid w:val="00794C90"/>
    <w:rsid w:val="00795DBC"/>
    <w:rsid w:val="00796771"/>
    <w:rsid w:val="007A35B1"/>
    <w:rsid w:val="007A3903"/>
    <w:rsid w:val="007A3D4A"/>
    <w:rsid w:val="007A3DE8"/>
    <w:rsid w:val="007A444B"/>
    <w:rsid w:val="007A4974"/>
    <w:rsid w:val="007A4C6A"/>
    <w:rsid w:val="007A5512"/>
    <w:rsid w:val="007A5BE7"/>
    <w:rsid w:val="007A5F32"/>
    <w:rsid w:val="007A71D8"/>
    <w:rsid w:val="007A7C15"/>
    <w:rsid w:val="007A7ED6"/>
    <w:rsid w:val="007A7F44"/>
    <w:rsid w:val="007B096B"/>
    <w:rsid w:val="007B0D46"/>
    <w:rsid w:val="007B1589"/>
    <w:rsid w:val="007B1D39"/>
    <w:rsid w:val="007B1E9F"/>
    <w:rsid w:val="007B5568"/>
    <w:rsid w:val="007B5CB7"/>
    <w:rsid w:val="007B6A83"/>
    <w:rsid w:val="007B73F2"/>
    <w:rsid w:val="007B7D64"/>
    <w:rsid w:val="007B7D85"/>
    <w:rsid w:val="007C05A2"/>
    <w:rsid w:val="007C0873"/>
    <w:rsid w:val="007C0A46"/>
    <w:rsid w:val="007C0BCE"/>
    <w:rsid w:val="007C0FEF"/>
    <w:rsid w:val="007C1718"/>
    <w:rsid w:val="007C2298"/>
    <w:rsid w:val="007C24A7"/>
    <w:rsid w:val="007C2826"/>
    <w:rsid w:val="007C2C52"/>
    <w:rsid w:val="007C2E90"/>
    <w:rsid w:val="007C33B1"/>
    <w:rsid w:val="007C3CA8"/>
    <w:rsid w:val="007C4FAE"/>
    <w:rsid w:val="007C4FF4"/>
    <w:rsid w:val="007C547F"/>
    <w:rsid w:val="007C6A23"/>
    <w:rsid w:val="007C75ED"/>
    <w:rsid w:val="007D03B7"/>
    <w:rsid w:val="007D26D6"/>
    <w:rsid w:val="007D3166"/>
    <w:rsid w:val="007D38C8"/>
    <w:rsid w:val="007D3F6A"/>
    <w:rsid w:val="007D473B"/>
    <w:rsid w:val="007D4912"/>
    <w:rsid w:val="007D4E1F"/>
    <w:rsid w:val="007D5485"/>
    <w:rsid w:val="007D68C9"/>
    <w:rsid w:val="007D691E"/>
    <w:rsid w:val="007D7066"/>
    <w:rsid w:val="007D70A2"/>
    <w:rsid w:val="007E07EA"/>
    <w:rsid w:val="007E0A63"/>
    <w:rsid w:val="007E1703"/>
    <w:rsid w:val="007E1EB7"/>
    <w:rsid w:val="007E2494"/>
    <w:rsid w:val="007E27FC"/>
    <w:rsid w:val="007E3879"/>
    <w:rsid w:val="007E3DC9"/>
    <w:rsid w:val="007E3F77"/>
    <w:rsid w:val="007E45C6"/>
    <w:rsid w:val="007E598D"/>
    <w:rsid w:val="007E598E"/>
    <w:rsid w:val="007E6009"/>
    <w:rsid w:val="007E64F6"/>
    <w:rsid w:val="007E6839"/>
    <w:rsid w:val="007F114D"/>
    <w:rsid w:val="007F146E"/>
    <w:rsid w:val="007F1E74"/>
    <w:rsid w:val="007F2430"/>
    <w:rsid w:val="007F30D8"/>
    <w:rsid w:val="007F6298"/>
    <w:rsid w:val="007F6A9D"/>
    <w:rsid w:val="007F7597"/>
    <w:rsid w:val="007F780E"/>
    <w:rsid w:val="007F7ADE"/>
    <w:rsid w:val="00800A6E"/>
    <w:rsid w:val="00800DED"/>
    <w:rsid w:val="00801DA2"/>
    <w:rsid w:val="00802406"/>
    <w:rsid w:val="00802A3A"/>
    <w:rsid w:val="00802CBE"/>
    <w:rsid w:val="00803EA0"/>
    <w:rsid w:val="0080415C"/>
    <w:rsid w:val="00804C8B"/>
    <w:rsid w:val="00805156"/>
    <w:rsid w:val="0080535F"/>
    <w:rsid w:val="0080557A"/>
    <w:rsid w:val="008058D7"/>
    <w:rsid w:val="00805EED"/>
    <w:rsid w:val="00806095"/>
    <w:rsid w:val="00806461"/>
    <w:rsid w:val="00807F8D"/>
    <w:rsid w:val="008117BA"/>
    <w:rsid w:val="008118AE"/>
    <w:rsid w:val="00811B88"/>
    <w:rsid w:val="00811D2B"/>
    <w:rsid w:val="00812961"/>
    <w:rsid w:val="00813037"/>
    <w:rsid w:val="00813888"/>
    <w:rsid w:val="00814C05"/>
    <w:rsid w:val="008161F3"/>
    <w:rsid w:val="0081647D"/>
    <w:rsid w:val="008166C2"/>
    <w:rsid w:val="008200A2"/>
    <w:rsid w:val="00820E32"/>
    <w:rsid w:val="00822047"/>
    <w:rsid w:val="00823DF0"/>
    <w:rsid w:val="00824099"/>
    <w:rsid w:val="00824936"/>
    <w:rsid w:val="00824C6C"/>
    <w:rsid w:val="00825D43"/>
    <w:rsid w:val="008263D1"/>
    <w:rsid w:val="00827494"/>
    <w:rsid w:val="008307A2"/>
    <w:rsid w:val="00832D39"/>
    <w:rsid w:val="0083351A"/>
    <w:rsid w:val="008338A5"/>
    <w:rsid w:val="00833C0D"/>
    <w:rsid w:val="00833C75"/>
    <w:rsid w:val="00833E0F"/>
    <w:rsid w:val="00834A7F"/>
    <w:rsid w:val="00835936"/>
    <w:rsid w:val="00835AE1"/>
    <w:rsid w:val="00835E7F"/>
    <w:rsid w:val="00836898"/>
    <w:rsid w:val="00836D90"/>
    <w:rsid w:val="00836E88"/>
    <w:rsid w:val="00837841"/>
    <w:rsid w:val="0083799A"/>
    <w:rsid w:val="00840109"/>
    <w:rsid w:val="00840A7B"/>
    <w:rsid w:val="00842330"/>
    <w:rsid w:val="00842356"/>
    <w:rsid w:val="008429BE"/>
    <w:rsid w:val="008430A8"/>
    <w:rsid w:val="008448D4"/>
    <w:rsid w:val="0084560D"/>
    <w:rsid w:val="008466A3"/>
    <w:rsid w:val="008468C5"/>
    <w:rsid w:val="00846D39"/>
    <w:rsid w:val="00847658"/>
    <w:rsid w:val="00850232"/>
    <w:rsid w:val="0085082B"/>
    <w:rsid w:val="0085091A"/>
    <w:rsid w:val="00851126"/>
    <w:rsid w:val="0085219F"/>
    <w:rsid w:val="00852D13"/>
    <w:rsid w:val="00853860"/>
    <w:rsid w:val="008538A1"/>
    <w:rsid w:val="00854956"/>
    <w:rsid w:val="008554DB"/>
    <w:rsid w:val="0085616B"/>
    <w:rsid w:val="008564DC"/>
    <w:rsid w:val="00856B4D"/>
    <w:rsid w:val="00857531"/>
    <w:rsid w:val="00857A04"/>
    <w:rsid w:val="00860795"/>
    <w:rsid w:val="00860902"/>
    <w:rsid w:val="00860A6D"/>
    <w:rsid w:val="00860F3F"/>
    <w:rsid w:val="008616A7"/>
    <w:rsid w:val="00864286"/>
    <w:rsid w:val="00864DE6"/>
    <w:rsid w:val="00865F82"/>
    <w:rsid w:val="00866C8C"/>
    <w:rsid w:val="00867461"/>
    <w:rsid w:val="00867C4B"/>
    <w:rsid w:val="00867DAF"/>
    <w:rsid w:val="00871056"/>
    <w:rsid w:val="00871D0C"/>
    <w:rsid w:val="00872777"/>
    <w:rsid w:val="0087305A"/>
    <w:rsid w:val="00873D83"/>
    <w:rsid w:val="00874C2E"/>
    <w:rsid w:val="00874DDB"/>
    <w:rsid w:val="0087534B"/>
    <w:rsid w:val="00875EA5"/>
    <w:rsid w:val="00876439"/>
    <w:rsid w:val="0087653F"/>
    <w:rsid w:val="008804A6"/>
    <w:rsid w:val="008804AB"/>
    <w:rsid w:val="00880A1B"/>
    <w:rsid w:val="0088141C"/>
    <w:rsid w:val="00881A94"/>
    <w:rsid w:val="00883137"/>
    <w:rsid w:val="00883EF0"/>
    <w:rsid w:val="008844F2"/>
    <w:rsid w:val="00885354"/>
    <w:rsid w:val="00885D6A"/>
    <w:rsid w:val="0088627C"/>
    <w:rsid w:val="00886EEB"/>
    <w:rsid w:val="00887928"/>
    <w:rsid w:val="00890F67"/>
    <w:rsid w:val="0089119D"/>
    <w:rsid w:val="00894521"/>
    <w:rsid w:val="008954BA"/>
    <w:rsid w:val="00896AD7"/>
    <w:rsid w:val="0089785C"/>
    <w:rsid w:val="008A0336"/>
    <w:rsid w:val="008A1733"/>
    <w:rsid w:val="008A256F"/>
    <w:rsid w:val="008A2679"/>
    <w:rsid w:val="008A387A"/>
    <w:rsid w:val="008A4589"/>
    <w:rsid w:val="008A46A0"/>
    <w:rsid w:val="008A7E44"/>
    <w:rsid w:val="008A7F4F"/>
    <w:rsid w:val="008B134F"/>
    <w:rsid w:val="008B2352"/>
    <w:rsid w:val="008B2721"/>
    <w:rsid w:val="008B37C5"/>
    <w:rsid w:val="008B39F5"/>
    <w:rsid w:val="008B3C14"/>
    <w:rsid w:val="008B3E47"/>
    <w:rsid w:val="008B58DD"/>
    <w:rsid w:val="008B5B03"/>
    <w:rsid w:val="008B5CB7"/>
    <w:rsid w:val="008B7DF7"/>
    <w:rsid w:val="008B7E43"/>
    <w:rsid w:val="008C010B"/>
    <w:rsid w:val="008C203A"/>
    <w:rsid w:val="008C2300"/>
    <w:rsid w:val="008C2D21"/>
    <w:rsid w:val="008C308D"/>
    <w:rsid w:val="008C3192"/>
    <w:rsid w:val="008C3940"/>
    <w:rsid w:val="008C395D"/>
    <w:rsid w:val="008C4496"/>
    <w:rsid w:val="008C44C2"/>
    <w:rsid w:val="008C5167"/>
    <w:rsid w:val="008C57C3"/>
    <w:rsid w:val="008C6BD6"/>
    <w:rsid w:val="008C6C0A"/>
    <w:rsid w:val="008C75E3"/>
    <w:rsid w:val="008C787D"/>
    <w:rsid w:val="008D0E35"/>
    <w:rsid w:val="008D1443"/>
    <w:rsid w:val="008D1B70"/>
    <w:rsid w:val="008D25B4"/>
    <w:rsid w:val="008D2A15"/>
    <w:rsid w:val="008D376C"/>
    <w:rsid w:val="008D395F"/>
    <w:rsid w:val="008D3C1C"/>
    <w:rsid w:val="008D4067"/>
    <w:rsid w:val="008D54E2"/>
    <w:rsid w:val="008D56AC"/>
    <w:rsid w:val="008D5A5D"/>
    <w:rsid w:val="008D65BF"/>
    <w:rsid w:val="008D6B91"/>
    <w:rsid w:val="008D7821"/>
    <w:rsid w:val="008E037A"/>
    <w:rsid w:val="008E0B44"/>
    <w:rsid w:val="008E0E15"/>
    <w:rsid w:val="008E1015"/>
    <w:rsid w:val="008E157A"/>
    <w:rsid w:val="008E17E3"/>
    <w:rsid w:val="008E1DAC"/>
    <w:rsid w:val="008E1F1A"/>
    <w:rsid w:val="008E383D"/>
    <w:rsid w:val="008E3928"/>
    <w:rsid w:val="008E5052"/>
    <w:rsid w:val="008E55E4"/>
    <w:rsid w:val="008E6268"/>
    <w:rsid w:val="008E7CA7"/>
    <w:rsid w:val="008F01C1"/>
    <w:rsid w:val="008F0535"/>
    <w:rsid w:val="008F18C6"/>
    <w:rsid w:val="008F25A4"/>
    <w:rsid w:val="008F289D"/>
    <w:rsid w:val="008F2DAC"/>
    <w:rsid w:val="008F3370"/>
    <w:rsid w:val="008F3774"/>
    <w:rsid w:val="008F4FBD"/>
    <w:rsid w:val="008F59A3"/>
    <w:rsid w:val="008F5D2B"/>
    <w:rsid w:val="008F6109"/>
    <w:rsid w:val="008F6554"/>
    <w:rsid w:val="008F68AE"/>
    <w:rsid w:val="008F7024"/>
    <w:rsid w:val="009009B0"/>
    <w:rsid w:val="0090114C"/>
    <w:rsid w:val="00902F28"/>
    <w:rsid w:val="00903557"/>
    <w:rsid w:val="009038D2"/>
    <w:rsid w:val="0090571D"/>
    <w:rsid w:val="0090669A"/>
    <w:rsid w:val="009068A8"/>
    <w:rsid w:val="0090720C"/>
    <w:rsid w:val="0090748F"/>
    <w:rsid w:val="00907DFF"/>
    <w:rsid w:val="00907EBB"/>
    <w:rsid w:val="00910305"/>
    <w:rsid w:val="00910E2A"/>
    <w:rsid w:val="009113A7"/>
    <w:rsid w:val="00911740"/>
    <w:rsid w:val="00911754"/>
    <w:rsid w:val="00911C3F"/>
    <w:rsid w:val="00913EC3"/>
    <w:rsid w:val="00915765"/>
    <w:rsid w:val="00916A20"/>
    <w:rsid w:val="00916CF5"/>
    <w:rsid w:val="0091780B"/>
    <w:rsid w:val="009205D3"/>
    <w:rsid w:val="009215F5"/>
    <w:rsid w:val="00923283"/>
    <w:rsid w:val="00923C86"/>
    <w:rsid w:val="00923FDB"/>
    <w:rsid w:val="009240B0"/>
    <w:rsid w:val="009248D3"/>
    <w:rsid w:val="009253F8"/>
    <w:rsid w:val="00925701"/>
    <w:rsid w:val="00927011"/>
    <w:rsid w:val="00927C5A"/>
    <w:rsid w:val="0093005E"/>
    <w:rsid w:val="009300B7"/>
    <w:rsid w:val="009318B3"/>
    <w:rsid w:val="009320C8"/>
    <w:rsid w:val="0093263D"/>
    <w:rsid w:val="00932FE8"/>
    <w:rsid w:val="00933144"/>
    <w:rsid w:val="00934774"/>
    <w:rsid w:val="0093555E"/>
    <w:rsid w:val="00935D08"/>
    <w:rsid w:val="00935FD9"/>
    <w:rsid w:val="00936552"/>
    <w:rsid w:val="00937000"/>
    <w:rsid w:val="009373AF"/>
    <w:rsid w:val="0093784C"/>
    <w:rsid w:val="00937FE0"/>
    <w:rsid w:val="00940136"/>
    <w:rsid w:val="00940467"/>
    <w:rsid w:val="00940E6B"/>
    <w:rsid w:val="00940F2A"/>
    <w:rsid w:val="00940F43"/>
    <w:rsid w:val="009413B7"/>
    <w:rsid w:val="009414F2"/>
    <w:rsid w:val="00941574"/>
    <w:rsid w:val="00942998"/>
    <w:rsid w:val="0094337B"/>
    <w:rsid w:val="0094337F"/>
    <w:rsid w:val="00944716"/>
    <w:rsid w:val="00944EAF"/>
    <w:rsid w:val="00945B76"/>
    <w:rsid w:val="00945D58"/>
    <w:rsid w:val="00945F01"/>
    <w:rsid w:val="00946093"/>
    <w:rsid w:val="00947587"/>
    <w:rsid w:val="009475C6"/>
    <w:rsid w:val="00947B48"/>
    <w:rsid w:val="00950607"/>
    <w:rsid w:val="00950D8E"/>
    <w:rsid w:val="00951270"/>
    <w:rsid w:val="00951FC2"/>
    <w:rsid w:val="009520F1"/>
    <w:rsid w:val="00952933"/>
    <w:rsid w:val="009529E9"/>
    <w:rsid w:val="0095344E"/>
    <w:rsid w:val="00954382"/>
    <w:rsid w:val="00954BD1"/>
    <w:rsid w:val="00954E64"/>
    <w:rsid w:val="00957DDE"/>
    <w:rsid w:val="0096010F"/>
    <w:rsid w:val="00960A97"/>
    <w:rsid w:val="00960C9A"/>
    <w:rsid w:val="00960F48"/>
    <w:rsid w:val="00961592"/>
    <w:rsid w:val="00961DA9"/>
    <w:rsid w:val="009620C6"/>
    <w:rsid w:val="00962525"/>
    <w:rsid w:val="00962D6D"/>
    <w:rsid w:val="00963000"/>
    <w:rsid w:val="00963537"/>
    <w:rsid w:val="00964E12"/>
    <w:rsid w:val="00965D38"/>
    <w:rsid w:val="00966009"/>
    <w:rsid w:val="00967255"/>
    <w:rsid w:val="0097027C"/>
    <w:rsid w:val="009714BE"/>
    <w:rsid w:val="009729C9"/>
    <w:rsid w:val="0097402A"/>
    <w:rsid w:val="0097473E"/>
    <w:rsid w:val="00974C20"/>
    <w:rsid w:val="00974E74"/>
    <w:rsid w:val="0097537B"/>
    <w:rsid w:val="00976A8C"/>
    <w:rsid w:val="00976C1F"/>
    <w:rsid w:val="00980086"/>
    <w:rsid w:val="00981CC2"/>
    <w:rsid w:val="00981F98"/>
    <w:rsid w:val="0098309F"/>
    <w:rsid w:val="0098365E"/>
    <w:rsid w:val="00983679"/>
    <w:rsid w:val="00983787"/>
    <w:rsid w:val="00983B85"/>
    <w:rsid w:val="00983D9F"/>
    <w:rsid w:val="00983E4F"/>
    <w:rsid w:val="009843CE"/>
    <w:rsid w:val="009858FB"/>
    <w:rsid w:val="0098644C"/>
    <w:rsid w:val="00986533"/>
    <w:rsid w:val="009869BC"/>
    <w:rsid w:val="009870CD"/>
    <w:rsid w:val="00987727"/>
    <w:rsid w:val="00987946"/>
    <w:rsid w:val="00991CDE"/>
    <w:rsid w:val="009926F6"/>
    <w:rsid w:val="009938D0"/>
    <w:rsid w:val="00993CAD"/>
    <w:rsid w:val="00994EA2"/>
    <w:rsid w:val="009963D5"/>
    <w:rsid w:val="00996C05"/>
    <w:rsid w:val="00997649"/>
    <w:rsid w:val="009A0F39"/>
    <w:rsid w:val="009A12B9"/>
    <w:rsid w:val="009A1F38"/>
    <w:rsid w:val="009A3264"/>
    <w:rsid w:val="009A4794"/>
    <w:rsid w:val="009A4DB3"/>
    <w:rsid w:val="009A4F7A"/>
    <w:rsid w:val="009A6E30"/>
    <w:rsid w:val="009A76E9"/>
    <w:rsid w:val="009A77F4"/>
    <w:rsid w:val="009B047D"/>
    <w:rsid w:val="009B0574"/>
    <w:rsid w:val="009B0610"/>
    <w:rsid w:val="009B218D"/>
    <w:rsid w:val="009B2191"/>
    <w:rsid w:val="009B2D89"/>
    <w:rsid w:val="009B4873"/>
    <w:rsid w:val="009B5B84"/>
    <w:rsid w:val="009B5C25"/>
    <w:rsid w:val="009B6611"/>
    <w:rsid w:val="009B69A8"/>
    <w:rsid w:val="009B7646"/>
    <w:rsid w:val="009B79E5"/>
    <w:rsid w:val="009B7B64"/>
    <w:rsid w:val="009B7CB7"/>
    <w:rsid w:val="009B7F76"/>
    <w:rsid w:val="009C00F9"/>
    <w:rsid w:val="009C095B"/>
    <w:rsid w:val="009C23CE"/>
    <w:rsid w:val="009C4C7E"/>
    <w:rsid w:val="009C52DC"/>
    <w:rsid w:val="009C55F5"/>
    <w:rsid w:val="009C5811"/>
    <w:rsid w:val="009C7E90"/>
    <w:rsid w:val="009D06FF"/>
    <w:rsid w:val="009D0E34"/>
    <w:rsid w:val="009D3117"/>
    <w:rsid w:val="009D3A6B"/>
    <w:rsid w:val="009D3B9E"/>
    <w:rsid w:val="009D4346"/>
    <w:rsid w:val="009D4C48"/>
    <w:rsid w:val="009D5051"/>
    <w:rsid w:val="009D5752"/>
    <w:rsid w:val="009D5A5A"/>
    <w:rsid w:val="009D6AA9"/>
    <w:rsid w:val="009D7560"/>
    <w:rsid w:val="009D7A10"/>
    <w:rsid w:val="009E07B8"/>
    <w:rsid w:val="009E1301"/>
    <w:rsid w:val="009E16A0"/>
    <w:rsid w:val="009E1917"/>
    <w:rsid w:val="009E250F"/>
    <w:rsid w:val="009E27E7"/>
    <w:rsid w:val="009E2DE4"/>
    <w:rsid w:val="009E32B3"/>
    <w:rsid w:val="009E3CF6"/>
    <w:rsid w:val="009E3E8E"/>
    <w:rsid w:val="009E4525"/>
    <w:rsid w:val="009E4E4C"/>
    <w:rsid w:val="009E50BD"/>
    <w:rsid w:val="009E6A9F"/>
    <w:rsid w:val="009E6BBD"/>
    <w:rsid w:val="009E72DA"/>
    <w:rsid w:val="009E746B"/>
    <w:rsid w:val="009F078F"/>
    <w:rsid w:val="009F13C2"/>
    <w:rsid w:val="009F232D"/>
    <w:rsid w:val="009F2344"/>
    <w:rsid w:val="009F3378"/>
    <w:rsid w:val="009F3762"/>
    <w:rsid w:val="009F3B9D"/>
    <w:rsid w:val="009F4573"/>
    <w:rsid w:val="009F47A8"/>
    <w:rsid w:val="009F5488"/>
    <w:rsid w:val="009F5FA8"/>
    <w:rsid w:val="009F616D"/>
    <w:rsid w:val="00A00214"/>
    <w:rsid w:val="00A006DB"/>
    <w:rsid w:val="00A01A8C"/>
    <w:rsid w:val="00A01F38"/>
    <w:rsid w:val="00A02404"/>
    <w:rsid w:val="00A02462"/>
    <w:rsid w:val="00A02F77"/>
    <w:rsid w:val="00A0304F"/>
    <w:rsid w:val="00A04F1F"/>
    <w:rsid w:val="00A0520D"/>
    <w:rsid w:val="00A05C50"/>
    <w:rsid w:val="00A0716E"/>
    <w:rsid w:val="00A0735A"/>
    <w:rsid w:val="00A10A05"/>
    <w:rsid w:val="00A10B06"/>
    <w:rsid w:val="00A11B94"/>
    <w:rsid w:val="00A12FBC"/>
    <w:rsid w:val="00A13262"/>
    <w:rsid w:val="00A136EA"/>
    <w:rsid w:val="00A1373A"/>
    <w:rsid w:val="00A15D29"/>
    <w:rsid w:val="00A15D61"/>
    <w:rsid w:val="00A15D87"/>
    <w:rsid w:val="00A17418"/>
    <w:rsid w:val="00A20248"/>
    <w:rsid w:val="00A20AE6"/>
    <w:rsid w:val="00A20C98"/>
    <w:rsid w:val="00A214AE"/>
    <w:rsid w:val="00A225DE"/>
    <w:rsid w:val="00A229E2"/>
    <w:rsid w:val="00A22A2C"/>
    <w:rsid w:val="00A22FF5"/>
    <w:rsid w:val="00A23184"/>
    <w:rsid w:val="00A23756"/>
    <w:rsid w:val="00A23BE0"/>
    <w:rsid w:val="00A23CC1"/>
    <w:rsid w:val="00A2402A"/>
    <w:rsid w:val="00A248DE"/>
    <w:rsid w:val="00A24B18"/>
    <w:rsid w:val="00A25F67"/>
    <w:rsid w:val="00A272FE"/>
    <w:rsid w:val="00A27A56"/>
    <w:rsid w:val="00A300AC"/>
    <w:rsid w:val="00A30E58"/>
    <w:rsid w:val="00A314D8"/>
    <w:rsid w:val="00A31CB0"/>
    <w:rsid w:val="00A31D78"/>
    <w:rsid w:val="00A31FF2"/>
    <w:rsid w:val="00A321A5"/>
    <w:rsid w:val="00A332C4"/>
    <w:rsid w:val="00A33335"/>
    <w:rsid w:val="00A34520"/>
    <w:rsid w:val="00A34C81"/>
    <w:rsid w:val="00A35658"/>
    <w:rsid w:val="00A35915"/>
    <w:rsid w:val="00A3621B"/>
    <w:rsid w:val="00A371F2"/>
    <w:rsid w:val="00A3778F"/>
    <w:rsid w:val="00A37925"/>
    <w:rsid w:val="00A40735"/>
    <w:rsid w:val="00A4235F"/>
    <w:rsid w:val="00A4243F"/>
    <w:rsid w:val="00A429A4"/>
    <w:rsid w:val="00A429B4"/>
    <w:rsid w:val="00A42A32"/>
    <w:rsid w:val="00A42F96"/>
    <w:rsid w:val="00A43046"/>
    <w:rsid w:val="00A43132"/>
    <w:rsid w:val="00A44455"/>
    <w:rsid w:val="00A447B2"/>
    <w:rsid w:val="00A45399"/>
    <w:rsid w:val="00A46153"/>
    <w:rsid w:val="00A46B68"/>
    <w:rsid w:val="00A4720F"/>
    <w:rsid w:val="00A475E3"/>
    <w:rsid w:val="00A47B59"/>
    <w:rsid w:val="00A47BAB"/>
    <w:rsid w:val="00A50138"/>
    <w:rsid w:val="00A504B8"/>
    <w:rsid w:val="00A513A2"/>
    <w:rsid w:val="00A528A0"/>
    <w:rsid w:val="00A52DD3"/>
    <w:rsid w:val="00A531FC"/>
    <w:rsid w:val="00A53AD3"/>
    <w:rsid w:val="00A549FD"/>
    <w:rsid w:val="00A5586A"/>
    <w:rsid w:val="00A55FC1"/>
    <w:rsid w:val="00A56304"/>
    <w:rsid w:val="00A567F6"/>
    <w:rsid w:val="00A6015C"/>
    <w:rsid w:val="00A60553"/>
    <w:rsid w:val="00A613E7"/>
    <w:rsid w:val="00A6222C"/>
    <w:rsid w:val="00A62E53"/>
    <w:rsid w:val="00A64EB1"/>
    <w:rsid w:val="00A655D4"/>
    <w:rsid w:val="00A65CD3"/>
    <w:rsid w:val="00A67816"/>
    <w:rsid w:val="00A67A54"/>
    <w:rsid w:val="00A70DEA"/>
    <w:rsid w:val="00A71229"/>
    <w:rsid w:val="00A7146E"/>
    <w:rsid w:val="00A71995"/>
    <w:rsid w:val="00A719B0"/>
    <w:rsid w:val="00A71ACC"/>
    <w:rsid w:val="00A71BD1"/>
    <w:rsid w:val="00A72911"/>
    <w:rsid w:val="00A7330A"/>
    <w:rsid w:val="00A738D1"/>
    <w:rsid w:val="00A73AD3"/>
    <w:rsid w:val="00A75EA7"/>
    <w:rsid w:val="00A75FC5"/>
    <w:rsid w:val="00A767E0"/>
    <w:rsid w:val="00A77648"/>
    <w:rsid w:val="00A80578"/>
    <w:rsid w:val="00A8090A"/>
    <w:rsid w:val="00A81B75"/>
    <w:rsid w:val="00A81E0A"/>
    <w:rsid w:val="00A82591"/>
    <w:rsid w:val="00A82C5B"/>
    <w:rsid w:val="00A82EB2"/>
    <w:rsid w:val="00A83F89"/>
    <w:rsid w:val="00A8426A"/>
    <w:rsid w:val="00A84A9E"/>
    <w:rsid w:val="00A86AB4"/>
    <w:rsid w:val="00A875E9"/>
    <w:rsid w:val="00A879C2"/>
    <w:rsid w:val="00A87A15"/>
    <w:rsid w:val="00A87D98"/>
    <w:rsid w:val="00A91907"/>
    <w:rsid w:val="00A9194D"/>
    <w:rsid w:val="00A91B53"/>
    <w:rsid w:val="00A91F57"/>
    <w:rsid w:val="00A924C6"/>
    <w:rsid w:val="00A92ABD"/>
    <w:rsid w:val="00A934CB"/>
    <w:rsid w:val="00A9372F"/>
    <w:rsid w:val="00A93731"/>
    <w:rsid w:val="00A941F4"/>
    <w:rsid w:val="00A9435C"/>
    <w:rsid w:val="00A9583B"/>
    <w:rsid w:val="00A95924"/>
    <w:rsid w:val="00A97DE2"/>
    <w:rsid w:val="00AA027E"/>
    <w:rsid w:val="00AA0903"/>
    <w:rsid w:val="00AA0920"/>
    <w:rsid w:val="00AA1AE2"/>
    <w:rsid w:val="00AA1DD0"/>
    <w:rsid w:val="00AA2BAF"/>
    <w:rsid w:val="00AA3757"/>
    <w:rsid w:val="00AA47E7"/>
    <w:rsid w:val="00AA6311"/>
    <w:rsid w:val="00AA6B18"/>
    <w:rsid w:val="00AA7243"/>
    <w:rsid w:val="00AA787E"/>
    <w:rsid w:val="00AB01E0"/>
    <w:rsid w:val="00AB06F8"/>
    <w:rsid w:val="00AB1BA6"/>
    <w:rsid w:val="00AB245F"/>
    <w:rsid w:val="00AB336A"/>
    <w:rsid w:val="00AB33A3"/>
    <w:rsid w:val="00AB4D1E"/>
    <w:rsid w:val="00AB5413"/>
    <w:rsid w:val="00AB5A9D"/>
    <w:rsid w:val="00AB5F2D"/>
    <w:rsid w:val="00AB61A7"/>
    <w:rsid w:val="00AB785A"/>
    <w:rsid w:val="00AB7C7A"/>
    <w:rsid w:val="00AC0581"/>
    <w:rsid w:val="00AC086A"/>
    <w:rsid w:val="00AC0B17"/>
    <w:rsid w:val="00AC0F53"/>
    <w:rsid w:val="00AC140A"/>
    <w:rsid w:val="00AC1DD0"/>
    <w:rsid w:val="00AC2F18"/>
    <w:rsid w:val="00AC314C"/>
    <w:rsid w:val="00AC384A"/>
    <w:rsid w:val="00AC4044"/>
    <w:rsid w:val="00AC44C4"/>
    <w:rsid w:val="00AC4526"/>
    <w:rsid w:val="00AC4853"/>
    <w:rsid w:val="00AC4EA9"/>
    <w:rsid w:val="00AC5594"/>
    <w:rsid w:val="00AC55B5"/>
    <w:rsid w:val="00AC5CF6"/>
    <w:rsid w:val="00AC6812"/>
    <w:rsid w:val="00AC71ED"/>
    <w:rsid w:val="00AC7752"/>
    <w:rsid w:val="00AC79AC"/>
    <w:rsid w:val="00AD02A8"/>
    <w:rsid w:val="00AD0523"/>
    <w:rsid w:val="00AD0C63"/>
    <w:rsid w:val="00AD18D9"/>
    <w:rsid w:val="00AD22EC"/>
    <w:rsid w:val="00AD25E9"/>
    <w:rsid w:val="00AD33F8"/>
    <w:rsid w:val="00AD3C0B"/>
    <w:rsid w:val="00AD45A4"/>
    <w:rsid w:val="00AD46D2"/>
    <w:rsid w:val="00AD508E"/>
    <w:rsid w:val="00AD51E9"/>
    <w:rsid w:val="00AD6A02"/>
    <w:rsid w:val="00AD7A34"/>
    <w:rsid w:val="00AD7AF5"/>
    <w:rsid w:val="00AD7C2D"/>
    <w:rsid w:val="00AE1148"/>
    <w:rsid w:val="00AE1BD4"/>
    <w:rsid w:val="00AE2431"/>
    <w:rsid w:val="00AE259D"/>
    <w:rsid w:val="00AE2BED"/>
    <w:rsid w:val="00AE47B0"/>
    <w:rsid w:val="00AE4EFB"/>
    <w:rsid w:val="00AE5D7D"/>
    <w:rsid w:val="00AE6E11"/>
    <w:rsid w:val="00AE7734"/>
    <w:rsid w:val="00AF1CEE"/>
    <w:rsid w:val="00AF1FD2"/>
    <w:rsid w:val="00AF2CA4"/>
    <w:rsid w:val="00AF30C8"/>
    <w:rsid w:val="00AF3D36"/>
    <w:rsid w:val="00AF4280"/>
    <w:rsid w:val="00AF5073"/>
    <w:rsid w:val="00AF510C"/>
    <w:rsid w:val="00AF596A"/>
    <w:rsid w:val="00AF5A38"/>
    <w:rsid w:val="00AF5B36"/>
    <w:rsid w:val="00AF60B5"/>
    <w:rsid w:val="00AF640C"/>
    <w:rsid w:val="00AF6FE5"/>
    <w:rsid w:val="00B0052C"/>
    <w:rsid w:val="00B00FD8"/>
    <w:rsid w:val="00B019BC"/>
    <w:rsid w:val="00B02AC9"/>
    <w:rsid w:val="00B0342F"/>
    <w:rsid w:val="00B0351C"/>
    <w:rsid w:val="00B03DF6"/>
    <w:rsid w:val="00B04C28"/>
    <w:rsid w:val="00B04D35"/>
    <w:rsid w:val="00B0519C"/>
    <w:rsid w:val="00B05236"/>
    <w:rsid w:val="00B053BE"/>
    <w:rsid w:val="00B05C90"/>
    <w:rsid w:val="00B05DB0"/>
    <w:rsid w:val="00B10836"/>
    <w:rsid w:val="00B10ADB"/>
    <w:rsid w:val="00B1188C"/>
    <w:rsid w:val="00B1225D"/>
    <w:rsid w:val="00B12522"/>
    <w:rsid w:val="00B12822"/>
    <w:rsid w:val="00B12921"/>
    <w:rsid w:val="00B149CC"/>
    <w:rsid w:val="00B20303"/>
    <w:rsid w:val="00B20B64"/>
    <w:rsid w:val="00B21ACC"/>
    <w:rsid w:val="00B222AE"/>
    <w:rsid w:val="00B22311"/>
    <w:rsid w:val="00B22EC9"/>
    <w:rsid w:val="00B24242"/>
    <w:rsid w:val="00B245A8"/>
    <w:rsid w:val="00B24D12"/>
    <w:rsid w:val="00B2583F"/>
    <w:rsid w:val="00B268A6"/>
    <w:rsid w:val="00B26D0E"/>
    <w:rsid w:val="00B26F23"/>
    <w:rsid w:val="00B30862"/>
    <w:rsid w:val="00B3163F"/>
    <w:rsid w:val="00B3199A"/>
    <w:rsid w:val="00B31EE7"/>
    <w:rsid w:val="00B33517"/>
    <w:rsid w:val="00B33B93"/>
    <w:rsid w:val="00B33E62"/>
    <w:rsid w:val="00B36674"/>
    <w:rsid w:val="00B36A2C"/>
    <w:rsid w:val="00B37142"/>
    <w:rsid w:val="00B3739A"/>
    <w:rsid w:val="00B37DC3"/>
    <w:rsid w:val="00B403CF"/>
    <w:rsid w:val="00B4107B"/>
    <w:rsid w:val="00B41F6A"/>
    <w:rsid w:val="00B42564"/>
    <w:rsid w:val="00B43C38"/>
    <w:rsid w:val="00B4449B"/>
    <w:rsid w:val="00B44A3D"/>
    <w:rsid w:val="00B454D6"/>
    <w:rsid w:val="00B4582D"/>
    <w:rsid w:val="00B4626B"/>
    <w:rsid w:val="00B46461"/>
    <w:rsid w:val="00B46C08"/>
    <w:rsid w:val="00B50784"/>
    <w:rsid w:val="00B50D82"/>
    <w:rsid w:val="00B51803"/>
    <w:rsid w:val="00B51875"/>
    <w:rsid w:val="00B51E8E"/>
    <w:rsid w:val="00B52198"/>
    <w:rsid w:val="00B52686"/>
    <w:rsid w:val="00B52D14"/>
    <w:rsid w:val="00B53F8A"/>
    <w:rsid w:val="00B54695"/>
    <w:rsid w:val="00B54D72"/>
    <w:rsid w:val="00B55305"/>
    <w:rsid w:val="00B57554"/>
    <w:rsid w:val="00B60689"/>
    <w:rsid w:val="00B60762"/>
    <w:rsid w:val="00B6083E"/>
    <w:rsid w:val="00B60A8D"/>
    <w:rsid w:val="00B60C43"/>
    <w:rsid w:val="00B60FF8"/>
    <w:rsid w:val="00B6171B"/>
    <w:rsid w:val="00B62433"/>
    <w:rsid w:val="00B62607"/>
    <w:rsid w:val="00B63015"/>
    <w:rsid w:val="00B63741"/>
    <w:rsid w:val="00B648FE"/>
    <w:rsid w:val="00B67594"/>
    <w:rsid w:val="00B700D8"/>
    <w:rsid w:val="00B707BC"/>
    <w:rsid w:val="00B70C5B"/>
    <w:rsid w:val="00B741FF"/>
    <w:rsid w:val="00B74730"/>
    <w:rsid w:val="00B758A6"/>
    <w:rsid w:val="00B75969"/>
    <w:rsid w:val="00B76089"/>
    <w:rsid w:val="00B76909"/>
    <w:rsid w:val="00B76C02"/>
    <w:rsid w:val="00B77A4E"/>
    <w:rsid w:val="00B80028"/>
    <w:rsid w:val="00B802A6"/>
    <w:rsid w:val="00B8058F"/>
    <w:rsid w:val="00B81D05"/>
    <w:rsid w:val="00B83279"/>
    <w:rsid w:val="00B83A1F"/>
    <w:rsid w:val="00B83F25"/>
    <w:rsid w:val="00B846C1"/>
    <w:rsid w:val="00B85E5B"/>
    <w:rsid w:val="00B862CC"/>
    <w:rsid w:val="00B864AF"/>
    <w:rsid w:val="00B86AB8"/>
    <w:rsid w:val="00B87370"/>
    <w:rsid w:val="00B8793E"/>
    <w:rsid w:val="00B87B84"/>
    <w:rsid w:val="00B90058"/>
    <w:rsid w:val="00B90226"/>
    <w:rsid w:val="00B90694"/>
    <w:rsid w:val="00B91405"/>
    <w:rsid w:val="00B9173B"/>
    <w:rsid w:val="00B930A6"/>
    <w:rsid w:val="00B934A4"/>
    <w:rsid w:val="00B94864"/>
    <w:rsid w:val="00B96C14"/>
    <w:rsid w:val="00B97F6D"/>
    <w:rsid w:val="00BA0486"/>
    <w:rsid w:val="00BA0DD7"/>
    <w:rsid w:val="00BA11EB"/>
    <w:rsid w:val="00BA1996"/>
    <w:rsid w:val="00BA1BDF"/>
    <w:rsid w:val="00BA2B9E"/>
    <w:rsid w:val="00BA4504"/>
    <w:rsid w:val="00BA4AB4"/>
    <w:rsid w:val="00BA643D"/>
    <w:rsid w:val="00BA6866"/>
    <w:rsid w:val="00BA6A87"/>
    <w:rsid w:val="00BA6F09"/>
    <w:rsid w:val="00BA7279"/>
    <w:rsid w:val="00BA777F"/>
    <w:rsid w:val="00BA7AC0"/>
    <w:rsid w:val="00BA7AD2"/>
    <w:rsid w:val="00BB01F4"/>
    <w:rsid w:val="00BB0333"/>
    <w:rsid w:val="00BB0451"/>
    <w:rsid w:val="00BB08C3"/>
    <w:rsid w:val="00BB0909"/>
    <w:rsid w:val="00BB0B9A"/>
    <w:rsid w:val="00BB2220"/>
    <w:rsid w:val="00BB2536"/>
    <w:rsid w:val="00BB2A47"/>
    <w:rsid w:val="00BB356F"/>
    <w:rsid w:val="00BB39BC"/>
    <w:rsid w:val="00BB3D5E"/>
    <w:rsid w:val="00BB4125"/>
    <w:rsid w:val="00BB6FFC"/>
    <w:rsid w:val="00BC0F8D"/>
    <w:rsid w:val="00BC1191"/>
    <w:rsid w:val="00BC13CF"/>
    <w:rsid w:val="00BC1F20"/>
    <w:rsid w:val="00BC2513"/>
    <w:rsid w:val="00BC3177"/>
    <w:rsid w:val="00BC362E"/>
    <w:rsid w:val="00BC3876"/>
    <w:rsid w:val="00BC3894"/>
    <w:rsid w:val="00BC38F2"/>
    <w:rsid w:val="00BC4058"/>
    <w:rsid w:val="00BC4893"/>
    <w:rsid w:val="00BC49F4"/>
    <w:rsid w:val="00BC4EA6"/>
    <w:rsid w:val="00BC4FE2"/>
    <w:rsid w:val="00BC58D2"/>
    <w:rsid w:val="00BC5931"/>
    <w:rsid w:val="00BC6D14"/>
    <w:rsid w:val="00BC7471"/>
    <w:rsid w:val="00BC7A85"/>
    <w:rsid w:val="00BD01F0"/>
    <w:rsid w:val="00BD0BE8"/>
    <w:rsid w:val="00BD1484"/>
    <w:rsid w:val="00BD14A3"/>
    <w:rsid w:val="00BD182D"/>
    <w:rsid w:val="00BD2913"/>
    <w:rsid w:val="00BD2FA7"/>
    <w:rsid w:val="00BD42BE"/>
    <w:rsid w:val="00BD4708"/>
    <w:rsid w:val="00BD5250"/>
    <w:rsid w:val="00BD54F5"/>
    <w:rsid w:val="00BD5FCE"/>
    <w:rsid w:val="00BD602B"/>
    <w:rsid w:val="00BD607F"/>
    <w:rsid w:val="00BD67D2"/>
    <w:rsid w:val="00BD682A"/>
    <w:rsid w:val="00BD74A3"/>
    <w:rsid w:val="00BD7BAE"/>
    <w:rsid w:val="00BE0223"/>
    <w:rsid w:val="00BE0B64"/>
    <w:rsid w:val="00BE2BF2"/>
    <w:rsid w:val="00BE35CE"/>
    <w:rsid w:val="00BE4B7F"/>
    <w:rsid w:val="00BE4E99"/>
    <w:rsid w:val="00BE5588"/>
    <w:rsid w:val="00BE570A"/>
    <w:rsid w:val="00BE6027"/>
    <w:rsid w:val="00BE6517"/>
    <w:rsid w:val="00BE6621"/>
    <w:rsid w:val="00BE67D0"/>
    <w:rsid w:val="00BE698D"/>
    <w:rsid w:val="00BE72D6"/>
    <w:rsid w:val="00BE7D39"/>
    <w:rsid w:val="00BF0F7D"/>
    <w:rsid w:val="00BF10AF"/>
    <w:rsid w:val="00BF18E5"/>
    <w:rsid w:val="00BF22AD"/>
    <w:rsid w:val="00BF2D92"/>
    <w:rsid w:val="00BF3EE6"/>
    <w:rsid w:val="00BF41F2"/>
    <w:rsid w:val="00BF443F"/>
    <w:rsid w:val="00BF48E1"/>
    <w:rsid w:val="00BF6301"/>
    <w:rsid w:val="00BF6F39"/>
    <w:rsid w:val="00C008C8"/>
    <w:rsid w:val="00C013A7"/>
    <w:rsid w:val="00C01706"/>
    <w:rsid w:val="00C023DD"/>
    <w:rsid w:val="00C02AC2"/>
    <w:rsid w:val="00C02CCF"/>
    <w:rsid w:val="00C02F87"/>
    <w:rsid w:val="00C04408"/>
    <w:rsid w:val="00C04B4B"/>
    <w:rsid w:val="00C0578D"/>
    <w:rsid w:val="00C06961"/>
    <w:rsid w:val="00C07661"/>
    <w:rsid w:val="00C12575"/>
    <w:rsid w:val="00C1330B"/>
    <w:rsid w:val="00C13353"/>
    <w:rsid w:val="00C13ADF"/>
    <w:rsid w:val="00C14881"/>
    <w:rsid w:val="00C14F3B"/>
    <w:rsid w:val="00C151E1"/>
    <w:rsid w:val="00C15B36"/>
    <w:rsid w:val="00C16151"/>
    <w:rsid w:val="00C173AE"/>
    <w:rsid w:val="00C173D9"/>
    <w:rsid w:val="00C17B5B"/>
    <w:rsid w:val="00C17E58"/>
    <w:rsid w:val="00C204AD"/>
    <w:rsid w:val="00C20A67"/>
    <w:rsid w:val="00C20F78"/>
    <w:rsid w:val="00C22486"/>
    <w:rsid w:val="00C22D47"/>
    <w:rsid w:val="00C242FF"/>
    <w:rsid w:val="00C253C2"/>
    <w:rsid w:val="00C267ED"/>
    <w:rsid w:val="00C26EA3"/>
    <w:rsid w:val="00C26FB8"/>
    <w:rsid w:val="00C2717D"/>
    <w:rsid w:val="00C27830"/>
    <w:rsid w:val="00C27BD8"/>
    <w:rsid w:val="00C3016F"/>
    <w:rsid w:val="00C311D5"/>
    <w:rsid w:val="00C316F9"/>
    <w:rsid w:val="00C31C5F"/>
    <w:rsid w:val="00C322AC"/>
    <w:rsid w:val="00C32B59"/>
    <w:rsid w:val="00C33147"/>
    <w:rsid w:val="00C33275"/>
    <w:rsid w:val="00C33A70"/>
    <w:rsid w:val="00C34079"/>
    <w:rsid w:val="00C345C0"/>
    <w:rsid w:val="00C34A7F"/>
    <w:rsid w:val="00C35350"/>
    <w:rsid w:val="00C3667F"/>
    <w:rsid w:val="00C372B6"/>
    <w:rsid w:val="00C3745D"/>
    <w:rsid w:val="00C37A16"/>
    <w:rsid w:val="00C4100E"/>
    <w:rsid w:val="00C418C6"/>
    <w:rsid w:val="00C42515"/>
    <w:rsid w:val="00C42DB3"/>
    <w:rsid w:val="00C43ACD"/>
    <w:rsid w:val="00C43D44"/>
    <w:rsid w:val="00C44211"/>
    <w:rsid w:val="00C458ED"/>
    <w:rsid w:val="00C45D52"/>
    <w:rsid w:val="00C45DFD"/>
    <w:rsid w:val="00C4665F"/>
    <w:rsid w:val="00C46D4C"/>
    <w:rsid w:val="00C4772E"/>
    <w:rsid w:val="00C501F2"/>
    <w:rsid w:val="00C51104"/>
    <w:rsid w:val="00C518BB"/>
    <w:rsid w:val="00C538DB"/>
    <w:rsid w:val="00C53B1F"/>
    <w:rsid w:val="00C54A93"/>
    <w:rsid w:val="00C55748"/>
    <w:rsid w:val="00C5637A"/>
    <w:rsid w:val="00C5674F"/>
    <w:rsid w:val="00C5685B"/>
    <w:rsid w:val="00C578CB"/>
    <w:rsid w:val="00C57CC1"/>
    <w:rsid w:val="00C60BBF"/>
    <w:rsid w:val="00C61337"/>
    <w:rsid w:val="00C6137D"/>
    <w:rsid w:val="00C62597"/>
    <w:rsid w:val="00C62AF8"/>
    <w:rsid w:val="00C6338E"/>
    <w:rsid w:val="00C634C9"/>
    <w:rsid w:val="00C63CB7"/>
    <w:rsid w:val="00C63E80"/>
    <w:rsid w:val="00C646F1"/>
    <w:rsid w:val="00C64DFA"/>
    <w:rsid w:val="00C6635D"/>
    <w:rsid w:val="00C66473"/>
    <w:rsid w:val="00C66517"/>
    <w:rsid w:val="00C66A04"/>
    <w:rsid w:val="00C675A1"/>
    <w:rsid w:val="00C67A51"/>
    <w:rsid w:val="00C70524"/>
    <w:rsid w:val="00C71385"/>
    <w:rsid w:val="00C71A1C"/>
    <w:rsid w:val="00C71C60"/>
    <w:rsid w:val="00C72066"/>
    <w:rsid w:val="00C724EE"/>
    <w:rsid w:val="00C72D2F"/>
    <w:rsid w:val="00C760EF"/>
    <w:rsid w:val="00C765F9"/>
    <w:rsid w:val="00C767EA"/>
    <w:rsid w:val="00C77061"/>
    <w:rsid w:val="00C776DA"/>
    <w:rsid w:val="00C77ED8"/>
    <w:rsid w:val="00C80171"/>
    <w:rsid w:val="00C801BD"/>
    <w:rsid w:val="00C80C09"/>
    <w:rsid w:val="00C8141F"/>
    <w:rsid w:val="00C81425"/>
    <w:rsid w:val="00C81687"/>
    <w:rsid w:val="00C828AE"/>
    <w:rsid w:val="00C82A1C"/>
    <w:rsid w:val="00C831EC"/>
    <w:rsid w:val="00C83680"/>
    <w:rsid w:val="00C8423D"/>
    <w:rsid w:val="00C842CD"/>
    <w:rsid w:val="00C84304"/>
    <w:rsid w:val="00C84CC1"/>
    <w:rsid w:val="00C85342"/>
    <w:rsid w:val="00C858E6"/>
    <w:rsid w:val="00C859FE"/>
    <w:rsid w:val="00C8651A"/>
    <w:rsid w:val="00C8689A"/>
    <w:rsid w:val="00C874F4"/>
    <w:rsid w:val="00C90DB6"/>
    <w:rsid w:val="00C91007"/>
    <w:rsid w:val="00C91642"/>
    <w:rsid w:val="00C9174B"/>
    <w:rsid w:val="00C92173"/>
    <w:rsid w:val="00C92D39"/>
    <w:rsid w:val="00C9325B"/>
    <w:rsid w:val="00C94564"/>
    <w:rsid w:val="00C94FF2"/>
    <w:rsid w:val="00C95834"/>
    <w:rsid w:val="00C95E01"/>
    <w:rsid w:val="00C96349"/>
    <w:rsid w:val="00C976A7"/>
    <w:rsid w:val="00C97A92"/>
    <w:rsid w:val="00CA126A"/>
    <w:rsid w:val="00CA1840"/>
    <w:rsid w:val="00CA1D90"/>
    <w:rsid w:val="00CA1F33"/>
    <w:rsid w:val="00CA21E6"/>
    <w:rsid w:val="00CA23C8"/>
    <w:rsid w:val="00CA2739"/>
    <w:rsid w:val="00CA2CB5"/>
    <w:rsid w:val="00CA3016"/>
    <w:rsid w:val="00CA3556"/>
    <w:rsid w:val="00CA38B7"/>
    <w:rsid w:val="00CA3990"/>
    <w:rsid w:val="00CA40B7"/>
    <w:rsid w:val="00CA44EF"/>
    <w:rsid w:val="00CA4B93"/>
    <w:rsid w:val="00CA5320"/>
    <w:rsid w:val="00CA62C0"/>
    <w:rsid w:val="00CA6652"/>
    <w:rsid w:val="00CA79ED"/>
    <w:rsid w:val="00CA7D2B"/>
    <w:rsid w:val="00CB07B1"/>
    <w:rsid w:val="00CB0975"/>
    <w:rsid w:val="00CB0A6E"/>
    <w:rsid w:val="00CB0C9A"/>
    <w:rsid w:val="00CB1296"/>
    <w:rsid w:val="00CB1593"/>
    <w:rsid w:val="00CB2E83"/>
    <w:rsid w:val="00CB30A1"/>
    <w:rsid w:val="00CB48A3"/>
    <w:rsid w:val="00CB4F47"/>
    <w:rsid w:val="00CB4FB2"/>
    <w:rsid w:val="00CB5E64"/>
    <w:rsid w:val="00CB67F5"/>
    <w:rsid w:val="00CB6DB5"/>
    <w:rsid w:val="00CB71F6"/>
    <w:rsid w:val="00CB7F98"/>
    <w:rsid w:val="00CC02F5"/>
    <w:rsid w:val="00CC0404"/>
    <w:rsid w:val="00CC0DA5"/>
    <w:rsid w:val="00CC1EF4"/>
    <w:rsid w:val="00CC1F41"/>
    <w:rsid w:val="00CC2129"/>
    <w:rsid w:val="00CC26BF"/>
    <w:rsid w:val="00CC26DF"/>
    <w:rsid w:val="00CC2BFD"/>
    <w:rsid w:val="00CC3368"/>
    <w:rsid w:val="00CC49B0"/>
    <w:rsid w:val="00CC6619"/>
    <w:rsid w:val="00CC7A2E"/>
    <w:rsid w:val="00CC7AC4"/>
    <w:rsid w:val="00CD0322"/>
    <w:rsid w:val="00CD0591"/>
    <w:rsid w:val="00CD1000"/>
    <w:rsid w:val="00CD1471"/>
    <w:rsid w:val="00CD1AC3"/>
    <w:rsid w:val="00CD1D88"/>
    <w:rsid w:val="00CD2B74"/>
    <w:rsid w:val="00CD2F8C"/>
    <w:rsid w:val="00CD4654"/>
    <w:rsid w:val="00CD552E"/>
    <w:rsid w:val="00CD5D20"/>
    <w:rsid w:val="00CE0DEC"/>
    <w:rsid w:val="00CE106C"/>
    <w:rsid w:val="00CE18A1"/>
    <w:rsid w:val="00CE25E5"/>
    <w:rsid w:val="00CE3B22"/>
    <w:rsid w:val="00CE4779"/>
    <w:rsid w:val="00CE4F26"/>
    <w:rsid w:val="00CE5559"/>
    <w:rsid w:val="00CE6338"/>
    <w:rsid w:val="00CE63EF"/>
    <w:rsid w:val="00CE6495"/>
    <w:rsid w:val="00CE7000"/>
    <w:rsid w:val="00CE7AEE"/>
    <w:rsid w:val="00CF005C"/>
    <w:rsid w:val="00CF03B3"/>
    <w:rsid w:val="00CF0CE3"/>
    <w:rsid w:val="00CF0D40"/>
    <w:rsid w:val="00CF11D4"/>
    <w:rsid w:val="00CF1941"/>
    <w:rsid w:val="00CF1955"/>
    <w:rsid w:val="00CF3075"/>
    <w:rsid w:val="00CF3430"/>
    <w:rsid w:val="00CF36E8"/>
    <w:rsid w:val="00CF43B8"/>
    <w:rsid w:val="00CF4518"/>
    <w:rsid w:val="00CF5DE8"/>
    <w:rsid w:val="00CF6FF5"/>
    <w:rsid w:val="00CF76FC"/>
    <w:rsid w:val="00CF7C37"/>
    <w:rsid w:val="00D02182"/>
    <w:rsid w:val="00D02388"/>
    <w:rsid w:val="00D03154"/>
    <w:rsid w:val="00D03156"/>
    <w:rsid w:val="00D048C8"/>
    <w:rsid w:val="00D04E9D"/>
    <w:rsid w:val="00D05103"/>
    <w:rsid w:val="00D05A96"/>
    <w:rsid w:val="00D05E5D"/>
    <w:rsid w:val="00D06425"/>
    <w:rsid w:val="00D06B7D"/>
    <w:rsid w:val="00D07FC7"/>
    <w:rsid w:val="00D10376"/>
    <w:rsid w:val="00D116AC"/>
    <w:rsid w:val="00D1270B"/>
    <w:rsid w:val="00D12D8E"/>
    <w:rsid w:val="00D12E99"/>
    <w:rsid w:val="00D1347E"/>
    <w:rsid w:val="00D13585"/>
    <w:rsid w:val="00D14297"/>
    <w:rsid w:val="00D1435D"/>
    <w:rsid w:val="00D1496E"/>
    <w:rsid w:val="00D14BBE"/>
    <w:rsid w:val="00D14F2D"/>
    <w:rsid w:val="00D1562C"/>
    <w:rsid w:val="00D15B2D"/>
    <w:rsid w:val="00D15B34"/>
    <w:rsid w:val="00D15D42"/>
    <w:rsid w:val="00D16F08"/>
    <w:rsid w:val="00D1738E"/>
    <w:rsid w:val="00D17604"/>
    <w:rsid w:val="00D20098"/>
    <w:rsid w:val="00D20D0C"/>
    <w:rsid w:val="00D21738"/>
    <w:rsid w:val="00D21FC9"/>
    <w:rsid w:val="00D22740"/>
    <w:rsid w:val="00D23C72"/>
    <w:rsid w:val="00D23CF9"/>
    <w:rsid w:val="00D24B64"/>
    <w:rsid w:val="00D24EC7"/>
    <w:rsid w:val="00D25A0F"/>
    <w:rsid w:val="00D26A60"/>
    <w:rsid w:val="00D26C40"/>
    <w:rsid w:val="00D27199"/>
    <w:rsid w:val="00D275DB"/>
    <w:rsid w:val="00D279E0"/>
    <w:rsid w:val="00D30262"/>
    <w:rsid w:val="00D307EB"/>
    <w:rsid w:val="00D30BE8"/>
    <w:rsid w:val="00D30C28"/>
    <w:rsid w:val="00D30D52"/>
    <w:rsid w:val="00D31435"/>
    <w:rsid w:val="00D31CAE"/>
    <w:rsid w:val="00D33021"/>
    <w:rsid w:val="00D332A5"/>
    <w:rsid w:val="00D33B38"/>
    <w:rsid w:val="00D34B0E"/>
    <w:rsid w:val="00D34D60"/>
    <w:rsid w:val="00D356C2"/>
    <w:rsid w:val="00D36AF1"/>
    <w:rsid w:val="00D37341"/>
    <w:rsid w:val="00D374A7"/>
    <w:rsid w:val="00D37704"/>
    <w:rsid w:val="00D37C55"/>
    <w:rsid w:val="00D37DB3"/>
    <w:rsid w:val="00D37F52"/>
    <w:rsid w:val="00D40AB9"/>
    <w:rsid w:val="00D410B2"/>
    <w:rsid w:val="00D42492"/>
    <w:rsid w:val="00D42547"/>
    <w:rsid w:val="00D430A8"/>
    <w:rsid w:val="00D4398D"/>
    <w:rsid w:val="00D442EE"/>
    <w:rsid w:val="00D4478A"/>
    <w:rsid w:val="00D45039"/>
    <w:rsid w:val="00D452AD"/>
    <w:rsid w:val="00D45801"/>
    <w:rsid w:val="00D459DD"/>
    <w:rsid w:val="00D45AE8"/>
    <w:rsid w:val="00D45FFF"/>
    <w:rsid w:val="00D4613C"/>
    <w:rsid w:val="00D464C2"/>
    <w:rsid w:val="00D470DC"/>
    <w:rsid w:val="00D500FE"/>
    <w:rsid w:val="00D5031D"/>
    <w:rsid w:val="00D50976"/>
    <w:rsid w:val="00D5100E"/>
    <w:rsid w:val="00D514F9"/>
    <w:rsid w:val="00D52C88"/>
    <w:rsid w:val="00D540EC"/>
    <w:rsid w:val="00D54612"/>
    <w:rsid w:val="00D5477F"/>
    <w:rsid w:val="00D54933"/>
    <w:rsid w:val="00D54EFB"/>
    <w:rsid w:val="00D55A3D"/>
    <w:rsid w:val="00D618E6"/>
    <w:rsid w:val="00D623AE"/>
    <w:rsid w:val="00D64295"/>
    <w:rsid w:val="00D64823"/>
    <w:rsid w:val="00D655DC"/>
    <w:rsid w:val="00D65B7D"/>
    <w:rsid w:val="00D663D0"/>
    <w:rsid w:val="00D6754B"/>
    <w:rsid w:val="00D705A4"/>
    <w:rsid w:val="00D708FD"/>
    <w:rsid w:val="00D724D4"/>
    <w:rsid w:val="00D72D3C"/>
    <w:rsid w:val="00D73040"/>
    <w:rsid w:val="00D73BBE"/>
    <w:rsid w:val="00D742E0"/>
    <w:rsid w:val="00D7477C"/>
    <w:rsid w:val="00D74E50"/>
    <w:rsid w:val="00D750E8"/>
    <w:rsid w:val="00D75537"/>
    <w:rsid w:val="00D75758"/>
    <w:rsid w:val="00D7585C"/>
    <w:rsid w:val="00D759B4"/>
    <w:rsid w:val="00D7606B"/>
    <w:rsid w:val="00D762D6"/>
    <w:rsid w:val="00D76AD9"/>
    <w:rsid w:val="00D77C6B"/>
    <w:rsid w:val="00D77FAD"/>
    <w:rsid w:val="00D81A2B"/>
    <w:rsid w:val="00D823E1"/>
    <w:rsid w:val="00D826C1"/>
    <w:rsid w:val="00D82A90"/>
    <w:rsid w:val="00D837A3"/>
    <w:rsid w:val="00D8382D"/>
    <w:rsid w:val="00D843D1"/>
    <w:rsid w:val="00D84603"/>
    <w:rsid w:val="00D84D76"/>
    <w:rsid w:val="00D874DE"/>
    <w:rsid w:val="00D877E3"/>
    <w:rsid w:val="00D909FE"/>
    <w:rsid w:val="00D90BE9"/>
    <w:rsid w:val="00D91B40"/>
    <w:rsid w:val="00D926B8"/>
    <w:rsid w:val="00D93D83"/>
    <w:rsid w:val="00D93E25"/>
    <w:rsid w:val="00D94280"/>
    <w:rsid w:val="00D94394"/>
    <w:rsid w:val="00D9464B"/>
    <w:rsid w:val="00D95AB3"/>
    <w:rsid w:val="00D96258"/>
    <w:rsid w:val="00D967FC"/>
    <w:rsid w:val="00D9759F"/>
    <w:rsid w:val="00D97F4F"/>
    <w:rsid w:val="00D97FCB"/>
    <w:rsid w:val="00DA08D6"/>
    <w:rsid w:val="00DA0EE5"/>
    <w:rsid w:val="00DA0F4F"/>
    <w:rsid w:val="00DA1980"/>
    <w:rsid w:val="00DA26B5"/>
    <w:rsid w:val="00DA2BA1"/>
    <w:rsid w:val="00DA2C0E"/>
    <w:rsid w:val="00DA2CB2"/>
    <w:rsid w:val="00DA2CB6"/>
    <w:rsid w:val="00DA3BFA"/>
    <w:rsid w:val="00DA6104"/>
    <w:rsid w:val="00DA643F"/>
    <w:rsid w:val="00DA7781"/>
    <w:rsid w:val="00DA7E06"/>
    <w:rsid w:val="00DB086D"/>
    <w:rsid w:val="00DB0A45"/>
    <w:rsid w:val="00DB1785"/>
    <w:rsid w:val="00DB1B4A"/>
    <w:rsid w:val="00DB249F"/>
    <w:rsid w:val="00DB24DD"/>
    <w:rsid w:val="00DB348F"/>
    <w:rsid w:val="00DB3794"/>
    <w:rsid w:val="00DB422F"/>
    <w:rsid w:val="00DB6924"/>
    <w:rsid w:val="00DB7179"/>
    <w:rsid w:val="00DB717A"/>
    <w:rsid w:val="00DB75A4"/>
    <w:rsid w:val="00DC0465"/>
    <w:rsid w:val="00DC0F9A"/>
    <w:rsid w:val="00DC1504"/>
    <w:rsid w:val="00DC1C31"/>
    <w:rsid w:val="00DC1D59"/>
    <w:rsid w:val="00DC292F"/>
    <w:rsid w:val="00DC50C0"/>
    <w:rsid w:val="00DC62B0"/>
    <w:rsid w:val="00DC6882"/>
    <w:rsid w:val="00DC7293"/>
    <w:rsid w:val="00DD0504"/>
    <w:rsid w:val="00DD0E3E"/>
    <w:rsid w:val="00DD0ECF"/>
    <w:rsid w:val="00DD2BCD"/>
    <w:rsid w:val="00DD2DEC"/>
    <w:rsid w:val="00DD3BA3"/>
    <w:rsid w:val="00DD42A3"/>
    <w:rsid w:val="00DD44B3"/>
    <w:rsid w:val="00DD47F1"/>
    <w:rsid w:val="00DD5000"/>
    <w:rsid w:val="00DD5740"/>
    <w:rsid w:val="00DD589A"/>
    <w:rsid w:val="00DD6302"/>
    <w:rsid w:val="00DD6A62"/>
    <w:rsid w:val="00DE0A4C"/>
    <w:rsid w:val="00DE1063"/>
    <w:rsid w:val="00DE12E2"/>
    <w:rsid w:val="00DE1A3E"/>
    <w:rsid w:val="00DE2C4C"/>
    <w:rsid w:val="00DE419F"/>
    <w:rsid w:val="00DE62A1"/>
    <w:rsid w:val="00DE6302"/>
    <w:rsid w:val="00DE6DDD"/>
    <w:rsid w:val="00DF2F2A"/>
    <w:rsid w:val="00DF33D4"/>
    <w:rsid w:val="00DF39B9"/>
    <w:rsid w:val="00DF40A6"/>
    <w:rsid w:val="00DF46EF"/>
    <w:rsid w:val="00DF49F7"/>
    <w:rsid w:val="00DF4E10"/>
    <w:rsid w:val="00DF6469"/>
    <w:rsid w:val="00DF7511"/>
    <w:rsid w:val="00DF75E1"/>
    <w:rsid w:val="00DF7D50"/>
    <w:rsid w:val="00E0026D"/>
    <w:rsid w:val="00E010FA"/>
    <w:rsid w:val="00E018FA"/>
    <w:rsid w:val="00E01F39"/>
    <w:rsid w:val="00E02087"/>
    <w:rsid w:val="00E020DD"/>
    <w:rsid w:val="00E02CAD"/>
    <w:rsid w:val="00E035E9"/>
    <w:rsid w:val="00E03714"/>
    <w:rsid w:val="00E039C3"/>
    <w:rsid w:val="00E04369"/>
    <w:rsid w:val="00E04AEA"/>
    <w:rsid w:val="00E050C3"/>
    <w:rsid w:val="00E05BA4"/>
    <w:rsid w:val="00E05BDB"/>
    <w:rsid w:val="00E05FF1"/>
    <w:rsid w:val="00E06625"/>
    <w:rsid w:val="00E066A1"/>
    <w:rsid w:val="00E072C2"/>
    <w:rsid w:val="00E07722"/>
    <w:rsid w:val="00E07F37"/>
    <w:rsid w:val="00E1062F"/>
    <w:rsid w:val="00E10943"/>
    <w:rsid w:val="00E10952"/>
    <w:rsid w:val="00E10DE2"/>
    <w:rsid w:val="00E12430"/>
    <w:rsid w:val="00E12965"/>
    <w:rsid w:val="00E12B83"/>
    <w:rsid w:val="00E12CAE"/>
    <w:rsid w:val="00E13160"/>
    <w:rsid w:val="00E14C3B"/>
    <w:rsid w:val="00E14E96"/>
    <w:rsid w:val="00E15451"/>
    <w:rsid w:val="00E1563B"/>
    <w:rsid w:val="00E159B5"/>
    <w:rsid w:val="00E15CBB"/>
    <w:rsid w:val="00E15CCA"/>
    <w:rsid w:val="00E1660C"/>
    <w:rsid w:val="00E167D3"/>
    <w:rsid w:val="00E169B4"/>
    <w:rsid w:val="00E16EA6"/>
    <w:rsid w:val="00E17041"/>
    <w:rsid w:val="00E1742C"/>
    <w:rsid w:val="00E17CEF"/>
    <w:rsid w:val="00E20E9F"/>
    <w:rsid w:val="00E21FFC"/>
    <w:rsid w:val="00E220F3"/>
    <w:rsid w:val="00E2265E"/>
    <w:rsid w:val="00E227F1"/>
    <w:rsid w:val="00E2504B"/>
    <w:rsid w:val="00E2538F"/>
    <w:rsid w:val="00E25932"/>
    <w:rsid w:val="00E2620C"/>
    <w:rsid w:val="00E2623B"/>
    <w:rsid w:val="00E26940"/>
    <w:rsid w:val="00E27293"/>
    <w:rsid w:val="00E27769"/>
    <w:rsid w:val="00E30134"/>
    <w:rsid w:val="00E31713"/>
    <w:rsid w:val="00E32593"/>
    <w:rsid w:val="00E327B2"/>
    <w:rsid w:val="00E32E09"/>
    <w:rsid w:val="00E33421"/>
    <w:rsid w:val="00E33846"/>
    <w:rsid w:val="00E3407A"/>
    <w:rsid w:val="00E3517C"/>
    <w:rsid w:val="00E35962"/>
    <w:rsid w:val="00E3682B"/>
    <w:rsid w:val="00E36BB7"/>
    <w:rsid w:val="00E36C36"/>
    <w:rsid w:val="00E36CC1"/>
    <w:rsid w:val="00E37AB5"/>
    <w:rsid w:val="00E37C5F"/>
    <w:rsid w:val="00E37D35"/>
    <w:rsid w:val="00E403B4"/>
    <w:rsid w:val="00E407FD"/>
    <w:rsid w:val="00E41ADC"/>
    <w:rsid w:val="00E42E79"/>
    <w:rsid w:val="00E50ECE"/>
    <w:rsid w:val="00E51A2E"/>
    <w:rsid w:val="00E51CC8"/>
    <w:rsid w:val="00E51E8A"/>
    <w:rsid w:val="00E5211E"/>
    <w:rsid w:val="00E52D04"/>
    <w:rsid w:val="00E52D36"/>
    <w:rsid w:val="00E52F9F"/>
    <w:rsid w:val="00E532F9"/>
    <w:rsid w:val="00E5388E"/>
    <w:rsid w:val="00E54DBE"/>
    <w:rsid w:val="00E54FA1"/>
    <w:rsid w:val="00E553D9"/>
    <w:rsid w:val="00E56D7F"/>
    <w:rsid w:val="00E57062"/>
    <w:rsid w:val="00E5740D"/>
    <w:rsid w:val="00E57522"/>
    <w:rsid w:val="00E607A3"/>
    <w:rsid w:val="00E6080D"/>
    <w:rsid w:val="00E60BEF"/>
    <w:rsid w:val="00E61444"/>
    <w:rsid w:val="00E62661"/>
    <w:rsid w:val="00E62A5A"/>
    <w:rsid w:val="00E6374E"/>
    <w:rsid w:val="00E64909"/>
    <w:rsid w:val="00E65098"/>
    <w:rsid w:val="00E66868"/>
    <w:rsid w:val="00E66AAC"/>
    <w:rsid w:val="00E6702B"/>
    <w:rsid w:val="00E70214"/>
    <w:rsid w:val="00E708A8"/>
    <w:rsid w:val="00E715CD"/>
    <w:rsid w:val="00E71958"/>
    <w:rsid w:val="00E71BA1"/>
    <w:rsid w:val="00E71FE8"/>
    <w:rsid w:val="00E7226D"/>
    <w:rsid w:val="00E723D6"/>
    <w:rsid w:val="00E72B6C"/>
    <w:rsid w:val="00E73169"/>
    <w:rsid w:val="00E73A25"/>
    <w:rsid w:val="00E749FF"/>
    <w:rsid w:val="00E74FE6"/>
    <w:rsid w:val="00E75129"/>
    <w:rsid w:val="00E7584F"/>
    <w:rsid w:val="00E7596E"/>
    <w:rsid w:val="00E7659D"/>
    <w:rsid w:val="00E77241"/>
    <w:rsid w:val="00E804AE"/>
    <w:rsid w:val="00E81190"/>
    <w:rsid w:val="00E81303"/>
    <w:rsid w:val="00E81EF4"/>
    <w:rsid w:val="00E82411"/>
    <w:rsid w:val="00E82E80"/>
    <w:rsid w:val="00E83A1D"/>
    <w:rsid w:val="00E83D2C"/>
    <w:rsid w:val="00E84049"/>
    <w:rsid w:val="00E84089"/>
    <w:rsid w:val="00E84A47"/>
    <w:rsid w:val="00E84E03"/>
    <w:rsid w:val="00E853EB"/>
    <w:rsid w:val="00E85910"/>
    <w:rsid w:val="00E86810"/>
    <w:rsid w:val="00E86FB3"/>
    <w:rsid w:val="00E879BF"/>
    <w:rsid w:val="00E9065E"/>
    <w:rsid w:val="00E90F74"/>
    <w:rsid w:val="00E91047"/>
    <w:rsid w:val="00E92AD1"/>
    <w:rsid w:val="00E932F8"/>
    <w:rsid w:val="00E93B76"/>
    <w:rsid w:val="00E94294"/>
    <w:rsid w:val="00E94638"/>
    <w:rsid w:val="00E9528E"/>
    <w:rsid w:val="00E956EC"/>
    <w:rsid w:val="00E962AA"/>
    <w:rsid w:val="00E978DF"/>
    <w:rsid w:val="00E97B37"/>
    <w:rsid w:val="00EA0655"/>
    <w:rsid w:val="00EA0F88"/>
    <w:rsid w:val="00EA16D1"/>
    <w:rsid w:val="00EA1A23"/>
    <w:rsid w:val="00EA1AFC"/>
    <w:rsid w:val="00EA23FD"/>
    <w:rsid w:val="00EA2F13"/>
    <w:rsid w:val="00EA2F90"/>
    <w:rsid w:val="00EA478B"/>
    <w:rsid w:val="00EA5344"/>
    <w:rsid w:val="00EA764F"/>
    <w:rsid w:val="00EA780C"/>
    <w:rsid w:val="00EA7AA2"/>
    <w:rsid w:val="00EA7B63"/>
    <w:rsid w:val="00EA7DAD"/>
    <w:rsid w:val="00EB01F6"/>
    <w:rsid w:val="00EB1D70"/>
    <w:rsid w:val="00EB2A71"/>
    <w:rsid w:val="00EB37EF"/>
    <w:rsid w:val="00EB3918"/>
    <w:rsid w:val="00EB3F10"/>
    <w:rsid w:val="00EB4B11"/>
    <w:rsid w:val="00EB4D63"/>
    <w:rsid w:val="00EB5B14"/>
    <w:rsid w:val="00EB66BE"/>
    <w:rsid w:val="00EB692C"/>
    <w:rsid w:val="00EB6A94"/>
    <w:rsid w:val="00EB6B74"/>
    <w:rsid w:val="00EB6EE3"/>
    <w:rsid w:val="00EB72C8"/>
    <w:rsid w:val="00EC1654"/>
    <w:rsid w:val="00EC16AB"/>
    <w:rsid w:val="00EC181A"/>
    <w:rsid w:val="00EC304D"/>
    <w:rsid w:val="00EC3653"/>
    <w:rsid w:val="00EC3801"/>
    <w:rsid w:val="00EC488E"/>
    <w:rsid w:val="00EC4FFE"/>
    <w:rsid w:val="00EC5783"/>
    <w:rsid w:val="00EC5CF9"/>
    <w:rsid w:val="00EC68A5"/>
    <w:rsid w:val="00EC7B2A"/>
    <w:rsid w:val="00EC7C05"/>
    <w:rsid w:val="00ED0496"/>
    <w:rsid w:val="00ED1AA6"/>
    <w:rsid w:val="00ED2876"/>
    <w:rsid w:val="00ED34A4"/>
    <w:rsid w:val="00ED3561"/>
    <w:rsid w:val="00ED3871"/>
    <w:rsid w:val="00ED38AF"/>
    <w:rsid w:val="00ED4907"/>
    <w:rsid w:val="00ED4FAD"/>
    <w:rsid w:val="00ED50D5"/>
    <w:rsid w:val="00ED524C"/>
    <w:rsid w:val="00ED59DB"/>
    <w:rsid w:val="00ED5FBE"/>
    <w:rsid w:val="00ED685B"/>
    <w:rsid w:val="00ED6B15"/>
    <w:rsid w:val="00ED7243"/>
    <w:rsid w:val="00ED751C"/>
    <w:rsid w:val="00EE1FEB"/>
    <w:rsid w:val="00EE315D"/>
    <w:rsid w:val="00EE3B8C"/>
    <w:rsid w:val="00EE3CC3"/>
    <w:rsid w:val="00EE3E32"/>
    <w:rsid w:val="00EE4543"/>
    <w:rsid w:val="00EE4B58"/>
    <w:rsid w:val="00EE4B84"/>
    <w:rsid w:val="00EE6B75"/>
    <w:rsid w:val="00EE7CE5"/>
    <w:rsid w:val="00EF0B29"/>
    <w:rsid w:val="00EF1353"/>
    <w:rsid w:val="00EF396D"/>
    <w:rsid w:val="00EF3C68"/>
    <w:rsid w:val="00EF6D9A"/>
    <w:rsid w:val="00EF6E39"/>
    <w:rsid w:val="00EF79BF"/>
    <w:rsid w:val="00EF7C7F"/>
    <w:rsid w:val="00F00801"/>
    <w:rsid w:val="00F0192F"/>
    <w:rsid w:val="00F03A6C"/>
    <w:rsid w:val="00F04B9C"/>
    <w:rsid w:val="00F04C27"/>
    <w:rsid w:val="00F05A0E"/>
    <w:rsid w:val="00F067F5"/>
    <w:rsid w:val="00F070A1"/>
    <w:rsid w:val="00F078A6"/>
    <w:rsid w:val="00F1047D"/>
    <w:rsid w:val="00F10AF5"/>
    <w:rsid w:val="00F117C5"/>
    <w:rsid w:val="00F118B5"/>
    <w:rsid w:val="00F120C1"/>
    <w:rsid w:val="00F123BF"/>
    <w:rsid w:val="00F124D4"/>
    <w:rsid w:val="00F129A5"/>
    <w:rsid w:val="00F12BCC"/>
    <w:rsid w:val="00F13897"/>
    <w:rsid w:val="00F145BB"/>
    <w:rsid w:val="00F14DB1"/>
    <w:rsid w:val="00F1663C"/>
    <w:rsid w:val="00F173AA"/>
    <w:rsid w:val="00F20800"/>
    <w:rsid w:val="00F214F0"/>
    <w:rsid w:val="00F21619"/>
    <w:rsid w:val="00F216C7"/>
    <w:rsid w:val="00F22FDC"/>
    <w:rsid w:val="00F23FD2"/>
    <w:rsid w:val="00F241AD"/>
    <w:rsid w:val="00F25030"/>
    <w:rsid w:val="00F2508B"/>
    <w:rsid w:val="00F26741"/>
    <w:rsid w:val="00F26CE4"/>
    <w:rsid w:val="00F27C29"/>
    <w:rsid w:val="00F30BFF"/>
    <w:rsid w:val="00F3235B"/>
    <w:rsid w:val="00F3281D"/>
    <w:rsid w:val="00F334E6"/>
    <w:rsid w:val="00F33540"/>
    <w:rsid w:val="00F33758"/>
    <w:rsid w:val="00F3385F"/>
    <w:rsid w:val="00F33D54"/>
    <w:rsid w:val="00F33F88"/>
    <w:rsid w:val="00F34A24"/>
    <w:rsid w:val="00F352AB"/>
    <w:rsid w:val="00F360BB"/>
    <w:rsid w:val="00F36801"/>
    <w:rsid w:val="00F3681E"/>
    <w:rsid w:val="00F369DD"/>
    <w:rsid w:val="00F37227"/>
    <w:rsid w:val="00F40270"/>
    <w:rsid w:val="00F420FD"/>
    <w:rsid w:val="00F42242"/>
    <w:rsid w:val="00F42443"/>
    <w:rsid w:val="00F42B74"/>
    <w:rsid w:val="00F42B8F"/>
    <w:rsid w:val="00F42E32"/>
    <w:rsid w:val="00F4433F"/>
    <w:rsid w:val="00F44E8D"/>
    <w:rsid w:val="00F459B5"/>
    <w:rsid w:val="00F45BBF"/>
    <w:rsid w:val="00F45F16"/>
    <w:rsid w:val="00F46038"/>
    <w:rsid w:val="00F470C7"/>
    <w:rsid w:val="00F471E5"/>
    <w:rsid w:val="00F475A0"/>
    <w:rsid w:val="00F47AF8"/>
    <w:rsid w:val="00F50AFD"/>
    <w:rsid w:val="00F51E4F"/>
    <w:rsid w:val="00F52629"/>
    <w:rsid w:val="00F5307E"/>
    <w:rsid w:val="00F53F43"/>
    <w:rsid w:val="00F53FEE"/>
    <w:rsid w:val="00F54D12"/>
    <w:rsid w:val="00F55249"/>
    <w:rsid w:val="00F555D1"/>
    <w:rsid w:val="00F55E94"/>
    <w:rsid w:val="00F566A1"/>
    <w:rsid w:val="00F56B0E"/>
    <w:rsid w:val="00F57620"/>
    <w:rsid w:val="00F57919"/>
    <w:rsid w:val="00F57B50"/>
    <w:rsid w:val="00F57C69"/>
    <w:rsid w:val="00F57EF5"/>
    <w:rsid w:val="00F60ADD"/>
    <w:rsid w:val="00F61386"/>
    <w:rsid w:val="00F617D2"/>
    <w:rsid w:val="00F62D33"/>
    <w:rsid w:val="00F636FF"/>
    <w:rsid w:val="00F63EC8"/>
    <w:rsid w:val="00F65840"/>
    <w:rsid w:val="00F65873"/>
    <w:rsid w:val="00F668E2"/>
    <w:rsid w:val="00F67F61"/>
    <w:rsid w:val="00F7064D"/>
    <w:rsid w:val="00F70C98"/>
    <w:rsid w:val="00F7111A"/>
    <w:rsid w:val="00F7150C"/>
    <w:rsid w:val="00F71C46"/>
    <w:rsid w:val="00F71EDC"/>
    <w:rsid w:val="00F7207A"/>
    <w:rsid w:val="00F72A96"/>
    <w:rsid w:val="00F72BA7"/>
    <w:rsid w:val="00F73CA4"/>
    <w:rsid w:val="00F745D5"/>
    <w:rsid w:val="00F74A72"/>
    <w:rsid w:val="00F75297"/>
    <w:rsid w:val="00F75628"/>
    <w:rsid w:val="00F77173"/>
    <w:rsid w:val="00F7774C"/>
    <w:rsid w:val="00F77B34"/>
    <w:rsid w:val="00F80602"/>
    <w:rsid w:val="00F80AF7"/>
    <w:rsid w:val="00F81362"/>
    <w:rsid w:val="00F8287B"/>
    <w:rsid w:val="00F82C5A"/>
    <w:rsid w:val="00F84262"/>
    <w:rsid w:val="00F842A6"/>
    <w:rsid w:val="00F8494A"/>
    <w:rsid w:val="00F84A73"/>
    <w:rsid w:val="00F86D6A"/>
    <w:rsid w:val="00F872D7"/>
    <w:rsid w:val="00F876CD"/>
    <w:rsid w:val="00F87951"/>
    <w:rsid w:val="00F904FB"/>
    <w:rsid w:val="00F90684"/>
    <w:rsid w:val="00F912F3"/>
    <w:rsid w:val="00F924BF"/>
    <w:rsid w:val="00F92CC9"/>
    <w:rsid w:val="00F92EE6"/>
    <w:rsid w:val="00F92FDD"/>
    <w:rsid w:val="00F9367A"/>
    <w:rsid w:val="00F940E0"/>
    <w:rsid w:val="00F949B9"/>
    <w:rsid w:val="00F94A4F"/>
    <w:rsid w:val="00F94EAA"/>
    <w:rsid w:val="00F951BC"/>
    <w:rsid w:val="00F959E4"/>
    <w:rsid w:val="00F95A6B"/>
    <w:rsid w:val="00F95A91"/>
    <w:rsid w:val="00F97C7A"/>
    <w:rsid w:val="00FA00EE"/>
    <w:rsid w:val="00FA033B"/>
    <w:rsid w:val="00FA0E37"/>
    <w:rsid w:val="00FA0F55"/>
    <w:rsid w:val="00FA1004"/>
    <w:rsid w:val="00FA1C7F"/>
    <w:rsid w:val="00FA2D12"/>
    <w:rsid w:val="00FA2F4E"/>
    <w:rsid w:val="00FA3310"/>
    <w:rsid w:val="00FA3358"/>
    <w:rsid w:val="00FA34FF"/>
    <w:rsid w:val="00FA36A3"/>
    <w:rsid w:val="00FA36D8"/>
    <w:rsid w:val="00FA3D3B"/>
    <w:rsid w:val="00FA4317"/>
    <w:rsid w:val="00FA4E94"/>
    <w:rsid w:val="00FA4EA7"/>
    <w:rsid w:val="00FA5264"/>
    <w:rsid w:val="00FA572B"/>
    <w:rsid w:val="00FA5C36"/>
    <w:rsid w:val="00FA682E"/>
    <w:rsid w:val="00FA69A4"/>
    <w:rsid w:val="00FA69BA"/>
    <w:rsid w:val="00FA6DE3"/>
    <w:rsid w:val="00FA7A3C"/>
    <w:rsid w:val="00FA7C7F"/>
    <w:rsid w:val="00FB006C"/>
    <w:rsid w:val="00FB1086"/>
    <w:rsid w:val="00FB1FDA"/>
    <w:rsid w:val="00FB25FF"/>
    <w:rsid w:val="00FB311F"/>
    <w:rsid w:val="00FB401B"/>
    <w:rsid w:val="00FB4BE4"/>
    <w:rsid w:val="00FB600D"/>
    <w:rsid w:val="00FB65DC"/>
    <w:rsid w:val="00FB684F"/>
    <w:rsid w:val="00FB6D39"/>
    <w:rsid w:val="00FB6E7B"/>
    <w:rsid w:val="00FC0772"/>
    <w:rsid w:val="00FC1E30"/>
    <w:rsid w:val="00FC258C"/>
    <w:rsid w:val="00FC285E"/>
    <w:rsid w:val="00FC28D8"/>
    <w:rsid w:val="00FC2C53"/>
    <w:rsid w:val="00FC3672"/>
    <w:rsid w:val="00FC422C"/>
    <w:rsid w:val="00FC475A"/>
    <w:rsid w:val="00FC4C4E"/>
    <w:rsid w:val="00FC4FED"/>
    <w:rsid w:val="00FC5161"/>
    <w:rsid w:val="00FC5F6C"/>
    <w:rsid w:val="00FC65EF"/>
    <w:rsid w:val="00FC67E6"/>
    <w:rsid w:val="00FC7166"/>
    <w:rsid w:val="00FC742A"/>
    <w:rsid w:val="00FC7617"/>
    <w:rsid w:val="00FC7AC7"/>
    <w:rsid w:val="00FC7B6A"/>
    <w:rsid w:val="00FD0328"/>
    <w:rsid w:val="00FD1922"/>
    <w:rsid w:val="00FD1D86"/>
    <w:rsid w:val="00FD25AB"/>
    <w:rsid w:val="00FD25C8"/>
    <w:rsid w:val="00FD25FD"/>
    <w:rsid w:val="00FD3360"/>
    <w:rsid w:val="00FD3623"/>
    <w:rsid w:val="00FD4578"/>
    <w:rsid w:val="00FD48A8"/>
    <w:rsid w:val="00FD4ADA"/>
    <w:rsid w:val="00FD5A19"/>
    <w:rsid w:val="00FD5F47"/>
    <w:rsid w:val="00FD6478"/>
    <w:rsid w:val="00FD6480"/>
    <w:rsid w:val="00FD6781"/>
    <w:rsid w:val="00FD7B47"/>
    <w:rsid w:val="00FE107E"/>
    <w:rsid w:val="00FE1662"/>
    <w:rsid w:val="00FE1B0A"/>
    <w:rsid w:val="00FE1C96"/>
    <w:rsid w:val="00FE27B2"/>
    <w:rsid w:val="00FE308B"/>
    <w:rsid w:val="00FE36DF"/>
    <w:rsid w:val="00FE3FFB"/>
    <w:rsid w:val="00FE4026"/>
    <w:rsid w:val="00FE5A52"/>
    <w:rsid w:val="00FE6C79"/>
    <w:rsid w:val="00FE6D4E"/>
    <w:rsid w:val="00FE7CD6"/>
    <w:rsid w:val="00FF01E8"/>
    <w:rsid w:val="00FF08D0"/>
    <w:rsid w:val="00FF0A12"/>
    <w:rsid w:val="00FF0A55"/>
    <w:rsid w:val="00FF0C8F"/>
    <w:rsid w:val="00FF0E1B"/>
    <w:rsid w:val="00FF1ECF"/>
    <w:rsid w:val="00FF23D9"/>
    <w:rsid w:val="00FF2D1E"/>
    <w:rsid w:val="00FF510E"/>
    <w:rsid w:val="00FF5648"/>
    <w:rsid w:val="00FF5E09"/>
    <w:rsid w:val="00FF657C"/>
    <w:rsid w:val="00FF6BD1"/>
    <w:rsid w:val="00FF73CE"/>
    <w:rsid w:val="00FF7BEE"/>
    <w:rsid w:val="01BA3468"/>
    <w:rsid w:val="01E703BF"/>
    <w:rsid w:val="021D3C05"/>
    <w:rsid w:val="029F5C39"/>
    <w:rsid w:val="03CC5980"/>
    <w:rsid w:val="05644861"/>
    <w:rsid w:val="05D1137E"/>
    <w:rsid w:val="06404A20"/>
    <w:rsid w:val="068027B3"/>
    <w:rsid w:val="07843A0F"/>
    <w:rsid w:val="07DE73E0"/>
    <w:rsid w:val="08217F07"/>
    <w:rsid w:val="08653833"/>
    <w:rsid w:val="08E74E45"/>
    <w:rsid w:val="09415933"/>
    <w:rsid w:val="0945611D"/>
    <w:rsid w:val="09D22F86"/>
    <w:rsid w:val="0AFD58B9"/>
    <w:rsid w:val="0B293A15"/>
    <w:rsid w:val="0B8F45E8"/>
    <w:rsid w:val="0BA121FD"/>
    <w:rsid w:val="0C434418"/>
    <w:rsid w:val="0C66219B"/>
    <w:rsid w:val="0C9F1BCC"/>
    <w:rsid w:val="0CEE4E4F"/>
    <w:rsid w:val="0D9D2DDA"/>
    <w:rsid w:val="0DCB1465"/>
    <w:rsid w:val="0E451097"/>
    <w:rsid w:val="0F076075"/>
    <w:rsid w:val="0F2065C6"/>
    <w:rsid w:val="0FF05260"/>
    <w:rsid w:val="10531330"/>
    <w:rsid w:val="114804CA"/>
    <w:rsid w:val="118C56D3"/>
    <w:rsid w:val="125646E8"/>
    <w:rsid w:val="12BB60CC"/>
    <w:rsid w:val="12F773C9"/>
    <w:rsid w:val="13FD20BB"/>
    <w:rsid w:val="14A64971"/>
    <w:rsid w:val="14B67EEE"/>
    <w:rsid w:val="14BF7829"/>
    <w:rsid w:val="157155B8"/>
    <w:rsid w:val="15784B45"/>
    <w:rsid w:val="15790B7E"/>
    <w:rsid w:val="15C061CD"/>
    <w:rsid w:val="15E675F9"/>
    <w:rsid w:val="163371F1"/>
    <w:rsid w:val="16421665"/>
    <w:rsid w:val="16A8786F"/>
    <w:rsid w:val="188A4017"/>
    <w:rsid w:val="18EE72A4"/>
    <w:rsid w:val="18FD7985"/>
    <w:rsid w:val="198F5A31"/>
    <w:rsid w:val="1A517F56"/>
    <w:rsid w:val="1A545245"/>
    <w:rsid w:val="1A86163D"/>
    <w:rsid w:val="1AA1731A"/>
    <w:rsid w:val="1AA204CB"/>
    <w:rsid w:val="1AD23237"/>
    <w:rsid w:val="1AF8469D"/>
    <w:rsid w:val="1C1F2C5B"/>
    <w:rsid w:val="1C945BAF"/>
    <w:rsid w:val="1C956B12"/>
    <w:rsid w:val="1C9C5797"/>
    <w:rsid w:val="1D1215C7"/>
    <w:rsid w:val="1E3A0E2F"/>
    <w:rsid w:val="1E5E74D9"/>
    <w:rsid w:val="1ED30055"/>
    <w:rsid w:val="1EED5ED8"/>
    <w:rsid w:val="1FEC45E2"/>
    <w:rsid w:val="20A4308D"/>
    <w:rsid w:val="20B30EA3"/>
    <w:rsid w:val="21494863"/>
    <w:rsid w:val="21600B55"/>
    <w:rsid w:val="21F8359F"/>
    <w:rsid w:val="23126ACA"/>
    <w:rsid w:val="235818A4"/>
    <w:rsid w:val="23F545B1"/>
    <w:rsid w:val="247E5D2A"/>
    <w:rsid w:val="24C909B8"/>
    <w:rsid w:val="257D6A04"/>
    <w:rsid w:val="262805A9"/>
    <w:rsid w:val="26B6198B"/>
    <w:rsid w:val="26FB0B25"/>
    <w:rsid w:val="2869103F"/>
    <w:rsid w:val="289F5A42"/>
    <w:rsid w:val="28CE6367"/>
    <w:rsid w:val="28D77F4C"/>
    <w:rsid w:val="298E42C8"/>
    <w:rsid w:val="29B5391D"/>
    <w:rsid w:val="2A48574A"/>
    <w:rsid w:val="2AC36EF0"/>
    <w:rsid w:val="2B140E74"/>
    <w:rsid w:val="2B4C58CA"/>
    <w:rsid w:val="2B5F373C"/>
    <w:rsid w:val="2BA44D5E"/>
    <w:rsid w:val="2C467247"/>
    <w:rsid w:val="2C4B115B"/>
    <w:rsid w:val="2C4F4782"/>
    <w:rsid w:val="2C6D4267"/>
    <w:rsid w:val="2D6236C9"/>
    <w:rsid w:val="2E246923"/>
    <w:rsid w:val="2E987F5A"/>
    <w:rsid w:val="2F782118"/>
    <w:rsid w:val="30721FBA"/>
    <w:rsid w:val="30A939E9"/>
    <w:rsid w:val="331866BF"/>
    <w:rsid w:val="33493C8E"/>
    <w:rsid w:val="33CA6F88"/>
    <w:rsid w:val="34D72333"/>
    <w:rsid w:val="361351B1"/>
    <w:rsid w:val="36A80546"/>
    <w:rsid w:val="374500C2"/>
    <w:rsid w:val="37656166"/>
    <w:rsid w:val="38743B5D"/>
    <w:rsid w:val="391E5C73"/>
    <w:rsid w:val="393E4B97"/>
    <w:rsid w:val="3A851B16"/>
    <w:rsid w:val="3A985A30"/>
    <w:rsid w:val="3ACD0B20"/>
    <w:rsid w:val="3B377A66"/>
    <w:rsid w:val="3BD6622C"/>
    <w:rsid w:val="3BEF66DF"/>
    <w:rsid w:val="3C080DFD"/>
    <w:rsid w:val="3C3F006A"/>
    <w:rsid w:val="3CA55A13"/>
    <w:rsid w:val="3CA563CC"/>
    <w:rsid w:val="3D133F70"/>
    <w:rsid w:val="3D410352"/>
    <w:rsid w:val="3D433D39"/>
    <w:rsid w:val="3D4B5FD8"/>
    <w:rsid w:val="3D546CC3"/>
    <w:rsid w:val="3D5D3C39"/>
    <w:rsid w:val="3D5E768B"/>
    <w:rsid w:val="3DA521B4"/>
    <w:rsid w:val="3DBF39A0"/>
    <w:rsid w:val="3EA44E4A"/>
    <w:rsid w:val="3EAA30F7"/>
    <w:rsid w:val="3ED32CCB"/>
    <w:rsid w:val="3FD637D3"/>
    <w:rsid w:val="404678AD"/>
    <w:rsid w:val="40F07A5A"/>
    <w:rsid w:val="420B3B06"/>
    <w:rsid w:val="42150682"/>
    <w:rsid w:val="432637AE"/>
    <w:rsid w:val="43747E0E"/>
    <w:rsid w:val="437568F5"/>
    <w:rsid w:val="43C344F3"/>
    <w:rsid w:val="43E46EE0"/>
    <w:rsid w:val="446A6869"/>
    <w:rsid w:val="448C20C1"/>
    <w:rsid w:val="449A20F8"/>
    <w:rsid w:val="44E859DD"/>
    <w:rsid w:val="44F25FA0"/>
    <w:rsid w:val="45521DB8"/>
    <w:rsid w:val="45737EE1"/>
    <w:rsid w:val="45765613"/>
    <w:rsid w:val="458109B4"/>
    <w:rsid w:val="45B914F0"/>
    <w:rsid w:val="46095308"/>
    <w:rsid w:val="46A81AB5"/>
    <w:rsid w:val="47017485"/>
    <w:rsid w:val="47284A13"/>
    <w:rsid w:val="474A0017"/>
    <w:rsid w:val="47842F9B"/>
    <w:rsid w:val="478A4FEE"/>
    <w:rsid w:val="478A72C4"/>
    <w:rsid w:val="48431AFE"/>
    <w:rsid w:val="48801147"/>
    <w:rsid w:val="48F36A5A"/>
    <w:rsid w:val="48F42BD6"/>
    <w:rsid w:val="490737C0"/>
    <w:rsid w:val="49673C1F"/>
    <w:rsid w:val="4AAD7E80"/>
    <w:rsid w:val="4B9B7E92"/>
    <w:rsid w:val="4BE87FA3"/>
    <w:rsid w:val="4BFC5839"/>
    <w:rsid w:val="4C26526E"/>
    <w:rsid w:val="4CCF57C2"/>
    <w:rsid w:val="4D455A9F"/>
    <w:rsid w:val="4D4900DD"/>
    <w:rsid w:val="4DBB0C96"/>
    <w:rsid w:val="4DD90259"/>
    <w:rsid w:val="4E265320"/>
    <w:rsid w:val="4E9E53F9"/>
    <w:rsid w:val="4EEC3664"/>
    <w:rsid w:val="4F6A1474"/>
    <w:rsid w:val="4F885E6A"/>
    <w:rsid w:val="4FE87F93"/>
    <w:rsid w:val="50084A06"/>
    <w:rsid w:val="50333B26"/>
    <w:rsid w:val="50F14CAC"/>
    <w:rsid w:val="518460CB"/>
    <w:rsid w:val="51C46D79"/>
    <w:rsid w:val="51F65248"/>
    <w:rsid w:val="52540460"/>
    <w:rsid w:val="536310DF"/>
    <w:rsid w:val="539C3B8A"/>
    <w:rsid w:val="542B6C4A"/>
    <w:rsid w:val="550656C6"/>
    <w:rsid w:val="557349AE"/>
    <w:rsid w:val="56230968"/>
    <w:rsid w:val="56FD4A62"/>
    <w:rsid w:val="581124AA"/>
    <w:rsid w:val="581D68D1"/>
    <w:rsid w:val="58FF6368"/>
    <w:rsid w:val="595E43EA"/>
    <w:rsid w:val="597A3DFF"/>
    <w:rsid w:val="5A1613EF"/>
    <w:rsid w:val="5B6D5D61"/>
    <w:rsid w:val="5BDB0A3F"/>
    <w:rsid w:val="5BE1497A"/>
    <w:rsid w:val="5C136B91"/>
    <w:rsid w:val="5C1C1A28"/>
    <w:rsid w:val="5CA40358"/>
    <w:rsid w:val="5E2F5733"/>
    <w:rsid w:val="5E4F6E4F"/>
    <w:rsid w:val="5F3F7C43"/>
    <w:rsid w:val="5F8D57FC"/>
    <w:rsid w:val="5FCC3BEF"/>
    <w:rsid w:val="602B2A51"/>
    <w:rsid w:val="604160C1"/>
    <w:rsid w:val="60787FD3"/>
    <w:rsid w:val="6086020C"/>
    <w:rsid w:val="616544C1"/>
    <w:rsid w:val="61751E71"/>
    <w:rsid w:val="61A90C42"/>
    <w:rsid w:val="62BF6A9C"/>
    <w:rsid w:val="62CA095A"/>
    <w:rsid w:val="6336343E"/>
    <w:rsid w:val="635E6559"/>
    <w:rsid w:val="63671562"/>
    <w:rsid w:val="647C79EA"/>
    <w:rsid w:val="653E2ED3"/>
    <w:rsid w:val="66470B69"/>
    <w:rsid w:val="66987CCB"/>
    <w:rsid w:val="67655F42"/>
    <w:rsid w:val="68840309"/>
    <w:rsid w:val="68987EFF"/>
    <w:rsid w:val="693E19CE"/>
    <w:rsid w:val="6A4B17BA"/>
    <w:rsid w:val="6A5A6AB4"/>
    <w:rsid w:val="6AB76228"/>
    <w:rsid w:val="6AD24F79"/>
    <w:rsid w:val="6B150A23"/>
    <w:rsid w:val="6B9F3154"/>
    <w:rsid w:val="6D671A45"/>
    <w:rsid w:val="6D891EC6"/>
    <w:rsid w:val="6DC80301"/>
    <w:rsid w:val="6DFA424B"/>
    <w:rsid w:val="6E033DA0"/>
    <w:rsid w:val="6EAE1CD9"/>
    <w:rsid w:val="6F5D3C04"/>
    <w:rsid w:val="6FB32285"/>
    <w:rsid w:val="700E51AA"/>
    <w:rsid w:val="70806AFC"/>
    <w:rsid w:val="70F310F7"/>
    <w:rsid w:val="7111681C"/>
    <w:rsid w:val="71A201DD"/>
    <w:rsid w:val="71C71FAA"/>
    <w:rsid w:val="720038A2"/>
    <w:rsid w:val="721447B3"/>
    <w:rsid w:val="7283714C"/>
    <w:rsid w:val="72BF3BF2"/>
    <w:rsid w:val="72EE4AA0"/>
    <w:rsid w:val="7307158B"/>
    <w:rsid w:val="731D3B37"/>
    <w:rsid w:val="73755BC7"/>
    <w:rsid w:val="73883B4B"/>
    <w:rsid w:val="73FB109F"/>
    <w:rsid w:val="742A5F2C"/>
    <w:rsid w:val="74861BB2"/>
    <w:rsid w:val="74D83F9A"/>
    <w:rsid w:val="75936F44"/>
    <w:rsid w:val="766E39D9"/>
    <w:rsid w:val="76756B3E"/>
    <w:rsid w:val="767D06FF"/>
    <w:rsid w:val="7686515D"/>
    <w:rsid w:val="76A76844"/>
    <w:rsid w:val="76B45627"/>
    <w:rsid w:val="775B6274"/>
    <w:rsid w:val="776612BC"/>
    <w:rsid w:val="779A3623"/>
    <w:rsid w:val="77FB4620"/>
    <w:rsid w:val="78A65132"/>
    <w:rsid w:val="78DD101E"/>
    <w:rsid w:val="79124E7F"/>
    <w:rsid w:val="7A115EE8"/>
    <w:rsid w:val="7AB56BEA"/>
    <w:rsid w:val="7B873869"/>
    <w:rsid w:val="7BB35DD5"/>
    <w:rsid w:val="7C6278B2"/>
    <w:rsid w:val="7C9655F2"/>
    <w:rsid w:val="7C9B1D61"/>
    <w:rsid w:val="7D240F5F"/>
    <w:rsid w:val="7D392951"/>
    <w:rsid w:val="7DC3476D"/>
    <w:rsid w:val="7E761FE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5,6,7,8,9,10,11,12,13,14,15,16,17,18,19,20,21,22,23,24,25,26,27,28,29,30,31,32,33,34,35,36,37,38,39,40"/>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iPriority="99" w:semiHidden="0" w:name="Body Text Indent 2"/>
    <w:lsdException w:qFormat="1" w:uiPriority="99" w:semiHidden="0" w:name="Body Text Indent 3"/>
    <w:lsdException w:uiPriority="99" w:name="Block Text"/>
    <w:lsdException w:qFormat="1" w:unhideWhenUsed="0" w:uiPriority="0"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sz w:val="24"/>
      <w:szCs w:val="22"/>
      <w:lang w:val="en-US" w:eastAsia="zh-CN" w:bidi="ar-SA"/>
    </w:rPr>
  </w:style>
  <w:style w:type="paragraph" w:styleId="3">
    <w:name w:val="heading 1"/>
    <w:basedOn w:val="1"/>
    <w:next w:val="4"/>
    <w:link w:val="81"/>
    <w:qFormat/>
    <w:uiPriority w:val="9"/>
    <w:pPr>
      <w:keepNext/>
      <w:keepLines/>
      <w:pageBreakBefore/>
      <w:numPr>
        <w:ilvl w:val="0"/>
        <w:numId w:val="1"/>
      </w:numPr>
      <w:spacing w:beforeLines="50" w:line="480" w:lineRule="auto"/>
      <w:ind w:firstLine="0" w:firstLineChars="0"/>
      <w:outlineLvl w:val="0"/>
    </w:pPr>
    <w:rPr>
      <w:b/>
      <w:kern w:val="44"/>
      <w:sz w:val="30"/>
      <w:szCs w:val="21"/>
    </w:rPr>
  </w:style>
  <w:style w:type="paragraph" w:styleId="4">
    <w:name w:val="heading 2"/>
    <w:basedOn w:val="1"/>
    <w:next w:val="1"/>
    <w:link w:val="49"/>
    <w:qFormat/>
    <w:uiPriority w:val="9"/>
    <w:pPr>
      <w:adjustRightInd w:val="0"/>
      <w:snapToGrid w:val="0"/>
      <w:spacing w:beforeLines="20" w:afterLines="20"/>
      <w:ind w:firstLine="0" w:firstLineChars="0"/>
      <w:jc w:val="left"/>
      <w:outlineLvl w:val="1"/>
    </w:pPr>
    <w:rPr>
      <w:b/>
      <w:bCs/>
      <w:kern w:val="2"/>
      <w:sz w:val="28"/>
      <w:szCs w:val="32"/>
    </w:rPr>
  </w:style>
  <w:style w:type="paragraph" w:styleId="5">
    <w:name w:val="heading 3"/>
    <w:basedOn w:val="1"/>
    <w:next w:val="1"/>
    <w:link w:val="54"/>
    <w:qFormat/>
    <w:uiPriority w:val="9"/>
    <w:pPr>
      <w:numPr>
        <w:ilvl w:val="0"/>
        <w:numId w:val="2"/>
      </w:numPr>
      <w:spacing w:afterLines="50"/>
      <w:ind w:firstLine="0" w:firstLineChars="0"/>
      <w:outlineLvl w:val="2"/>
    </w:pPr>
    <w:rPr>
      <w:b/>
      <w:bCs/>
      <w:kern w:val="2"/>
      <w:szCs w:val="32"/>
    </w:rPr>
  </w:style>
  <w:style w:type="paragraph" w:styleId="6">
    <w:name w:val="heading 4"/>
    <w:basedOn w:val="1"/>
    <w:next w:val="1"/>
    <w:link w:val="50"/>
    <w:qFormat/>
    <w:uiPriority w:val="9"/>
    <w:pPr>
      <w:keepNext/>
      <w:keepLines/>
      <w:numPr>
        <w:ilvl w:val="0"/>
        <w:numId w:val="3"/>
      </w:numPr>
      <w:adjustRightInd w:val="0"/>
      <w:snapToGrid w:val="0"/>
      <w:ind w:firstLine="0" w:firstLineChars="0"/>
      <w:jc w:val="left"/>
      <w:outlineLvl w:val="3"/>
    </w:pPr>
    <w:rPr>
      <w:rFonts w:ascii="Cambria" w:hAnsi="Cambria"/>
      <w:b/>
      <w:bCs/>
      <w:szCs w:val="28"/>
    </w:rPr>
  </w:style>
  <w:style w:type="paragraph" w:styleId="7">
    <w:name w:val="heading 9"/>
    <w:basedOn w:val="1"/>
    <w:next w:val="1"/>
    <w:link w:val="59"/>
    <w:qFormat/>
    <w:uiPriority w:val="9"/>
    <w:pPr>
      <w:keepNext/>
      <w:keepLines/>
      <w:spacing w:before="240" w:after="64" w:line="320" w:lineRule="auto"/>
      <w:outlineLvl w:val="8"/>
    </w:pPr>
    <w:rPr>
      <w:rFonts w:ascii="Cambria" w:hAnsi="Cambria"/>
      <w:kern w:val="2"/>
      <w:sz w:val="21"/>
      <w:szCs w:val="21"/>
    </w:rPr>
  </w:style>
  <w:style w:type="character" w:default="1" w:styleId="29">
    <w:name w:val="Default Paragraph Font"/>
    <w:unhideWhenUsed/>
    <w:qFormat/>
    <w:uiPriority w:val="1"/>
  </w:style>
  <w:style w:type="table" w:default="1" w:styleId="27">
    <w:name w:val="Normal Table"/>
    <w:unhideWhenUsed/>
    <w:qFormat/>
    <w:uiPriority w:val="99"/>
    <w:tblPr>
      <w:tblStyle w:val="27"/>
      <w:tblCellMar>
        <w:top w:w="0" w:type="dxa"/>
        <w:left w:w="108" w:type="dxa"/>
        <w:bottom w:w="0" w:type="dxa"/>
        <w:right w:w="108" w:type="dxa"/>
      </w:tblCellMar>
    </w:tblPr>
  </w:style>
  <w:style w:type="paragraph" w:customStyle="1" w:styleId="2">
    <w:name w:val="0正文"/>
    <w:basedOn w:val="1"/>
    <w:qFormat/>
    <w:uiPriority w:val="0"/>
    <w:pPr>
      <w:spacing w:line="360" w:lineRule="auto"/>
      <w:ind w:firstLine="480" w:firstLineChars="200"/>
    </w:pPr>
    <w:rPr>
      <w:sz w:val="24"/>
      <w:szCs w:val="22"/>
    </w:rPr>
  </w:style>
  <w:style w:type="paragraph" w:styleId="8">
    <w:name w:val="Normal Indent"/>
    <w:basedOn w:val="1"/>
    <w:link w:val="82"/>
    <w:unhideWhenUsed/>
    <w:qFormat/>
    <w:uiPriority w:val="0"/>
    <w:pPr>
      <w:ind w:firstLine="420"/>
    </w:pPr>
    <w:rPr>
      <w:kern w:val="2"/>
    </w:rPr>
  </w:style>
  <w:style w:type="paragraph" w:styleId="9">
    <w:name w:val="caption"/>
    <w:basedOn w:val="1"/>
    <w:next w:val="1"/>
    <w:qFormat/>
    <w:uiPriority w:val="0"/>
    <w:pPr>
      <w:spacing w:beforeLines="50"/>
    </w:pPr>
    <w:rPr>
      <w:rFonts w:ascii="Arial" w:hAnsi="Arial" w:eastAsia="黑体" w:cs="Arial"/>
      <w:sz w:val="20"/>
      <w:szCs w:val="20"/>
    </w:rPr>
  </w:style>
  <w:style w:type="paragraph" w:styleId="10">
    <w:name w:val="Document Map"/>
    <w:basedOn w:val="1"/>
    <w:link w:val="64"/>
    <w:unhideWhenUsed/>
    <w:qFormat/>
    <w:uiPriority w:val="0"/>
    <w:rPr>
      <w:rFonts w:ascii="宋体"/>
      <w:sz w:val="18"/>
      <w:szCs w:val="18"/>
    </w:rPr>
  </w:style>
  <w:style w:type="paragraph" w:styleId="11">
    <w:name w:val="annotation text"/>
    <w:basedOn w:val="1"/>
    <w:link w:val="75"/>
    <w:unhideWhenUsed/>
    <w:qFormat/>
    <w:uiPriority w:val="0"/>
    <w:pPr>
      <w:jc w:val="left"/>
    </w:pPr>
    <w:rPr>
      <w:kern w:val="2"/>
    </w:rPr>
  </w:style>
  <w:style w:type="paragraph" w:styleId="12">
    <w:name w:val="Body Text"/>
    <w:basedOn w:val="1"/>
    <w:link w:val="58"/>
    <w:unhideWhenUsed/>
    <w:qFormat/>
    <w:uiPriority w:val="99"/>
    <w:pPr>
      <w:spacing w:before="120"/>
    </w:pPr>
  </w:style>
  <w:style w:type="paragraph" w:styleId="13">
    <w:name w:val="Body Text Indent"/>
    <w:basedOn w:val="1"/>
    <w:link w:val="51"/>
    <w:unhideWhenUsed/>
    <w:qFormat/>
    <w:uiPriority w:val="99"/>
    <w:pPr>
      <w:ind w:firstLine="482"/>
    </w:pPr>
  </w:style>
  <w:style w:type="paragraph" w:styleId="14">
    <w:name w:val="Plain Text"/>
    <w:basedOn w:val="1"/>
    <w:link w:val="52"/>
    <w:qFormat/>
    <w:uiPriority w:val="0"/>
    <w:pPr>
      <w:spacing w:line="240" w:lineRule="auto"/>
      <w:ind w:firstLine="0" w:firstLineChars="0"/>
    </w:pPr>
    <w:rPr>
      <w:rFonts w:ascii="宋体" w:hAnsi="Courier New"/>
      <w:kern w:val="2"/>
      <w:sz w:val="21"/>
      <w:szCs w:val="21"/>
    </w:rPr>
  </w:style>
  <w:style w:type="paragraph" w:styleId="15">
    <w:name w:val="Body Text Indent 2"/>
    <w:basedOn w:val="1"/>
    <w:unhideWhenUsed/>
    <w:qFormat/>
    <w:uiPriority w:val="99"/>
    <w:pPr>
      <w:spacing w:line="440" w:lineRule="exact"/>
      <w:ind w:firstLine="420"/>
    </w:pPr>
    <w:rPr>
      <w:rFonts w:eastAsia="楷体_GB2312"/>
    </w:rPr>
  </w:style>
  <w:style w:type="paragraph" w:styleId="16">
    <w:name w:val="Balloon Text"/>
    <w:basedOn w:val="1"/>
    <w:link w:val="89"/>
    <w:unhideWhenUsed/>
    <w:qFormat/>
    <w:uiPriority w:val="99"/>
    <w:pPr>
      <w:spacing w:line="240" w:lineRule="auto"/>
    </w:pPr>
    <w:rPr>
      <w:kern w:val="2"/>
      <w:sz w:val="18"/>
      <w:szCs w:val="18"/>
    </w:rPr>
  </w:style>
  <w:style w:type="paragraph" w:styleId="17">
    <w:name w:val="footer"/>
    <w:basedOn w:val="1"/>
    <w:link w:val="43"/>
    <w:unhideWhenUsed/>
    <w:qFormat/>
    <w:uiPriority w:val="99"/>
    <w:pPr>
      <w:tabs>
        <w:tab w:val="center" w:pos="4153"/>
        <w:tab w:val="right" w:pos="8306"/>
      </w:tabs>
      <w:snapToGrid w:val="0"/>
      <w:spacing w:line="240" w:lineRule="atLeast"/>
      <w:jc w:val="left"/>
    </w:pPr>
    <w:rPr>
      <w:sz w:val="18"/>
      <w:szCs w:val="18"/>
    </w:rPr>
  </w:style>
  <w:style w:type="paragraph" w:styleId="18">
    <w:name w:val="header"/>
    <w:basedOn w:val="1"/>
    <w:link w:val="94"/>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9">
    <w:name w:val="Subtitle"/>
    <w:basedOn w:val="1"/>
    <w:link w:val="63"/>
    <w:qFormat/>
    <w:uiPriority w:val="11"/>
    <w:pPr>
      <w:adjustRightInd w:val="0"/>
      <w:snapToGrid w:val="0"/>
      <w:spacing w:line="240" w:lineRule="auto"/>
      <w:ind w:firstLine="0" w:firstLineChars="0"/>
      <w:jc w:val="center"/>
    </w:pPr>
    <w:rPr>
      <w:bCs/>
      <w:kern w:val="28"/>
      <w:sz w:val="21"/>
      <w:szCs w:val="32"/>
    </w:rPr>
  </w:style>
  <w:style w:type="paragraph" w:styleId="20">
    <w:name w:val="Body Text Indent 3"/>
    <w:basedOn w:val="1"/>
    <w:unhideWhenUsed/>
    <w:qFormat/>
    <w:uiPriority w:val="99"/>
    <w:pPr>
      <w:spacing w:after="120"/>
      <w:ind w:left="420" w:leftChars="200"/>
    </w:pPr>
    <w:rPr>
      <w:sz w:val="16"/>
      <w:szCs w:val="16"/>
    </w:rPr>
  </w:style>
  <w:style w:type="paragraph" w:styleId="21">
    <w:name w:val="toc 2"/>
    <w:basedOn w:val="1"/>
    <w:next w:val="1"/>
    <w:qFormat/>
    <w:uiPriority w:val="0"/>
    <w:pPr>
      <w:ind w:left="420" w:leftChars="200"/>
    </w:pPr>
  </w:style>
  <w:style w:type="paragraph" w:styleId="22">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Cs w:val="24"/>
    </w:rPr>
  </w:style>
  <w:style w:type="paragraph" w:styleId="23">
    <w:name w:val="Normal (Web)"/>
    <w:basedOn w:val="1"/>
    <w:unhideWhenUsed/>
    <w:qFormat/>
    <w:uiPriority w:val="99"/>
    <w:pPr>
      <w:widowControl/>
      <w:spacing w:before="100" w:beforeAutospacing="1" w:after="100" w:afterAutospacing="1"/>
      <w:jc w:val="left"/>
    </w:pPr>
    <w:rPr>
      <w:rFonts w:ascii="宋体" w:hAnsi="宋体" w:cs="宋体"/>
      <w:color w:val="000000"/>
      <w:szCs w:val="24"/>
    </w:rPr>
  </w:style>
  <w:style w:type="paragraph" w:styleId="24">
    <w:name w:val="annotation subject"/>
    <w:basedOn w:val="11"/>
    <w:next w:val="11"/>
    <w:link w:val="77"/>
    <w:unhideWhenUsed/>
    <w:qFormat/>
    <w:uiPriority w:val="99"/>
    <w:rPr>
      <w:b/>
      <w:bCs/>
    </w:rPr>
  </w:style>
  <w:style w:type="paragraph" w:styleId="25">
    <w:name w:val="Body Text First Indent"/>
    <w:basedOn w:val="12"/>
    <w:link w:val="86"/>
    <w:unhideWhenUsed/>
    <w:qFormat/>
    <w:uiPriority w:val="99"/>
    <w:pPr>
      <w:spacing w:before="0" w:after="120"/>
      <w:ind w:firstLine="420" w:firstLineChars="100"/>
    </w:pPr>
  </w:style>
  <w:style w:type="paragraph" w:styleId="26">
    <w:name w:val="Body Text First Indent 2"/>
    <w:basedOn w:val="13"/>
    <w:next w:val="25"/>
    <w:link w:val="67"/>
    <w:unhideWhenUsed/>
    <w:qFormat/>
    <w:uiPriority w:val="99"/>
    <w:pPr>
      <w:spacing w:after="120"/>
      <w:ind w:left="420" w:leftChars="200" w:firstLine="420"/>
    </w:pPr>
  </w:style>
  <w:style w:type="table" w:styleId="28">
    <w:name w:val="Table Grid"/>
    <w:basedOn w:val="27"/>
    <w:qFormat/>
    <w:uiPriority w:val="59"/>
    <w:tblPr>
      <w:tblStyle w:val="27"/>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0">
    <w:name w:val="Strong"/>
    <w:qFormat/>
    <w:uiPriority w:val="22"/>
    <w:rPr>
      <w:b/>
      <w:bCs/>
    </w:rPr>
  </w:style>
  <w:style w:type="character" w:styleId="31">
    <w:name w:val="page number"/>
    <w:basedOn w:val="29"/>
    <w:unhideWhenUsed/>
    <w:qFormat/>
    <w:uiPriority w:val="0"/>
  </w:style>
  <w:style w:type="character" w:styleId="32">
    <w:name w:val="FollowedHyperlink"/>
    <w:unhideWhenUsed/>
    <w:qFormat/>
    <w:uiPriority w:val="99"/>
    <w:rPr>
      <w:color w:val="338DE6"/>
      <w:u w:val="none"/>
    </w:rPr>
  </w:style>
  <w:style w:type="character" w:styleId="33">
    <w:name w:val="Emphasis"/>
    <w:basedOn w:val="29"/>
    <w:qFormat/>
    <w:uiPriority w:val="20"/>
  </w:style>
  <w:style w:type="character" w:styleId="34">
    <w:name w:val="HTML Definition"/>
    <w:basedOn w:val="29"/>
    <w:unhideWhenUsed/>
    <w:qFormat/>
    <w:uiPriority w:val="99"/>
  </w:style>
  <w:style w:type="character" w:styleId="35">
    <w:name w:val="HTML Variable"/>
    <w:basedOn w:val="29"/>
    <w:unhideWhenUsed/>
    <w:qFormat/>
    <w:uiPriority w:val="99"/>
  </w:style>
  <w:style w:type="character" w:styleId="36">
    <w:name w:val="Hyperlink"/>
    <w:qFormat/>
    <w:uiPriority w:val="0"/>
    <w:rPr>
      <w:color w:val="3366CC"/>
      <w:u w:val="single"/>
    </w:rPr>
  </w:style>
  <w:style w:type="character" w:styleId="37">
    <w:name w:val="HTML Code"/>
    <w:unhideWhenUsed/>
    <w:qFormat/>
    <w:uiPriority w:val="99"/>
    <w:rPr>
      <w:rFonts w:hint="default" w:ascii="serif" w:hAnsi="serif" w:eastAsia="serif" w:cs="serif"/>
      <w:sz w:val="21"/>
      <w:szCs w:val="21"/>
    </w:rPr>
  </w:style>
  <w:style w:type="character" w:styleId="38">
    <w:name w:val="annotation reference"/>
    <w:unhideWhenUsed/>
    <w:qFormat/>
    <w:uiPriority w:val="0"/>
    <w:rPr>
      <w:sz w:val="21"/>
      <w:szCs w:val="21"/>
    </w:rPr>
  </w:style>
  <w:style w:type="character" w:styleId="39">
    <w:name w:val="HTML Cite"/>
    <w:basedOn w:val="29"/>
    <w:unhideWhenUsed/>
    <w:qFormat/>
    <w:uiPriority w:val="99"/>
  </w:style>
  <w:style w:type="character" w:styleId="40">
    <w:name w:val="HTML Keyboard"/>
    <w:unhideWhenUsed/>
    <w:qFormat/>
    <w:uiPriority w:val="99"/>
    <w:rPr>
      <w:rFonts w:ascii="serif" w:hAnsi="serif" w:eastAsia="serif" w:cs="serif"/>
      <w:sz w:val="21"/>
      <w:szCs w:val="21"/>
    </w:rPr>
  </w:style>
  <w:style w:type="character" w:styleId="41">
    <w:name w:val="HTML Sample"/>
    <w:unhideWhenUsed/>
    <w:qFormat/>
    <w:uiPriority w:val="99"/>
    <w:rPr>
      <w:rFonts w:hint="default" w:ascii="serif" w:hAnsi="serif" w:eastAsia="serif" w:cs="serif"/>
      <w:sz w:val="21"/>
      <w:szCs w:val="21"/>
    </w:rPr>
  </w:style>
  <w:style w:type="character" w:customStyle="1" w:styleId="42">
    <w:name w:val="Body text (2) + Georgia2"/>
    <w:qFormat/>
    <w:uiPriority w:val="99"/>
    <w:rPr>
      <w:rFonts w:ascii="Georgia" w:hAnsi="Georgia" w:eastAsia="宋体" w:cs="Georgia"/>
      <w:spacing w:val="-10"/>
      <w:sz w:val="13"/>
      <w:szCs w:val="13"/>
      <w:u w:val="none"/>
      <w:shd w:val="clear" w:color="auto" w:fill="FFFFFF"/>
      <w:lang w:val="en-US" w:eastAsia="en-US"/>
    </w:rPr>
  </w:style>
  <w:style w:type="character" w:customStyle="1" w:styleId="43">
    <w:name w:val="页脚 Char"/>
    <w:link w:val="17"/>
    <w:qFormat/>
    <w:uiPriority w:val="99"/>
    <w:rPr>
      <w:rFonts w:cs="Times New Roman"/>
      <w:sz w:val="18"/>
      <w:szCs w:val="18"/>
    </w:rPr>
  </w:style>
  <w:style w:type="character" w:customStyle="1" w:styleId="44">
    <w:name w:val="Body text (2)_"/>
    <w:link w:val="45"/>
    <w:qFormat/>
    <w:uiPriority w:val="99"/>
    <w:rPr>
      <w:rFonts w:ascii="宋体" w:eastAsia="宋体" w:cs="宋体"/>
      <w:sz w:val="13"/>
      <w:szCs w:val="13"/>
      <w:shd w:val="clear" w:color="auto" w:fill="FFFFFF"/>
    </w:rPr>
  </w:style>
  <w:style w:type="paragraph" w:customStyle="1" w:styleId="45">
    <w:name w:val="Body text (2)1"/>
    <w:basedOn w:val="1"/>
    <w:link w:val="44"/>
    <w:qFormat/>
    <w:uiPriority w:val="99"/>
    <w:pPr>
      <w:shd w:val="clear" w:color="auto" w:fill="FFFFFF"/>
      <w:spacing w:before="420" w:line="309" w:lineRule="exact"/>
      <w:ind w:hanging="520" w:firstLineChars="0"/>
      <w:jc w:val="left"/>
    </w:pPr>
    <w:rPr>
      <w:rFonts w:ascii="宋体"/>
      <w:sz w:val="13"/>
      <w:szCs w:val="13"/>
    </w:rPr>
  </w:style>
  <w:style w:type="character" w:customStyle="1" w:styleId="46">
    <w:name w:val="新正文 Char"/>
    <w:link w:val="47"/>
    <w:qFormat/>
    <w:uiPriority w:val="0"/>
    <w:rPr>
      <w:rFonts w:ascii="仿宋_GB2312" w:eastAsia="仿宋_GB2312"/>
      <w:bCs/>
      <w:sz w:val="28"/>
    </w:rPr>
  </w:style>
  <w:style w:type="paragraph" w:customStyle="1" w:styleId="47">
    <w:name w:val="新正文"/>
    <w:basedOn w:val="1"/>
    <w:link w:val="46"/>
    <w:qFormat/>
    <w:uiPriority w:val="0"/>
    <w:pPr>
      <w:spacing w:line="480" w:lineRule="exact"/>
      <w:ind w:firstLine="567" w:firstLineChars="0"/>
    </w:pPr>
    <w:rPr>
      <w:rFonts w:ascii="仿宋_GB2312" w:eastAsia="仿宋_GB2312"/>
      <w:bCs/>
      <w:sz w:val="28"/>
      <w:szCs w:val="20"/>
    </w:rPr>
  </w:style>
  <w:style w:type="character" w:customStyle="1" w:styleId="48">
    <w:name w:val="fontborder"/>
    <w:qFormat/>
    <w:uiPriority w:val="0"/>
    <w:rPr>
      <w:bdr w:val="single" w:color="000000" w:sz="6" w:space="0"/>
    </w:rPr>
  </w:style>
  <w:style w:type="character" w:customStyle="1" w:styleId="49">
    <w:name w:val="标题 2 Char"/>
    <w:link w:val="4"/>
    <w:qFormat/>
    <w:uiPriority w:val="9"/>
    <w:rPr>
      <w:b/>
      <w:bCs/>
      <w:kern w:val="2"/>
      <w:sz w:val="28"/>
      <w:szCs w:val="32"/>
    </w:rPr>
  </w:style>
  <w:style w:type="character" w:customStyle="1" w:styleId="50">
    <w:name w:val="标题 4 Char"/>
    <w:link w:val="6"/>
    <w:qFormat/>
    <w:uiPriority w:val="9"/>
    <w:rPr>
      <w:rFonts w:ascii="Cambria" w:hAnsi="Cambria"/>
      <w:b/>
      <w:bCs/>
      <w:sz w:val="24"/>
      <w:szCs w:val="28"/>
    </w:rPr>
  </w:style>
  <w:style w:type="character" w:customStyle="1" w:styleId="51">
    <w:name w:val="正文文本缩进 Char"/>
    <w:link w:val="13"/>
    <w:qFormat/>
    <w:uiPriority w:val="99"/>
    <w:rPr>
      <w:sz w:val="24"/>
      <w:szCs w:val="22"/>
    </w:rPr>
  </w:style>
  <w:style w:type="character" w:customStyle="1" w:styleId="52">
    <w:name w:val="纯文本 Char1"/>
    <w:link w:val="14"/>
    <w:qFormat/>
    <w:uiPriority w:val="0"/>
    <w:rPr>
      <w:rFonts w:ascii="宋体" w:hAnsi="Courier New"/>
      <w:kern w:val="2"/>
      <w:sz w:val="21"/>
      <w:szCs w:val="21"/>
    </w:rPr>
  </w:style>
  <w:style w:type="character" w:customStyle="1" w:styleId="53">
    <w:name w:val="Table caption (9) + Georgia"/>
    <w:qFormat/>
    <w:uiPriority w:val="99"/>
    <w:rPr>
      <w:rFonts w:ascii="Georgia" w:hAnsi="Georgia" w:eastAsia="宋体" w:cs="Georgia"/>
      <w:spacing w:val="0"/>
      <w:sz w:val="14"/>
      <w:szCs w:val="14"/>
      <w:shd w:val="clear" w:color="auto" w:fill="FFFFFF"/>
      <w:lang w:val="en-US" w:eastAsia="en-US"/>
    </w:rPr>
  </w:style>
  <w:style w:type="character" w:customStyle="1" w:styleId="54">
    <w:name w:val="标题 3 Char"/>
    <w:link w:val="5"/>
    <w:qFormat/>
    <w:uiPriority w:val="9"/>
    <w:rPr>
      <w:b/>
      <w:bCs/>
      <w:kern w:val="2"/>
      <w:sz w:val="24"/>
      <w:szCs w:val="32"/>
    </w:rPr>
  </w:style>
  <w:style w:type="character" w:customStyle="1" w:styleId="55">
    <w:name w:val="Body text (8)_"/>
    <w:link w:val="56"/>
    <w:qFormat/>
    <w:uiPriority w:val="99"/>
    <w:rPr>
      <w:rFonts w:ascii="宋体" w:eastAsia="宋体" w:cs="宋体"/>
      <w:sz w:val="13"/>
      <w:szCs w:val="13"/>
      <w:shd w:val="clear" w:color="auto" w:fill="FFFFFF"/>
    </w:rPr>
  </w:style>
  <w:style w:type="paragraph" w:customStyle="1" w:styleId="56">
    <w:name w:val="Body text (8)1"/>
    <w:basedOn w:val="1"/>
    <w:link w:val="55"/>
    <w:qFormat/>
    <w:uiPriority w:val="99"/>
    <w:pPr>
      <w:shd w:val="clear" w:color="auto" w:fill="FFFFFF"/>
      <w:spacing w:line="311" w:lineRule="exact"/>
      <w:ind w:firstLine="0" w:firstLineChars="0"/>
      <w:jc w:val="distribute"/>
    </w:pPr>
    <w:rPr>
      <w:rFonts w:ascii="宋体"/>
      <w:sz w:val="13"/>
      <w:szCs w:val="13"/>
    </w:rPr>
  </w:style>
  <w:style w:type="character" w:customStyle="1" w:styleId="57">
    <w:name w:val="页码1"/>
    <w:qFormat/>
    <w:uiPriority w:val="0"/>
  </w:style>
  <w:style w:type="character" w:customStyle="1" w:styleId="58">
    <w:name w:val="正文文本 Char"/>
    <w:link w:val="12"/>
    <w:qFormat/>
    <w:uiPriority w:val="99"/>
    <w:rPr>
      <w:sz w:val="24"/>
      <w:szCs w:val="22"/>
    </w:rPr>
  </w:style>
  <w:style w:type="character" w:customStyle="1" w:styleId="59">
    <w:name w:val="标题 9 Char"/>
    <w:link w:val="7"/>
    <w:semiHidden/>
    <w:qFormat/>
    <w:uiPriority w:val="9"/>
    <w:rPr>
      <w:rFonts w:ascii="Cambria" w:hAnsi="Cambria" w:eastAsia="宋体" w:cs="Times New Roman"/>
      <w:kern w:val="2"/>
      <w:sz w:val="21"/>
      <w:szCs w:val="21"/>
    </w:rPr>
  </w:style>
  <w:style w:type="character" w:customStyle="1" w:styleId="60">
    <w:name w:val="表格 Char"/>
    <w:link w:val="61"/>
    <w:qFormat/>
    <w:uiPriority w:val="0"/>
    <w:rPr>
      <w:kern w:val="2"/>
      <w:sz w:val="21"/>
      <w:szCs w:val="22"/>
    </w:rPr>
  </w:style>
  <w:style w:type="paragraph" w:customStyle="1" w:styleId="61">
    <w:name w:val="表格"/>
    <w:basedOn w:val="1"/>
    <w:next w:val="1"/>
    <w:link w:val="60"/>
    <w:qFormat/>
    <w:uiPriority w:val="0"/>
    <w:pPr>
      <w:spacing w:line="240" w:lineRule="auto"/>
      <w:ind w:firstLine="0" w:firstLineChars="0"/>
      <w:jc w:val="center"/>
    </w:pPr>
    <w:rPr>
      <w:kern w:val="2"/>
      <w:sz w:val="21"/>
    </w:rPr>
  </w:style>
  <w:style w:type="character" w:customStyle="1" w:styleId="62">
    <w:name w:val="normal1"/>
    <w:qFormat/>
    <w:uiPriority w:val="0"/>
    <w:rPr>
      <w:b/>
      <w:sz w:val="19"/>
      <w:szCs w:val="19"/>
    </w:rPr>
  </w:style>
  <w:style w:type="character" w:customStyle="1" w:styleId="63">
    <w:name w:val="副标题 Char"/>
    <w:link w:val="19"/>
    <w:qFormat/>
    <w:uiPriority w:val="11"/>
    <w:rPr>
      <w:bCs/>
      <w:kern w:val="28"/>
      <w:sz w:val="21"/>
      <w:szCs w:val="32"/>
    </w:rPr>
  </w:style>
  <w:style w:type="character" w:customStyle="1" w:styleId="64">
    <w:name w:val="文档结构图 Char"/>
    <w:link w:val="10"/>
    <w:qFormat/>
    <w:uiPriority w:val="0"/>
    <w:rPr>
      <w:rFonts w:ascii="宋体" w:cs="Times New Roman"/>
      <w:sz w:val="18"/>
      <w:szCs w:val="18"/>
    </w:rPr>
  </w:style>
  <w:style w:type="character" w:customStyle="1" w:styleId="65">
    <w:name w:val="样式 样式 样式 样式 首行缩进:  1 字符 + 首行缩进:  2 字符1 + 首行缩进:  2 字符 + Arial Char"/>
    <w:link w:val="66"/>
    <w:qFormat/>
    <w:uiPriority w:val="0"/>
    <w:rPr>
      <w:rFonts w:ascii="Arial" w:hAnsi="Arial" w:cs="宋体"/>
      <w:sz w:val="24"/>
    </w:rPr>
  </w:style>
  <w:style w:type="paragraph" w:customStyle="1" w:styleId="66">
    <w:name w:val="样式 样式 样式 样式 首行缩进:  1 字符 + 首行缩进:  2 字符1 + 首行缩进:  2 字符 + Arial"/>
    <w:basedOn w:val="1"/>
    <w:link w:val="65"/>
    <w:qFormat/>
    <w:uiPriority w:val="0"/>
    <w:rPr>
      <w:rFonts w:ascii="Arial" w:hAnsi="Arial"/>
      <w:szCs w:val="20"/>
    </w:rPr>
  </w:style>
  <w:style w:type="character" w:customStyle="1" w:styleId="67">
    <w:name w:val="正文首行缩进 2 Char"/>
    <w:link w:val="26"/>
    <w:qFormat/>
    <w:uiPriority w:val="0"/>
    <w:rPr>
      <w:sz w:val="24"/>
      <w:szCs w:val="22"/>
    </w:rPr>
  </w:style>
  <w:style w:type="character" w:customStyle="1" w:styleId="68">
    <w:name w:val="段 Char"/>
    <w:link w:val="69"/>
    <w:qFormat/>
    <w:uiPriority w:val="0"/>
    <w:rPr>
      <w:rFonts w:ascii="宋体"/>
      <w:sz w:val="21"/>
    </w:rPr>
  </w:style>
  <w:style w:type="paragraph" w:customStyle="1" w:styleId="69">
    <w:name w:val="段"/>
    <w:link w:val="68"/>
    <w:qFormat/>
    <w:uiPriority w:val="0"/>
    <w:pPr>
      <w:tabs>
        <w:tab w:val="center" w:pos="4201"/>
        <w:tab w:val="right" w:leader="dot" w:pos="9298"/>
      </w:tabs>
      <w:autoSpaceDE w:val="0"/>
      <w:autoSpaceDN w:val="0"/>
      <w:ind w:firstLine="420" w:firstLineChars="200"/>
      <w:jc w:val="both"/>
    </w:pPr>
    <w:rPr>
      <w:rFonts w:ascii="宋体"/>
      <w:sz w:val="21"/>
      <w:lang w:val="en-US" w:eastAsia="zh-CN" w:bidi="ar-SA"/>
    </w:rPr>
  </w:style>
  <w:style w:type="character" w:customStyle="1" w:styleId="70">
    <w:name w:val="图标标题 Char"/>
    <w:link w:val="71"/>
    <w:qFormat/>
    <w:uiPriority w:val="0"/>
    <w:rPr>
      <w:rFonts w:eastAsia="黑体"/>
      <w:b/>
      <w:kern w:val="2"/>
      <w:sz w:val="21"/>
      <w:szCs w:val="21"/>
    </w:rPr>
  </w:style>
  <w:style w:type="paragraph" w:customStyle="1" w:styleId="71">
    <w:name w:val="图标标题"/>
    <w:basedOn w:val="1"/>
    <w:link w:val="70"/>
    <w:qFormat/>
    <w:uiPriority w:val="0"/>
    <w:pPr>
      <w:spacing w:beforeLines="30" w:line="240" w:lineRule="auto"/>
      <w:ind w:firstLine="0" w:firstLineChars="0"/>
      <w:jc w:val="center"/>
    </w:pPr>
    <w:rPr>
      <w:rFonts w:eastAsia="黑体"/>
      <w:b/>
      <w:kern w:val="2"/>
      <w:sz w:val="21"/>
      <w:szCs w:val="21"/>
    </w:rPr>
  </w:style>
  <w:style w:type="character" w:customStyle="1" w:styleId="72">
    <w:name w:val="4正文 Char Char"/>
    <w:link w:val="73"/>
    <w:qFormat/>
    <w:uiPriority w:val="0"/>
    <w:rPr>
      <w:kern w:val="2"/>
      <w:sz w:val="21"/>
      <w:lang w:val="en-US" w:eastAsia="zh-CN"/>
    </w:rPr>
  </w:style>
  <w:style w:type="paragraph" w:customStyle="1" w:styleId="73">
    <w:name w:val="4正文"/>
    <w:basedOn w:val="1"/>
    <w:link w:val="72"/>
    <w:qFormat/>
    <w:uiPriority w:val="0"/>
    <w:pPr>
      <w:spacing w:line="240" w:lineRule="auto"/>
      <w:ind w:firstLine="0" w:firstLineChars="0"/>
    </w:pPr>
    <w:rPr>
      <w:kern w:val="2"/>
      <w:sz w:val="21"/>
      <w:szCs w:val="20"/>
    </w:rPr>
  </w:style>
  <w:style w:type="character" w:customStyle="1" w:styleId="74">
    <w:name w:val="Body text (8) + Georgia"/>
    <w:qFormat/>
    <w:uiPriority w:val="99"/>
    <w:rPr>
      <w:rFonts w:ascii="Georgia" w:hAnsi="Georgia" w:eastAsia="宋体" w:cs="Georgia"/>
      <w:spacing w:val="0"/>
      <w:sz w:val="14"/>
      <w:szCs w:val="14"/>
      <w:shd w:val="clear" w:color="auto" w:fill="FFFFFF"/>
      <w:lang w:val="en-US" w:eastAsia="en-US"/>
    </w:rPr>
  </w:style>
  <w:style w:type="character" w:customStyle="1" w:styleId="75">
    <w:name w:val="批注文字 Char"/>
    <w:link w:val="11"/>
    <w:semiHidden/>
    <w:qFormat/>
    <w:uiPriority w:val="99"/>
    <w:rPr>
      <w:kern w:val="2"/>
      <w:sz w:val="24"/>
      <w:szCs w:val="22"/>
    </w:rPr>
  </w:style>
  <w:style w:type="character" w:customStyle="1" w:styleId="76">
    <w:name w:val="纯文本 Char"/>
    <w:semiHidden/>
    <w:qFormat/>
    <w:uiPriority w:val="99"/>
    <w:rPr>
      <w:rFonts w:ascii="宋体" w:hAnsi="Courier New" w:cs="Courier New"/>
      <w:kern w:val="2"/>
      <w:sz w:val="21"/>
      <w:szCs w:val="21"/>
    </w:rPr>
  </w:style>
  <w:style w:type="character" w:customStyle="1" w:styleId="77">
    <w:name w:val="批注主题 Char"/>
    <w:link w:val="24"/>
    <w:semiHidden/>
    <w:qFormat/>
    <w:uiPriority w:val="99"/>
    <w:rPr>
      <w:b/>
      <w:bCs/>
      <w:kern w:val="2"/>
      <w:sz w:val="24"/>
      <w:szCs w:val="22"/>
    </w:rPr>
  </w:style>
  <w:style w:type="character" w:customStyle="1" w:styleId="78">
    <w:name w:val="表格文字 Char"/>
    <w:link w:val="79"/>
    <w:qFormat/>
    <w:uiPriority w:val="0"/>
    <w:rPr>
      <w:kern w:val="2"/>
      <w:sz w:val="21"/>
      <w:szCs w:val="21"/>
    </w:rPr>
  </w:style>
  <w:style w:type="paragraph" w:customStyle="1" w:styleId="79">
    <w:name w:val="表格文字"/>
    <w:basedOn w:val="80"/>
    <w:link w:val="78"/>
    <w:qFormat/>
    <w:uiPriority w:val="0"/>
    <w:pPr>
      <w:adjustRightInd w:val="0"/>
      <w:snapToGrid w:val="0"/>
      <w:spacing w:line="240" w:lineRule="auto"/>
      <w:ind w:firstLine="0" w:firstLineChars="0"/>
      <w:jc w:val="center"/>
    </w:pPr>
    <w:rPr>
      <w:kern w:val="2"/>
      <w:sz w:val="21"/>
      <w:szCs w:val="21"/>
    </w:rPr>
  </w:style>
  <w:style w:type="paragraph" w:customStyle="1" w:styleId="80">
    <w:name w:val="表头"/>
    <w:basedOn w:val="12"/>
    <w:qFormat/>
    <w:uiPriority w:val="0"/>
    <w:pPr>
      <w:ind w:firstLine="0" w:firstLineChars="0"/>
      <w:jc w:val="center"/>
    </w:pPr>
    <w:rPr>
      <w:rFonts w:ascii="Times New Roman" w:hAnsi="Times New Roman"/>
      <w:b/>
    </w:rPr>
  </w:style>
  <w:style w:type="character" w:customStyle="1" w:styleId="81">
    <w:name w:val="标题 1 Char"/>
    <w:link w:val="3"/>
    <w:qFormat/>
    <w:uiPriority w:val="9"/>
    <w:rPr>
      <w:b/>
      <w:kern w:val="44"/>
      <w:sz w:val="30"/>
      <w:szCs w:val="21"/>
    </w:rPr>
  </w:style>
  <w:style w:type="character" w:customStyle="1" w:styleId="82">
    <w:name w:val="正文缩进 Char"/>
    <w:link w:val="8"/>
    <w:qFormat/>
    <w:uiPriority w:val="0"/>
    <w:rPr>
      <w:kern w:val="2"/>
      <w:sz w:val="24"/>
      <w:szCs w:val="22"/>
    </w:rPr>
  </w:style>
  <w:style w:type="character" w:styleId="83">
    <w:name w:val="Placeholder Text"/>
    <w:unhideWhenUsed/>
    <w:qFormat/>
    <w:uiPriority w:val="99"/>
    <w:rPr>
      <w:color w:val="808080"/>
    </w:rPr>
  </w:style>
  <w:style w:type="character" w:customStyle="1" w:styleId="84">
    <w:name w:val="最新正文 Char"/>
    <w:link w:val="85"/>
    <w:qFormat/>
    <w:uiPriority w:val="0"/>
    <w:rPr>
      <w:kern w:val="2"/>
      <w:sz w:val="24"/>
    </w:rPr>
  </w:style>
  <w:style w:type="paragraph" w:customStyle="1" w:styleId="85">
    <w:name w:val="最新正文"/>
    <w:basedOn w:val="1"/>
    <w:link w:val="84"/>
    <w:qFormat/>
    <w:uiPriority w:val="0"/>
    <w:pPr>
      <w:spacing w:line="300" w:lineRule="auto"/>
    </w:pPr>
    <w:rPr>
      <w:kern w:val="2"/>
      <w:szCs w:val="20"/>
    </w:rPr>
  </w:style>
  <w:style w:type="character" w:customStyle="1" w:styleId="86">
    <w:name w:val="正文首行缩进 Char"/>
    <w:link w:val="25"/>
    <w:qFormat/>
    <w:uiPriority w:val="0"/>
    <w:rPr>
      <w:sz w:val="24"/>
      <w:szCs w:val="22"/>
    </w:rPr>
  </w:style>
  <w:style w:type="character" w:customStyle="1" w:styleId="87">
    <w:name w:val="表格内 Char"/>
    <w:link w:val="88"/>
    <w:qFormat/>
    <w:uiPriority w:val="0"/>
    <w:rPr>
      <w:kern w:val="2"/>
      <w:sz w:val="21"/>
    </w:rPr>
  </w:style>
  <w:style w:type="paragraph" w:customStyle="1" w:styleId="88">
    <w:name w:val="表格内"/>
    <w:basedOn w:val="1"/>
    <w:link w:val="87"/>
    <w:qFormat/>
    <w:uiPriority w:val="0"/>
    <w:pPr>
      <w:spacing w:line="240" w:lineRule="auto"/>
      <w:ind w:firstLine="0" w:firstLineChars="0"/>
      <w:jc w:val="center"/>
    </w:pPr>
    <w:rPr>
      <w:kern w:val="2"/>
      <w:sz w:val="21"/>
      <w:szCs w:val="20"/>
    </w:rPr>
  </w:style>
  <w:style w:type="character" w:customStyle="1" w:styleId="89">
    <w:name w:val="批注框文本 Char"/>
    <w:link w:val="16"/>
    <w:semiHidden/>
    <w:qFormat/>
    <w:uiPriority w:val="99"/>
    <w:rPr>
      <w:kern w:val="2"/>
      <w:sz w:val="18"/>
      <w:szCs w:val="18"/>
    </w:rPr>
  </w:style>
  <w:style w:type="character" w:customStyle="1" w:styleId="90">
    <w:name w:val="【正文】 Char"/>
    <w:link w:val="91"/>
    <w:qFormat/>
    <w:uiPriority w:val="0"/>
    <w:rPr>
      <w:rFonts w:cs="宋体"/>
      <w:kern w:val="2"/>
      <w:sz w:val="24"/>
    </w:rPr>
  </w:style>
  <w:style w:type="paragraph" w:customStyle="1" w:styleId="91">
    <w:name w:val="【正文】"/>
    <w:basedOn w:val="1"/>
    <w:link w:val="90"/>
    <w:qFormat/>
    <w:uiPriority w:val="0"/>
    <w:pPr>
      <w:spacing w:line="440" w:lineRule="exact"/>
      <w:ind w:firstLine="544"/>
    </w:pPr>
    <w:rPr>
      <w:rFonts w:cs="宋体"/>
      <w:kern w:val="2"/>
      <w:szCs w:val="20"/>
    </w:rPr>
  </w:style>
  <w:style w:type="character" w:customStyle="1" w:styleId="92">
    <w:name w:val="Table caption (9)_"/>
    <w:link w:val="93"/>
    <w:qFormat/>
    <w:uiPriority w:val="99"/>
    <w:rPr>
      <w:rFonts w:ascii="宋体" w:eastAsia="宋体" w:cs="宋体"/>
      <w:sz w:val="13"/>
      <w:szCs w:val="13"/>
      <w:shd w:val="clear" w:color="auto" w:fill="FFFFFF"/>
    </w:rPr>
  </w:style>
  <w:style w:type="paragraph" w:customStyle="1" w:styleId="93">
    <w:name w:val="Table caption (9)"/>
    <w:basedOn w:val="1"/>
    <w:link w:val="92"/>
    <w:qFormat/>
    <w:uiPriority w:val="99"/>
    <w:pPr>
      <w:shd w:val="clear" w:color="auto" w:fill="FFFFFF"/>
      <w:spacing w:line="240" w:lineRule="atLeast"/>
      <w:ind w:firstLine="0" w:firstLineChars="0"/>
      <w:jc w:val="left"/>
    </w:pPr>
    <w:rPr>
      <w:rFonts w:ascii="宋体"/>
      <w:sz w:val="13"/>
      <w:szCs w:val="13"/>
    </w:rPr>
  </w:style>
  <w:style w:type="character" w:customStyle="1" w:styleId="94">
    <w:name w:val="页眉 Char"/>
    <w:link w:val="18"/>
    <w:qFormat/>
    <w:uiPriority w:val="99"/>
    <w:rPr>
      <w:rFonts w:cs="Times New Roman"/>
      <w:sz w:val="18"/>
      <w:szCs w:val="18"/>
    </w:rPr>
  </w:style>
  <w:style w:type="character" w:customStyle="1" w:styleId="95">
    <w:name w:val="fontstrikethrough"/>
    <w:qFormat/>
    <w:uiPriority w:val="0"/>
    <w:rPr>
      <w:strike/>
    </w:rPr>
  </w:style>
  <w:style w:type="paragraph" w:customStyle="1" w:styleId="96">
    <w:name w:val="中等深浅网格 21"/>
    <w:basedOn w:val="1"/>
    <w:next w:val="1"/>
    <w:qFormat/>
    <w:uiPriority w:val="1"/>
    <w:pPr>
      <w:spacing w:line="240" w:lineRule="auto"/>
      <w:ind w:firstLine="0" w:firstLineChars="0"/>
      <w:jc w:val="center"/>
    </w:pPr>
    <w:rPr>
      <w:kern w:val="2"/>
      <w:sz w:val="21"/>
    </w:rPr>
  </w:style>
  <w:style w:type="paragraph" w:customStyle="1" w:styleId="97">
    <w:name w:val="Default"/>
    <w:qFormat/>
    <w:uiPriority w:val="99"/>
    <w:pPr>
      <w:widowControl w:val="0"/>
      <w:autoSpaceDE w:val="0"/>
      <w:autoSpaceDN w:val="0"/>
      <w:adjustRightInd w:val="0"/>
    </w:pPr>
    <w:rPr>
      <w:color w:val="000000"/>
      <w:sz w:val="24"/>
      <w:szCs w:val="24"/>
      <w:lang w:val="en-US" w:eastAsia="zh-CN" w:bidi="ar-SA"/>
    </w:rPr>
  </w:style>
  <w:style w:type="paragraph" w:customStyle="1" w:styleId="98">
    <w:name w:val="Char Char Char1 Char Char Char Char Char Char Char Char Char Char Char Char Char Char Char Char Char Char Char Char Char Char"/>
    <w:basedOn w:val="1"/>
    <w:qFormat/>
    <w:uiPriority w:val="0"/>
    <w:pPr>
      <w:adjustRightInd w:val="0"/>
      <w:snapToGrid w:val="0"/>
    </w:pPr>
    <w:rPr>
      <w:sz w:val="21"/>
      <w:szCs w:val="21"/>
    </w:rPr>
  </w:style>
  <w:style w:type="paragraph" w:customStyle="1" w:styleId="99">
    <w:name w:val="表格2"/>
    <w:basedOn w:val="1"/>
    <w:qFormat/>
    <w:uiPriority w:val="0"/>
    <w:pPr>
      <w:spacing w:line="240" w:lineRule="auto"/>
      <w:ind w:firstLine="0" w:firstLineChars="0"/>
      <w:jc w:val="center"/>
    </w:pPr>
    <w:rPr>
      <w:sz w:val="21"/>
    </w:rPr>
  </w:style>
  <w:style w:type="paragraph" w:customStyle="1" w:styleId="100">
    <w:name w:val="6表内容"/>
    <w:basedOn w:val="1"/>
    <w:qFormat/>
    <w:uiPriority w:val="0"/>
    <w:pPr>
      <w:spacing w:line="340" w:lineRule="exact"/>
      <w:ind w:firstLine="0" w:firstLineChars="0"/>
      <w:jc w:val="center"/>
    </w:pPr>
    <w:rPr>
      <w:rFonts w:cs="宋体"/>
      <w:color w:val="000000"/>
      <w:sz w:val="21"/>
      <w:szCs w:val="20"/>
    </w:rPr>
  </w:style>
  <w:style w:type="paragraph" w:customStyle="1" w:styleId="101">
    <w:name w:val="表格文字   5号"/>
    <w:qFormat/>
    <w:uiPriority w:val="0"/>
    <w:pPr>
      <w:jc w:val="center"/>
    </w:pPr>
    <w:rPr>
      <w:color w:val="000000"/>
      <w:kern w:val="2"/>
      <w:sz w:val="21"/>
      <w:szCs w:val="24"/>
      <w:lang w:val="en-US" w:eastAsia="zh-CN" w:bidi="ar-SA"/>
    </w:rPr>
  </w:style>
  <w:style w:type="paragraph" w:customStyle="1" w:styleId="102">
    <w:name w:val="Char Char Char Char Char Char Char Char Char Char Char"/>
    <w:qFormat/>
    <w:uiPriority w:val="0"/>
    <w:pPr>
      <w:widowControl w:val="0"/>
      <w:adjustRightInd w:val="0"/>
      <w:snapToGrid w:val="0"/>
      <w:spacing w:beforeLines="50"/>
      <w:jc w:val="center"/>
    </w:pPr>
    <w:rPr>
      <w:rFonts w:eastAsia="黑体"/>
      <w:kern w:val="2"/>
      <w:sz w:val="24"/>
      <w:szCs w:val="24"/>
      <w:lang w:val="en-US" w:eastAsia="zh-CN" w:bidi="ar-SA"/>
    </w:rPr>
  </w:style>
  <w:style w:type="paragraph" w:customStyle="1" w:styleId="103">
    <w:name w:val="List Paragraph1"/>
    <w:basedOn w:val="1"/>
    <w:qFormat/>
    <w:uiPriority w:val="99"/>
    <w:pPr>
      <w:ind w:firstLine="420"/>
    </w:pPr>
  </w:style>
  <w:style w:type="paragraph" w:customStyle="1" w:styleId="104">
    <w:name w:val="报告表正文"/>
    <w:basedOn w:val="1"/>
    <w:qFormat/>
    <w:uiPriority w:val="0"/>
    <w:pPr>
      <w:adjustRightInd w:val="0"/>
      <w:spacing w:line="312" w:lineRule="auto"/>
      <w:ind w:left="113" w:right="113" w:firstLine="482" w:firstLineChars="0"/>
      <w:jc w:val="left"/>
      <w:textAlignment w:val="baseline"/>
    </w:pPr>
    <w:rPr>
      <w:szCs w:val="20"/>
    </w:rPr>
  </w:style>
  <w:style w:type="paragraph" w:customStyle="1" w:styleId="105">
    <w:name w:val="样式 样式 样式 首行缩进:  1 字符 + 首行缩进:  2 字符1 + 首行缩进:  2 字符2"/>
    <w:basedOn w:val="1"/>
    <w:qFormat/>
    <w:uiPriority w:val="99"/>
    <w:pPr>
      <w:spacing w:line="360" w:lineRule="auto"/>
      <w:ind w:firstLine="480" w:firstLineChars="200"/>
    </w:pPr>
    <w:rPr>
      <w:rFonts w:cs="宋体"/>
      <w:sz w:val="24"/>
    </w:rPr>
  </w:style>
  <w:style w:type="paragraph" w:customStyle="1" w:styleId="106">
    <w:name w:val="样式 小四 居中"/>
    <w:basedOn w:val="1"/>
    <w:qFormat/>
    <w:uiPriority w:val="0"/>
    <w:pPr>
      <w:adjustRightInd w:val="0"/>
      <w:snapToGrid w:val="0"/>
      <w:spacing w:line="240" w:lineRule="auto"/>
      <w:ind w:firstLine="0" w:firstLineChars="0"/>
      <w:jc w:val="center"/>
    </w:pPr>
    <w:rPr>
      <w:rFonts w:cs="宋体"/>
      <w:szCs w:val="20"/>
    </w:rPr>
  </w:style>
  <w:style w:type="paragraph" w:customStyle="1" w:styleId="107">
    <w:name w:val="六表内容"/>
    <w:basedOn w:val="1"/>
    <w:qFormat/>
    <w:uiPriority w:val="0"/>
    <w:pPr>
      <w:widowControl/>
      <w:spacing w:line="340" w:lineRule="exact"/>
      <w:ind w:firstLine="0" w:firstLineChars="0"/>
      <w:jc w:val="center"/>
    </w:pPr>
    <w:rPr>
      <w:sz w:val="20"/>
      <w:szCs w:val="21"/>
    </w:rPr>
  </w:style>
  <w:style w:type="paragraph" w:customStyle="1" w:styleId="108">
    <w:name w:val="Char Char Char Char Char2 Char Char Char Char"/>
    <w:basedOn w:val="1"/>
    <w:semiHidden/>
    <w:qFormat/>
    <w:uiPriority w:val="0"/>
    <w:pPr>
      <w:adjustRightInd w:val="0"/>
      <w:snapToGrid w:val="0"/>
    </w:pPr>
    <w:rPr>
      <w:rFonts w:ascii="宋体" w:hAnsi="宋体" w:cs="宋体"/>
      <w:szCs w:val="26"/>
    </w:rPr>
  </w:style>
  <w:style w:type="paragraph" w:customStyle="1" w:styleId="109">
    <w:name w:val="p0"/>
    <w:basedOn w:val="1"/>
    <w:qFormat/>
    <w:uiPriority w:val="0"/>
    <w:pPr>
      <w:widowControl/>
    </w:pPr>
    <w:rPr>
      <w:szCs w:val="21"/>
    </w:rPr>
  </w:style>
  <w:style w:type="paragraph" w:customStyle="1" w:styleId="110">
    <w:name w:val="Table Paragraph"/>
    <w:basedOn w:val="1"/>
    <w:qFormat/>
    <w:uiPriority w:val="1"/>
    <w:pPr>
      <w:widowControl/>
      <w:spacing w:line="240" w:lineRule="auto"/>
      <w:ind w:firstLine="0" w:firstLineChars="0"/>
      <w:jc w:val="left"/>
    </w:pPr>
    <w:rPr>
      <w:rFonts w:ascii="Calibri" w:hAnsi="Calibri"/>
      <w:sz w:val="22"/>
      <w:lang w:eastAsia="en-US"/>
    </w:rPr>
  </w:style>
  <w:style w:type="paragraph" w:customStyle="1" w:styleId="111">
    <w:name w:val="正文1"/>
    <w:basedOn w:val="1"/>
    <w:qFormat/>
    <w:uiPriority w:val="0"/>
    <w:pPr>
      <w:adjustRightInd w:val="0"/>
      <w:snapToGrid w:val="0"/>
      <w:spacing w:line="500" w:lineRule="atLeast"/>
      <w:ind w:firstLine="567" w:firstLineChars="0"/>
    </w:pPr>
    <w:rPr>
      <w:rFonts w:ascii="Calibri" w:hAnsi="Calibri"/>
      <w:kern w:val="2"/>
      <w:sz w:val="28"/>
      <w:szCs w:val="20"/>
    </w:rPr>
  </w:style>
  <w:style w:type="paragraph" w:customStyle="1" w:styleId="112">
    <w:name w:val="Default1"/>
    <w:qFormat/>
    <w:uiPriority w:val="0"/>
    <w:pPr>
      <w:widowControl w:val="0"/>
      <w:autoSpaceDE w:val="0"/>
      <w:autoSpaceDN w:val="0"/>
      <w:adjustRightInd w:val="0"/>
    </w:pPr>
    <w:rPr>
      <w:rFonts w:ascii="宋体" w:cs="宋体"/>
      <w:color w:val="000000"/>
      <w:sz w:val="24"/>
      <w:szCs w:val="24"/>
      <w:lang w:val="en-US" w:eastAsia="zh-CN" w:bidi="ar-SA"/>
    </w:rPr>
  </w:style>
  <w:style w:type="paragraph" w:styleId="113">
    <w:name w:val="List Paragraph"/>
    <w:basedOn w:val="1"/>
    <w:qFormat/>
    <w:uiPriority w:val="99"/>
    <w:pPr>
      <w:ind w:firstLine="420"/>
    </w:pPr>
  </w:style>
  <w:style w:type="paragraph" w:customStyle="1" w:styleId="114">
    <w:name w:val="正文01"/>
    <w:basedOn w:val="1"/>
    <w:qFormat/>
    <w:uiPriority w:val="0"/>
    <w:pPr>
      <w:spacing w:before="60" w:line="460" w:lineRule="exact"/>
      <w:ind w:firstLine="200"/>
    </w:pPr>
    <w:rPr>
      <w:szCs w:val="24"/>
    </w:rPr>
  </w:style>
  <w:style w:type="paragraph" w:customStyle="1" w:styleId="115">
    <w:name w:val="标准段落"/>
    <w:basedOn w:val="1"/>
    <w:next w:val="1"/>
    <w:qFormat/>
    <w:uiPriority w:val="0"/>
    <w:rPr>
      <w:rFonts w:hAnsi="宋体"/>
      <w:szCs w:val="24"/>
    </w:rPr>
  </w:style>
  <w:style w:type="paragraph" w:customStyle="1" w:styleId="116">
    <w:name w:val="彩色底纹 - 强调文字颜色 11"/>
    <w:qFormat/>
    <w:uiPriority w:val="71"/>
    <w:rPr>
      <w:sz w:val="24"/>
      <w:szCs w:val="22"/>
      <w:lang w:val="en-US" w:eastAsia="zh-CN" w:bidi="ar-SA"/>
    </w:rPr>
  </w:style>
  <w:style w:type="table" w:customStyle="1" w:styleId="117">
    <w:name w:val="网格型1"/>
    <w:basedOn w:val="27"/>
    <w:qFormat/>
    <w:uiPriority w:val="39"/>
    <w:rPr>
      <w:rFonts w:ascii="Calibri" w:hAnsi="Calibri"/>
      <w:kern w:val="2"/>
      <w:sz w:val="21"/>
      <w:szCs w:val="22"/>
    </w:rPr>
    <w:tblPr>
      <w:tblStyle w:val="2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png"/><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image" Target="media/image5.wmf"/><Relationship Id="rId17" Type="http://schemas.openxmlformats.org/officeDocument/2006/relationships/image" Target="media/image4.wmf"/><Relationship Id="rId16" Type="http://schemas.openxmlformats.org/officeDocument/2006/relationships/image" Target="media/image3.wmf"/><Relationship Id="rId15" Type="http://schemas.openxmlformats.org/officeDocument/2006/relationships/image" Target="media/image2.wmf"/><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59</Pages>
  <Words>30451</Words>
  <Characters>35941</Characters>
  <Lines>273</Lines>
  <Paragraphs>77</Paragraphs>
  <TotalTime>83</TotalTime>
  <ScaleCrop>false</ScaleCrop>
  <LinksUpToDate>false</LinksUpToDate>
  <CharactersWithSpaces>36323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2018-12-06T07:38:00Z</dcterms:created>
  <dc:creator>User</dc:creator>
  <cp:lastModifiedBy>❣阳 ❁҉҉҉҉҉҉҉҉</cp:lastModifiedBy>
  <cp:lastPrinted>2018-11-21T03:12:00Z</cp:lastPrinted>
  <dcterms:modified xsi:type="dcterms:W3CDTF">2024-03-19T06:39:03Z</dcterms:modified>
  <dc:title>建设项目基本情况</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C759E12B74E44C91B7AE8088FF944A9C_13</vt:lpwstr>
  </property>
</Properties>
</file>