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hint="default" w:ascii="Times New Roman" w:hAnsi="Times New Roman" w:eastAsia="楷体_GB2312" w:cs="Times New Roman"/>
          <w:b/>
          <w:color w:val="000000"/>
          <w:sz w:val="44"/>
        </w:rPr>
      </w:pPr>
    </w:p>
    <w:p>
      <w:pPr>
        <w:spacing w:line="400" w:lineRule="exact"/>
        <w:jc w:val="center"/>
        <w:rPr>
          <w:rFonts w:hint="default" w:ascii="Times New Roman" w:hAnsi="Times New Roman" w:eastAsia="黑体" w:cs="Times New Roman"/>
          <w:color w:val="000000"/>
          <w:sz w:val="44"/>
          <w:szCs w:val="44"/>
        </w:rPr>
      </w:pPr>
    </w:p>
    <w:p>
      <w:pPr>
        <w:spacing w:line="400" w:lineRule="exact"/>
        <w:jc w:val="center"/>
        <w:rPr>
          <w:rFonts w:hint="default" w:ascii="Times New Roman" w:hAnsi="Times New Roman" w:eastAsia="黑体" w:cs="Times New Roman"/>
          <w:color w:val="000000"/>
          <w:sz w:val="44"/>
          <w:szCs w:val="44"/>
        </w:rPr>
      </w:pPr>
    </w:p>
    <w:p>
      <w:pPr>
        <w:spacing w:line="440" w:lineRule="exact"/>
        <w:jc w:val="center"/>
        <w:rPr>
          <w:rFonts w:hint="default" w:ascii="Times New Roman" w:hAnsi="Times New Roman" w:eastAsia="黑体" w:cs="Times New Roman"/>
          <w:color w:val="000000"/>
          <w:sz w:val="44"/>
          <w:szCs w:val="44"/>
        </w:rPr>
      </w:pPr>
    </w:p>
    <w:p>
      <w:pPr>
        <w:spacing w:after="156" w:afterLines="50" w:line="360" w:lineRule="auto"/>
        <w:jc w:val="center"/>
        <w:rPr>
          <w:rFonts w:hint="default" w:ascii="Times New Roman" w:hAnsi="Times New Roman" w:eastAsia="黑体" w:cs="Times New Roman"/>
          <w:w w:val="98"/>
          <w:sz w:val="44"/>
          <w:szCs w:val="44"/>
          <w:lang w:eastAsia="zh-CN"/>
        </w:rPr>
      </w:pPr>
      <w:bookmarkStart w:id="0" w:name="_Hlk503355940"/>
      <w:r>
        <w:rPr>
          <w:rFonts w:hint="default" w:ascii="Times New Roman" w:hAnsi="Times New Roman" w:eastAsia="黑体" w:cs="Times New Roman"/>
          <w:w w:val="98"/>
          <w:sz w:val="44"/>
          <w:szCs w:val="44"/>
          <w:lang w:eastAsia="zh-CN"/>
        </w:rPr>
        <w:t>陕西金辉建材机械有限公司</w:t>
      </w:r>
      <w:bookmarkEnd w:id="0"/>
    </w:p>
    <w:p>
      <w:pPr>
        <w:spacing w:after="156" w:afterLines="50" w:line="360" w:lineRule="auto"/>
        <w:jc w:val="center"/>
        <w:rPr>
          <w:rFonts w:hint="default" w:ascii="Times New Roman" w:hAnsi="Times New Roman" w:eastAsia="黑体" w:cs="Times New Roman"/>
          <w:color w:val="000000"/>
          <w:sz w:val="44"/>
          <w:szCs w:val="44"/>
        </w:rPr>
      </w:pPr>
      <w:bookmarkStart w:id="1" w:name="_Hlk503355919"/>
      <w:r>
        <w:rPr>
          <w:rFonts w:hint="default" w:ascii="Times New Roman" w:hAnsi="Times New Roman" w:eastAsia="黑体" w:cs="Times New Roman"/>
          <w:w w:val="98"/>
          <w:sz w:val="44"/>
          <w:szCs w:val="44"/>
          <w:lang w:eastAsia="zh-CN"/>
        </w:rPr>
        <w:t>年处理50万吨建筑垃圾资源化生产线及年产20万m</w:t>
      </w:r>
      <w:r>
        <w:rPr>
          <w:rFonts w:hint="default" w:ascii="Times New Roman" w:hAnsi="Times New Roman" w:eastAsia="黑体" w:cs="Times New Roman"/>
          <w:w w:val="98"/>
          <w:sz w:val="44"/>
          <w:szCs w:val="44"/>
          <w:vertAlign w:val="superscript"/>
          <w:lang w:eastAsia="zh-CN"/>
        </w:rPr>
        <w:t>3</w:t>
      </w:r>
      <w:r>
        <w:rPr>
          <w:rFonts w:hint="default" w:ascii="Times New Roman" w:hAnsi="Times New Roman" w:eastAsia="黑体" w:cs="Times New Roman"/>
          <w:w w:val="98"/>
          <w:sz w:val="44"/>
          <w:szCs w:val="44"/>
          <w:lang w:eastAsia="zh-CN"/>
        </w:rPr>
        <w:t>再生骨料水泥制品生产线项目</w:t>
      </w:r>
      <w:bookmarkEnd w:id="1"/>
    </w:p>
    <w:p>
      <w:pPr>
        <w:spacing w:before="120" w:beforeLines="50" w:line="360" w:lineRule="auto"/>
        <w:ind w:firstLine="485" w:firstLineChars="47"/>
        <w:jc w:val="center"/>
        <w:rPr>
          <w:rFonts w:hint="default" w:ascii="Times New Roman" w:hAnsi="Times New Roman" w:eastAsia="方正小标宋简体" w:cs="Times New Roman"/>
          <w:color w:val="000000"/>
          <w:spacing w:val="156"/>
          <w:sz w:val="72"/>
          <w:szCs w:val="72"/>
        </w:rPr>
      </w:pPr>
      <w:r>
        <w:rPr>
          <w:rFonts w:hint="default" w:ascii="Times New Roman" w:hAnsi="Times New Roman" w:eastAsia="方正小标宋简体" w:cs="Times New Roman"/>
          <w:spacing w:val="156"/>
          <w:sz w:val="72"/>
          <w:szCs w:val="72"/>
        </w:rPr>
        <w:t>环境影响报告表</w:t>
      </w:r>
    </w:p>
    <w:p>
      <w:pPr>
        <w:spacing w:line="500" w:lineRule="exact"/>
        <w:jc w:val="center"/>
        <w:rPr>
          <w:rFonts w:hint="default" w:ascii="Times New Roman" w:hAnsi="Times New Roman" w:cs="Times New Roman"/>
          <w:color w:val="000000"/>
          <w:sz w:val="72"/>
        </w:rPr>
      </w:pPr>
    </w:p>
    <w:p>
      <w:pPr>
        <w:jc w:val="center"/>
        <w:rPr>
          <w:rFonts w:hint="default" w:ascii="Times New Roman" w:hAnsi="Times New Roman" w:cs="Times New Roman"/>
          <w:color w:val="000000"/>
          <w:sz w:val="72"/>
        </w:rPr>
      </w:pPr>
    </w:p>
    <w:p>
      <w:pPr>
        <w:jc w:val="center"/>
        <w:rPr>
          <w:rFonts w:hint="default" w:ascii="Times New Roman" w:hAnsi="Times New Roman" w:cs="Times New Roman"/>
          <w:color w:val="000000"/>
          <w:sz w:val="72"/>
        </w:rPr>
      </w:pPr>
    </w:p>
    <w:p>
      <w:pPr>
        <w:spacing w:line="560" w:lineRule="exact"/>
        <w:jc w:val="center"/>
        <w:rPr>
          <w:rFonts w:hint="default" w:ascii="Times New Roman" w:hAnsi="Times New Roman" w:cs="Times New Roman"/>
          <w:color w:val="000000"/>
          <w:sz w:val="72"/>
        </w:rPr>
      </w:pPr>
    </w:p>
    <w:p>
      <w:pPr>
        <w:spacing w:line="640" w:lineRule="exact"/>
        <w:jc w:val="center"/>
        <w:rPr>
          <w:rFonts w:hint="default" w:ascii="Times New Roman" w:hAnsi="Times New Roman" w:cs="Times New Roman"/>
          <w:color w:val="000000"/>
          <w:sz w:val="72"/>
        </w:rPr>
      </w:pPr>
    </w:p>
    <w:p>
      <w:pPr>
        <w:spacing w:line="640" w:lineRule="exact"/>
        <w:jc w:val="center"/>
        <w:rPr>
          <w:rFonts w:hint="default" w:ascii="Times New Roman" w:hAnsi="Times New Roman" w:cs="Times New Roman"/>
          <w:color w:val="000000"/>
          <w:sz w:val="72"/>
        </w:rPr>
      </w:pPr>
    </w:p>
    <w:p>
      <w:pPr>
        <w:spacing w:line="640" w:lineRule="exact"/>
        <w:jc w:val="center"/>
        <w:rPr>
          <w:rFonts w:hint="default" w:ascii="Times New Roman" w:hAnsi="Times New Roman" w:cs="Times New Roman"/>
          <w:color w:val="000000"/>
          <w:sz w:val="72"/>
        </w:rPr>
      </w:pPr>
    </w:p>
    <w:p>
      <w:pPr>
        <w:spacing w:line="640" w:lineRule="exact"/>
        <w:jc w:val="center"/>
        <w:rPr>
          <w:rFonts w:hint="default" w:ascii="Times New Roman" w:hAnsi="Times New Roman" w:cs="Times New Roman"/>
          <w:color w:val="000000"/>
          <w:sz w:val="72"/>
        </w:rPr>
      </w:pPr>
    </w:p>
    <w:p>
      <w:pPr>
        <w:spacing w:line="640" w:lineRule="exact"/>
        <w:jc w:val="center"/>
        <w:rPr>
          <w:rFonts w:hint="default" w:ascii="Times New Roman" w:hAnsi="Times New Roman" w:cs="Times New Roman"/>
          <w:color w:val="000000"/>
          <w:sz w:val="72"/>
        </w:rPr>
      </w:pPr>
    </w:p>
    <w:p>
      <w:pPr>
        <w:spacing w:line="360" w:lineRule="auto"/>
        <w:jc w:val="center"/>
        <w:rPr>
          <w:rFonts w:hint="default" w:ascii="Times New Roman" w:hAnsi="Times New Roman" w:eastAsia="宋体" w:cs="Times New Roman"/>
          <w:b/>
          <w:color w:val="000000"/>
          <w:sz w:val="36"/>
          <w:szCs w:val="36"/>
          <w:lang w:eastAsia="zh-CN"/>
        </w:rPr>
      </w:pPr>
      <w:r>
        <w:rPr>
          <w:rFonts w:hint="default" w:ascii="Times New Roman" w:hAnsi="Times New Roman" w:cs="Times New Roman"/>
          <w:b/>
          <w:color w:val="auto"/>
          <w:sz w:val="36"/>
          <w:szCs w:val="36"/>
          <w:lang w:eastAsia="zh-CN"/>
        </w:rPr>
        <w:t>江苏苏辰勘察设计研究院有限公司</w:t>
      </w:r>
    </w:p>
    <w:p>
      <w:pPr>
        <w:spacing w:line="360" w:lineRule="auto"/>
        <w:jc w:val="center"/>
        <w:rPr>
          <w:rFonts w:hint="default" w:ascii="Times New Roman" w:hAnsi="Times New Roman" w:cs="Times New Roman"/>
          <w:b/>
          <w:color w:val="000000"/>
          <w:spacing w:val="-16"/>
          <w:sz w:val="18"/>
        </w:rPr>
      </w:pPr>
      <w:r>
        <w:rPr>
          <w:rFonts w:hint="default" w:ascii="Times New Roman" w:hAnsi="Times New Roman" w:cs="Times New Roman"/>
          <w:b/>
          <w:color w:val="000000"/>
          <w:spacing w:val="30"/>
          <w:sz w:val="36"/>
        </w:rPr>
        <w:t>二</w:t>
      </w:r>
      <w:r>
        <w:rPr>
          <w:rFonts w:hint="default" w:ascii="Times New Roman" w:hAnsi="Times New Roman" w:eastAsia="宋体" w:cs="Times New Roman"/>
          <w:b/>
          <w:color w:val="auto"/>
          <w:spacing w:val="30"/>
          <w:sz w:val="36"/>
        </w:rPr>
        <w:t>〇</w:t>
      </w:r>
      <w:r>
        <w:rPr>
          <w:rFonts w:hint="default" w:ascii="Times New Roman" w:hAnsi="Times New Roman" w:cs="Times New Roman"/>
          <w:b/>
          <w:color w:val="000000"/>
          <w:spacing w:val="30"/>
          <w:sz w:val="36"/>
        </w:rPr>
        <w:t>一</w:t>
      </w:r>
      <w:r>
        <w:rPr>
          <w:rFonts w:hint="default" w:ascii="Times New Roman" w:hAnsi="Times New Roman" w:cs="Times New Roman"/>
          <w:b/>
          <w:color w:val="000000"/>
          <w:spacing w:val="30"/>
          <w:sz w:val="36"/>
          <w:lang w:eastAsia="zh-CN"/>
        </w:rPr>
        <w:t>九</w:t>
      </w:r>
      <w:r>
        <w:rPr>
          <w:rFonts w:hint="default" w:ascii="Times New Roman" w:hAnsi="Times New Roman" w:cs="Times New Roman"/>
          <w:b/>
          <w:color w:val="000000"/>
          <w:spacing w:val="30"/>
          <w:sz w:val="36"/>
        </w:rPr>
        <w:t>年</w:t>
      </w:r>
      <w:r>
        <w:rPr>
          <w:rFonts w:hint="default" w:ascii="Times New Roman" w:hAnsi="Times New Roman" w:cs="Times New Roman"/>
          <w:b/>
          <w:color w:val="000000"/>
          <w:spacing w:val="30"/>
          <w:sz w:val="36"/>
          <w:lang w:eastAsia="zh-CN"/>
        </w:rPr>
        <w:t>十</w:t>
      </w:r>
      <w:r>
        <w:rPr>
          <w:rFonts w:hint="default" w:ascii="Times New Roman" w:hAnsi="Times New Roman" w:cs="Times New Roman"/>
          <w:b/>
          <w:color w:val="000000"/>
          <w:spacing w:val="30"/>
          <w:sz w:val="36"/>
        </w:rPr>
        <w:t>月</w:t>
      </w:r>
    </w:p>
    <w:p>
      <w:pPr>
        <w:rPr>
          <w:rFonts w:hint="default" w:ascii="Times New Roman" w:hAnsi="Times New Roman" w:cs="Times New Roman"/>
          <w:color w:val="000000"/>
        </w:rPr>
      </w:pPr>
    </w:p>
    <w:p>
      <w:pPr>
        <w:adjustRightInd w:val="0"/>
        <w:snapToGrid w:val="0"/>
        <w:spacing w:line="480" w:lineRule="exact"/>
        <w:ind w:firstLine="551" w:firstLineChars="196"/>
        <w:rPr>
          <w:rFonts w:hint="default" w:ascii="Times New Roman" w:hAnsi="Times New Roman" w:eastAsia="仿宋_GB2312" w:cs="Times New Roman"/>
          <w:b/>
          <w:color w:val="000000"/>
          <w:sz w:val="28"/>
        </w:rPr>
        <w:sectPr>
          <w:pgSz w:w="11906" w:h="16838"/>
          <w:pgMar w:top="1440" w:right="1797" w:bottom="1440" w:left="1797" w:header="720" w:footer="720" w:gutter="0"/>
          <w:pgBorders w:offsetFrom="page">
            <w:top w:val="none" w:sz="0" w:space="0"/>
            <w:left w:val="none" w:sz="0" w:space="0"/>
            <w:bottom w:val="none" w:sz="0" w:space="0"/>
            <w:right w:val="none" w:sz="0" w:space="0"/>
          </w:pgBorders>
          <w:pgNumType w:start="1"/>
          <w:cols w:space="720" w:num="1"/>
        </w:sectPr>
      </w:pPr>
    </w:p>
    <w:p>
      <w:pPr>
        <w:jc w:val="center"/>
        <w:rPr>
          <w:rFonts w:hint="default" w:ascii="Times New Roman" w:hAnsi="Times New Roman" w:eastAsia="黑体" w:cs="Times New Roman"/>
          <w:color w:val="000000"/>
          <w:sz w:val="72"/>
        </w:rPr>
      </w:pPr>
    </w:p>
    <w:p>
      <w:pPr>
        <w:jc w:val="center"/>
        <w:rPr>
          <w:rFonts w:hint="default" w:ascii="Times New Roman" w:hAnsi="Times New Roman" w:eastAsia="黑体" w:cs="Times New Roman"/>
          <w:color w:val="000000"/>
          <w:sz w:val="72"/>
        </w:rPr>
      </w:pPr>
    </w:p>
    <w:p>
      <w:pPr>
        <w:jc w:val="center"/>
        <w:rPr>
          <w:rFonts w:hint="default" w:ascii="Times New Roman" w:hAnsi="Times New Roman" w:eastAsia="黑体" w:cs="Times New Roman"/>
          <w:color w:val="000000"/>
          <w:sz w:val="72"/>
        </w:rPr>
      </w:pPr>
      <w:r>
        <w:rPr>
          <w:rFonts w:hint="default" w:ascii="Times New Roman" w:hAnsi="Times New Roman" w:eastAsia="黑体" w:cs="Times New Roman"/>
          <w:color w:val="000000"/>
          <w:sz w:val="72"/>
        </w:rPr>
        <w:t>建设项目环境影响报告表</w:t>
      </w: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spacing w:line="360" w:lineRule="auto"/>
        <w:ind w:firstLine="551" w:firstLineChars="196"/>
        <w:jc w:val="center"/>
        <w:rPr>
          <w:rFonts w:hint="default" w:ascii="Times New Roman" w:hAnsi="Times New Roman" w:cs="Times New Roman"/>
          <w:b/>
          <w:color w:val="000000"/>
          <w:sz w:val="28"/>
          <w:szCs w:val="28"/>
        </w:rPr>
      </w:pPr>
    </w:p>
    <w:p>
      <w:pPr>
        <w:spacing w:line="360" w:lineRule="auto"/>
        <w:ind w:left="2950" w:leftChars="200" w:hanging="2530" w:hangingChars="900"/>
        <w:rPr>
          <w:rFonts w:hint="default" w:ascii="Times New Roman" w:hAnsi="Times New Roman" w:cs="Times New Roman"/>
          <w:b/>
          <w:color w:val="000000"/>
          <w:sz w:val="28"/>
          <w:szCs w:val="28"/>
          <w:u w:val="single"/>
        </w:rPr>
      </w:pPr>
      <w:r>
        <w:rPr>
          <w:rFonts w:hint="default" w:ascii="Times New Roman" w:hAnsi="Times New Roman" w:cs="Times New Roman"/>
          <w:b/>
          <w:color w:val="000000"/>
          <w:sz w:val="28"/>
          <w:szCs w:val="28"/>
        </w:rPr>
        <w:t>项  目  名  称:</w:t>
      </w:r>
      <w:r>
        <w:rPr>
          <w:rFonts w:hint="default" w:ascii="Times New Roman" w:hAnsi="Times New Roman" w:cs="Times New Roman"/>
          <w:color w:val="000000"/>
        </w:rPr>
        <w:t xml:space="preserve"> </w:t>
      </w:r>
      <w:r>
        <w:rPr>
          <w:rFonts w:hint="default" w:ascii="Times New Roman" w:hAnsi="Times New Roman" w:cs="Times New Roman"/>
          <w:color w:val="000000"/>
          <w:u w:val="single"/>
        </w:rPr>
        <w:t xml:space="preserve"> </w:t>
      </w:r>
      <w:r>
        <w:rPr>
          <w:rFonts w:hint="default" w:ascii="Times New Roman" w:hAnsi="Times New Roman" w:cs="Times New Roman"/>
          <w:b/>
          <w:color w:val="000000"/>
          <w:sz w:val="28"/>
          <w:szCs w:val="28"/>
          <w:u w:val="single"/>
        </w:rPr>
        <w:t>年处理50万吨建筑垃圾资源化生产线及年产20万m</w:t>
      </w:r>
      <w:r>
        <w:rPr>
          <w:rFonts w:hint="default" w:ascii="Times New Roman" w:hAnsi="Times New Roman" w:cs="Times New Roman"/>
          <w:b/>
          <w:color w:val="000000"/>
          <w:sz w:val="28"/>
          <w:szCs w:val="28"/>
          <w:u w:val="single"/>
          <w:vertAlign w:val="superscript"/>
        </w:rPr>
        <w:t>3</w:t>
      </w:r>
      <w:r>
        <w:rPr>
          <w:rFonts w:hint="default" w:ascii="Times New Roman" w:hAnsi="Times New Roman" w:cs="Times New Roman"/>
          <w:b/>
          <w:color w:val="000000"/>
          <w:sz w:val="28"/>
          <w:szCs w:val="28"/>
          <w:u w:val="single"/>
        </w:rPr>
        <w:t>再生骨料水泥制品生产线项目</w:t>
      </w:r>
      <w:r>
        <w:rPr>
          <w:rFonts w:hint="default" w:ascii="Times New Roman" w:hAnsi="Times New Roman" w:cs="Times New Roman"/>
          <w:color w:val="000000"/>
          <w:sz w:val="28"/>
          <w:szCs w:val="28"/>
          <w:u w:val="single"/>
        </w:rPr>
        <w:t xml:space="preserve"> </w:t>
      </w:r>
    </w:p>
    <w:p>
      <w:pPr>
        <w:ind w:firstLine="562" w:firstLineChars="200"/>
        <w:rPr>
          <w:rFonts w:hint="default" w:ascii="Times New Roman" w:hAnsi="Times New Roman" w:cs="Times New Roman"/>
          <w:b/>
          <w:color w:val="000000"/>
          <w:sz w:val="44"/>
        </w:rPr>
      </w:pPr>
      <w:r>
        <w:rPr>
          <w:rFonts w:hint="default" w:ascii="Times New Roman" w:hAnsi="Times New Roman" w:cs="Times New Roman"/>
          <w:b/>
          <w:color w:val="000000"/>
          <w:sz w:val="28"/>
          <w:szCs w:val="28"/>
        </w:rPr>
        <w:t>建设单位(盖章) :</w:t>
      </w:r>
      <w:r>
        <w:rPr>
          <w:rFonts w:hint="default" w:ascii="Times New Roman" w:hAnsi="Times New Roman" w:cs="Times New Roman"/>
          <w:b/>
          <w:color w:val="000000"/>
          <w:sz w:val="28"/>
          <w:szCs w:val="28"/>
          <w:u w:val="single"/>
        </w:rPr>
        <w:t xml:space="preserve">        陕西金辉建材机械有限公司 </w:t>
      </w:r>
      <w:r>
        <w:rPr>
          <w:rFonts w:hint="default" w:ascii="Times New Roman" w:hAnsi="Times New Roman" w:cs="Times New Roman"/>
          <w:b/>
          <w:color w:val="000000"/>
          <w:sz w:val="24"/>
          <w:szCs w:val="24"/>
          <w:u w:val="single"/>
        </w:rPr>
        <w:t xml:space="preserve">        </w:t>
      </w:r>
    </w:p>
    <w:p>
      <w:pPr>
        <w:spacing w:line="360" w:lineRule="auto"/>
        <w:ind w:firstLine="551" w:firstLineChars="196"/>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 xml:space="preserve">    </w:t>
      </w:r>
    </w:p>
    <w:p>
      <w:pPr>
        <w:ind w:firstLine="435"/>
        <w:jc w:val="center"/>
        <w:rPr>
          <w:rFonts w:hint="default" w:ascii="Times New Roman" w:hAnsi="Times New Roman" w:cs="Times New Roman"/>
          <w:b/>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ind w:firstLine="435"/>
        <w:jc w:val="center"/>
        <w:rPr>
          <w:rFonts w:hint="default" w:ascii="Times New Roman" w:hAnsi="Times New Roman" w:cs="Times New Roman"/>
          <w:color w:val="000000"/>
        </w:rPr>
      </w:pPr>
    </w:p>
    <w:p>
      <w:pPr>
        <w:jc w:val="center"/>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28"/>
          <w:szCs w:val="28"/>
          <w:lang w:eastAsia="zh-CN"/>
        </w:rPr>
        <w:t>江苏苏辰勘察设计研究院有限公司</w:t>
      </w:r>
    </w:p>
    <w:p>
      <w:pPr>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编制日期:二O一</w:t>
      </w:r>
      <w:r>
        <w:rPr>
          <w:rFonts w:hint="default" w:ascii="Times New Roman" w:hAnsi="Times New Roman" w:eastAsia="黑体" w:cs="Times New Roman"/>
          <w:color w:val="000000"/>
          <w:sz w:val="28"/>
          <w:szCs w:val="28"/>
          <w:lang w:eastAsia="zh-CN"/>
        </w:rPr>
        <w:t>九</w:t>
      </w:r>
      <w:r>
        <w:rPr>
          <w:rFonts w:hint="default" w:ascii="Times New Roman" w:hAnsi="Times New Roman" w:eastAsia="黑体" w:cs="Times New Roman"/>
          <w:color w:val="000000"/>
          <w:sz w:val="28"/>
          <w:szCs w:val="28"/>
        </w:rPr>
        <w:t>年</w:t>
      </w:r>
      <w:r>
        <w:rPr>
          <w:rFonts w:hint="default" w:ascii="Times New Roman" w:hAnsi="Times New Roman" w:eastAsia="黑体" w:cs="Times New Roman"/>
          <w:color w:val="000000"/>
          <w:sz w:val="28"/>
          <w:szCs w:val="28"/>
          <w:lang w:eastAsia="zh-CN"/>
        </w:rPr>
        <w:t>十</w:t>
      </w:r>
      <w:r>
        <w:rPr>
          <w:rFonts w:hint="default" w:ascii="Times New Roman" w:hAnsi="Times New Roman" w:eastAsia="黑体" w:cs="Times New Roman"/>
          <w:color w:val="000000"/>
          <w:sz w:val="28"/>
          <w:szCs w:val="28"/>
        </w:rPr>
        <w:t>月</w:t>
      </w:r>
    </w:p>
    <w:p>
      <w:pPr>
        <w:jc w:val="center"/>
        <w:rPr>
          <w:rFonts w:hint="default" w:ascii="Times New Roman" w:hAnsi="Times New Roman" w:eastAsia="黑体" w:cs="Times New Roman"/>
          <w:color w:val="000000"/>
          <w:sz w:val="28"/>
          <w:szCs w:val="28"/>
        </w:rPr>
        <w:sectPr>
          <w:headerReference r:id="rId4" w:type="first"/>
          <w:headerReference r:id="rId3" w:type="default"/>
          <w:footerReference r:id="rId5" w:type="default"/>
          <w:footerReference r:id="rId6" w:type="even"/>
          <w:pgSz w:w="11906" w:h="16838"/>
          <w:pgMar w:top="1418" w:right="1797" w:bottom="1418" w:left="1797" w:header="851" w:footer="992" w:gutter="0"/>
          <w:pgBorders w:offsetFrom="page">
            <w:top w:val="none" w:sz="0" w:space="0"/>
            <w:left w:val="none" w:sz="0" w:space="0"/>
            <w:bottom w:val="none" w:sz="0" w:space="0"/>
            <w:right w:val="none" w:sz="0" w:space="0"/>
          </w:pgBorders>
          <w:pgNumType w:fmt="numberInDash" w:start="1"/>
          <w:cols w:space="720" w:num="1"/>
          <w:titlePg/>
          <w:docGrid w:type="lines" w:linePitch="312" w:charSpace="0"/>
        </w:sectPr>
      </w:pPr>
    </w:p>
    <w:p>
      <w:pPr>
        <w:jc w:val="center"/>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《建设项目环境影响报告表》编制说明</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《编制项目环境影响报告表》由具有从事环境影响评价工作资质的单位编制。</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1、项目名称─指项目立项批复时的名称，应不超过30个字（两个英文字段作一个汉字）。</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2、建设地点─指项目所在地详细地址，公路、铁路应填写起止地点。</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3、行业类别─按国标填写。</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4、总投资─指项目投资总额。</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5、主要环境保护目标─指项目区周围一定范围内集中居民住宅区、学校、医院、保护文物、风景名胜区、水源地和生态敏感点等，应尽可能给出保护目标、性质、规模和距厂界距离等。</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63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7、预审意见─由行业主管部门填写答复意见，无主管部门项目，可不填。</w:t>
      </w:r>
    </w:p>
    <w:p>
      <w:pPr>
        <w:spacing w:line="360" w:lineRule="auto"/>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8、审批意见─由负责审批该项目的环境保护行政主管部门批复。</w:t>
      </w:r>
    </w:p>
    <w:p>
      <w:pPr>
        <w:ind w:firstLine="280" w:firstLineChars="100"/>
        <w:rPr>
          <w:rFonts w:hint="default" w:ascii="Times New Roman" w:hAnsi="Times New Roman" w:cs="Times New Roman"/>
          <w:color w:val="000000"/>
          <w:sz w:val="28"/>
        </w:rPr>
      </w:pPr>
    </w:p>
    <w:p>
      <w:pPr>
        <w:rPr>
          <w:rFonts w:hint="default" w:ascii="Times New Roman" w:hAnsi="Times New Roman" w:eastAsia="黑体" w:cs="Times New Roman"/>
          <w:b/>
          <w:color w:val="000000"/>
          <w:sz w:val="32"/>
          <w:szCs w:val="32"/>
        </w:rPr>
        <w:sectPr>
          <w:pgSz w:w="11906" w:h="16838"/>
          <w:pgMar w:top="1418" w:right="1797" w:bottom="1474" w:left="1797" w:header="851" w:footer="992" w:gutter="0"/>
          <w:pgBorders w:offsetFrom="page">
            <w:top w:val="none" w:sz="0" w:space="0"/>
            <w:left w:val="none" w:sz="0" w:space="0"/>
            <w:bottom w:val="none" w:sz="0" w:space="0"/>
            <w:right w:val="none" w:sz="0" w:space="0"/>
          </w:pgBorders>
          <w:pgNumType w:start="0"/>
          <w:cols w:space="720" w:num="1"/>
          <w:titlePg/>
          <w:docGrid w:type="lines" w:linePitch="312" w:charSpace="0"/>
        </w:sectPr>
      </w:pPr>
    </w:p>
    <w:p>
      <w:pPr>
        <w:pStyle w:val="2"/>
        <w:spacing w:before="0" w:after="0" w:line="240" w:lineRule="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建设项目基本情况</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1199"/>
        <w:gridCol w:w="545"/>
        <w:gridCol w:w="1049"/>
        <w:gridCol w:w="1519"/>
        <w:gridCol w:w="154"/>
        <w:gridCol w:w="1195"/>
        <w:gridCol w:w="91"/>
        <w:gridCol w:w="1165"/>
        <w:gridCol w:w="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84"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项目名称</w:t>
            </w:r>
          </w:p>
        </w:tc>
        <w:tc>
          <w:tcPr>
            <w:tcW w:w="6972" w:type="dxa"/>
            <w:gridSpan w:val="9"/>
            <w:noWrap w:val="0"/>
            <w:vAlign w:val="center"/>
          </w:tcPr>
          <w:p>
            <w:pPr>
              <w:spacing w:line="320" w:lineRule="exact"/>
              <w:jc w:val="center"/>
              <w:rPr>
                <w:rFonts w:hint="default" w:ascii="Times New Roman" w:hAnsi="Times New Roman" w:cs="Times New Roman"/>
                <w:bCs/>
                <w:color w:val="auto"/>
                <w:sz w:val="24"/>
                <w:szCs w:val="24"/>
              </w:rPr>
            </w:pPr>
            <w:r>
              <w:rPr>
                <w:rFonts w:hint="default" w:ascii="Times New Roman" w:hAnsi="Times New Roman" w:cs="Times New Roman"/>
                <w:color w:val="auto"/>
                <w:sz w:val="24"/>
              </w:rPr>
              <w:t>年处理50万吨建筑垃圾资源化生产线及年产20万m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再生骨料水泥制品生产线项目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8"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建设单位</w:t>
            </w:r>
          </w:p>
        </w:tc>
        <w:tc>
          <w:tcPr>
            <w:tcW w:w="6972" w:type="dxa"/>
            <w:gridSpan w:val="9"/>
            <w:noWrap w:val="0"/>
            <w:vAlign w:val="center"/>
          </w:tcPr>
          <w:p>
            <w:pPr>
              <w:spacing w:line="32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陕西金辉建材机械有限公司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法人代表</w:t>
            </w:r>
          </w:p>
        </w:tc>
        <w:tc>
          <w:tcPr>
            <w:tcW w:w="2793" w:type="dxa"/>
            <w:gridSpan w:val="3"/>
            <w:noWrap w:val="0"/>
            <w:vAlign w:val="center"/>
          </w:tcPr>
          <w:p>
            <w:pPr>
              <w:spacing w:line="320" w:lineRule="exact"/>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李建军</w:t>
            </w:r>
          </w:p>
        </w:tc>
        <w:tc>
          <w:tcPr>
            <w:tcW w:w="1673" w:type="dxa"/>
            <w:gridSpan w:val="2"/>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联系人</w:t>
            </w:r>
          </w:p>
        </w:tc>
        <w:tc>
          <w:tcPr>
            <w:tcW w:w="2506" w:type="dxa"/>
            <w:gridSpan w:val="4"/>
            <w:noWrap w:val="0"/>
            <w:vAlign w:val="center"/>
          </w:tcPr>
          <w:p>
            <w:pPr>
              <w:spacing w:line="320" w:lineRule="exact"/>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李易轩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通讯地址</w:t>
            </w:r>
          </w:p>
        </w:tc>
        <w:tc>
          <w:tcPr>
            <w:tcW w:w="6972" w:type="dxa"/>
            <w:gridSpan w:val="9"/>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z w:val="24"/>
              </w:rPr>
              <w:t>西安市灞桥区唐家寨村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联系电话</w:t>
            </w:r>
          </w:p>
        </w:tc>
        <w:tc>
          <w:tcPr>
            <w:tcW w:w="1744" w:type="dxa"/>
            <w:gridSpan w:val="2"/>
            <w:noWrap w:val="0"/>
            <w:vAlign w:val="center"/>
          </w:tcPr>
          <w:p>
            <w:pPr>
              <w:spacing w:line="320" w:lineRule="exac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53</w:t>
            </w:r>
            <w:r>
              <w:rPr>
                <w:rFonts w:hint="eastAsia" w:ascii="Times New Roman" w:hAnsi="Times New Roman" w:cs="Times New Roman"/>
                <w:color w:val="auto"/>
                <w:sz w:val="24"/>
                <w:szCs w:val="24"/>
                <w:lang w:val="en-US" w:eastAsia="zh-CN"/>
              </w:rPr>
              <w:t>xxxx</w:t>
            </w:r>
            <w:bookmarkStart w:id="2" w:name="_GoBack"/>
            <w:bookmarkEnd w:id="2"/>
            <w:r>
              <w:rPr>
                <w:rFonts w:hint="default" w:ascii="Times New Roman" w:hAnsi="Times New Roman" w:cs="Times New Roman"/>
                <w:color w:val="auto"/>
                <w:sz w:val="24"/>
                <w:szCs w:val="24"/>
                <w:lang w:val="en-US" w:eastAsia="zh-CN"/>
              </w:rPr>
              <w:t>0692</w:t>
            </w:r>
          </w:p>
        </w:tc>
        <w:tc>
          <w:tcPr>
            <w:tcW w:w="1049" w:type="dxa"/>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传真</w:t>
            </w:r>
          </w:p>
        </w:tc>
        <w:tc>
          <w:tcPr>
            <w:tcW w:w="1519" w:type="dxa"/>
            <w:noWrap w:val="0"/>
            <w:vAlign w:val="center"/>
          </w:tcPr>
          <w:p>
            <w:pPr>
              <w:spacing w:line="32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349" w:type="dxa"/>
            <w:gridSpan w:val="2"/>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邮政编码</w:t>
            </w:r>
          </w:p>
        </w:tc>
        <w:tc>
          <w:tcPr>
            <w:tcW w:w="1311" w:type="dxa"/>
            <w:gridSpan w:val="3"/>
            <w:noWrap w:val="0"/>
            <w:vAlign w:val="center"/>
          </w:tcPr>
          <w:p>
            <w:pPr>
              <w:spacing w:line="32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710038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建设地点</w:t>
            </w:r>
          </w:p>
        </w:tc>
        <w:tc>
          <w:tcPr>
            <w:tcW w:w="6972" w:type="dxa"/>
            <w:gridSpan w:val="9"/>
            <w:noWrap w:val="0"/>
            <w:vAlign w:val="center"/>
          </w:tcPr>
          <w:p>
            <w:pPr>
              <w:spacing w:line="32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rPr>
              <w:t>灞桥区席王街道办唐家寨村甲子666号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37"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立项审批部门</w:t>
            </w:r>
          </w:p>
        </w:tc>
        <w:tc>
          <w:tcPr>
            <w:tcW w:w="2793" w:type="dxa"/>
            <w:gridSpan w:val="3"/>
            <w:noWrap w:val="0"/>
            <w:vAlign w:val="center"/>
          </w:tcPr>
          <w:p>
            <w:pPr>
              <w:spacing w:line="320" w:lineRule="exact"/>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lang w:val="en-US" w:eastAsia="zh-CN"/>
              </w:rPr>
              <w:t>/</w:t>
            </w:r>
          </w:p>
        </w:tc>
        <w:tc>
          <w:tcPr>
            <w:tcW w:w="1673" w:type="dxa"/>
            <w:gridSpan w:val="2"/>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批准文号</w:t>
            </w:r>
          </w:p>
        </w:tc>
        <w:tc>
          <w:tcPr>
            <w:tcW w:w="2506" w:type="dxa"/>
            <w:gridSpan w:val="4"/>
            <w:noWrap w:val="0"/>
            <w:tcMar>
              <w:left w:w="0" w:type="dxa"/>
              <w:right w:w="0" w:type="dxa"/>
            </w:tcMar>
            <w:vAlign w:val="center"/>
          </w:tcPr>
          <w:p>
            <w:pPr>
              <w:snapToGrid w:val="0"/>
              <w:spacing w:line="320" w:lineRule="exact"/>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建设性质</w:t>
            </w:r>
          </w:p>
        </w:tc>
        <w:tc>
          <w:tcPr>
            <w:tcW w:w="2793" w:type="dxa"/>
            <w:gridSpan w:val="3"/>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z w:val="24"/>
                <w:szCs w:val="24"/>
                <w:bdr w:val="single" w:color="auto" w:sz="4" w:space="0"/>
              </w:rPr>
              <w:t xml:space="preserve"> √ </w:t>
            </w:r>
            <w:r>
              <w:rPr>
                <w:rFonts w:hint="default" w:ascii="Times New Roman" w:hAnsi="Times New Roman" w:cs="Times New Roman"/>
                <w:color w:val="auto"/>
                <w:sz w:val="24"/>
                <w:szCs w:val="24"/>
              </w:rPr>
              <w:t>新建</w:t>
            </w:r>
            <w:r>
              <w:rPr>
                <w:rFonts w:hint="default" w:ascii="Times New Roman" w:hAnsi="Times New Roman" w:cs="Times New Roman"/>
                <w:color w:val="auto"/>
                <w:sz w:val="24"/>
                <w:szCs w:val="24"/>
                <w:bdr w:val="single" w:color="auto" w:sz="4" w:space="0"/>
              </w:rPr>
              <w:t xml:space="preserve">  </w:t>
            </w:r>
            <w:r>
              <w:rPr>
                <w:rFonts w:hint="default" w:ascii="Times New Roman" w:hAnsi="Times New Roman" w:cs="Times New Roman"/>
                <w:color w:val="auto"/>
                <w:sz w:val="24"/>
                <w:szCs w:val="24"/>
              </w:rPr>
              <w:t>扩建</w:t>
            </w:r>
            <w:r>
              <w:rPr>
                <w:rFonts w:hint="default" w:ascii="Times New Roman" w:hAnsi="Times New Roman" w:cs="Times New Roman"/>
                <w:color w:val="auto"/>
                <w:sz w:val="24"/>
                <w:szCs w:val="24"/>
                <w:bdr w:val="single" w:color="auto" w:sz="4" w:space="0"/>
              </w:rPr>
              <w:t xml:space="preserve">  </w:t>
            </w:r>
            <w:r>
              <w:rPr>
                <w:rFonts w:hint="default" w:ascii="Times New Roman" w:hAnsi="Times New Roman" w:cs="Times New Roman"/>
                <w:color w:val="auto"/>
                <w:sz w:val="24"/>
                <w:szCs w:val="24"/>
              </w:rPr>
              <w:t>技改</w:t>
            </w:r>
          </w:p>
        </w:tc>
        <w:tc>
          <w:tcPr>
            <w:tcW w:w="1673" w:type="dxa"/>
            <w:gridSpan w:val="2"/>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行业类别</w:t>
            </w:r>
          </w:p>
          <w:p>
            <w:pPr>
              <w:spacing w:line="320" w:lineRule="exact"/>
              <w:jc w:val="center"/>
              <w:rPr>
                <w:rFonts w:hint="default" w:ascii="Times New Roman" w:hAnsi="Times New Roman" w:eastAsia="楷体_GB2312" w:cs="Times New Roman"/>
                <w:color w:val="auto"/>
                <w:sz w:val="28"/>
                <w:szCs w:val="28"/>
              </w:rPr>
            </w:pPr>
            <w:r>
              <w:rPr>
                <w:rFonts w:hint="default" w:ascii="Times New Roman" w:hAnsi="Times New Roman" w:eastAsia="楷体_GB2312" w:cs="Times New Roman"/>
                <w:b/>
                <w:color w:val="auto"/>
                <w:sz w:val="28"/>
                <w:szCs w:val="28"/>
              </w:rPr>
              <w:t>及代码</w:t>
            </w:r>
          </w:p>
        </w:tc>
        <w:tc>
          <w:tcPr>
            <w:tcW w:w="2506" w:type="dxa"/>
            <w:gridSpan w:val="4"/>
            <w:noWrap w:val="0"/>
            <w:vAlign w:val="center"/>
          </w:tcPr>
          <w:p>
            <w:pPr>
              <w:tabs>
                <w:tab w:val="left" w:pos="4680"/>
              </w:tabs>
              <w:spacing w:line="32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[C303]砖瓦制造业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占地面积</w:t>
            </w:r>
          </w:p>
          <w:p>
            <w:pPr>
              <w:spacing w:line="320" w:lineRule="exact"/>
              <w:jc w:val="center"/>
              <w:rPr>
                <w:rFonts w:hint="default" w:ascii="Times New Roman" w:hAnsi="Times New Roman" w:eastAsia="楷体_GB2312" w:cs="Times New Roman"/>
                <w:color w:val="auto"/>
                <w:spacing w:val="-10"/>
                <w:sz w:val="28"/>
                <w:szCs w:val="28"/>
              </w:rPr>
            </w:pPr>
            <w:r>
              <w:rPr>
                <w:rFonts w:hint="default" w:ascii="Times New Roman" w:hAnsi="Times New Roman" w:eastAsia="楷体_GB2312" w:cs="Times New Roman"/>
                <w:b/>
                <w:color w:val="auto"/>
                <w:spacing w:val="-10"/>
                <w:sz w:val="28"/>
                <w:szCs w:val="28"/>
              </w:rPr>
              <w:t>（平方米）</w:t>
            </w:r>
          </w:p>
        </w:tc>
        <w:tc>
          <w:tcPr>
            <w:tcW w:w="2793" w:type="dxa"/>
            <w:gridSpan w:val="3"/>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z w:val="24"/>
                <w:szCs w:val="24"/>
              </w:rPr>
              <w:t>25000（37.5亩）</w:t>
            </w:r>
          </w:p>
        </w:tc>
        <w:tc>
          <w:tcPr>
            <w:tcW w:w="1673" w:type="dxa"/>
            <w:gridSpan w:val="2"/>
            <w:noWrap w:val="0"/>
            <w:vAlign w:val="center"/>
          </w:tcPr>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绿化面积</w:t>
            </w:r>
          </w:p>
          <w:p>
            <w:pPr>
              <w:spacing w:line="320" w:lineRule="exact"/>
              <w:jc w:val="center"/>
              <w:rPr>
                <w:rFonts w:hint="default" w:ascii="Times New Roman" w:hAnsi="Times New Roman" w:eastAsia="楷体_GB2312" w:cs="Times New Roman"/>
                <w:b/>
                <w:color w:val="auto"/>
                <w:sz w:val="28"/>
                <w:szCs w:val="28"/>
              </w:rPr>
            </w:pPr>
            <w:r>
              <w:rPr>
                <w:rFonts w:hint="default" w:ascii="Times New Roman" w:hAnsi="Times New Roman" w:eastAsia="楷体_GB2312" w:cs="Times New Roman"/>
                <w:b/>
                <w:color w:val="auto"/>
                <w:sz w:val="28"/>
                <w:szCs w:val="28"/>
              </w:rPr>
              <w:t>（平方米）</w:t>
            </w:r>
          </w:p>
        </w:tc>
        <w:tc>
          <w:tcPr>
            <w:tcW w:w="2506" w:type="dxa"/>
            <w:gridSpan w:val="4"/>
            <w:noWrap w:val="0"/>
            <w:vAlign w:val="center"/>
          </w:tcPr>
          <w:p>
            <w:pPr>
              <w:spacing w:line="32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总投资</w:t>
            </w:r>
          </w:p>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（万元）</w:t>
            </w:r>
          </w:p>
        </w:tc>
        <w:tc>
          <w:tcPr>
            <w:tcW w:w="1199" w:type="dxa"/>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z w:val="24"/>
              </w:rPr>
              <w:t>2600</w:t>
            </w:r>
          </w:p>
        </w:tc>
        <w:tc>
          <w:tcPr>
            <w:tcW w:w="1594" w:type="dxa"/>
            <w:gridSpan w:val="2"/>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eastAsia="楷体_GB2312" w:cs="Times New Roman"/>
                <w:b/>
                <w:color w:val="auto"/>
                <w:spacing w:val="-10"/>
                <w:sz w:val="28"/>
                <w:szCs w:val="28"/>
              </w:rPr>
              <w:t>其中：环保投资（万元）</w:t>
            </w:r>
          </w:p>
        </w:tc>
        <w:tc>
          <w:tcPr>
            <w:tcW w:w="1673" w:type="dxa"/>
            <w:gridSpan w:val="2"/>
            <w:noWrap w:val="0"/>
            <w:vAlign w:val="center"/>
          </w:tcPr>
          <w:p>
            <w:pPr>
              <w:spacing w:line="320" w:lineRule="exac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pacing w:val="-10"/>
                <w:sz w:val="24"/>
                <w:szCs w:val="24"/>
              </w:rPr>
              <w:t>36.7</w:t>
            </w:r>
          </w:p>
        </w:tc>
        <w:tc>
          <w:tcPr>
            <w:tcW w:w="1286" w:type="dxa"/>
            <w:gridSpan w:val="2"/>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环保投资占总投资比例</w:t>
            </w:r>
          </w:p>
        </w:tc>
        <w:tc>
          <w:tcPr>
            <w:tcW w:w="1220" w:type="dxa"/>
            <w:gridSpan w:val="2"/>
            <w:noWrap w:val="0"/>
            <w:vAlign w:val="center"/>
          </w:tcPr>
          <w:p>
            <w:pPr>
              <w:spacing w:line="320" w:lineRule="exact"/>
              <w:jc w:val="center"/>
              <w:rPr>
                <w:rFonts w:hint="default" w:ascii="Times New Roman" w:hAnsi="Times New Roman" w:cs="Times New Roman"/>
                <w:color w:val="auto"/>
                <w:sz w:val="24"/>
                <w:szCs w:val="24"/>
                <w:highlight w:val="yellow"/>
              </w:rPr>
            </w:pPr>
            <w:r>
              <w:rPr>
                <w:rFonts w:hint="default" w:ascii="Times New Roman" w:hAnsi="Times New Roman" w:cs="Times New Roman"/>
                <w:color w:val="auto"/>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0" w:hRule="atLeast"/>
          <w:jc w:val="center"/>
        </w:trPr>
        <w:tc>
          <w:tcPr>
            <w:tcW w:w="1864" w:type="dxa"/>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评价经费</w:t>
            </w:r>
          </w:p>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（万元）</w:t>
            </w:r>
          </w:p>
        </w:tc>
        <w:tc>
          <w:tcPr>
            <w:tcW w:w="1199" w:type="dxa"/>
            <w:noWrap w:val="0"/>
            <w:vAlign w:val="center"/>
          </w:tcPr>
          <w:p>
            <w:pPr>
              <w:spacing w:line="32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3267" w:type="dxa"/>
            <w:gridSpan w:val="4"/>
            <w:noWrap w:val="0"/>
            <w:vAlign w:val="center"/>
          </w:tcPr>
          <w:p>
            <w:pPr>
              <w:spacing w:line="320" w:lineRule="exact"/>
              <w:jc w:val="center"/>
              <w:rPr>
                <w:rFonts w:hint="default" w:ascii="Times New Roman" w:hAnsi="Times New Roman" w:eastAsia="楷体_GB2312" w:cs="Times New Roman"/>
                <w:b/>
                <w:color w:val="auto"/>
                <w:spacing w:val="-10"/>
                <w:sz w:val="28"/>
                <w:szCs w:val="28"/>
              </w:rPr>
            </w:pPr>
            <w:r>
              <w:rPr>
                <w:rFonts w:hint="default" w:ascii="Times New Roman" w:hAnsi="Times New Roman" w:eastAsia="楷体_GB2312" w:cs="Times New Roman"/>
                <w:b/>
                <w:color w:val="auto"/>
                <w:spacing w:val="-10"/>
                <w:sz w:val="28"/>
                <w:szCs w:val="28"/>
              </w:rPr>
              <w:t>预期投产日期</w:t>
            </w:r>
          </w:p>
        </w:tc>
        <w:tc>
          <w:tcPr>
            <w:tcW w:w="2506" w:type="dxa"/>
            <w:gridSpan w:val="4"/>
            <w:noWrap w:val="0"/>
            <w:vAlign w:val="center"/>
          </w:tcPr>
          <w:p>
            <w:pPr>
              <w:spacing w:line="320" w:lineRule="exac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2016年5月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119" w:hRule="atLeast"/>
          <w:jc w:val="center"/>
        </w:trPr>
        <w:tc>
          <w:tcPr>
            <w:tcW w:w="8836" w:type="dxa"/>
            <w:gridSpan w:val="10"/>
            <w:tcBorders>
              <w:bottom w:val="single" w:color="auto" w:sz="4" w:space="0"/>
            </w:tcBorders>
            <w:noWrap w:val="0"/>
            <w:vAlign w:val="center"/>
          </w:tcPr>
          <w:p>
            <w:pPr>
              <w:spacing w:before="156" w:beforeLines="50" w:after="156" w:afterLines="50" w:line="500" w:lineRule="exact"/>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w:t>工程内容及规模</w:t>
            </w:r>
          </w:p>
          <w:p>
            <w:pPr>
              <w:adjustRightInd w:val="0"/>
              <w:snapToGrid w:val="0"/>
              <w:spacing w:line="48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一、项目由来</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据我国有关部门不完全统计，目前每年产生的各种工矿废渣3亿多吨，其中建筑垃圾2亿吨，粉煤灰8000万吨，高炉矿2000万吨，钢渣750万吨，有色金属渣500万吨，并且随着我国的经济迅猛发展，排放的速度以惊人的速度增加，不仅耗费巨额资金，占用大量土地，并且严重污染环境，危害严重，节能、节地、节财的投资方向和产业政策，也符合国务院和地方政府发出的《关于限制毁田烧砖发展新型环保墙体材料的通知》精神，大量吞掉工业废渣，化废为利，变废为宝，减少污染，节能降耗，保护耕地，造福子孙后代。</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为了积极响应政策，陕西金辉建材机械有限公司在灞桥区席王街道办唐家寨村甲子666号建设年处理50万吨建筑垃圾资源化生产线及年产20万m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再生骨料水泥制品生产线项目，原材料采用废建筑垃圾、废陶瓷渣等种类，建成后可年产20万m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砌块砖。</w:t>
            </w:r>
          </w:p>
          <w:p>
            <w:pPr>
              <w:numPr>
                <w:ilvl w:val="0"/>
                <w:numId w:val="1"/>
              </w:numPr>
              <w:spacing w:line="480" w:lineRule="exact"/>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分析判定相关情况</w:t>
            </w:r>
          </w:p>
          <w:p>
            <w:pPr>
              <w:numPr>
                <w:ilvl w:val="0"/>
                <w:numId w:val="0"/>
              </w:numPr>
              <w:spacing w:line="480" w:lineRule="exact"/>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bCs w:val="0"/>
                <w:color w:val="auto"/>
                <w:sz w:val="24"/>
                <w:szCs w:val="24"/>
                <w:lang w:val="en-US" w:eastAsia="zh-CN"/>
              </w:rPr>
              <w:t>1、产业政策符合性分析</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本项目产业政策及规划的符合性见表1。</w:t>
            </w:r>
          </w:p>
          <w:p>
            <w:pPr>
              <w:spacing w:line="480" w:lineRule="exact"/>
              <w:ind w:firstLine="482" w:firstLineChars="20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表1   产业政策及规划的符合性</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61"/>
              <w:gridCol w:w="701"/>
              <w:gridCol w:w="2741"/>
              <w:gridCol w:w="2504"/>
              <w:gridCol w:w="9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721" w:type="dxa"/>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文件名称</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文件内容</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本项目</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《产业结构调整指导目录》（2013年修正）</w:t>
                  </w:r>
                </w:p>
              </w:tc>
              <w:tc>
                <w:tcPr>
                  <w:tcW w:w="86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限制类</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第九条“建材”类的“第10款”3000万标砖/年以下的煤矸石、页岩烧结实心砖生产线</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4000万标砖/年免烧砖</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continue"/>
                  <w:noWrap w:val="0"/>
                  <w:vAlign w:val="center"/>
                </w:tcPr>
                <w:p>
                  <w:pPr>
                    <w:jc w:val="center"/>
                    <w:rPr>
                      <w:rFonts w:hint="default" w:ascii="Times New Roman" w:hAnsi="Times New Roman" w:cs="Times New Roman"/>
                      <w:color w:val="auto"/>
                      <w:szCs w:val="21"/>
                    </w:rPr>
                  </w:pPr>
                </w:p>
              </w:tc>
              <w:tc>
                <w:tcPr>
                  <w:tcW w:w="86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淘汰类</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第八条“建材”类的“第12项”砖瓦24门以下轮窑以及立窑、无顶轮窑、马蹄窑等土窑（2011年）</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免烧</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continue"/>
                  <w:noWrap w:val="0"/>
                  <w:vAlign w:val="center"/>
                </w:tcPr>
                <w:p>
                  <w:pPr>
                    <w:jc w:val="center"/>
                    <w:rPr>
                      <w:rFonts w:hint="default" w:ascii="Times New Roman" w:hAnsi="Times New Roman" w:cs="Times New Roman"/>
                      <w:color w:val="auto"/>
                      <w:szCs w:val="21"/>
                    </w:rPr>
                  </w:pPr>
                </w:p>
              </w:tc>
              <w:tc>
                <w:tcPr>
                  <w:tcW w:w="861" w:type="dxa"/>
                  <w:vMerge w:val="continue"/>
                  <w:noWrap w:val="0"/>
                  <w:vAlign w:val="center"/>
                </w:tcPr>
                <w:p>
                  <w:pPr>
                    <w:jc w:val="center"/>
                    <w:rPr>
                      <w:rFonts w:hint="default" w:ascii="Times New Roman" w:hAnsi="Times New Roman" w:cs="Times New Roman"/>
                      <w:color w:val="auto"/>
                      <w:szCs w:val="21"/>
                    </w:rPr>
                  </w:pP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第八条“建材”类的“第13项”普通挤砖机</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QT10-18型制砖机</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continue"/>
                  <w:noWrap w:val="0"/>
                  <w:vAlign w:val="center"/>
                </w:tcPr>
                <w:p>
                  <w:pPr>
                    <w:jc w:val="center"/>
                    <w:rPr>
                      <w:rFonts w:hint="default" w:ascii="Times New Roman" w:hAnsi="Times New Roman" w:cs="Times New Roman"/>
                      <w:color w:val="auto"/>
                      <w:szCs w:val="21"/>
                    </w:rPr>
                  </w:pPr>
                </w:p>
              </w:tc>
              <w:tc>
                <w:tcPr>
                  <w:tcW w:w="861" w:type="dxa"/>
                  <w:vMerge w:val="continue"/>
                  <w:noWrap w:val="0"/>
                  <w:vAlign w:val="center"/>
                </w:tcPr>
                <w:p>
                  <w:pPr>
                    <w:jc w:val="center"/>
                    <w:rPr>
                      <w:rFonts w:hint="default" w:ascii="Times New Roman" w:hAnsi="Times New Roman" w:cs="Times New Roman"/>
                      <w:color w:val="auto"/>
                      <w:szCs w:val="21"/>
                    </w:rPr>
                  </w:pP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第八条“建材”类的“第14项”SJ1580-3000双轴、单轴制砖搅拌机</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新型多功能单卧轴强制式JDC3500型搅拌机</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721" w:type="dxa"/>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《陕西省墙体材料革新“十二五”发展规划》</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大力发展以煤矸石、粉煤灰、脱硫石膏等为主要原料的新型墙体材料产品</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废建筑垃圾等</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721" w:type="dxa"/>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《陕西省新型墙体材料发展应用条例》</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企业应当充分利用煤矸石、粉煤灰、尾矿渣、建筑固体废弃物、植物秸秆等原料，生产多孔砖、空心砖、建筑砌块、轻质墙板等新型墙体材料</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主要原料包括</w:t>
                  </w:r>
                  <w:r>
                    <w:rPr>
                      <w:rFonts w:hint="default" w:ascii="Times New Roman" w:hAnsi="Times New Roman" w:cs="Times New Roman"/>
                      <w:bCs/>
                      <w:color w:val="auto"/>
                      <w:szCs w:val="21"/>
                    </w:rPr>
                    <w:t>建筑垃圾等</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《墙体材料行业结构调整指导目录》（2016年本</w:t>
                  </w:r>
                </w:p>
              </w:tc>
              <w:tc>
                <w:tcPr>
                  <w:tcW w:w="86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淘汰类</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破坏农田、耕地和破坏环境取土烧制的实心粘土砖生产线</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建筑垃圾综合利用的免烧砖生产线</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continue"/>
                  <w:noWrap w:val="0"/>
                  <w:vAlign w:val="center"/>
                </w:tcPr>
                <w:p>
                  <w:pPr>
                    <w:jc w:val="center"/>
                    <w:rPr>
                      <w:rFonts w:hint="default" w:ascii="Times New Roman" w:hAnsi="Times New Roman" w:cs="Times New Roman"/>
                      <w:color w:val="auto"/>
                      <w:szCs w:val="21"/>
                    </w:rPr>
                  </w:pPr>
                </w:p>
              </w:tc>
              <w:tc>
                <w:tcPr>
                  <w:tcW w:w="861" w:type="dxa"/>
                  <w:vMerge w:val="continue"/>
                  <w:noWrap w:val="0"/>
                  <w:vAlign w:val="center"/>
                </w:tcPr>
                <w:p>
                  <w:pPr>
                    <w:jc w:val="center"/>
                    <w:rPr>
                      <w:rFonts w:hint="default" w:ascii="Times New Roman" w:hAnsi="Times New Roman" w:cs="Times New Roman"/>
                      <w:color w:val="auto"/>
                      <w:szCs w:val="21"/>
                    </w:rPr>
                  </w:pP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轮窑及立窑、无顶轮窑、马蹄窑等土窑生产线。(轮窑在2020年前完成)</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免烧</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0" w:type="dxa"/>
                  <w:vMerge w:val="continue"/>
                  <w:noWrap w:val="0"/>
                  <w:vAlign w:val="center"/>
                </w:tcPr>
                <w:p>
                  <w:pPr>
                    <w:jc w:val="center"/>
                    <w:rPr>
                      <w:rFonts w:hint="default" w:ascii="Times New Roman" w:hAnsi="Times New Roman" w:cs="Times New Roman"/>
                      <w:color w:val="auto"/>
                      <w:szCs w:val="21"/>
                    </w:rPr>
                  </w:pPr>
                </w:p>
              </w:tc>
              <w:tc>
                <w:tcPr>
                  <w:tcW w:w="861" w:type="dxa"/>
                  <w:vMerge w:val="continue"/>
                  <w:noWrap w:val="0"/>
                  <w:vAlign w:val="center"/>
                </w:tcPr>
                <w:p>
                  <w:pPr>
                    <w:jc w:val="center"/>
                    <w:rPr>
                      <w:rFonts w:hint="default" w:ascii="Times New Roman" w:hAnsi="Times New Roman" w:cs="Times New Roman"/>
                      <w:color w:val="auto"/>
                      <w:szCs w:val="21"/>
                    </w:rPr>
                  </w:pP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74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普通挤砖机、SJ1580—3000双轴、单轴制砖搅拌机</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QT10-18型制砖机，多功能单卧轴强制式JDC3500型搅拌机</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721" w:type="dxa"/>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rPr>
                    <w:t>陕政发〔2016〕5号</w:t>
                  </w:r>
                </w:p>
              </w:tc>
              <w:tc>
                <w:tcPr>
                  <w:tcW w:w="701" w:type="dxa"/>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rPr>
                    <w:t>1</w:t>
                  </w:r>
                </w:p>
              </w:tc>
              <w:tc>
                <w:tcPr>
                  <w:tcW w:w="2741" w:type="dxa"/>
                  <w:noWrap w:val="0"/>
                  <w:vAlign w:val="center"/>
                </w:tcPr>
                <w:p>
                  <w:pPr>
                    <w:jc w:val="left"/>
                    <w:rPr>
                      <w:rFonts w:hint="default" w:ascii="Times New Roman" w:hAnsi="Times New Roman" w:cs="Times New Roman"/>
                      <w:color w:val="auto"/>
                      <w:szCs w:val="21"/>
                    </w:rPr>
                  </w:pPr>
                  <w:r>
                    <w:rPr>
                      <w:rFonts w:hint="default" w:ascii="Times New Roman" w:hAnsi="Times New Roman" w:eastAsia="宋体" w:cs="Times New Roman"/>
                      <w:color w:val="auto"/>
                      <w:szCs w:val="21"/>
                    </w:rPr>
                    <w:t>5000万块/年以下的粘土砖瓦厂全部淘汰</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rPr>
                    <w:t>免烧砖，原料不使用粘土</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721" w:type="dxa"/>
                  <w:gridSpan w:val="2"/>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陕西省铁腕治霾打赢</w:t>
                  </w:r>
                  <w:r>
                    <w:rPr>
                      <w:rFonts w:hint="default" w:ascii="Times New Roman" w:hAnsi="Times New Roman" w:cs="Times New Roman"/>
                      <w:color w:val="auto"/>
                      <w:sz w:val="21"/>
                      <w:szCs w:val="21"/>
                      <w:highlight w:val="none"/>
                    </w:rPr>
                    <w:t>蓝天保卫战三年行动方案（2018-2020）</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修订版</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cs="Times New Roman"/>
                      <w:color w:val="auto"/>
                      <w:sz w:val="21"/>
                      <w:szCs w:val="21"/>
                      <w:highlight w:val="none"/>
                    </w:rPr>
                    <w:t>》</w:t>
                  </w:r>
                </w:p>
              </w:tc>
              <w:tc>
                <w:tcPr>
                  <w:tcW w:w="701" w:type="dxa"/>
                  <w:noWrap w:val="0"/>
                  <w:vAlign w:val="center"/>
                </w:tcPr>
                <w:p>
                  <w:pPr>
                    <w:spacing w:line="360" w:lineRule="auto"/>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lang w:val="en-US" w:eastAsia="zh-CN"/>
                    </w:rPr>
                    <w:t>1</w:t>
                  </w:r>
                </w:p>
              </w:tc>
              <w:tc>
                <w:tcPr>
                  <w:tcW w:w="27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eastAsia="宋体" w:cs="Times New Roman"/>
                      <w:color w:val="auto"/>
                      <w:sz w:val="21"/>
                      <w:szCs w:val="21"/>
                      <w:highlight w:val="none"/>
                      <w:lang w:eastAsia="zh-CN"/>
                    </w:rPr>
                    <w:t>加强物料堆场扬尘管理。</w:t>
                  </w:r>
                  <w:r>
                    <w:rPr>
                      <w:rFonts w:hint="default" w:ascii="Times New Roman" w:hAnsi="Times New Roman" w:cs="Times New Roman"/>
                      <w:color w:val="auto"/>
                      <w:sz w:val="21"/>
                      <w:szCs w:val="21"/>
                      <w:highlight w:val="none"/>
                    </w:rPr>
                    <w:t>严格落实煤炭、商品混凝土、粉煤灰等工业企业物料堆场抑尘措施，配套建设收尘和密封物料仓库，</w:t>
                  </w:r>
                  <w:r>
                    <w:rPr>
                      <w:rFonts w:hint="default" w:ascii="Times New Roman" w:hAnsi="Times New Roman" w:eastAsia="宋体" w:cs="Times New Roman"/>
                      <w:color w:val="auto"/>
                      <w:sz w:val="21"/>
                      <w:szCs w:val="21"/>
                      <w:highlight w:val="none"/>
                      <w:lang w:eastAsia="zh-CN"/>
                    </w:rPr>
                    <w:t>建设围墙、喷淋、覆盖、围挡等防风抑尘措施。采用密闭输送设备作业的，必须在装卸处配备吸尘、喷淋等防尘措施，并保证防尘设施正常使用，严禁露天装卸作业和物料干法作业。</w:t>
                  </w:r>
                </w:p>
              </w:tc>
              <w:tc>
                <w:tcPr>
                  <w:tcW w:w="2504" w:type="dxa"/>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lang w:eastAsia="zh-CN"/>
                    </w:rPr>
                    <w:t>环保要求：建筑垃圾堆放库、原料库密闭；生产车间、破碎车间安装喷淋设施；破碎配备布袋除尘器；水泥筒仓运输储存粉尘设置</w:t>
                  </w:r>
                  <w:r>
                    <w:rPr>
                      <w:rFonts w:hint="default" w:ascii="Times New Roman" w:hAnsi="Times New Roman" w:cs="Times New Roman"/>
                      <w:color w:val="auto"/>
                      <w:szCs w:val="21"/>
                    </w:rPr>
                    <w:t>滤芯式</w:t>
                  </w:r>
                  <w:r>
                    <w:rPr>
                      <w:rFonts w:hint="default" w:ascii="Times New Roman" w:hAnsi="Times New Roman" w:eastAsia="宋体" w:cs="Times New Roman"/>
                      <w:color w:val="auto"/>
                      <w:szCs w:val="21"/>
                      <w:lang w:eastAsia="zh-CN"/>
                    </w:rPr>
                    <w:t>除尘器</w:t>
                  </w:r>
                </w:p>
              </w:tc>
              <w:tc>
                <w:tcPr>
                  <w:tcW w:w="938" w:type="dxa"/>
                  <w:noWrap w:val="0"/>
                  <w:vAlign w:val="center"/>
                </w:tcPr>
                <w:p>
                  <w:pPr>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lang w:val="en-US" w:eastAsia="zh-CN"/>
                    </w:rPr>
                    <w:t>符合</w:t>
                  </w:r>
                </w:p>
              </w:tc>
            </w:tr>
          </w:tbl>
          <w:p>
            <w:pPr>
              <w:spacing w:line="480" w:lineRule="exact"/>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lang w:val="en-US" w:eastAsia="zh-CN"/>
              </w:rPr>
              <w:t>2、</w:t>
            </w:r>
            <w:r>
              <w:rPr>
                <w:rFonts w:hint="default" w:ascii="Times New Roman" w:hAnsi="Times New Roman" w:cs="Times New Roman"/>
                <w:b/>
                <w:color w:val="auto"/>
                <w:sz w:val="24"/>
                <w:szCs w:val="24"/>
              </w:rPr>
              <w:t>选址合理性分析</w:t>
            </w:r>
          </w:p>
          <w:p>
            <w:pPr>
              <w:spacing w:line="480" w:lineRule="exact"/>
              <w:ind w:firstLine="480" w:firstLineChars="200"/>
              <w:rPr>
                <w:rFonts w:hint="default" w:ascii="Times New Roman" w:hAnsi="Times New Roman" w:eastAsia="宋体" w:cs="Times New Roman"/>
                <w:bCs/>
                <w:color w:val="auto"/>
                <w:sz w:val="24"/>
                <w:lang w:val="en-US" w:eastAsia="zh-CN"/>
              </w:rPr>
            </w:pPr>
            <w:r>
              <w:rPr>
                <w:rFonts w:hint="default" w:ascii="Times New Roman" w:hAnsi="Times New Roman" w:cs="Times New Roman"/>
                <w:bCs/>
                <w:color w:val="auto"/>
                <w:sz w:val="24"/>
              </w:rPr>
              <w:t>本项目位于</w:t>
            </w:r>
            <w:r>
              <w:rPr>
                <w:rFonts w:hint="default" w:ascii="Times New Roman" w:hAnsi="Times New Roman" w:cs="Times New Roman"/>
                <w:color w:val="auto"/>
                <w:sz w:val="24"/>
              </w:rPr>
              <w:t>灞桥区席王街道办唐家寨村甲子666号</w:t>
            </w:r>
            <w:r>
              <w:rPr>
                <w:rFonts w:hint="default" w:ascii="Times New Roman" w:hAnsi="Times New Roman" w:cs="Times New Roman"/>
                <w:bCs/>
                <w:color w:val="auto"/>
                <w:sz w:val="24"/>
              </w:rPr>
              <w:t>，项目临近乡道，</w:t>
            </w:r>
            <w:r>
              <w:rPr>
                <w:rFonts w:hint="default" w:ascii="Times New Roman" w:hAnsi="Times New Roman" w:cs="Times New Roman"/>
                <w:color w:val="auto"/>
                <w:sz w:val="24"/>
              </w:rPr>
              <w:t>区域路网完善</w:t>
            </w:r>
            <w:r>
              <w:rPr>
                <w:rFonts w:hint="default" w:ascii="Times New Roman" w:hAnsi="Times New Roman" w:cs="Times New Roman"/>
                <w:color w:val="auto"/>
                <w:sz w:val="24"/>
                <w:lang w:eastAsia="zh-CN"/>
              </w:rPr>
              <w:t>，</w:t>
            </w:r>
            <w:r>
              <w:rPr>
                <w:rFonts w:hint="default" w:ascii="Times New Roman" w:hAnsi="Times New Roman" w:cs="Times New Roman"/>
                <w:bCs/>
                <w:color w:val="auto"/>
                <w:sz w:val="24"/>
              </w:rPr>
              <w:t>交通便利。</w:t>
            </w:r>
            <w:r>
              <w:rPr>
                <w:rFonts w:hint="default" w:ascii="Times New Roman" w:hAnsi="Times New Roman" w:cs="Times New Roman"/>
                <w:bCs/>
                <w:color w:val="auto"/>
                <w:sz w:val="24"/>
                <w:lang w:eastAsia="zh-CN"/>
              </w:rPr>
              <w:t>项目所在地原为灞桥区垃圾填埋厂，且已达到垃圾填埋厂饱和状态并废弃，</w:t>
            </w:r>
            <w:r>
              <w:rPr>
                <w:rFonts w:hint="default" w:ascii="Times New Roman" w:hAnsi="Times New Roman" w:cs="Times New Roman"/>
                <w:color w:val="auto"/>
                <w:sz w:val="24"/>
              </w:rPr>
              <w:t>陕西金辉建材机械有限公司</w:t>
            </w:r>
            <w:r>
              <w:rPr>
                <w:rFonts w:hint="default" w:ascii="Times New Roman" w:hAnsi="Times New Roman" w:cs="Times New Roman"/>
                <w:color w:val="auto"/>
                <w:sz w:val="24"/>
                <w:lang w:eastAsia="zh-CN"/>
              </w:rPr>
              <w:t>于</w:t>
            </w:r>
            <w:r>
              <w:rPr>
                <w:rFonts w:hint="default" w:ascii="Times New Roman" w:hAnsi="Times New Roman" w:cs="Times New Roman"/>
                <w:color w:val="auto"/>
                <w:sz w:val="24"/>
                <w:lang w:val="en-US" w:eastAsia="zh-CN"/>
              </w:rPr>
              <w:t>2015年对此垃圾填埋场进行填埋和防渗处理，利用此废弃区域建设</w:t>
            </w:r>
            <w:r>
              <w:rPr>
                <w:rFonts w:hint="default" w:ascii="Times New Roman" w:hAnsi="Times New Roman" w:cs="Times New Roman"/>
                <w:color w:val="auto"/>
                <w:sz w:val="24"/>
              </w:rPr>
              <w:t>建筑垃圾资源化生产线及再生骨料水泥制品生产线项目</w:t>
            </w:r>
            <w:r>
              <w:rPr>
                <w:rFonts w:hint="default" w:ascii="Times New Roman" w:hAnsi="Times New Roman" w:cs="Times New Roman"/>
                <w:color w:val="auto"/>
                <w:sz w:val="24"/>
                <w:lang w:eastAsia="zh-CN"/>
              </w:rPr>
              <w:t>。</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项目实施环评提出各项措施后，废水及噪声均能达标排放，固体废物做到了合理处置；从环境影响角度分析对周围环境造成的影响小。</w:t>
            </w:r>
          </w:p>
          <w:p>
            <w:pPr>
              <w:tabs>
                <w:tab w:val="left" w:pos="3150"/>
                <w:tab w:val="left" w:pos="4305"/>
              </w:tabs>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通过现场踏勘与调查，项目选址范围内无重点保护野生动植物</w:t>
            </w:r>
            <w:r>
              <w:rPr>
                <w:rFonts w:hint="default" w:ascii="Times New Roman" w:hAnsi="Times New Roman" w:cs="Times New Roman"/>
                <w:color w:val="auto"/>
                <w:sz w:val="24"/>
                <w:szCs w:val="22"/>
              </w:rPr>
              <w:t>分布，也不涉及风景名胜区、自然保护区、基本农田、文物保护单位、饮用水水源地等敏感区域</w:t>
            </w:r>
            <w:r>
              <w:rPr>
                <w:rFonts w:hint="default" w:ascii="Times New Roman" w:hAnsi="Times New Roman" w:cs="Times New Roman"/>
                <w:color w:val="auto"/>
                <w:sz w:val="24"/>
              </w:rPr>
              <w:t>。</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rPr>
              <w:t>因此，在严格落实本报告提出的环保措施后，项目的建设和运行不会对外环境产生较大影响，从满足环境质量目标要求分析，项目选址是可行。</w:t>
            </w:r>
          </w:p>
          <w:p>
            <w:pPr>
              <w:spacing w:line="480" w:lineRule="exact"/>
              <w:ind w:firstLine="482" w:firstLineChars="200"/>
              <w:rPr>
                <w:rFonts w:hint="default" w:ascii="Times New Roman" w:hAnsi="Times New Roman" w:cs="Times New Roman"/>
                <w:color w:val="auto"/>
                <w:sz w:val="24"/>
                <w:szCs w:val="24"/>
              </w:rPr>
            </w:pPr>
            <w:r>
              <w:rPr>
                <w:rFonts w:hint="default" w:ascii="Times New Roman" w:hAnsi="Times New Roman" w:eastAsia="宋体" w:cs="Times New Roman"/>
                <w:b/>
                <w:color w:val="auto"/>
                <w:sz w:val="24"/>
                <w:szCs w:val="24"/>
              </w:rPr>
              <w:t>三、环境影响评价过程</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szCs w:val="24"/>
              </w:rPr>
              <w:t>根据《中华人民共和国环境保护法》、《中华人民共和国环境影响评价法》</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rPr>
              <w:t>《建设项目环境影响评价分类管理名录》</w:t>
            </w:r>
            <w:r>
              <w:rPr>
                <w:rFonts w:hint="default" w:ascii="Times New Roman" w:hAnsi="Times New Roman" w:cs="Times New Roman"/>
                <w:color w:val="auto"/>
                <w:sz w:val="24"/>
                <w:szCs w:val="24"/>
              </w:rPr>
              <w:t>以及</w:t>
            </w:r>
            <w:r>
              <w:rPr>
                <w:rFonts w:hint="default" w:ascii="Times New Roman" w:hAnsi="Times New Roman" w:cs="Times New Roman"/>
                <w:color w:val="auto"/>
                <w:sz w:val="24"/>
              </w:rPr>
              <w:t>西安市灞桥区环保局的有关要求，</w:t>
            </w:r>
            <w:r>
              <w:rPr>
                <w:rFonts w:hint="default" w:ascii="Times New Roman" w:hAnsi="Times New Roman" w:eastAsia="宋体" w:cs="Times New Roman"/>
                <w:color w:val="auto"/>
                <w:sz w:val="24"/>
              </w:rPr>
              <w:t>本项目属于《建设项目环境影响评价分类管理目录》（2017及其修订）“十九、非金属矿物制造业，51石灰和石膏制造、石材加工、人造石制造、砖瓦制造”，</w:t>
            </w:r>
            <w:r>
              <w:rPr>
                <w:rFonts w:hint="default" w:ascii="Times New Roman" w:hAnsi="Times New Roman" w:cs="Times New Roman"/>
                <w:color w:val="auto"/>
                <w:sz w:val="24"/>
                <w:szCs w:val="24"/>
              </w:rPr>
              <w:t>应进行环境影响评价，编制环境影响报告表。</w:t>
            </w:r>
            <w:r>
              <w:rPr>
                <w:rFonts w:hint="default" w:ascii="Times New Roman" w:hAnsi="Times New Roman" w:cs="Times New Roman"/>
                <w:color w:val="auto"/>
                <w:sz w:val="24"/>
              </w:rPr>
              <w:t>受陕西金辉建材机械有限公司委托（见附件1），由</w:t>
            </w:r>
            <w:r>
              <w:rPr>
                <w:rFonts w:hint="default" w:ascii="Times New Roman" w:hAnsi="Times New Roman" w:cs="Times New Roman"/>
                <w:color w:val="auto"/>
                <w:sz w:val="24"/>
                <w:lang w:eastAsia="zh-CN"/>
              </w:rPr>
              <w:t>江苏苏辰勘察设计研究院有限公司</w:t>
            </w:r>
            <w:r>
              <w:rPr>
                <w:rFonts w:hint="default" w:ascii="Times New Roman" w:hAnsi="Times New Roman" w:cs="Times New Roman"/>
                <w:color w:val="auto"/>
                <w:sz w:val="24"/>
              </w:rPr>
              <w:t>承担本项目环境影响报告表的编制工作。</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snapToGrid w:val="0"/>
                <w:color w:val="auto"/>
                <w:sz w:val="24"/>
              </w:rPr>
              <w:t>接受</w:t>
            </w:r>
            <w:r>
              <w:rPr>
                <w:rFonts w:hint="default" w:ascii="Times New Roman" w:hAnsi="Times New Roman" w:eastAsia="宋体" w:cs="Times New Roman"/>
                <w:color w:val="auto"/>
                <w:sz w:val="24"/>
              </w:rPr>
              <w:t>委托后，我公司组织有关工程技术人员赴现场踏勘调查，收集了项目所在区域自然、生态环境资料，根据建设单位提供的项目技术资料、环境质量现状监测报告，按照国家产业政策、地方相关规划和环境影响评价相关技术导则要求，在工程污染因素分析、环境现状和影响评价及污染防治措施与环境可行性论证基础上，编制完成了本项目环境影响评价报告表，供建设单位提交环保行政主管部门审查和决策参考。</w:t>
            </w:r>
          </w:p>
          <w:p>
            <w:pPr>
              <w:adjustRightInd w:val="0"/>
              <w:snapToGrid w:val="0"/>
              <w:spacing w:line="480" w:lineRule="exact"/>
              <w:ind w:firstLine="472" w:firstLineChars="196"/>
              <w:rPr>
                <w:rFonts w:hint="default" w:ascii="Times New Roman" w:hAnsi="Times New Roman" w:eastAsia="宋体" w:cs="Times New Roman"/>
                <w:b/>
                <w:color w:val="auto"/>
                <w:sz w:val="24"/>
                <w:szCs w:val="24"/>
                <w:lang w:eastAsia="zh-CN"/>
              </w:rPr>
            </w:pPr>
            <w:r>
              <w:rPr>
                <w:rFonts w:hint="default" w:ascii="Times New Roman" w:hAnsi="Times New Roman" w:cs="Times New Roman"/>
                <w:b/>
                <w:color w:val="auto"/>
                <w:sz w:val="24"/>
                <w:szCs w:val="24"/>
                <w:lang w:eastAsia="zh-CN"/>
              </w:rPr>
              <w:t>四</w:t>
            </w:r>
            <w:r>
              <w:rPr>
                <w:rFonts w:hint="default" w:ascii="Times New Roman" w:hAnsi="Times New Roman" w:cs="Times New Roman"/>
                <w:b/>
                <w:color w:val="auto"/>
                <w:sz w:val="24"/>
                <w:szCs w:val="24"/>
              </w:rPr>
              <w:t>、地理位置</w:t>
            </w:r>
            <w:r>
              <w:rPr>
                <w:rFonts w:hint="default" w:ascii="Times New Roman" w:hAnsi="Times New Roman" w:cs="Times New Roman"/>
                <w:b/>
                <w:color w:val="auto"/>
                <w:sz w:val="24"/>
                <w:szCs w:val="24"/>
                <w:lang w:eastAsia="zh-CN"/>
              </w:rPr>
              <w:t>与四邻关系</w:t>
            </w:r>
          </w:p>
          <w:p>
            <w:pPr>
              <w:spacing w:line="480" w:lineRule="exact"/>
              <w:ind w:firstLine="480" w:firstLineChars="200"/>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该项目位于灞桥区席王街道办唐家寨村甲子666号，中心坐标为：东经109°05'08.44"，北纬34°15'35.49"。</w:t>
            </w:r>
            <w:r>
              <w:rPr>
                <w:rFonts w:hint="default" w:ascii="Times New Roman" w:hAnsi="Times New Roman" w:cs="Times New Roman"/>
                <w:bCs/>
                <w:color w:val="auto"/>
                <w:sz w:val="24"/>
                <w:szCs w:val="24"/>
              </w:rPr>
              <w:t>项目所在地地理位置详见附图1。</w:t>
            </w:r>
            <w:r>
              <w:rPr>
                <w:rFonts w:hint="default" w:ascii="Times New Roman" w:hAnsi="Times New Roman" w:cs="Times New Roman"/>
                <w:color w:val="auto"/>
                <w:sz w:val="24"/>
                <w:szCs w:val="24"/>
              </w:rPr>
              <w:t>项目南侧隔97m为唐家寨水库</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东侧为351乡道，隔乡道为江村沟垃圾渗滤液处理厂，西侧为村道和永安建筑科技有限公司，北侧为乡道，隔乡道为</w:t>
            </w:r>
            <w:r>
              <w:rPr>
                <w:rFonts w:hint="eastAsia" w:ascii="Times New Roman" w:hAnsi="Times New Roman" w:cs="Times New Roman"/>
                <w:color w:val="auto"/>
                <w:sz w:val="24"/>
                <w:szCs w:val="24"/>
                <w:lang w:eastAsia="zh-CN"/>
              </w:rPr>
              <w:t>垃圾渗滤液处理厂</w:t>
            </w:r>
            <w:r>
              <w:rPr>
                <w:rFonts w:hint="default" w:ascii="Times New Roman" w:hAnsi="Times New Roman" w:cs="Times New Roman"/>
                <w:color w:val="auto"/>
                <w:sz w:val="24"/>
                <w:szCs w:val="24"/>
              </w:rPr>
              <w:t>。四邻关系见附图2。</w:t>
            </w:r>
          </w:p>
          <w:p>
            <w:pPr>
              <w:adjustRightInd w:val="0"/>
              <w:snapToGrid w:val="0"/>
              <w:spacing w:line="48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lang w:eastAsia="zh-CN"/>
              </w:rPr>
              <w:t>五</w:t>
            </w:r>
            <w:r>
              <w:rPr>
                <w:rFonts w:hint="default" w:ascii="Times New Roman" w:hAnsi="Times New Roman" w:cs="Times New Roman"/>
                <w:b/>
                <w:color w:val="auto"/>
                <w:sz w:val="24"/>
                <w:szCs w:val="24"/>
              </w:rPr>
              <w:t>、项目概况</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本项目于2016年5月建成并投产运营，项目占地37.5亩，</w:t>
            </w:r>
            <w:r>
              <w:rPr>
                <w:rFonts w:hint="default" w:ascii="Times New Roman" w:hAnsi="Times New Roman" w:cs="Times New Roman"/>
                <w:color w:val="auto"/>
                <w:sz w:val="24"/>
                <w:szCs w:val="24"/>
              </w:rPr>
              <w:t>建设一座年处理50万吨建筑垃圾及年产20万m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免烧砖生产线项目，设置生产线2条，同时建设办公楼及其它配套设施，项目建成后可年产免烧压制砖20万m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（约4000万块）。</w:t>
            </w:r>
          </w:p>
          <w:p>
            <w:pPr>
              <w:spacing w:line="480" w:lineRule="exact"/>
              <w:ind w:firstLine="482" w:firstLineChars="20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表2   项目组成一览表</w:t>
            </w:r>
          </w:p>
          <w:tbl>
            <w:tblPr>
              <w:tblStyle w:val="3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20"/>
              <w:gridCol w:w="5528"/>
              <w:gridCol w:w="9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721" w:type="dxa"/>
                  <w:tcBorders>
                    <w:top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工程分类</w:t>
                  </w:r>
                </w:p>
              </w:tc>
              <w:tc>
                <w:tcPr>
                  <w:tcW w:w="1420" w:type="dxa"/>
                  <w:tcBorders>
                    <w:top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主要设施</w:t>
                  </w:r>
                </w:p>
              </w:tc>
              <w:tc>
                <w:tcPr>
                  <w:tcW w:w="5528" w:type="dxa"/>
                  <w:tcBorders>
                    <w:top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内  容</w:t>
                  </w:r>
                </w:p>
              </w:tc>
              <w:tc>
                <w:tcPr>
                  <w:tcW w:w="951" w:type="dxa"/>
                  <w:tcBorders>
                    <w:top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jc w:val="center"/>
              </w:trPr>
              <w:tc>
                <w:tcPr>
                  <w:tcW w:w="72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联合生产车间</w:t>
                  </w:r>
                </w:p>
              </w:tc>
              <w:tc>
                <w:tcPr>
                  <w:tcW w:w="5528" w:type="dxa"/>
                  <w:noWrap w:val="0"/>
                  <w:vAlign w:val="center"/>
                </w:tcPr>
                <w:p>
                  <w:pPr>
                    <w:jc w:val="center"/>
                    <w:rPr>
                      <w:rFonts w:hint="default" w:ascii="Times New Roman" w:hAnsi="Times New Roman" w:cs="Times New Roman"/>
                      <w:color w:val="auto"/>
                      <w:szCs w:val="21"/>
                      <w:vertAlign w:val="superscript"/>
                    </w:rPr>
                  </w:pPr>
                  <w:r>
                    <w:rPr>
                      <w:rFonts w:hint="default" w:ascii="Times New Roman" w:hAnsi="Times New Roman" w:cs="Times New Roman"/>
                      <w:color w:val="auto"/>
                      <w:szCs w:val="21"/>
                    </w:rPr>
                    <w:t>1间，包括破碎间、压制成型间、骨料堆放处，建筑面积3500m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，彩钢封闭，地面硬化，破碎间1500m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，压制间1500m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，骨料堆放处500m</w:t>
                  </w:r>
                  <w:r>
                    <w:rPr>
                      <w:rFonts w:hint="default" w:ascii="Times New Roman" w:hAnsi="Times New Roman" w:cs="Times New Roman"/>
                      <w:color w:val="auto"/>
                      <w:szCs w:val="21"/>
                      <w:vertAlign w:val="superscript"/>
                    </w:rPr>
                    <w:t>2</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jc w:val="center"/>
              </w:trPr>
              <w:tc>
                <w:tcPr>
                  <w:tcW w:w="72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辅助</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工程</w:t>
                  </w: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建筑垃圾堆放区</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1500m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，用来堆放建筑垃圾，环评要求后期地面硬化，彩钢封闭，建筑垃圾来源于西安市拆迁建筑垃圾</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tcBorders>
                    <w:top w:val="single" w:color="auto" w:sz="6" w:space="0"/>
                  </w:tcBorders>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传送带</w:t>
                  </w:r>
                </w:p>
              </w:tc>
              <w:tc>
                <w:tcPr>
                  <w:tcW w:w="5528"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破碎机之间、破碎处理后的骨料传送到骨料堆放处，约40m</w:t>
                  </w:r>
                </w:p>
              </w:tc>
              <w:tc>
                <w:tcPr>
                  <w:tcW w:w="951"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tcBorders>
                    <w:top w:val="single" w:color="auto" w:sz="6" w:space="0"/>
                  </w:tcBorders>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半成品养护处</w:t>
                  </w:r>
                </w:p>
              </w:tc>
              <w:tc>
                <w:tcPr>
                  <w:tcW w:w="5528"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露天，占地面积2000m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，地面硬化</w:t>
                  </w:r>
                </w:p>
              </w:tc>
              <w:tc>
                <w:tcPr>
                  <w:tcW w:w="951"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tcBorders>
                    <w:top w:val="single" w:color="auto" w:sz="6" w:space="0"/>
                  </w:tcBorders>
                  <w:noWrap w:val="0"/>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成品堆放处</w:t>
                  </w:r>
                </w:p>
              </w:tc>
              <w:tc>
                <w:tcPr>
                  <w:tcW w:w="5528"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露天，占地面积8000m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，地面硬化</w:t>
                  </w:r>
                </w:p>
              </w:tc>
              <w:tc>
                <w:tcPr>
                  <w:tcW w:w="951"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tcBorders>
                    <w:top w:val="single" w:color="auto" w:sz="6"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办公楼</w:t>
                  </w:r>
                </w:p>
              </w:tc>
              <w:tc>
                <w:tcPr>
                  <w:tcW w:w="5528" w:type="dxa"/>
                  <w:tcBorders>
                    <w:top w:val="single" w:color="auto" w:sz="6" w:space="0"/>
                  </w:tcBorders>
                  <w:noWrap w:val="0"/>
                  <w:vAlign w:val="center"/>
                </w:tcPr>
                <w:p>
                  <w:pPr>
                    <w:ind w:left="420" w:hanging="420"/>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2F，砖混结构，建筑面积400</w:t>
                  </w:r>
                  <w:r>
                    <w:rPr>
                      <w:rFonts w:hint="default" w:ascii="Times New Roman" w:hAnsi="Times New Roman" w:cs="Times New Roman"/>
                      <w:color w:val="auto"/>
                      <w:szCs w:val="21"/>
                    </w:rPr>
                    <w:t>m</w:t>
                  </w:r>
                  <w:r>
                    <w:rPr>
                      <w:rFonts w:hint="default" w:ascii="Times New Roman" w:hAnsi="Times New Roman" w:cs="Times New Roman"/>
                      <w:color w:val="auto"/>
                      <w:szCs w:val="21"/>
                      <w:vertAlign w:val="superscript"/>
                    </w:rPr>
                    <w:t>2</w:t>
                  </w:r>
                </w:p>
              </w:tc>
              <w:tc>
                <w:tcPr>
                  <w:tcW w:w="951" w:type="dxa"/>
                  <w:tcBorders>
                    <w:top w:val="single" w:color="auto" w:sz="6" w:space="0"/>
                  </w:tcBorders>
                  <w:noWrap w:val="0"/>
                  <w:vAlign w:val="center"/>
                </w:tcPr>
                <w:p>
                  <w:pPr>
                    <w:ind w:left="420" w:hanging="42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jc w:val="center"/>
              </w:trPr>
              <w:tc>
                <w:tcPr>
                  <w:tcW w:w="72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公用工程</w:t>
                  </w: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供水</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生活用水与生产用水均为唐家寨村接入</w:t>
                  </w:r>
                </w:p>
              </w:tc>
              <w:tc>
                <w:tcPr>
                  <w:tcW w:w="951"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排水</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托盘清洗水和养护水循环利用；生活洗漱水进入化粪池，定期清掏，外运肥田</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供电</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供电电源由灞桥区席王街道办供电所供给</w:t>
                  </w:r>
                </w:p>
              </w:tc>
              <w:tc>
                <w:tcPr>
                  <w:tcW w:w="951" w:type="dxa"/>
                  <w:noWrap w:val="0"/>
                  <w:vAlign w:val="center"/>
                </w:tcPr>
                <w:p>
                  <w:pPr>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制冷采暖</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车间不设置供暖和制冷，办公区供暖和制冷采用单体空调</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jc w:val="center"/>
              </w:trPr>
              <w:tc>
                <w:tcPr>
                  <w:tcW w:w="721" w:type="dxa"/>
                  <w:vMerge w:val="restar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环保工程</w:t>
                  </w: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5528"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5m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化粪池1座，10</w:t>
                  </w:r>
                  <w:r>
                    <w:rPr>
                      <w:rFonts w:hint="default" w:ascii="Times New Roman" w:hAnsi="Times New Roman" w:cs="Times New Roman"/>
                      <w:color w:val="auto"/>
                      <w:spacing w:val="2"/>
                      <w:szCs w:val="21"/>
                    </w:rPr>
                    <w:t>m</w:t>
                  </w:r>
                  <w:r>
                    <w:rPr>
                      <w:rFonts w:hint="default" w:ascii="Times New Roman" w:hAnsi="Times New Roman" w:cs="Times New Roman"/>
                      <w:color w:val="auto"/>
                      <w:spacing w:val="2"/>
                      <w:szCs w:val="21"/>
                      <w:vertAlign w:val="superscript"/>
                    </w:rPr>
                    <w:t>3</w:t>
                  </w:r>
                  <w:r>
                    <w:rPr>
                      <w:rFonts w:hint="default" w:ascii="Times New Roman" w:hAnsi="Times New Roman" w:cs="Times New Roman"/>
                      <w:color w:val="auto"/>
                      <w:szCs w:val="21"/>
                    </w:rPr>
                    <w:t>沉淀池1座</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5m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lang w:eastAsia="zh-CN"/>
                    </w:rPr>
                    <w:t>洗车</w:t>
                  </w:r>
                  <w:r>
                    <w:rPr>
                      <w:rFonts w:hint="default" w:ascii="Times New Roman" w:hAnsi="Times New Roman" w:cs="Times New Roman"/>
                      <w:color w:val="auto"/>
                      <w:szCs w:val="21"/>
                    </w:rPr>
                    <w:t>池1座</w:t>
                  </w:r>
                </w:p>
              </w:tc>
              <w:tc>
                <w:tcPr>
                  <w:tcW w:w="951"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vMerge w:val="restart"/>
                  <w:noWrap w:val="0"/>
                  <w:vAlign w:val="center"/>
                </w:tcPr>
                <w:p>
                  <w:pPr>
                    <w:ind w:firstLine="105" w:firstLineChars="50"/>
                    <w:jc w:val="center"/>
                    <w:rPr>
                      <w:rFonts w:hint="default" w:ascii="Times New Roman" w:hAnsi="Times New Roman" w:cs="Times New Roman"/>
                      <w:color w:val="auto"/>
                      <w:szCs w:val="21"/>
                    </w:rPr>
                  </w:pPr>
                  <w:r>
                    <w:rPr>
                      <w:rFonts w:hint="default" w:ascii="Times New Roman" w:hAnsi="Times New Roman" w:cs="Times New Roman"/>
                      <w:color w:val="auto"/>
                      <w:szCs w:val="21"/>
                    </w:rPr>
                    <w:t>废气处理</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建筑垃圾堆放区设置彩钢棚</w:t>
                  </w:r>
                </w:p>
              </w:tc>
              <w:tc>
                <w:tcPr>
                  <w:tcW w:w="951" w:type="dxa"/>
                  <w:vMerge w:val="restart"/>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vMerge w:val="continue"/>
                  <w:noWrap w:val="0"/>
                  <w:vAlign w:val="center"/>
                </w:tcPr>
                <w:p>
                  <w:pPr>
                    <w:ind w:firstLine="105" w:firstLineChars="50"/>
                    <w:jc w:val="center"/>
                    <w:rPr>
                      <w:rFonts w:hint="default" w:ascii="Times New Roman" w:hAnsi="Times New Roman" w:cs="Times New Roman"/>
                      <w:color w:val="auto"/>
                      <w:szCs w:val="21"/>
                    </w:rPr>
                  </w:pPr>
                </w:p>
              </w:tc>
              <w:tc>
                <w:tcPr>
                  <w:tcW w:w="5528" w:type="dxa"/>
                  <w:noWrap w:val="0"/>
                  <w:vAlign w:val="center"/>
                </w:tcPr>
                <w:p>
                  <w:pPr>
                    <w:jc w:val="center"/>
                    <w:rPr>
                      <w:rFonts w:hint="eastAsia" w:ascii="Times New Roman" w:hAnsi="Times New Roman" w:eastAsia="宋体" w:cs="Times New Roman"/>
                      <w:color w:val="auto"/>
                      <w:szCs w:val="21"/>
                      <w:lang w:eastAsia="zh-CN"/>
                    </w:rPr>
                  </w:pPr>
                  <w:r>
                    <w:rPr>
                      <w:rFonts w:hint="eastAsia"/>
                      <w:color w:val="auto"/>
                      <w:lang w:eastAsia="zh-CN"/>
                    </w:rPr>
                    <w:t>颚</w:t>
                  </w:r>
                  <w:r>
                    <w:rPr>
                      <w:rFonts w:hint="eastAsia" w:ascii="Times New Roman" w:hAnsi="Times New Roman" w:cs="Times New Roman"/>
                      <w:color w:val="auto"/>
                      <w:szCs w:val="21"/>
                      <w:lang w:eastAsia="zh-CN"/>
                    </w:rPr>
                    <w:t>式破碎机单独密封，并采用布袋除尘器处理后通过排气筒排放</w:t>
                  </w:r>
                </w:p>
              </w:tc>
              <w:tc>
                <w:tcPr>
                  <w:tcW w:w="951" w:type="dxa"/>
                  <w:vMerge w:val="continue"/>
                  <w:noWrap w:val="0"/>
                  <w:vAlign w:val="center"/>
                </w:tcPr>
                <w:p>
                  <w:pPr>
                    <w:jc w:val="center"/>
                    <w:rPr>
                      <w:rFonts w:hint="default" w:ascii="Times New Roman" w:hAnsi="Times New Roman" w:cs="Times New Roman"/>
                      <w:color w:val="auto"/>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vMerge w:val="continue"/>
                  <w:noWrap w:val="0"/>
                  <w:vAlign w:val="center"/>
                </w:tcPr>
                <w:p>
                  <w:pPr>
                    <w:ind w:firstLine="105" w:firstLineChars="50"/>
                    <w:jc w:val="center"/>
                    <w:rPr>
                      <w:rFonts w:hint="default" w:ascii="Times New Roman" w:hAnsi="Times New Roman" w:cs="Times New Roman"/>
                      <w:color w:val="auto"/>
                      <w:szCs w:val="21"/>
                    </w:rPr>
                  </w:pP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破碎间密闭，设置喷淋设备及</w:t>
                  </w: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套布袋除尘设施；传输带顶端设置喷淋抑尘器1套</w:t>
                  </w:r>
                </w:p>
              </w:tc>
              <w:tc>
                <w:tcPr>
                  <w:tcW w:w="951"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vMerge w:val="continue"/>
                  <w:noWrap w:val="0"/>
                  <w:vAlign w:val="center"/>
                </w:tcPr>
                <w:p>
                  <w:pPr>
                    <w:ind w:firstLine="105" w:firstLineChars="50"/>
                    <w:jc w:val="center"/>
                    <w:rPr>
                      <w:rFonts w:hint="default" w:ascii="Times New Roman" w:hAnsi="Times New Roman" w:cs="Times New Roman"/>
                      <w:color w:val="auto"/>
                      <w:szCs w:val="21"/>
                    </w:rPr>
                  </w:pP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厂区地面硬化，骨料在储棚储存，车辆进出口设帆布门帘，料斗处、成品堆场、道路喷淋洒水；原料装卸设置喷淋</w:t>
                  </w:r>
                </w:p>
              </w:tc>
              <w:tc>
                <w:tcPr>
                  <w:tcW w:w="951" w:type="dxa"/>
                  <w:vMerge w:val="continue"/>
                  <w:noWrap w:val="0"/>
                  <w:vAlign w:val="center"/>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vMerge w:val="continue"/>
                  <w:noWrap w:val="0"/>
                  <w:vAlign w:val="center"/>
                </w:tcPr>
                <w:p>
                  <w:pPr>
                    <w:ind w:firstLine="105" w:firstLineChars="50"/>
                    <w:jc w:val="center"/>
                    <w:rPr>
                      <w:rFonts w:hint="default" w:ascii="Times New Roman" w:hAnsi="Times New Roman" w:cs="Times New Roman"/>
                      <w:color w:val="auto"/>
                      <w:szCs w:val="21"/>
                    </w:rPr>
                  </w:pP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水泥罐仓设置滤芯式除尘器</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噪声处理</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低噪设备、基础减振，车间封闭隔声</w:t>
                  </w:r>
                </w:p>
              </w:tc>
              <w:tc>
                <w:tcPr>
                  <w:tcW w:w="951"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jc w:val="center"/>
              </w:trPr>
              <w:tc>
                <w:tcPr>
                  <w:tcW w:w="721" w:type="dxa"/>
                  <w:vMerge w:val="continue"/>
                  <w:noWrap w:val="0"/>
                  <w:vAlign w:val="center"/>
                </w:tcPr>
                <w:p>
                  <w:pPr>
                    <w:jc w:val="center"/>
                    <w:rPr>
                      <w:rFonts w:hint="default" w:ascii="Times New Roman" w:hAnsi="Times New Roman" w:cs="Times New Roman"/>
                      <w:color w:val="auto"/>
                      <w:szCs w:val="21"/>
                    </w:rPr>
                  </w:pPr>
                </w:p>
              </w:tc>
              <w:tc>
                <w:tcPr>
                  <w:tcW w:w="1420"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固体废物</w:t>
                  </w:r>
                </w:p>
              </w:tc>
              <w:tc>
                <w:tcPr>
                  <w:tcW w:w="5528" w:type="dxa"/>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收集点2处，用于原料分拣后木质等杂质的存放和分拣后金属物质的存放；</w:t>
                  </w:r>
                  <w:r>
                    <w:rPr>
                      <w:rFonts w:hint="default" w:ascii="Times New Roman" w:hAnsi="Times New Roman" w:cs="Times New Roman"/>
                      <w:color w:val="auto"/>
                      <w:szCs w:val="21"/>
                      <w:lang w:eastAsia="zh-CN"/>
                    </w:rPr>
                    <w:t>洗车池底泥用于道路铺设；</w:t>
                  </w:r>
                  <w:r>
                    <w:rPr>
                      <w:rFonts w:hint="default" w:ascii="Times New Roman" w:hAnsi="Times New Roman" w:cs="Times New Roman"/>
                      <w:color w:val="auto"/>
                      <w:szCs w:val="21"/>
                    </w:rPr>
                    <w:t>生活垃圾收集桶若干；危险废物设置暂存间</w:t>
                  </w:r>
                </w:p>
              </w:tc>
              <w:tc>
                <w:tcPr>
                  <w:tcW w:w="951"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721" w:type="dxa"/>
                  <w:vMerge w:val="continue"/>
                  <w:tcBorders>
                    <w:bottom w:val="single" w:color="auto" w:sz="12" w:space="0"/>
                  </w:tcBorders>
                  <w:noWrap w:val="0"/>
                  <w:vAlign w:val="center"/>
                </w:tcPr>
                <w:p>
                  <w:pPr>
                    <w:jc w:val="center"/>
                    <w:rPr>
                      <w:rFonts w:hint="default" w:ascii="Times New Roman" w:hAnsi="Times New Roman" w:cs="Times New Roman"/>
                      <w:color w:val="auto"/>
                      <w:szCs w:val="21"/>
                    </w:rPr>
                  </w:pPr>
                </w:p>
              </w:tc>
              <w:tc>
                <w:tcPr>
                  <w:tcW w:w="1420" w:type="dxa"/>
                  <w:tcBorders>
                    <w:bottom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绿化</w:t>
                  </w:r>
                </w:p>
              </w:tc>
              <w:tc>
                <w:tcPr>
                  <w:tcW w:w="5528" w:type="dxa"/>
                  <w:tcBorders>
                    <w:bottom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绿化率10%，绿化面积为2500m</w:t>
                  </w:r>
                  <w:r>
                    <w:rPr>
                      <w:rFonts w:hint="default" w:ascii="Times New Roman" w:hAnsi="Times New Roman" w:cs="Times New Roman"/>
                      <w:color w:val="auto"/>
                      <w:szCs w:val="21"/>
                      <w:vertAlign w:val="superscript"/>
                    </w:rPr>
                    <w:t>2</w:t>
                  </w:r>
                </w:p>
              </w:tc>
              <w:tc>
                <w:tcPr>
                  <w:tcW w:w="951" w:type="dxa"/>
                  <w:tcBorders>
                    <w:bottom w:val="single" w:color="auto" w:sz="12"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adjustRightInd w:val="0"/>
              <w:snapToGrid w:val="0"/>
              <w:spacing w:line="48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四、原辅材料及消耗</w:t>
            </w:r>
          </w:p>
          <w:p>
            <w:pPr>
              <w:spacing w:line="480" w:lineRule="exact"/>
              <w:ind w:firstLine="480" w:firstLineChars="200"/>
              <w:jc w:val="left"/>
              <w:rPr>
                <w:rFonts w:hint="default" w:ascii="Times New Roman" w:hAnsi="Times New Roman" w:cs="Times New Roman"/>
                <w:b/>
                <w:color w:val="auto"/>
              </w:rPr>
            </w:pPr>
            <w:r>
              <w:rPr>
                <w:rFonts w:hint="default" w:ascii="Times New Roman" w:hAnsi="Times New Roman" w:cs="Times New Roman"/>
                <w:color w:val="auto"/>
                <w:sz w:val="24"/>
                <w:szCs w:val="24"/>
              </w:rPr>
              <w:t>本项目为年产20万m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（约4000万块）免烧压制砖生产线项目，生产所用原料主要有建筑垃圾、水泥。原辅材料消耗量见表3。</w:t>
            </w:r>
          </w:p>
          <w:p>
            <w:pPr>
              <w:spacing w:line="480" w:lineRule="exact"/>
              <w:ind w:firstLine="482" w:firstLineChars="20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表3   原辅材料一览表</w:t>
            </w:r>
          </w:p>
          <w:tbl>
            <w:tblPr>
              <w:tblStyle w:val="30"/>
              <w:tblW w:w="865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85"/>
              <w:gridCol w:w="843"/>
              <w:gridCol w:w="1148"/>
              <w:gridCol w:w="1438"/>
              <w:gridCol w:w="937"/>
              <w:gridCol w:w="1625"/>
              <w:gridCol w:w="8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87" w:hRule="atLeast"/>
              </w:trPr>
              <w:tc>
                <w:tcPr>
                  <w:tcW w:w="73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序号</w:t>
                  </w:r>
                </w:p>
              </w:tc>
              <w:tc>
                <w:tcPr>
                  <w:tcW w:w="108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名称</w:t>
                  </w:r>
                </w:p>
              </w:tc>
              <w:tc>
                <w:tcPr>
                  <w:tcW w:w="843"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单位</w:t>
                  </w:r>
                </w:p>
              </w:tc>
              <w:tc>
                <w:tcPr>
                  <w:tcW w:w="1148"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年用量</w:t>
                  </w:r>
                </w:p>
              </w:tc>
              <w:tc>
                <w:tcPr>
                  <w:tcW w:w="1438" w:type="dxa"/>
                  <w:noWrap w:val="0"/>
                  <w:vAlign w:val="center"/>
                </w:tcPr>
                <w:p>
                  <w:pPr>
                    <w:jc w:val="center"/>
                    <w:rPr>
                      <w:rFonts w:hint="eastAsia" w:ascii="Times New Roman" w:hAnsi="Times New Roman" w:eastAsia="宋体" w:cs="Times New Roman"/>
                      <w:color w:val="auto"/>
                      <w:spacing w:val="14"/>
                      <w:lang w:eastAsia="zh-CN"/>
                    </w:rPr>
                  </w:pPr>
                  <w:r>
                    <w:rPr>
                      <w:rFonts w:hint="eastAsia" w:ascii="Times New Roman" w:hAnsi="Times New Roman" w:cs="Times New Roman"/>
                      <w:color w:val="auto"/>
                      <w:spacing w:val="14"/>
                      <w:lang w:eastAsia="zh-CN"/>
                    </w:rPr>
                    <w:t>最大存储量</w:t>
                  </w:r>
                </w:p>
              </w:tc>
              <w:tc>
                <w:tcPr>
                  <w:tcW w:w="937"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来源</w:t>
                  </w:r>
                </w:p>
              </w:tc>
              <w:tc>
                <w:tcPr>
                  <w:tcW w:w="162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储存方式</w:t>
                  </w:r>
                </w:p>
              </w:tc>
              <w:tc>
                <w:tcPr>
                  <w:tcW w:w="846"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73" w:hRule="atLeast"/>
              </w:trPr>
              <w:tc>
                <w:tcPr>
                  <w:tcW w:w="73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1</w:t>
                  </w:r>
                </w:p>
              </w:tc>
              <w:tc>
                <w:tcPr>
                  <w:tcW w:w="108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建筑垃圾</w:t>
                  </w:r>
                </w:p>
              </w:tc>
              <w:tc>
                <w:tcPr>
                  <w:tcW w:w="843"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t</w:t>
                  </w:r>
                </w:p>
              </w:tc>
              <w:tc>
                <w:tcPr>
                  <w:tcW w:w="1148"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50万</w:t>
                  </w:r>
                </w:p>
              </w:tc>
              <w:tc>
                <w:tcPr>
                  <w:tcW w:w="1438" w:type="dxa"/>
                  <w:noWrap w:val="0"/>
                  <w:vAlign w:val="center"/>
                </w:tcPr>
                <w:p>
                  <w:pPr>
                    <w:jc w:val="center"/>
                    <w:rPr>
                      <w:rFonts w:hint="eastAsia" w:ascii="Times New Roman" w:hAnsi="Times New Roman" w:eastAsia="宋体" w:cs="Times New Roman"/>
                      <w:color w:val="auto"/>
                      <w:spacing w:val="6"/>
                      <w:lang w:val="en-US" w:eastAsia="zh-CN"/>
                    </w:rPr>
                  </w:pPr>
                  <w:r>
                    <w:rPr>
                      <w:rFonts w:hint="eastAsia" w:ascii="Times New Roman" w:hAnsi="Times New Roman" w:cs="Times New Roman"/>
                      <w:color w:val="auto"/>
                      <w:spacing w:val="6"/>
                      <w:lang w:val="en-US" w:eastAsia="zh-CN"/>
                    </w:rPr>
                    <w:t>5</w:t>
                  </w:r>
                </w:p>
              </w:tc>
              <w:tc>
                <w:tcPr>
                  <w:tcW w:w="937"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西安</w:t>
                  </w:r>
                </w:p>
              </w:tc>
              <w:tc>
                <w:tcPr>
                  <w:tcW w:w="1625" w:type="dxa"/>
                  <w:noWrap w:val="0"/>
                  <w:vAlign w:val="center"/>
                </w:tcPr>
                <w:p>
                  <w:pPr>
                    <w:jc w:val="center"/>
                    <w:rPr>
                      <w:rFonts w:hint="eastAsia" w:ascii="Times New Roman" w:hAnsi="Times New Roman" w:eastAsia="宋体" w:cs="Times New Roman"/>
                      <w:color w:val="auto"/>
                      <w:spacing w:val="6"/>
                      <w:lang w:val="en-US" w:eastAsia="zh-CN"/>
                    </w:rPr>
                  </w:pPr>
                  <w:r>
                    <w:rPr>
                      <w:rFonts w:hint="default" w:ascii="Times New Roman" w:hAnsi="Times New Roman" w:cs="Times New Roman"/>
                      <w:color w:val="auto"/>
                      <w:spacing w:val="6"/>
                    </w:rPr>
                    <w:t>封闭储棚</w:t>
                  </w:r>
                  <w:r>
                    <w:rPr>
                      <w:rFonts w:hint="eastAsia" w:ascii="Times New Roman" w:hAnsi="Times New Roman" w:cs="Times New Roman"/>
                      <w:color w:val="auto"/>
                      <w:spacing w:val="6"/>
                      <w:lang w:eastAsia="zh-CN"/>
                    </w:rPr>
                    <w:t>堆放</w:t>
                  </w:r>
                </w:p>
              </w:tc>
              <w:tc>
                <w:tcPr>
                  <w:tcW w:w="846"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粒径&lt;5mm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40" w:hRule="atLeast"/>
              </w:trPr>
              <w:tc>
                <w:tcPr>
                  <w:tcW w:w="73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2</w:t>
                  </w:r>
                </w:p>
              </w:tc>
              <w:tc>
                <w:tcPr>
                  <w:tcW w:w="108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水泥</w:t>
                  </w:r>
                </w:p>
              </w:tc>
              <w:tc>
                <w:tcPr>
                  <w:tcW w:w="843"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t</w:t>
                  </w:r>
                </w:p>
              </w:tc>
              <w:tc>
                <w:tcPr>
                  <w:tcW w:w="1148"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9600</w:t>
                  </w:r>
                </w:p>
              </w:tc>
              <w:tc>
                <w:tcPr>
                  <w:tcW w:w="1438" w:type="dxa"/>
                  <w:noWrap w:val="0"/>
                  <w:vAlign w:val="center"/>
                </w:tcPr>
                <w:p>
                  <w:pPr>
                    <w:jc w:val="center"/>
                    <w:rPr>
                      <w:rFonts w:hint="default" w:ascii="Times New Roman" w:hAnsi="Times New Roman" w:eastAsia="宋体" w:cs="Times New Roman"/>
                      <w:color w:val="auto"/>
                      <w:spacing w:val="6"/>
                      <w:lang w:val="en-US" w:eastAsia="zh-CN"/>
                    </w:rPr>
                  </w:pPr>
                  <w:r>
                    <w:rPr>
                      <w:rFonts w:hint="eastAsia" w:ascii="Times New Roman" w:hAnsi="Times New Roman" w:cs="Times New Roman"/>
                      <w:color w:val="auto"/>
                      <w:spacing w:val="6"/>
                      <w:lang w:val="en-US" w:eastAsia="zh-CN"/>
                    </w:rPr>
                    <w:t>1000</w:t>
                  </w:r>
                </w:p>
              </w:tc>
              <w:tc>
                <w:tcPr>
                  <w:tcW w:w="937"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外购</w:t>
                  </w:r>
                </w:p>
              </w:tc>
              <w:tc>
                <w:tcPr>
                  <w:tcW w:w="162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筒仓</w:t>
                  </w:r>
                </w:p>
              </w:tc>
              <w:tc>
                <w:tcPr>
                  <w:tcW w:w="846"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40" w:hRule="atLeast"/>
              </w:trPr>
              <w:tc>
                <w:tcPr>
                  <w:tcW w:w="73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3</w:t>
                  </w:r>
                </w:p>
              </w:tc>
              <w:tc>
                <w:tcPr>
                  <w:tcW w:w="108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水</w:t>
                  </w:r>
                </w:p>
              </w:tc>
              <w:tc>
                <w:tcPr>
                  <w:tcW w:w="843"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t</w:t>
                  </w:r>
                </w:p>
              </w:tc>
              <w:tc>
                <w:tcPr>
                  <w:tcW w:w="1148"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5.7万</w:t>
                  </w:r>
                </w:p>
              </w:tc>
              <w:tc>
                <w:tcPr>
                  <w:tcW w:w="1438" w:type="dxa"/>
                  <w:noWrap w:val="0"/>
                  <w:vAlign w:val="center"/>
                </w:tcPr>
                <w:p>
                  <w:pPr>
                    <w:jc w:val="center"/>
                    <w:rPr>
                      <w:rFonts w:hint="eastAsia" w:ascii="Times New Roman" w:hAnsi="Times New Roman" w:eastAsia="宋体" w:cs="Times New Roman"/>
                      <w:color w:val="auto"/>
                      <w:spacing w:val="6"/>
                      <w:lang w:val="en-US" w:eastAsia="zh-CN"/>
                    </w:rPr>
                  </w:pPr>
                  <w:r>
                    <w:rPr>
                      <w:rFonts w:hint="eastAsia" w:ascii="Times New Roman" w:hAnsi="Times New Roman" w:cs="Times New Roman"/>
                      <w:color w:val="auto"/>
                      <w:spacing w:val="6"/>
                      <w:lang w:val="en-US" w:eastAsia="zh-CN"/>
                    </w:rPr>
                    <w:t>/</w:t>
                  </w:r>
                </w:p>
              </w:tc>
              <w:tc>
                <w:tcPr>
                  <w:tcW w:w="937"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唐家寨</w:t>
                  </w:r>
                </w:p>
              </w:tc>
              <w:tc>
                <w:tcPr>
                  <w:tcW w:w="162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w:t>
                  </w:r>
                </w:p>
              </w:tc>
              <w:tc>
                <w:tcPr>
                  <w:tcW w:w="846"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95" w:hRule="atLeast"/>
              </w:trPr>
              <w:tc>
                <w:tcPr>
                  <w:tcW w:w="735" w:type="dxa"/>
                  <w:noWrap w:val="0"/>
                  <w:vAlign w:val="center"/>
                </w:tcPr>
                <w:p>
                  <w:pPr>
                    <w:jc w:val="center"/>
                    <w:rPr>
                      <w:rFonts w:hint="default" w:ascii="Times New Roman" w:hAnsi="Times New Roman" w:cs="Times New Roman"/>
                      <w:color w:val="auto"/>
                      <w:spacing w:val="14"/>
                    </w:rPr>
                  </w:pPr>
                  <w:r>
                    <w:rPr>
                      <w:rFonts w:hint="default" w:ascii="Times New Roman" w:hAnsi="Times New Roman" w:cs="Times New Roman"/>
                      <w:color w:val="auto"/>
                      <w:spacing w:val="14"/>
                    </w:rPr>
                    <w:t>4</w:t>
                  </w:r>
                </w:p>
              </w:tc>
              <w:tc>
                <w:tcPr>
                  <w:tcW w:w="108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电</w:t>
                  </w:r>
                </w:p>
              </w:tc>
              <w:tc>
                <w:tcPr>
                  <w:tcW w:w="843"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万</w:t>
                  </w:r>
                  <w:r>
                    <w:rPr>
                      <w:rFonts w:hint="default" w:ascii="Times New Roman" w:hAnsi="Times New Roman" w:cs="Times New Roman"/>
                      <w:color w:val="auto"/>
                      <w:szCs w:val="21"/>
                    </w:rPr>
                    <w:t>KW·h</w:t>
                  </w:r>
                </w:p>
              </w:tc>
              <w:tc>
                <w:tcPr>
                  <w:tcW w:w="1148"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10</w:t>
                  </w:r>
                </w:p>
              </w:tc>
              <w:tc>
                <w:tcPr>
                  <w:tcW w:w="1438" w:type="dxa"/>
                  <w:noWrap w:val="0"/>
                  <w:vAlign w:val="center"/>
                </w:tcPr>
                <w:p>
                  <w:pPr>
                    <w:jc w:val="center"/>
                    <w:rPr>
                      <w:rFonts w:hint="eastAsia" w:ascii="Times New Roman" w:hAnsi="Times New Roman" w:eastAsia="宋体" w:cs="Times New Roman"/>
                      <w:color w:val="auto"/>
                      <w:spacing w:val="6"/>
                      <w:lang w:val="en-US" w:eastAsia="zh-CN"/>
                    </w:rPr>
                  </w:pPr>
                  <w:r>
                    <w:rPr>
                      <w:rFonts w:hint="eastAsia" w:ascii="Times New Roman" w:hAnsi="Times New Roman" w:cs="Times New Roman"/>
                      <w:color w:val="auto"/>
                      <w:spacing w:val="6"/>
                      <w:lang w:val="en-US" w:eastAsia="zh-CN"/>
                    </w:rPr>
                    <w:t>/</w:t>
                  </w:r>
                </w:p>
              </w:tc>
              <w:tc>
                <w:tcPr>
                  <w:tcW w:w="937"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市政电网</w:t>
                  </w:r>
                </w:p>
              </w:tc>
              <w:tc>
                <w:tcPr>
                  <w:tcW w:w="1625"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w:t>
                  </w:r>
                </w:p>
              </w:tc>
              <w:tc>
                <w:tcPr>
                  <w:tcW w:w="846" w:type="dxa"/>
                  <w:noWrap w:val="0"/>
                  <w:vAlign w:val="center"/>
                </w:tcPr>
                <w:p>
                  <w:pPr>
                    <w:jc w:val="center"/>
                    <w:rPr>
                      <w:rFonts w:hint="default" w:ascii="Times New Roman" w:hAnsi="Times New Roman" w:cs="Times New Roman"/>
                      <w:color w:val="auto"/>
                      <w:spacing w:val="6"/>
                    </w:rPr>
                  </w:pPr>
                  <w:r>
                    <w:rPr>
                      <w:rFonts w:hint="default" w:ascii="Times New Roman" w:hAnsi="Times New Roman" w:cs="Times New Roman"/>
                      <w:color w:val="auto"/>
                      <w:spacing w:val="6"/>
                    </w:rPr>
                    <w:t>/</w:t>
                  </w:r>
                </w:p>
              </w:tc>
            </w:tr>
          </w:tbl>
          <w:p>
            <w:pPr>
              <w:adjustRightInd w:val="0"/>
              <w:snapToGrid w:val="0"/>
              <w:spacing w:line="48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五、产品方案</w:t>
            </w:r>
          </w:p>
          <w:p>
            <w:pPr>
              <w:spacing w:line="480" w:lineRule="exact"/>
              <w:ind w:firstLine="480" w:firstLineChars="200"/>
              <w:rPr>
                <w:rFonts w:hint="default" w:ascii="Times New Roman" w:hAnsi="Times New Roman" w:eastAsia="黑体" w:cs="Times New Roman"/>
                <w:b/>
                <w:color w:val="auto"/>
                <w:sz w:val="28"/>
                <w:szCs w:val="28"/>
              </w:rPr>
            </w:pPr>
            <w:r>
              <w:rPr>
                <w:rFonts w:hint="default" w:ascii="Times New Roman" w:hAnsi="Times New Roman" w:cs="Times New Roman"/>
                <w:color w:val="auto"/>
                <w:sz w:val="24"/>
                <w:szCs w:val="24"/>
              </w:rPr>
              <w:t>本项目产品方案见表4。</w:t>
            </w:r>
          </w:p>
          <w:p>
            <w:pPr>
              <w:spacing w:line="480" w:lineRule="exact"/>
              <w:jc w:val="center"/>
              <w:rPr>
                <w:rFonts w:hint="default" w:ascii="Times New Roman" w:hAnsi="Times New Roman" w:eastAsia="黑体" w:cs="Times New Roman"/>
                <w:b/>
                <w:color w:val="auto"/>
                <w:sz w:val="24"/>
                <w:szCs w:val="24"/>
              </w:rPr>
            </w:pPr>
            <w:r>
              <w:rPr>
                <w:rFonts w:hint="default" w:ascii="Times New Roman" w:hAnsi="Times New Roman" w:cs="Times New Roman"/>
                <w:b/>
                <w:color w:val="auto"/>
                <w:sz w:val="24"/>
                <w:szCs w:val="24"/>
              </w:rPr>
              <w:t>表4   项目产品规格</w:t>
            </w:r>
          </w:p>
          <w:tbl>
            <w:tblPr>
              <w:tblStyle w:val="30"/>
              <w:tblW w:w="867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70"/>
              <w:gridCol w:w="2000"/>
              <w:gridCol w:w="1321"/>
              <w:gridCol w:w="1029"/>
              <w:gridCol w:w="1388"/>
              <w:gridCol w:w="156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303" w:hRule="exact"/>
                <w:jc w:val="center"/>
              </w:trPr>
              <w:tc>
                <w:tcPr>
                  <w:tcW w:w="137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品种</w:t>
                  </w:r>
                </w:p>
              </w:tc>
              <w:tc>
                <w:tcPr>
                  <w:tcW w:w="200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规格</w:t>
                  </w:r>
                </w:p>
              </w:tc>
              <w:tc>
                <w:tcPr>
                  <w:tcW w:w="1321" w:type="dxa"/>
                  <w:noWrap w:val="0"/>
                  <w:vAlign w:val="center"/>
                </w:tcPr>
                <w:p>
                  <w:pPr>
                    <w:jc w:val="center"/>
                    <w:rPr>
                      <w:rFonts w:hint="eastAsia" w:ascii="Times New Roman" w:hAnsi="Times New Roman" w:eastAsia="宋体" w:cs="Times New Roman"/>
                      <w:color w:val="auto"/>
                      <w:spacing w:val="20"/>
                      <w:szCs w:val="21"/>
                      <w:lang w:eastAsia="zh-CN"/>
                    </w:rPr>
                  </w:pPr>
                  <w:r>
                    <w:rPr>
                      <w:rFonts w:hint="eastAsia" w:ascii="Times New Roman" w:hAnsi="Times New Roman" w:cs="Times New Roman"/>
                      <w:color w:val="auto"/>
                      <w:spacing w:val="20"/>
                      <w:szCs w:val="21"/>
                      <w:lang w:eastAsia="zh-CN"/>
                    </w:rPr>
                    <w:t>年产量</w:t>
                  </w:r>
                </w:p>
              </w:tc>
              <w:tc>
                <w:tcPr>
                  <w:tcW w:w="1029"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折标砖</w:t>
                  </w:r>
                </w:p>
              </w:tc>
              <w:tc>
                <w:tcPr>
                  <w:tcW w:w="1388"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标砖规模</w:t>
                  </w:r>
                </w:p>
              </w:tc>
              <w:tc>
                <w:tcPr>
                  <w:tcW w:w="1569" w:type="dxa"/>
                  <w:noWrap w:val="0"/>
                  <w:vAlign w:val="center"/>
                </w:tcPr>
                <w:p>
                  <w:pPr>
                    <w:jc w:val="center"/>
                    <w:rPr>
                      <w:rFonts w:hint="eastAsia" w:ascii="Times New Roman" w:hAnsi="Times New Roman" w:eastAsia="宋体" w:cs="Times New Roman"/>
                      <w:color w:val="auto"/>
                      <w:spacing w:val="20"/>
                      <w:szCs w:val="21"/>
                      <w:lang w:eastAsia="zh-CN"/>
                    </w:rPr>
                  </w:pPr>
                  <w:r>
                    <w:rPr>
                      <w:rFonts w:hint="eastAsia" w:ascii="Times New Roman" w:hAnsi="Times New Roman" w:cs="Times New Roman"/>
                      <w:color w:val="auto"/>
                      <w:spacing w:val="20"/>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260" w:hRule="exact"/>
                <w:jc w:val="center"/>
              </w:trPr>
              <w:tc>
                <w:tcPr>
                  <w:tcW w:w="137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实心砖</w:t>
                  </w:r>
                </w:p>
              </w:tc>
              <w:tc>
                <w:tcPr>
                  <w:tcW w:w="200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240×115×53mm</w:t>
                  </w:r>
                </w:p>
              </w:tc>
              <w:tc>
                <w:tcPr>
                  <w:tcW w:w="1321"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2550万块</w:t>
                  </w:r>
                </w:p>
              </w:tc>
              <w:tc>
                <w:tcPr>
                  <w:tcW w:w="1029"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1</w:t>
                  </w:r>
                </w:p>
              </w:tc>
              <w:tc>
                <w:tcPr>
                  <w:tcW w:w="1388"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2550万块</w:t>
                  </w:r>
                </w:p>
              </w:tc>
              <w:tc>
                <w:tcPr>
                  <w:tcW w:w="1569" w:type="dxa"/>
                  <w:noWrap w:val="0"/>
                  <w:vAlign w:val="center"/>
                </w:tcPr>
                <w:p>
                  <w:pPr>
                    <w:jc w:val="center"/>
                    <w:rPr>
                      <w:rFonts w:hint="default" w:ascii="Times New Roman" w:hAnsi="Times New Roman" w:cs="Times New Roman"/>
                      <w:color w:val="auto"/>
                      <w:spacing w:val="2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260" w:hRule="exact"/>
                <w:jc w:val="center"/>
              </w:trPr>
              <w:tc>
                <w:tcPr>
                  <w:tcW w:w="1370" w:type="dxa"/>
                  <w:vMerge w:val="restart"/>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空心砖</w:t>
                  </w:r>
                </w:p>
              </w:tc>
              <w:tc>
                <w:tcPr>
                  <w:tcW w:w="200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390×190×190mm</w:t>
                  </w:r>
                </w:p>
              </w:tc>
              <w:tc>
                <w:tcPr>
                  <w:tcW w:w="1321"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940万块</w:t>
                  </w:r>
                </w:p>
              </w:tc>
              <w:tc>
                <w:tcPr>
                  <w:tcW w:w="1029"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1.9</w:t>
                  </w:r>
                </w:p>
              </w:tc>
              <w:tc>
                <w:tcPr>
                  <w:tcW w:w="1388"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1786万块</w:t>
                  </w:r>
                </w:p>
              </w:tc>
              <w:tc>
                <w:tcPr>
                  <w:tcW w:w="1569" w:type="dxa"/>
                  <w:noWrap w:val="0"/>
                  <w:vAlign w:val="center"/>
                </w:tcPr>
                <w:p>
                  <w:pPr>
                    <w:jc w:val="center"/>
                    <w:rPr>
                      <w:rFonts w:hint="default" w:ascii="Times New Roman" w:hAnsi="Times New Roman" w:cs="Times New Roman"/>
                      <w:color w:val="auto"/>
                      <w:spacing w:val="2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261" w:hRule="exact"/>
                <w:jc w:val="center"/>
              </w:trPr>
              <w:tc>
                <w:tcPr>
                  <w:tcW w:w="1370" w:type="dxa"/>
                  <w:vMerge w:val="continue"/>
                  <w:noWrap w:val="0"/>
                  <w:vAlign w:val="center"/>
                </w:tcPr>
                <w:p>
                  <w:pPr>
                    <w:jc w:val="center"/>
                    <w:rPr>
                      <w:rFonts w:hint="default" w:ascii="Times New Roman" w:hAnsi="Times New Roman" w:cs="Times New Roman"/>
                      <w:color w:val="auto"/>
                      <w:spacing w:val="20"/>
                      <w:szCs w:val="21"/>
                    </w:rPr>
                  </w:pPr>
                </w:p>
              </w:tc>
              <w:tc>
                <w:tcPr>
                  <w:tcW w:w="2000"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390×190×120mm</w:t>
                  </w:r>
                </w:p>
              </w:tc>
              <w:tc>
                <w:tcPr>
                  <w:tcW w:w="1321"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510万块</w:t>
                  </w:r>
                </w:p>
              </w:tc>
              <w:tc>
                <w:tcPr>
                  <w:tcW w:w="1029"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1.7</w:t>
                  </w:r>
                </w:p>
              </w:tc>
              <w:tc>
                <w:tcPr>
                  <w:tcW w:w="1388" w:type="dxa"/>
                  <w:noWrap w:val="0"/>
                  <w:vAlign w:val="center"/>
                </w:tcPr>
                <w:p>
                  <w:pPr>
                    <w:jc w:val="center"/>
                    <w:rPr>
                      <w:rFonts w:hint="default" w:ascii="Times New Roman" w:hAnsi="Times New Roman" w:cs="Times New Roman"/>
                      <w:color w:val="auto"/>
                      <w:spacing w:val="20"/>
                      <w:szCs w:val="21"/>
                    </w:rPr>
                  </w:pPr>
                  <w:r>
                    <w:rPr>
                      <w:rFonts w:hint="default" w:ascii="Times New Roman" w:hAnsi="Times New Roman" w:cs="Times New Roman"/>
                      <w:color w:val="auto"/>
                      <w:spacing w:val="20"/>
                      <w:szCs w:val="21"/>
                    </w:rPr>
                    <w:t>867万块</w:t>
                  </w:r>
                </w:p>
              </w:tc>
              <w:tc>
                <w:tcPr>
                  <w:tcW w:w="1569" w:type="dxa"/>
                  <w:noWrap w:val="0"/>
                  <w:vAlign w:val="center"/>
                </w:tcPr>
                <w:p>
                  <w:pPr>
                    <w:jc w:val="center"/>
                    <w:rPr>
                      <w:rFonts w:hint="default" w:ascii="Times New Roman" w:hAnsi="Times New Roman" w:cs="Times New Roman"/>
                      <w:color w:val="auto"/>
                      <w:spacing w:val="2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334" w:hRule="exact"/>
                <w:jc w:val="center"/>
              </w:trPr>
              <w:tc>
                <w:tcPr>
                  <w:tcW w:w="1370" w:type="dxa"/>
                  <w:noWrap w:val="0"/>
                  <w:vAlign w:val="center"/>
                </w:tcPr>
                <w:p>
                  <w:pPr>
                    <w:jc w:val="center"/>
                    <w:rPr>
                      <w:rFonts w:hint="eastAsia" w:ascii="Times New Roman" w:hAnsi="Times New Roman" w:eastAsia="宋体" w:cs="Times New Roman"/>
                      <w:color w:val="auto"/>
                      <w:spacing w:val="20"/>
                      <w:szCs w:val="21"/>
                      <w:lang w:eastAsia="zh-CN"/>
                    </w:rPr>
                  </w:pPr>
                  <w:r>
                    <w:rPr>
                      <w:rFonts w:hint="eastAsia" w:ascii="Times New Roman" w:hAnsi="Times New Roman" w:cs="Times New Roman"/>
                      <w:color w:val="auto"/>
                      <w:spacing w:val="20"/>
                      <w:szCs w:val="21"/>
                      <w:lang w:eastAsia="zh-CN"/>
                    </w:rPr>
                    <w:t>骨料</w:t>
                  </w:r>
                </w:p>
              </w:tc>
              <w:tc>
                <w:tcPr>
                  <w:tcW w:w="2000" w:type="dxa"/>
                  <w:noWrap w:val="0"/>
                  <w:vAlign w:val="center"/>
                </w:tcPr>
                <w:p>
                  <w:pPr>
                    <w:jc w:val="center"/>
                    <w:rPr>
                      <w:rFonts w:hint="eastAsia" w:ascii="Times New Roman" w:hAnsi="Times New Roman" w:eastAsia="宋体" w:cs="Times New Roman"/>
                      <w:color w:val="auto"/>
                      <w:spacing w:val="20"/>
                      <w:szCs w:val="21"/>
                      <w:lang w:val="en-US" w:eastAsia="zh-CN"/>
                    </w:rPr>
                  </w:pPr>
                  <w:r>
                    <w:rPr>
                      <w:rFonts w:hint="eastAsia" w:ascii="Times New Roman" w:hAnsi="Times New Roman" w:cs="Times New Roman"/>
                      <w:color w:val="auto"/>
                      <w:spacing w:val="20"/>
                      <w:szCs w:val="21"/>
                      <w:lang w:val="en-US" w:eastAsia="zh-CN"/>
                    </w:rPr>
                    <w:t>/</w:t>
                  </w:r>
                </w:p>
              </w:tc>
              <w:tc>
                <w:tcPr>
                  <w:tcW w:w="1321" w:type="dxa"/>
                  <w:noWrap w:val="0"/>
                  <w:vAlign w:val="center"/>
                </w:tcPr>
                <w:p>
                  <w:pPr>
                    <w:jc w:val="center"/>
                    <w:rPr>
                      <w:rFonts w:hint="default" w:ascii="Times New Roman" w:hAnsi="Times New Roman" w:eastAsia="宋体" w:cs="Times New Roman"/>
                      <w:color w:val="auto"/>
                      <w:spacing w:val="20"/>
                      <w:szCs w:val="21"/>
                      <w:lang w:val="en-US" w:eastAsia="zh-CN"/>
                    </w:rPr>
                  </w:pPr>
                  <w:r>
                    <w:rPr>
                      <w:rFonts w:hint="eastAsia" w:ascii="Times New Roman" w:hAnsi="Times New Roman" w:cs="Times New Roman"/>
                      <w:color w:val="auto"/>
                      <w:spacing w:val="20"/>
                      <w:szCs w:val="21"/>
                      <w:lang w:val="en-US" w:eastAsia="zh-CN"/>
                    </w:rPr>
                    <w:t>13.94万</w:t>
                  </w:r>
                  <w:r>
                    <w:rPr>
                      <w:rFonts w:hint="default" w:ascii="Times New Roman" w:hAnsi="Times New Roman" w:cs="Times New Roman"/>
                      <w:color w:val="auto"/>
                      <w:szCs w:val="21"/>
                    </w:rPr>
                    <w:t>t</w:t>
                  </w:r>
                </w:p>
              </w:tc>
              <w:tc>
                <w:tcPr>
                  <w:tcW w:w="1029" w:type="dxa"/>
                  <w:noWrap w:val="0"/>
                  <w:vAlign w:val="center"/>
                </w:tcPr>
                <w:p>
                  <w:pPr>
                    <w:jc w:val="center"/>
                    <w:rPr>
                      <w:rFonts w:hint="eastAsia" w:ascii="Times New Roman" w:hAnsi="Times New Roman" w:eastAsia="宋体" w:cs="Times New Roman"/>
                      <w:color w:val="auto"/>
                      <w:spacing w:val="20"/>
                      <w:szCs w:val="21"/>
                      <w:lang w:val="en-US" w:eastAsia="zh-CN"/>
                    </w:rPr>
                  </w:pPr>
                  <w:r>
                    <w:rPr>
                      <w:rFonts w:hint="eastAsia" w:ascii="Times New Roman" w:hAnsi="Times New Roman" w:cs="Times New Roman"/>
                      <w:color w:val="auto"/>
                      <w:spacing w:val="20"/>
                      <w:szCs w:val="21"/>
                      <w:lang w:val="en-US" w:eastAsia="zh-CN"/>
                    </w:rPr>
                    <w:t>/</w:t>
                  </w:r>
                </w:p>
              </w:tc>
              <w:tc>
                <w:tcPr>
                  <w:tcW w:w="1388" w:type="dxa"/>
                  <w:noWrap w:val="0"/>
                  <w:vAlign w:val="center"/>
                </w:tcPr>
                <w:p>
                  <w:pPr>
                    <w:jc w:val="center"/>
                    <w:rPr>
                      <w:rFonts w:hint="eastAsia" w:ascii="Times New Roman" w:hAnsi="Times New Roman" w:eastAsia="宋体" w:cs="Times New Roman"/>
                      <w:color w:val="auto"/>
                      <w:spacing w:val="20"/>
                      <w:szCs w:val="21"/>
                      <w:lang w:val="en-US" w:eastAsia="zh-CN"/>
                    </w:rPr>
                  </w:pPr>
                  <w:r>
                    <w:rPr>
                      <w:rFonts w:hint="eastAsia" w:ascii="Times New Roman" w:hAnsi="Times New Roman" w:cs="Times New Roman"/>
                      <w:color w:val="auto"/>
                      <w:spacing w:val="20"/>
                      <w:szCs w:val="21"/>
                      <w:lang w:val="en-US" w:eastAsia="zh-CN"/>
                    </w:rPr>
                    <w:t>/</w:t>
                  </w:r>
                </w:p>
              </w:tc>
              <w:tc>
                <w:tcPr>
                  <w:tcW w:w="1569" w:type="dxa"/>
                  <w:noWrap w:val="0"/>
                  <w:vAlign w:val="center"/>
                </w:tcPr>
                <w:p>
                  <w:pPr>
                    <w:jc w:val="center"/>
                    <w:rPr>
                      <w:rFonts w:hint="eastAsia" w:ascii="Times New Roman" w:hAnsi="Times New Roman" w:cs="Times New Roman"/>
                      <w:color w:val="auto"/>
                      <w:spacing w:val="20"/>
                      <w:szCs w:val="21"/>
                      <w:lang w:val="en-US" w:eastAsia="zh-CN"/>
                    </w:rPr>
                  </w:pPr>
                  <w:r>
                    <w:rPr>
                      <w:rFonts w:hint="eastAsia" w:ascii="Times New Roman" w:hAnsi="Times New Roman" w:cs="Times New Roman"/>
                      <w:color w:val="auto"/>
                      <w:spacing w:val="20"/>
                      <w:szCs w:val="21"/>
                      <w:lang w:val="en-US" w:eastAsia="zh-CN"/>
                    </w:rPr>
                    <w:t>外售</w:t>
                  </w:r>
                </w:p>
              </w:tc>
            </w:tr>
          </w:tbl>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根据项目产品方案，</w:t>
            </w:r>
            <w:r>
              <w:rPr>
                <w:rFonts w:hint="default" w:ascii="Times New Roman" w:hAnsi="Times New Roman" w:cs="Times New Roman"/>
                <w:color w:val="auto"/>
                <w:sz w:val="24"/>
                <w:lang w:val="en-GB"/>
              </w:rPr>
              <w:t>项目年产免烧砖4000万块，折标砖5203万块</w:t>
            </w:r>
            <w:r>
              <w:rPr>
                <w:rFonts w:hint="eastAsia" w:ascii="Times New Roman" w:hAnsi="Times New Roman" w:cs="Times New Roman"/>
                <w:color w:val="auto"/>
                <w:sz w:val="24"/>
                <w:lang w:val="en-GB" w:eastAsia="zh-CN"/>
              </w:rPr>
              <w:t>，年产骨料</w:t>
            </w:r>
            <w:r>
              <w:rPr>
                <w:rFonts w:hint="eastAsia" w:ascii="Times New Roman" w:hAnsi="Times New Roman" w:cs="Times New Roman"/>
                <w:color w:val="auto"/>
                <w:sz w:val="24"/>
                <w:lang w:val="en-US" w:eastAsia="zh-CN"/>
              </w:rPr>
              <w:t>13.94万吨</w:t>
            </w:r>
            <w:r>
              <w:rPr>
                <w:rFonts w:hint="default" w:ascii="Times New Roman" w:hAnsi="Times New Roman" w:cs="Times New Roman"/>
                <w:color w:val="auto"/>
                <w:sz w:val="24"/>
                <w:lang w:val="en-GB"/>
              </w:rPr>
              <w:t>。</w:t>
            </w:r>
            <w:r>
              <w:rPr>
                <w:rFonts w:hint="default" w:ascii="Times New Roman" w:hAnsi="Times New Roman" w:cs="Times New Roman"/>
                <w:color w:val="auto"/>
                <w:sz w:val="24"/>
                <w:szCs w:val="24"/>
              </w:rPr>
              <w:t>项目运营期可根据市场需求变化，适时调整产品结构比例，生产不同规格尺寸、不同孔洞形状的产品。根据客户需要，剩余建筑垃圾生产骨料外售</w:t>
            </w:r>
            <w:r>
              <w:rPr>
                <w:rFonts w:hint="eastAsia" w:ascii="Times New Roman" w:hAnsi="Times New Roman" w:cs="Times New Roman"/>
                <w:color w:val="auto"/>
                <w:sz w:val="24"/>
                <w:szCs w:val="24"/>
                <w:lang w:eastAsia="zh-CN"/>
              </w:rPr>
              <w:t>给陕西隆盛德建设有限公司，作为道路建设等材料，协议见附件</w:t>
            </w:r>
            <w:r>
              <w:rPr>
                <w:rFonts w:hint="default" w:ascii="Times New Roman" w:hAnsi="Times New Roman" w:cs="Times New Roman"/>
                <w:color w:val="auto"/>
                <w:sz w:val="24"/>
                <w:szCs w:val="24"/>
              </w:rPr>
              <w:t>。</w:t>
            </w:r>
          </w:p>
          <w:p>
            <w:pPr>
              <w:adjustRightInd w:val="0"/>
              <w:snapToGrid w:val="0"/>
              <w:spacing w:line="48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六、主要生产设备</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本项目主要生产设备见表5。</w:t>
            </w:r>
          </w:p>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表5   项目主要生产设备表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271"/>
              <w:gridCol w:w="1873"/>
              <w:gridCol w:w="1276"/>
              <w:gridCol w:w="12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exac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序号</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设备名称</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规格型号</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单位</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exac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自动多功能土砌块成型机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QT10-18</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exac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锤式破碎机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PS-808</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exac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3</w:t>
                  </w:r>
                </w:p>
              </w:tc>
              <w:tc>
                <w:tcPr>
                  <w:tcW w:w="3271" w:type="dxa"/>
                  <w:noWrap w:val="0"/>
                  <w:vAlign w:val="center"/>
                </w:tcPr>
                <w:p>
                  <w:pPr>
                    <w:jc w:val="center"/>
                    <w:rPr>
                      <w:rFonts w:hint="default" w:ascii="Times New Roman" w:hAnsi="Times New Roman" w:cs="Times New Roman"/>
                      <w:color w:val="auto"/>
                      <w:spacing w:val="6"/>
                      <w:szCs w:val="21"/>
                    </w:rPr>
                  </w:pPr>
                  <w:r>
                    <w:rPr>
                      <w:rFonts w:hint="eastAsia" w:ascii="Times New Roman" w:hAnsi="Times New Roman" w:cs="Times New Roman"/>
                      <w:color w:val="auto"/>
                      <w:spacing w:val="6"/>
                      <w:szCs w:val="21"/>
                      <w:lang w:eastAsia="zh-CN"/>
                    </w:rPr>
                    <w:t>颚</w:t>
                  </w:r>
                  <w:r>
                    <w:rPr>
                      <w:rFonts w:hint="default" w:ascii="Times New Roman" w:hAnsi="Times New Roman" w:cs="Times New Roman"/>
                      <w:color w:val="auto"/>
                      <w:spacing w:val="6"/>
                      <w:szCs w:val="21"/>
                    </w:rPr>
                    <w:t>式破碎机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C6X</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exac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4</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强势搅拌机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JDC-3500</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5</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水泥罐</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80m</w:t>
                  </w:r>
                  <w:r>
                    <w:rPr>
                      <w:rFonts w:hint="default" w:ascii="Times New Roman" w:hAnsi="Times New Roman" w:cs="Times New Roman"/>
                      <w:color w:val="auto"/>
                      <w:spacing w:val="6"/>
                      <w:szCs w:val="21"/>
                      <w:vertAlign w:val="superscript"/>
                    </w:rPr>
                    <w:t>3</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个</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9" w:hRule="atLeas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6</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皮带输送机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9" w:hRule="atLeas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7</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混凝土配料机</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LPD1200</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tblHeader/>
                <w:jc w:val="center"/>
              </w:trPr>
              <w:tc>
                <w:tcPr>
                  <w:tcW w:w="96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8</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装载车</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L940</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eastAsia="宋体" w:cs="Times New Roman"/>
                      <w:color w:val="auto"/>
                      <w:spacing w:val="6"/>
                      <w:szCs w:val="21"/>
                      <w:lang w:eastAsia="zh-CN"/>
                    </w:rPr>
                  </w:pPr>
                  <w:r>
                    <w:rPr>
                      <w:rFonts w:hint="default" w:ascii="Times New Roman" w:hAnsi="Times New Roman" w:cs="Times New Roman"/>
                      <w:color w:val="auto"/>
                      <w:spacing w:val="6"/>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tblHeader/>
                <w:jc w:val="center"/>
              </w:trPr>
              <w:tc>
                <w:tcPr>
                  <w:tcW w:w="966" w:type="dxa"/>
                  <w:noWrap w:val="0"/>
                  <w:vAlign w:val="center"/>
                </w:tcPr>
                <w:p>
                  <w:pPr>
                    <w:jc w:val="center"/>
                    <w:rPr>
                      <w:rFonts w:hint="default" w:ascii="Times New Roman" w:hAnsi="Times New Roman" w:eastAsia="宋体" w:cs="Times New Roman"/>
                      <w:color w:val="auto"/>
                      <w:spacing w:val="6"/>
                      <w:szCs w:val="21"/>
                      <w:lang w:val="en-US" w:eastAsia="zh-CN"/>
                    </w:rPr>
                  </w:pPr>
                  <w:r>
                    <w:rPr>
                      <w:rFonts w:hint="default" w:ascii="Times New Roman" w:hAnsi="Times New Roman" w:cs="Times New Roman"/>
                      <w:color w:val="auto"/>
                      <w:spacing w:val="6"/>
                      <w:szCs w:val="21"/>
                      <w:lang w:val="en-US" w:eastAsia="zh-CN"/>
                    </w:rPr>
                    <w:t>9</w:t>
                  </w:r>
                </w:p>
              </w:tc>
              <w:tc>
                <w:tcPr>
                  <w:tcW w:w="3271" w:type="dxa"/>
                  <w:noWrap w:val="0"/>
                  <w:vAlign w:val="center"/>
                </w:tcPr>
                <w:p>
                  <w:pPr>
                    <w:jc w:val="center"/>
                    <w:rPr>
                      <w:rFonts w:hint="default" w:ascii="Times New Roman" w:hAnsi="Times New Roman" w:eastAsia="宋体" w:cs="Times New Roman"/>
                      <w:color w:val="auto"/>
                      <w:spacing w:val="6"/>
                      <w:szCs w:val="21"/>
                      <w:lang w:eastAsia="zh-CN"/>
                    </w:rPr>
                  </w:pPr>
                  <w:r>
                    <w:rPr>
                      <w:rFonts w:hint="default" w:ascii="Times New Roman" w:hAnsi="Times New Roman" w:cs="Times New Roman"/>
                      <w:color w:val="auto"/>
                      <w:spacing w:val="6"/>
                      <w:szCs w:val="21"/>
                      <w:lang w:eastAsia="zh-CN"/>
                    </w:rPr>
                    <w:t>叉车</w:t>
                  </w:r>
                </w:p>
              </w:tc>
              <w:tc>
                <w:tcPr>
                  <w:tcW w:w="1873" w:type="dxa"/>
                  <w:noWrap w:val="0"/>
                  <w:vAlign w:val="center"/>
                </w:tcPr>
                <w:p>
                  <w:pPr>
                    <w:jc w:val="center"/>
                    <w:rPr>
                      <w:rFonts w:hint="default" w:ascii="Times New Roman" w:hAnsi="Times New Roman" w:eastAsia="宋体" w:cs="Times New Roman"/>
                      <w:color w:val="auto"/>
                      <w:spacing w:val="6"/>
                      <w:szCs w:val="21"/>
                      <w:lang w:val="en-US" w:eastAsia="zh-CN"/>
                    </w:rPr>
                  </w:pPr>
                  <w:r>
                    <w:rPr>
                      <w:rFonts w:hint="default" w:ascii="Times New Roman" w:hAnsi="Times New Roman" w:cs="Times New Roman"/>
                      <w:color w:val="auto"/>
                      <w:spacing w:val="6"/>
                      <w:szCs w:val="21"/>
                      <w:lang w:val="en-US" w:eastAsia="zh-CN"/>
                    </w:rPr>
                    <w:t>3t</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台</w:t>
                  </w:r>
                </w:p>
              </w:tc>
              <w:tc>
                <w:tcPr>
                  <w:tcW w:w="1234" w:type="dxa"/>
                  <w:noWrap w:val="0"/>
                  <w:vAlign w:val="center"/>
                </w:tcPr>
                <w:p>
                  <w:pPr>
                    <w:jc w:val="center"/>
                    <w:rPr>
                      <w:rFonts w:hint="default" w:ascii="Times New Roman" w:hAnsi="Times New Roman" w:eastAsia="宋体" w:cs="Times New Roman"/>
                      <w:color w:val="auto"/>
                      <w:spacing w:val="6"/>
                      <w:szCs w:val="21"/>
                      <w:lang w:val="en-US" w:eastAsia="zh-CN"/>
                    </w:rPr>
                  </w:pPr>
                  <w:r>
                    <w:rPr>
                      <w:rFonts w:hint="default" w:ascii="Times New Roman" w:hAnsi="Times New Roman" w:cs="Times New Roman"/>
                      <w:color w:val="auto"/>
                      <w:spacing w:val="6"/>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5" w:hRule="exact"/>
                <w:tblHeader/>
                <w:jc w:val="center"/>
              </w:trPr>
              <w:tc>
                <w:tcPr>
                  <w:tcW w:w="966" w:type="dxa"/>
                  <w:noWrap w:val="0"/>
                  <w:vAlign w:val="center"/>
                </w:tcPr>
                <w:p>
                  <w:pPr>
                    <w:jc w:val="center"/>
                    <w:rPr>
                      <w:rFonts w:hint="default" w:ascii="Times New Roman" w:hAnsi="Times New Roman" w:eastAsia="宋体" w:cs="Times New Roman"/>
                      <w:color w:val="auto"/>
                      <w:spacing w:val="6"/>
                      <w:szCs w:val="21"/>
                      <w:lang w:val="en-US" w:eastAsia="zh-CN"/>
                    </w:rPr>
                  </w:pPr>
                  <w:r>
                    <w:rPr>
                      <w:rFonts w:hint="default" w:ascii="Times New Roman" w:hAnsi="Times New Roman" w:cs="Times New Roman"/>
                      <w:color w:val="auto"/>
                      <w:spacing w:val="6"/>
                      <w:szCs w:val="21"/>
                      <w:lang w:val="en-US" w:eastAsia="zh-CN"/>
                    </w:rPr>
                    <w:t>10</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储水罐</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5m</w:t>
                  </w:r>
                  <w:r>
                    <w:rPr>
                      <w:rFonts w:hint="default" w:ascii="Times New Roman" w:hAnsi="Times New Roman" w:cs="Times New Roman"/>
                      <w:color w:val="auto"/>
                      <w:spacing w:val="6"/>
                      <w:szCs w:val="21"/>
                      <w:vertAlign w:val="superscript"/>
                    </w:rPr>
                    <w:t>3</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个</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5" w:hRule="exact"/>
                <w:tblHeader/>
                <w:jc w:val="center"/>
              </w:trPr>
              <w:tc>
                <w:tcPr>
                  <w:tcW w:w="966" w:type="dxa"/>
                  <w:noWrap w:val="0"/>
                  <w:vAlign w:val="center"/>
                </w:tcPr>
                <w:p>
                  <w:pPr>
                    <w:jc w:val="center"/>
                    <w:rPr>
                      <w:rFonts w:hint="default" w:ascii="Times New Roman" w:hAnsi="Times New Roman" w:eastAsia="宋体" w:cs="Times New Roman"/>
                      <w:color w:val="auto"/>
                      <w:spacing w:val="6"/>
                      <w:szCs w:val="21"/>
                      <w:lang w:eastAsia="zh-CN"/>
                    </w:rPr>
                  </w:pPr>
                  <w:r>
                    <w:rPr>
                      <w:rFonts w:hint="default" w:ascii="Times New Roman" w:hAnsi="Times New Roman" w:cs="Times New Roman"/>
                      <w:color w:val="auto"/>
                      <w:spacing w:val="6"/>
                      <w:szCs w:val="21"/>
                    </w:rPr>
                    <w:t>1</w:t>
                  </w:r>
                  <w:r>
                    <w:rPr>
                      <w:rFonts w:hint="default" w:ascii="Times New Roman" w:hAnsi="Times New Roman" w:cs="Times New Roman"/>
                      <w:color w:val="auto"/>
                      <w:spacing w:val="6"/>
                      <w:szCs w:val="21"/>
                      <w:lang w:val="en-US" w:eastAsia="zh-CN"/>
                    </w:rPr>
                    <w:t>1</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模框</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w:t>
                  </w: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个</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配套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5" w:hRule="exact"/>
                <w:tblHeader/>
                <w:jc w:val="center"/>
              </w:trPr>
              <w:tc>
                <w:tcPr>
                  <w:tcW w:w="966" w:type="dxa"/>
                  <w:noWrap w:val="0"/>
                  <w:vAlign w:val="center"/>
                </w:tcPr>
                <w:p>
                  <w:pPr>
                    <w:jc w:val="center"/>
                    <w:rPr>
                      <w:rFonts w:hint="default" w:ascii="Times New Roman" w:hAnsi="Times New Roman" w:eastAsia="宋体" w:cs="Times New Roman"/>
                      <w:color w:val="auto"/>
                      <w:spacing w:val="6"/>
                      <w:szCs w:val="21"/>
                      <w:lang w:eastAsia="zh-CN"/>
                    </w:rPr>
                  </w:pPr>
                  <w:r>
                    <w:rPr>
                      <w:rFonts w:hint="default" w:ascii="Times New Roman" w:hAnsi="Times New Roman" w:cs="Times New Roman"/>
                      <w:color w:val="auto"/>
                      <w:spacing w:val="6"/>
                      <w:szCs w:val="21"/>
                    </w:rPr>
                    <w:t>1</w:t>
                  </w:r>
                  <w:r>
                    <w:rPr>
                      <w:rFonts w:hint="default" w:ascii="Times New Roman" w:hAnsi="Times New Roman" w:cs="Times New Roman"/>
                      <w:color w:val="auto"/>
                      <w:spacing w:val="6"/>
                      <w:szCs w:val="21"/>
                      <w:lang w:val="en-US" w:eastAsia="zh-CN"/>
                    </w:rPr>
                    <w:t>2</w:t>
                  </w:r>
                </w:p>
              </w:tc>
              <w:tc>
                <w:tcPr>
                  <w:tcW w:w="3271"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托盘</w:t>
                  </w:r>
                </w:p>
              </w:tc>
              <w:tc>
                <w:tcPr>
                  <w:tcW w:w="1873"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w:t>
                  </w:r>
                </w:p>
                <w:p>
                  <w:pPr>
                    <w:jc w:val="center"/>
                    <w:rPr>
                      <w:rFonts w:hint="default" w:ascii="Times New Roman" w:hAnsi="Times New Roman" w:cs="Times New Roman"/>
                      <w:color w:val="auto"/>
                      <w:spacing w:val="6"/>
                      <w:szCs w:val="21"/>
                    </w:rPr>
                  </w:pPr>
                </w:p>
              </w:tc>
              <w:tc>
                <w:tcPr>
                  <w:tcW w:w="1276"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个</w:t>
                  </w:r>
                </w:p>
              </w:tc>
              <w:tc>
                <w:tcPr>
                  <w:tcW w:w="1234" w:type="dxa"/>
                  <w:noWrap w:val="0"/>
                  <w:vAlign w:val="center"/>
                </w:tcPr>
                <w:p>
                  <w:pPr>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配套</w:t>
                  </w:r>
                </w:p>
              </w:tc>
            </w:tr>
          </w:tbl>
          <w:p>
            <w:pPr>
              <w:adjustRightInd w:val="0"/>
              <w:snapToGrid w:val="0"/>
              <w:spacing w:line="480" w:lineRule="exact"/>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七、公用工程</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1、给水</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本项目生产用水、生活用水均为席王街道办唐家寨村接入，给水管网已铺设到位。</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2、排水</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雨污分流，厂区设置雨水收集池，可用于厂区道路洒水，进出车辆清洗及绿化。</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托盘清洗水和养护废水设沉淀池循环利用；</w:t>
            </w:r>
            <w:r>
              <w:rPr>
                <w:rFonts w:hint="default" w:ascii="Times New Roman" w:hAnsi="Times New Roman" w:cs="Times New Roman"/>
                <w:color w:val="auto"/>
                <w:sz w:val="24"/>
              </w:rPr>
              <w:t>生活洗漱废水进入化粪池</w:t>
            </w:r>
            <w:r>
              <w:rPr>
                <w:rFonts w:hint="default" w:ascii="Times New Roman" w:hAnsi="Times New Roman" w:cs="Times New Roman"/>
                <w:color w:val="auto"/>
                <w:sz w:val="24"/>
                <w:szCs w:val="24"/>
              </w:rPr>
              <w:t>，定期清掏，外运肥田。</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3、供电</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供电电源由席王街道办供电所供给。</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4、采暖制冷</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本项目办公区采暖制冷采用分体空调，车间不提供供暖和制冷。</w:t>
            </w:r>
          </w:p>
          <w:p>
            <w:pPr>
              <w:adjustRightInd w:val="0"/>
              <w:snapToGrid w:val="0"/>
              <w:spacing w:line="480" w:lineRule="exact"/>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八、平面布置与交通</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本项目平面布置充分考虑生产工艺要求及物料运输</w:t>
            </w:r>
            <w:r>
              <w:rPr>
                <w:rFonts w:hint="default" w:ascii="Times New Roman" w:hAnsi="Times New Roman" w:cs="Times New Roman"/>
                <w:color w:val="auto"/>
                <w:kern w:val="10"/>
                <w:sz w:val="24"/>
                <w:szCs w:val="24"/>
              </w:rPr>
              <w:t>短捷</w:t>
            </w:r>
            <w:r>
              <w:rPr>
                <w:rFonts w:hint="default" w:ascii="Times New Roman" w:hAnsi="Times New Roman" w:cs="Times New Roman"/>
                <w:color w:val="auto"/>
                <w:sz w:val="24"/>
                <w:szCs w:val="24"/>
              </w:rPr>
              <w:t>等因素，主要建筑物基本为东西走向。</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生产区位于厂区南侧，自西向东主要布置有建筑垃圾堆放区、破碎车间、骨料堆放区、生产车间（原料上料、搅拌、压制成型）、成品堆场区；办公区位于厂区的北侧。厂区大门位于西北侧。厂区总平面布置示意图见附图3。</w:t>
            </w:r>
          </w:p>
          <w:p>
            <w:pPr>
              <w:adjustRightInd w:val="0"/>
              <w:snapToGrid w:val="0"/>
              <w:spacing w:line="480" w:lineRule="exact"/>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九、劳动定员与工作制度</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劳动定员：本项目劳动定员35人，项目区不提供食宿。</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工作制度：年工作天数为300天，每天工作8小时。</w:t>
            </w:r>
          </w:p>
          <w:p>
            <w:pPr>
              <w:adjustRightInd w:val="0"/>
              <w:snapToGrid w:val="0"/>
              <w:spacing w:line="480" w:lineRule="exact"/>
              <w:ind w:firstLine="482" w:firstLineChars="2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十、施工进度安排</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rPr>
              <w:t>本项目为补办环评，项目施工期为12个月，于</w:t>
            </w:r>
            <w:r>
              <w:rPr>
                <w:rFonts w:hint="default" w:ascii="Times New Roman" w:hAnsi="Times New Roman" w:cs="Times New Roman"/>
                <w:color w:val="auto"/>
                <w:sz w:val="24"/>
                <w:szCs w:val="24"/>
              </w:rPr>
              <w:t>2015年5月开始施工，2016年5月底建成投产使用，目前处于运营状态。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600" w:hRule="atLeast"/>
          <w:jc w:val="center"/>
        </w:trPr>
        <w:tc>
          <w:tcPr>
            <w:tcW w:w="8836" w:type="dxa"/>
            <w:gridSpan w:val="10"/>
            <w:tcBorders>
              <w:top w:val="single" w:color="auto" w:sz="4" w:space="0"/>
            </w:tcBorders>
            <w:noWrap w:val="0"/>
            <w:vAlign w:val="top"/>
          </w:tcPr>
          <w:p>
            <w:pPr>
              <w:spacing w:line="480" w:lineRule="exact"/>
              <w:rPr>
                <w:rFonts w:hint="default" w:ascii="Times New Roman" w:hAnsi="Times New Roman" w:eastAsia="黑体" w:cs="Times New Roman"/>
                <w:b/>
                <w:bCs/>
                <w:color w:val="auto"/>
                <w:sz w:val="30"/>
                <w:szCs w:val="30"/>
              </w:rPr>
            </w:pPr>
            <w:r>
              <w:rPr>
                <w:rFonts w:hint="default" w:ascii="Times New Roman" w:hAnsi="Times New Roman" w:eastAsia="黑体" w:cs="Times New Roman"/>
                <w:b/>
                <w:bCs/>
                <w:color w:val="auto"/>
                <w:sz w:val="30"/>
                <w:szCs w:val="30"/>
              </w:rPr>
              <w:t>与本项目有关的原有污染情况及主要环境问题</w:t>
            </w:r>
          </w:p>
          <w:p>
            <w:pPr>
              <w:tabs>
                <w:tab w:val="left" w:pos="1677"/>
              </w:tabs>
              <w:spacing w:line="480" w:lineRule="atLeas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根据现场踏勘未发现施工期遗留环境问题。目前项目已运营，与项目有关的原有污染问题为厂区生产过程中产生的污染问题。 </w:t>
            </w:r>
          </w:p>
          <w:p>
            <w:pPr>
              <w:tabs>
                <w:tab w:val="left" w:pos="1677"/>
              </w:tabs>
              <w:spacing w:line="480" w:lineRule="atLeas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一、项目存在的环境问题</w:t>
            </w:r>
          </w:p>
          <w:p>
            <w:pPr>
              <w:tabs>
                <w:tab w:val="left" w:pos="1677"/>
              </w:tabs>
              <w:spacing w:line="480" w:lineRule="atLeast"/>
              <w:ind w:firstLine="480" w:firstLineChars="200"/>
              <w:rPr>
                <w:rFonts w:hint="default" w:ascii="Times New Roman" w:hAnsi="Times New Roman" w:cs="Times New Roman"/>
                <w:bCs/>
                <w:color w:val="auto"/>
                <w:sz w:val="24"/>
              </w:rPr>
            </w:pPr>
            <w:r>
              <w:rPr>
                <w:rFonts w:hint="default" w:ascii="Times New Roman" w:hAnsi="Times New Roman" w:cs="Times New Roman"/>
                <w:color w:val="auto"/>
                <w:sz w:val="24"/>
              </w:rPr>
              <w:t>1、项目区建筑垃圾露天堆放，后期进行地面硬化并入棚</w:t>
            </w:r>
            <w:r>
              <w:rPr>
                <w:rFonts w:hint="default" w:ascii="Times New Roman" w:hAnsi="Times New Roman" w:cs="Times New Roman"/>
                <w:bCs/>
                <w:color w:val="auto"/>
                <w:sz w:val="24"/>
              </w:rPr>
              <w:t>；</w:t>
            </w:r>
          </w:p>
          <w:p>
            <w:pPr>
              <w:tabs>
                <w:tab w:val="left" w:pos="1677"/>
              </w:tabs>
              <w:spacing w:line="480" w:lineRule="atLeast"/>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cs="Times New Roman"/>
                <w:bCs/>
                <w:color w:val="auto"/>
                <w:sz w:val="24"/>
              </w:rPr>
              <w:t>2、</w:t>
            </w:r>
            <w:r>
              <w:rPr>
                <w:rFonts w:hint="default" w:ascii="Times New Roman" w:hAnsi="Times New Roman" w:cs="Times New Roman"/>
                <w:bCs/>
                <w:color w:val="auto"/>
                <w:sz w:val="24"/>
                <w:lang w:eastAsia="zh-CN"/>
              </w:rPr>
              <w:t>生产车间已设置喷淋设施，但破碎车间未设置粉尘收集处理措施。</w:t>
            </w:r>
          </w:p>
          <w:p>
            <w:pPr>
              <w:tabs>
                <w:tab w:val="left" w:pos="1677"/>
              </w:tabs>
              <w:spacing w:line="480" w:lineRule="atLeast"/>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rPr>
              <w:t>3、</w:t>
            </w:r>
            <w:r>
              <w:rPr>
                <w:rFonts w:hint="default" w:ascii="Times New Roman" w:hAnsi="Times New Roman" w:cs="Times New Roman"/>
                <w:bCs/>
                <w:color w:val="auto"/>
                <w:sz w:val="24"/>
                <w:lang w:eastAsia="zh-CN"/>
              </w:rPr>
              <w:t>车间部分地面未硬化</w:t>
            </w:r>
            <w:r>
              <w:rPr>
                <w:rFonts w:hint="default" w:ascii="Times New Roman" w:hAnsi="Times New Roman" w:cs="Times New Roman"/>
                <w:bCs/>
                <w:color w:val="auto"/>
                <w:sz w:val="24"/>
              </w:rPr>
              <w:t>；</w:t>
            </w:r>
          </w:p>
          <w:p>
            <w:pPr>
              <w:tabs>
                <w:tab w:val="left" w:pos="1677"/>
              </w:tabs>
              <w:spacing w:line="480" w:lineRule="atLeast"/>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lang w:val="en-US" w:eastAsia="zh-CN"/>
              </w:rPr>
              <w:t>4</w:t>
            </w:r>
            <w:r>
              <w:rPr>
                <w:rFonts w:hint="default" w:ascii="Times New Roman" w:hAnsi="Times New Roman" w:cs="Times New Roman"/>
                <w:bCs/>
                <w:color w:val="auto"/>
                <w:sz w:val="24"/>
              </w:rPr>
              <w:t>、传输带顶端未做洒水抑尘装置；</w:t>
            </w:r>
          </w:p>
          <w:p>
            <w:pPr>
              <w:spacing w:line="480" w:lineRule="atLeast"/>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cs="Times New Roman"/>
                <w:bCs/>
                <w:color w:val="auto"/>
                <w:sz w:val="24"/>
                <w:lang w:val="en-US" w:eastAsia="zh-CN"/>
              </w:rPr>
              <w:t>5</w:t>
            </w:r>
            <w:r>
              <w:rPr>
                <w:rFonts w:hint="default" w:ascii="Times New Roman" w:hAnsi="Times New Roman" w:cs="Times New Roman"/>
                <w:bCs/>
                <w:color w:val="auto"/>
                <w:sz w:val="24"/>
              </w:rPr>
              <w:t>、</w:t>
            </w:r>
            <w:r>
              <w:rPr>
                <w:rFonts w:hint="default" w:ascii="Times New Roman" w:hAnsi="Times New Roman" w:cs="Times New Roman"/>
                <w:bCs/>
                <w:color w:val="auto"/>
                <w:sz w:val="24"/>
                <w:lang w:eastAsia="zh-CN"/>
              </w:rPr>
              <w:t>危废存储、处置及危废暂存间设置不满足相关要求，未与有资质的单位签订危废处置合同。</w:t>
            </w:r>
          </w:p>
          <w:p>
            <w:pPr>
              <w:tabs>
                <w:tab w:val="left" w:pos="3150"/>
                <w:tab w:val="left" w:pos="4305"/>
              </w:tabs>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二、项目整改措施</w:t>
            </w:r>
          </w:p>
          <w:p>
            <w:pPr>
              <w:tabs>
                <w:tab w:val="left" w:pos="3150"/>
                <w:tab w:val="left" w:pos="4305"/>
              </w:tabs>
              <w:adjustRightInd w:val="0"/>
              <w:snapToGrid w:val="0"/>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1、本项目环境管理及环境监测应严格按制定的环境管理与监测计划执行。</w:t>
            </w:r>
          </w:p>
          <w:p>
            <w:pPr>
              <w:spacing w:line="480" w:lineRule="atLeas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w:t>
            </w:r>
            <w:r>
              <w:rPr>
                <w:rFonts w:hint="default" w:ascii="Times New Roman" w:hAnsi="Times New Roman" w:cs="Times New Roman"/>
                <w:bCs/>
                <w:color w:val="auto"/>
                <w:sz w:val="24"/>
                <w:lang w:eastAsia="zh-CN"/>
              </w:rPr>
              <w:t>破碎车间破碎机上方设置集气罩收集破碎粉尘，经布袋除尘器处理后通过</w:t>
            </w:r>
            <w:r>
              <w:rPr>
                <w:rFonts w:hint="default" w:ascii="Times New Roman" w:hAnsi="Times New Roman" w:cs="Times New Roman"/>
                <w:bCs/>
                <w:color w:val="auto"/>
                <w:sz w:val="24"/>
                <w:lang w:val="en-US" w:eastAsia="zh-CN"/>
              </w:rPr>
              <w:t>15m高排气筒排放。</w:t>
            </w:r>
          </w:p>
          <w:p>
            <w:pPr>
              <w:spacing w:line="480" w:lineRule="atLeas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3、</w:t>
            </w:r>
            <w:r>
              <w:rPr>
                <w:rFonts w:hint="default" w:ascii="Times New Roman" w:hAnsi="Times New Roman" w:cs="Times New Roman"/>
                <w:bCs/>
                <w:color w:val="auto"/>
                <w:sz w:val="24"/>
                <w:lang w:eastAsia="zh-CN"/>
              </w:rPr>
              <w:t>车间部分地面做硬化处理。</w:t>
            </w:r>
          </w:p>
          <w:p>
            <w:pPr>
              <w:spacing w:line="480" w:lineRule="atLeas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4、</w:t>
            </w:r>
            <w:r>
              <w:rPr>
                <w:rFonts w:hint="default" w:ascii="Times New Roman" w:hAnsi="Times New Roman" w:cs="Times New Roman"/>
                <w:bCs/>
                <w:color w:val="auto"/>
                <w:sz w:val="24"/>
              </w:rPr>
              <w:t>传输带顶端</w:t>
            </w:r>
            <w:r>
              <w:rPr>
                <w:rFonts w:hint="default" w:ascii="Times New Roman" w:hAnsi="Times New Roman" w:cs="Times New Roman"/>
                <w:bCs/>
                <w:color w:val="auto"/>
                <w:sz w:val="24"/>
                <w:lang w:eastAsia="zh-CN"/>
              </w:rPr>
              <w:t>设置喷淋设施。</w:t>
            </w:r>
          </w:p>
          <w:p>
            <w:pPr>
              <w:spacing w:line="480" w:lineRule="atLeast"/>
              <w:ind w:firstLine="480" w:firstLineChars="200"/>
              <w:rPr>
                <w:rFonts w:hint="default" w:ascii="Times New Roman" w:hAnsi="Times New Roman" w:eastAsia="宋体" w:cs="Times New Roman"/>
                <w:bCs/>
                <w:color w:val="auto"/>
                <w:sz w:val="24"/>
                <w:lang w:eastAsia="zh-CN"/>
              </w:rPr>
            </w:pPr>
            <w:r>
              <w:rPr>
                <w:rFonts w:hint="default" w:ascii="Times New Roman" w:hAnsi="Times New Roman" w:eastAsia="宋体" w:cs="Times New Roman"/>
                <w:color w:val="auto"/>
                <w:sz w:val="24"/>
                <w:lang w:val="en-US" w:eastAsia="zh-CN"/>
              </w:rPr>
              <w:t>5、危险废物贮存严格按照《危险废物贮存污染控制标准》（GB18597-2001）及其修改单中相关规定执行；</w:t>
            </w:r>
            <w:r>
              <w:rPr>
                <w:rFonts w:hint="default" w:ascii="Times New Roman" w:hAnsi="Times New Roman" w:cs="Times New Roman"/>
                <w:color w:val="auto"/>
                <w:sz w:val="24"/>
                <w:szCs w:val="24"/>
              </w:rPr>
              <w:t>使用符合标准的容器盛装危险废物，其材质强度应满足贮存要求危废暂存间要设置围堰，做到防渗、防风、防雨、防晒；设置环境保护图形标志</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危废暂存间双人双锁</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危险废物定期移交有资质单位处置</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建立档案制度，详细记录入场的固体废物的种类和数量等信息</w:t>
            </w:r>
            <w:r>
              <w:rPr>
                <w:rFonts w:hint="default" w:ascii="Times New Roman" w:hAnsi="Times New Roman" w:cs="Times New Roman"/>
                <w:color w:val="auto"/>
                <w:sz w:val="24"/>
                <w:szCs w:val="24"/>
                <w:lang w:eastAsia="zh-CN"/>
              </w:rPr>
              <w:t>。</w:t>
            </w:r>
          </w:p>
          <w:p>
            <w:pPr>
              <w:spacing w:line="480" w:lineRule="atLeast"/>
              <w:rPr>
                <w:rFonts w:hint="default" w:ascii="Times New Roman" w:hAnsi="Times New Roman" w:cs="Times New Roman"/>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Before w:w="0" w:type="dxa"/>
          <w:wAfter w:w="0" w:type="dxa"/>
          <w:trHeight w:val="13437" w:hRule="atLeast"/>
          <w:jc w:val="center"/>
        </w:trPr>
        <w:tc>
          <w:tcPr>
            <w:tcW w:w="8781" w:type="dxa"/>
            <w:gridSpan w:val="9"/>
            <w:noWrap w:val="0"/>
            <w:vAlign w:val="top"/>
          </w:tcPr>
          <w:p>
            <w:pPr>
              <w:pStyle w:val="2"/>
              <w:adjustRightInd w:val="0"/>
              <w:spacing w:before="0" w:after="0" w:line="240" w:lineRule="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t>建设项目所在地自然环境环境简况</w:t>
            </w:r>
            <w:r>
              <w:rPr>
                <w:rFonts w:hint="default" w:ascii="Times New Roman" w:hAnsi="Times New Roman" w:eastAsia="黑体" w:cs="Times New Roman"/>
                <w:b/>
                <w:bCs/>
                <w:color w:val="auto"/>
                <w:sz w:val="32"/>
                <w:szCs w:val="32"/>
                <w:lang w:val="en-US" w:eastAsia="zh-CN"/>
              </w:rPr>
              <w:t xml:space="preserve"> </w:t>
            </w:r>
          </w:p>
          <w:p>
            <w:pPr>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w:t>自然环境简况（地形、地貌、地质、气候、气象、水文、植被、生物多样性等）：</w:t>
            </w:r>
          </w:p>
          <w:p>
            <w:pPr>
              <w:autoSpaceDE w:val="0"/>
              <w:autoSpaceDN w:val="0"/>
              <w:spacing w:line="480" w:lineRule="exact"/>
              <w:ind w:left="525" w:right="286" w:rightChars="136"/>
              <w:rPr>
                <w:rFonts w:hint="default" w:ascii="Times New Roman" w:hAnsi="Times New Roman" w:cs="Times New Roman"/>
                <w:b/>
                <w:color w:val="auto"/>
                <w:kern w:val="0"/>
                <w:sz w:val="24"/>
                <w:szCs w:val="24"/>
              </w:rPr>
            </w:pPr>
            <w:r>
              <w:rPr>
                <w:rFonts w:hint="default" w:ascii="Times New Roman" w:hAnsi="Times New Roman" w:cs="Times New Roman"/>
                <w:b/>
                <w:color w:val="auto"/>
                <w:kern w:val="0"/>
                <w:sz w:val="24"/>
                <w:szCs w:val="24"/>
              </w:rPr>
              <w:t>1、地理位置</w:t>
            </w:r>
          </w:p>
          <w:p>
            <w:pPr>
              <w:spacing w:line="480" w:lineRule="atLeast"/>
              <w:ind w:firstLine="504" w:firstLineChars="200"/>
              <w:rPr>
                <w:rFonts w:hint="default" w:ascii="Times New Roman" w:hAnsi="Times New Roman" w:cs="Times New Roman"/>
                <w:color w:val="auto"/>
                <w:spacing w:val="6"/>
                <w:kern w:val="0"/>
                <w:sz w:val="24"/>
              </w:rPr>
            </w:pPr>
            <w:r>
              <w:rPr>
                <w:rFonts w:hint="default" w:ascii="Times New Roman" w:hAnsi="Times New Roman" w:cs="Times New Roman"/>
                <w:color w:val="auto"/>
                <w:spacing w:val="6"/>
                <w:kern w:val="0"/>
                <w:sz w:val="24"/>
              </w:rPr>
              <w:t>灞桥区系西安市城六区之一，位于西安市东部。地理坐标为东经108°59′～109°16′，北纬34°10′～34°27′。东与临潼区、蓝田县接壤，西与雁塔区、新城区、未央区相连，南与长安区为邻，北以渭河与高陵区相望。距新行政中心5公里，全区总面积332平方公里，辖9个街道办事处，33个社区，226个行政村。</w:t>
            </w:r>
          </w:p>
          <w:p>
            <w:pPr>
              <w:spacing w:line="480" w:lineRule="atLeast"/>
              <w:ind w:firstLine="504" w:firstLineChars="200"/>
              <w:rPr>
                <w:rFonts w:hint="default" w:ascii="Times New Roman" w:hAnsi="Times New Roman" w:cs="Times New Roman"/>
                <w:color w:val="auto"/>
                <w:spacing w:val="6"/>
                <w:kern w:val="0"/>
                <w:sz w:val="24"/>
              </w:rPr>
            </w:pPr>
            <w:r>
              <w:rPr>
                <w:rFonts w:hint="default" w:ascii="Times New Roman" w:hAnsi="Times New Roman" w:cs="Times New Roman"/>
                <w:color w:val="auto"/>
                <w:spacing w:val="6"/>
                <w:kern w:val="0"/>
                <w:sz w:val="24"/>
              </w:rPr>
              <w:t>本项目位于灞桥区席王街道办唐家寨村甲子666号，</w:t>
            </w:r>
            <w:r>
              <w:rPr>
                <w:rFonts w:hint="default" w:ascii="Times New Roman" w:hAnsi="Times New Roman" w:cs="Times New Roman"/>
                <w:color w:val="auto"/>
                <w:sz w:val="24"/>
                <w:szCs w:val="24"/>
              </w:rPr>
              <w:t>项目东侧、北侧临乡道，东侧隔路为江村沟垃圾渗滤液处理厂，南侧为唐家寨水库，西侧为永安建筑科技有限公司</w:t>
            </w:r>
            <w:r>
              <w:rPr>
                <w:rFonts w:hint="default" w:ascii="Times New Roman" w:hAnsi="Times New Roman" w:cs="Times New Roman"/>
                <w:color w:val="auto"/>
                <w:spacing w:val="6"/>
                <w:kern w:val="0"/>
                <w:sz w:val="24"/>
              </w:rPr>
              <w:t>。</w:t>
            </w:r>
          </w:p>
          <w:p>
            <w:pPr>
              <w:autoSpaceDE w:val="0"/>
              <w:autoSpaceDN w:val="0"/>
              <w:spacing w:line="480" w:lineRule="exact"/>
              <w:ind w:right="286" w:rightChars="136" w:firstLine="482" w:firstLineChars="200"/>
              <w:rPr>
                <w:rFonts w:hint="default" w:ascii="Times New Roman" w:hAnsi="Times New Roman" w:cs="Times New Roman"/>
                <w:b/>
                <w:color w:val="auto"/>
                <w:kern w:val="0"/>
                <w:sz w:val="24"/>
                <w:szCs w:val="24"/>
              </w:rPr>
            </w:pPr>
            <w:r>
              <w:rPr>
                <w:rFonts w:hint="default" w:ascii="Times New Roman" w:hAnsi="Times New Roman" w:cs="Times New Roman"/>
                <w:b/>
                <w:color w:val="auto"/>
                <w:kern w:val="0"/>
                <w:sz w:val="24"/>
                <w:szCs w:val="24"/>
              </w:rPr>
              <w:t>2、地形地貌</w:t>
            </w:r>
          </w:p>
          <w:p>
            <w:pPr>
              <w:spacing w:line="480" w:lineRule="atLeas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灞桥区除东部崇阳沟一带属前寒武纪变质岩层构成的骊山隆起区的西延部分外，绝大部分地区均属于新生界松散岩层构成的周至—西安凹陷区的东部边缘地带。区内有东西、北东、北西三组基底断裂和新生代活动断裂相互交叉，在区南部形成地热富集区，并造成历史上频繁发生的各类地质灾害。</w:t>
            </w:r>
          </w:p>
          <w:p>
            <w:pPr>
              <w:spacing w:line="480" w:lineRule="atLeas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灞桥区内诸河流具有四级阶地，渭河、灞河、浐河的一、二级阶地较发育，浐河、灞河右岸有发育的三、四级阶地；二级以上阶地二元结构明显，阶面均被黄土覆盖。河漫滩和一级阶地为上迭式阶地，二、三、四级阶地为内迭或嵌入型。</w:t>
            </w:r>
          </w:p>
          <w:p>
            <w:pPr>
              <w:spacing w:line="480" w:lineRule="atLeas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根据现场勘查，本项目场地平坦。</w:t>
            </w:r>
          </w:p>
          <w:p>
            <w:pPr>
              <w:autoSpaceDE w:val="0"/>
              <w:autoSpaceDN w:val="0"/>
              <w:spacing w:line="480" w:lineRule="exact"/>
              <w:ind w:right="286" w:rightChars="136" w:firstLine="482" w:firstLineChars="200"/>
              <w:rPr>
                <w:rFonts w:hint="default" w:ascii="Times New Roman" w:hAnsi="Times New Roman" w:cs="Times New Roman"/>
                <w:b/>
                <w:color w:val="auto"/>
                <w:kern w:val="0"/>
                <w:sz w:val="24"/>
                <w:szCs w:val="24"/>
              </w:rPr>
            </w:pPr>
            <w:r>
              <w:rPr>
                <w:rFonts w:hint="default" w:ascii="Times New Roman" w:hAnsi="Times New Roman" w:cs="Times New Roman"/>
                <w:b/>
                <w:color w:val="auto"/>
                <w:kern w:val="0"/>
                <w:sz w:val="24"/>
                <w:szCs w:val="24"/>
              </w:rPr>
              <w:t>3、气候气象</w:t>
            </w:r>
          </w:p>
          <w:p>
            <w:pPr>
              <w:autoSpaceDE w:val="0"/>
              <w:autoSpaceDN w:val="0"/>
              <w:spacing w:line="480" w:lineRule="exact"/>
              <w:ind w:right="286" w:rightChars="136"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灞桥区属暖温带半湿润大陆性季风气候，冬寒干燥少雨雪，春暖多变升温快，夏热多雨有伏旱，秋凉气爽阴雨多。年平均气温13.3℃，7月平均气温26.5℃，元月气温-1.2℃，年均无霜期208天。灞桥区全年盛行风向为NE，出现频率为11%，其次为ENE、SW，出现频率为7%；出现频率最低的风向为NNE，出现频率仅1%。</w:t>
            </w:r>
          </w:p>
          <w:p>
            <w:pPr>
              <w:autoSpaceDE w:val="0"/>
              <w:autoSpaceDN w:val="0"/>
              <w:spacing w:line="480" w:lineRule="exact"/>
              <w:ind w:right="286" w:rightChars="136"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地区降水时间分布很不均匀，不同季节之间差异很大。从河川至台原，山区随海拔高度的郑家，降雨递减，年平均降水量584.9mm。平川地区年光照时数为2026.8h，浅山丘陵区为2556.4h，台原地区为2720.6h。平均气温13.3℃，无霜期年平均为203天。</w:t>
            </w:r>
          </w:p>
          <w:p>
            <w:pPr>
              <w:autoSpaceDE w:val="0"/>
              <w:autoSpaceDN w:val="0"/>
              <w:spacing w:line="480" w:lineRule="exact"/>
              <w:ind w:right="286" w:rightChars="136" w:firstLine="482" w:firstLineChars="200"/>
              <w:rPr>
                <w:rFonts w:hint="default" w:ascii="Times New Roman" w:hAnsi="Times New Roman" w:cs="Times New Roman"/>
                <w:b/>
                <w:color w:val="auto"/>
                <w:kern w:val="0"/>
                <w:sz w:val="24"/>
                <w:szCs w:val="24"/>
              </w:rPr>
            </w:pPr>
            <w:r>
              <w:rPr>
                <w:rFonts w:hint="default" w:ascii="Times New Roman" w:hAnsi="Times New Roman" w:cs="Times New Roman"/>
                <w:b/>
                <w:color w:val="auto"/>
                <w:kern w:val="0"/>
                <w:sz w:val="24"/>
                <w:szCs w:val="24"/>
              </w:rPr>
              <w:t>4、水文特征</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西安市河流秘籍，诸川环绕，东有霸河、浐河，西有沣河、皂河，南有镐河、橘河，北有泾河、渭河，素有“八水绕长安”之说。此外还有黑河、石川河、涝河、零河等较大河流。其中绝大多数属黄河流域的渭河水系。渭河横贯西安市境内约150km，年径流量为25亿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。位于周至县的黑河，水质良好，是西安市目前重要的饮水水源地。</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灞桥境内主要河流为灞河，属渭河水系。灞河是渭河的一级支流，发源于秦岭北麓蓝田县灞源乡箭峪岭南九道沟，由南向北流，经灞源后西行，到冯家湾出峪口。上游先后有支流清峪河、流峪河、蓝桥河、道沟峪汇入，在蓝田县城辋川河汇入后，经曳湖、马渡王，于下游未央区谭家堡纳入较大支流浐河后，向北流约10km于灞桥区三郎村汇入渭河。河流全长104km，流域面积2581km</w:t>
            </w:r>
            <w:r>
              <w:rPr>
                <w:rFonts w:hint="default" w:ascii="Times New Roman" w:hAnsi="Times New Roman" w:cs="Times New Roman"/>
                <w:color w:val="auto"/>
                <w:sz w:val="24"/>
                <w:szCs w:val="24"/>
                <w:vertAlign w:val="superscript"/>
              </w:rPr>
              <w:t>2</w:t>
            </w:r>
            <w:r>
              <w:rPr>
                <w:rFonts w:hint="default" w:ascii="Times New Roman" w:hAnsi="Times New Roman" w:cs="Times New Roman"/>
                <w:color w:val="auto"/>
                <w:sz w:val="24"/>
                <w:szCs w:val="24"/>
              </w:rPr>
              <w:t>，河床平均比降6.0‰。</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本项目距离最近的河流灞河约2.8km左右。</w:t>
            </w:r>
          </w:p>
          <w:p>
            <w:pPr>
              <w:spacing w:line="360" w:lineRule="auto"/>
              <w:ind w:firstLine="504" w:firstLineChars="200"/>
              <w:rPr>
                <w:rFonts w:hint="default" w:ascii="Times New Roman" w:hAnsi="Times New Roman" w:cs="Times New Roman"/>
                <w:color w:val="auto"/>
                <w:spacing w:val="6"/>
                <w:sz w:val="24"/>
                <w:szCs w:val="24"/>
              </w:rPr>
            </w:pPr>
          </w:p>
        </w:tc>
      </w:tr>
    </w:tbl>
    <w:p>
      <w:pPr>
        <w:pStyle w:val="2"/>
        <w:adjustRightInd w:val="0"/>
        <w:spacing w:before="0" w:after="0" w:line="240" w:lineRule="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环境质量状况</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70" w:hRule="atLeast"/>
          <w:jc w:val="center"/>
        </w:trPr>
        <w:tc>
          <w:tcPr>
            <w:tcW w:w="8969" w:type="dxa"/>
            <w:noWrap w:val="0"/>
            <w:vAlign w:val="top"/>
          </w:tcPr>
          <w:p>
            <w:pPr>
              <w:pStyle w:val="12"/>
              <w:spacing w:before="156" w:beforeLines="50" w:line="460" w:lineRule="exact"/>
              <w:ind w:left="0" w:leftChars="0"/>
              <w:rPr>
                <w:rFonts w:hint="default" w:ascii="Times New Roman" w:hAnsi="Times New Roman" w:eastAsia="黑体" w:cs="Times New Roman"/>
                <w:bCs/>
                <w:color w:val="000000"/>
                <w:sz w:val="30"/>
                <w:szCs w:val="30"/>
              </w:rPr>
            </w:pPr>
            <w:r>
              <w:rPr>
                <w:rFonts w:hint="default" w:ascii="Times New Roman" w:hAnsi="Times New Roman" w:eastAsia="黑体" w:cs="Times New Roman"/>
                <w:bCs/>
                <w:color w:val="000000"/>
                <w:sz w:val="30"/>
                <w:szCs w:val="30"/>
              </w:rPr>
              <w:t>建设项目所在地区域环境质量现状及主要环境问题（环境空气、地面水、地下水、声环境、生态环境等）</w:t>
            </w:r>
          </w:p>
          <w:p>
            <w:pPr>
              <w:tabs>
                <w:tab w:val="right" w:leader="hyphen" w:pos="8190"/>
              </w:tabs>
              <w:spacing w:line="460" w:lineRule="exact"/>
              <w:ind w:firstLine="506" w:firstLineChars="200"/>
              <w:rPr>
                <w:rFonts w:hint="default" w:ascii="Times New Roman" w:hAnsi="Times New Roman" w:cs="Times New Roman"/>
                <w:b/>
                <w:color w:val="000000"/>
                <w:spacing w:val="6"/>
                <w:sz w:val="24"/>
              </w:rPr>
            </w:pPr>
            <w:r>
              <w:rPr>
                <w:rFonts w:hint="default" w:ascii="Times New Roman" w:hAnsi="Times New Roman" w:cs="Times New Roman"/>
                <w:b/>
                <w:color w:val="000000"/>
                <w:spacing w:val="6"/>
                <w:sz w:val="24"/>
              </w:rPr>
              <w:t>1、环境空气质量现状</w:t>
            </w:r>
          </w:p>
          <w:p>
            <w:pPr>
              <w:spacing w:line="480" w:lineRule="exact"/>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本项目位于西安市</w:t>
            </w:r>
            <w:r>
              <w:rPr>
                <w:rFonts w:hint="default" w:ascii="Times New Roman" w:hAnsi="Times New Roman" w:cs="Times New Roman"/>
                <w:color w:val="000000"/>
                <w:spacing w:val="6"/>
                <w:kern w:val="0"/>
                <w:sz w:val="24"/>
              </w:rPr>
              <w:t>灞桥区席王街道办唐家寨村甲子666号</w:t>
            </w:r>
            <w:r>
              <w:rPr>
                <w:rFonts w:hint="default" w:ascii="Times New Roman" w:hAnsi="Times New Roman" w:cs="Times New Roman"/>
                <w:color w:val="000000"/>
                <w:spacing w:val="6"/>
                <w:kern w:val="0"/>
                <w:sz w:val="24"/>
                <w:lang w:eastAsia="zh-CN"/>
              </w:rPr>
              <w:t>，根据大气功能区划，本项目所在地位二类功能区，环境空气质量标准执行《环境空气质量标准》（GB3095-2012）二级标准。</w:t>
            </w:r>
            <w:r>
              <w:rPr>
                <w:rFonts w:hint="default" w:ascii="Times New Roman" w:hAnsi="Times New Roman" w:cs="Times New Roman"/>
                <w:color w:val="000000"/>
                <w:sz w:val="24"/>
              </w:rPr>
              <w:t>为了解项目所在区域大气环境现状，本项目所在区域</w:t>
            </w:r>
            <w:r>
              <w:rPr>
                <w:rFonts w:hint="default" w:ascii="Times New Roman" w:hAnsi="Times New Roman" w:cs="Times New Roman"/>
                <w:color w:val="000000"/>
                <w:sz w:val="24"/>
                <w:lang w:eastAsia="zh-CN"/>
              </w:rPr>
              <w:t>环境空气质量现状</w:t>
            </w:r>
            <w:r>
              <w:rPr>
                <w:rFonts w:hint="default" w:ascii="Times New Roman" w:hAnsi="Times New Roman" w:cs="Times New Roman"/>
                <w:color w:val="000000"/>
                <w:sz w:val="24"/>
              </w:rPr>
              <w:t>常规因子</w:t>
            </w:r>
            <w:r>
              <w:rPr>
                <w:rFonts w:hint="default" w:ascii="Times New Roman" w:hAnsi="Times New Roman" w:cs="Times New Roman"/>
                <w:color w:val="000000"/>
                <w:sz w:val="24"/>
                <w:lang w:eastAsia="zh-CN"/>
              </w:rPr>
              <w:t>引用《2018年西安市环境状况公报》（市生态环境局）中的大气环境数据，区域空气质量现状评价见下表。</w:t>
            </w:r>
          </w:p>
          <w:p>
            <w:pPr>
              <w:spacing w:line="480" w:lineRule="exact"/>
              <w:ind w:firstLine="482" w:firstLineChars="200"/>
              <w:jc w:val="center"/>
              <w:rPr>
                <w:rFonts w:hint="default" w:ascii="Times New Roman" w:hAnsi="Times New Roman" w:cs="Times New Roman"/>
                <w:color w:val="000000"/>
                <w:sz w:val="24"/>
                <w:lang w:eastAsia="zh-CN"/>
              </w:rPr>
            </w:pPr>
            <w:r>
              <w:rPr>
                <w:rFonts w:hint="default" w:ascii="Times New Roman" w:hAnsi="Times New Roman" w:cs="Times New Roman"/>
                <w:b/>
                <w:color w:val="000000"/>
                <w:sz w:val="24"/>
                <w:szCs w:val="24"/>
              </w:rPr>
              <w:t>表6   环境空气监测结果统计表</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69"/>
              <w:gridCol w:w="2086"/>
              <w:gridCol w:w="1614"/>
              <w:gridCol w:w="1585"/>
              <w:gridCol w:w="1423"/>
              <w:gridCol w:w="10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20" w:hRule="atLeast"/>
              </w:trPr>
              <w:tc>
                <w:tcPr>
                  <w:tcW w:w="969" w:type="dxa"/>
                  <w:noWrap w:val="0"/>
                  <w:vAlign w:val="center"/>
                </w:tcPr>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污染物</w:t>
                  </w:r>
                </w:p>
              </w:tc>
              <w:tc>
                <w:tcPr>
                  <w:tcW w:w="2086" w:type="dxa"/>
                  <w:noWrap w:val="0"/>
                  <w:vAlign w:val="center"/>
                </w:tcPr>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年评价指标</w:t>
                  </w:r>
                </w:p>
              </w:tc>
              <w:tc>
                <w:tcPr>
                  <w:tcW w:w="1614" w:type="dxa"/>
                  <w:noWrap w:val="0"/>
                  <w:vAlign w:val="center"/>
                </w:tcPr>
                <w:p>
                  <w:pPr>
                    <w:jc w:val="center"/>
                    <w:rPr>
                      <w:rFonts w:hint="default" w:ascii="Times New Roman" w:hAnsi="Times New Roman" w:cs="Times New Roman"/>
                      <w:color w:val="000000"/>
                      <w:kern w:val="44"/>
                      <w:szCs w:val="21"/>
                    </w:rPr>
                  </w:pPr>
                  <w:r>
                    <w:rPr>
                      <w:rFonts w:hint="default" w:ascii="Times New Roman" w:hAnsi="Times New Roman" w:cs="Times New Roman"/>
                      <w:color w:val="000000"/>
                      <w:kern w:val="44"/>
                      <w:szCs w:val="21"/>
                    </w:rPr>
                    <w:t>现状浓度</w:t>
                  </w:r>
                </w:p>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μg/m</w:t>
                  </w:r>
                  <w:r>
                    <w:rPr>
                      <w:rFonts w:hint="default" w:ascii="Times New Roman" w:hAnsi="Times New Roman" w:cs="Times New Roman"/>
                      <w:color w:val="000000"/>
                      <w:kern w:val="44"/>
                      <w:szCs w:val="21"/>
                      <w:vertAlign w:val="superscript"/>
                    </w:rPr>
                    <w:t>3</w:t>
                  </w:r>
                </w:p>
              </w:tc>
              <w:tc>
                <w:tcPr>
                  <w:tcW w:w="1585" w:type="dxa"/>
                  <w:noWrap w:val="0"/>
                  <w:vAlign w:val="center"/>
                </w:tcPr>
                <w:p>
                  <w:pPr>
                    <w:jc w:val="center"/>
                    <w:rPr>
                      <w:rFonts w:hint="default" w:ascii="Times New Roman" w:hAnsi="Times New Roman" w:cs="Times New Roman"/>
                      <w:color w:val="000000"/>
                      <w:kern w:val="44"/>
                      <w:szCs w:val="21"/>
                    </w:rPr>
                  </w:pPr>
                  <w:r>
                    <w:rPr>
                      <w:rFonts w:hint="default" w:ascii="Times New Roman" w:hAnsi="Times New Roman" w:cs="Times New Roman"/>
                      <w:color w:val="000000"/>
                      <w:kern w:val="44"/>
                      <w:szCs w:val="21"/>
                    </w:rPr>
                    <w:t>标准值</w:t>
                  </w:r>
                </w:p>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μg/m</w:t>
                  </w:r>
                  <w:r>
                    <w:rPr>
                      <w:rFonts w:hint="default" w:ascii="Times New Roman" w:hAnsi="Times New Roman" w:cs="Times New Roman"/>
                      <w:color w:val="000000"/>
                      <w:kern w:val="44"/>
                      <w:szCs w:val="21"/>
                      <w:vertAlign w:val="superscript"/>
                    </w:rPr>
                    <w:t>3</w:t>
                  </w:r>
                </w:p>
              </w:tc>
              <w:tc>
                <w:tcPr>
                  <w:tcW w:w="1423" w:type="dxa"/>
                  <w:noWrap w:val="0"/>
                  <w:vAlign w:val="center"/>
                </w:tcPr>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占标率%</w:t>
                  </w:r>
                </w:p>
              </w:tc>
              <w:tc>
                <w:tcPr>
                  <w:tcW w:w="1043" w:type="dxa"/>
                  <w:noWrap w:val="0"/>
                  <w:vAlign w:val="center"/>
                </w:tcPr>
                <w:p>
                  <w:pPr>
                    <w:jc w:val="center"/>
                    <w:rPr>
                      <w:rFonts w:hint="default" w:ascii="Times New Roman" w:hAnsi="Times New Roman" w:cs="Times New Roman"/>
                      <w:b/>
                      <w:szCs w:val="21"/>
                      <w:lang w:bidi="ar-BH"/>
                    </w:rPr>
                  </w:pPr>
                  <w:r>
                    <w:rPr>
                      <w:rFonts w:hint="default" w:ascii="Times New Roman" w:hAnsi="Times New Roman" w:cs="Times New Roman"/>
                      <w:color w:val="000000"/>
                      <w:kern w:val="44"/>
                      <w:szCs w:val="21"/>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8"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SO</w:t>
                  </w:r>
                  <w:r>
                    <w:rPr>
                      <w:rFonts w:hint="default" w:ascii="Times New Roman" w:hAnsi="Times New Roman" w:cs="Times New Roman"/>
                      <w:color w:val="000000"/>
                      <w:kern w:val="44"/>
                      <w:szCs w:val="21"/>
                      <w:vertAlign w:val="subscript"/>
                    </w:rPr>
                    <w:t>2</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年平均质量浓度</w:t>
                  </w:r>
                </w:p>
              </w:tc>
              <w:tc>
                <w:tcPr>
                  <w:tcW w:w="1614" w:type="dxa"/>
                  <w:noWrap w:val="0"/>
                  <w:vAlign w:val="center"/>
                </w:tcPr>
                <w:p>
                  <w:pPr>
                    <w:jc w:val="center"/>
                    <w:rPr>
                      <w:rFonts w:hint="default" w:ascii="Times New Roman" w:hAnsi="Times New Roman" w:eastAsia="宋体" w:cs="Times New Roman"/>
                      <w:kern w:val="0"/>
                      <w:szCs w:val="21"/>
                      <w:lang w:eastAsia="zh-CN" w:bidi="ar"/>
                    </w:rPr>
                  </w:pPr>
                  <w:r>
                    <w:rPr>
                      <w:rFonts w:hint="default" w:ascii="Times New Roman" w:hAnsi="Times New Roman" w:cs="Times New Roman"/>
                      <w:color w:val="000000"/>
                      <w:kern w:val="44"/>
                      <w:szCs w:val="21"/>
                    </w:rPr>
                    <w:t>1</w:t>
                  </w:r>
                  <w:r>
                    <w:rPr>
                      <w:rFonts w:hint="default" w:ascii="Times New Roman" w:hAnsi="Times New Roman" w:cs="Times New Roman"/>
                      <w:color w:val="000000"/>
                      <w:kern w:val="44"/>
                      <w:szCs w:val="21"/>
                      <w:lang w:val="en-US" w:eastAsia="zh-CN"/>
                    </w:rPr>
                    <w:t>5</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60</w:t>
                  </w:r>
                </w:p>
              </w:tc>
              <w:tc>
                <w:tcPr>
                  <w:tcW w:w="1423" w:type="dxa"/>
                  <w:noWrap w:val="0"/>
                  <w:vAlign w:val="center"/>
                </w:tcPr>
                <w:p>
                  <w:pPr>
                    <w:widowControl/>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25</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8"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NO</w:t>
                  </w:r>
                  <w:r>
                    <w:rPr>
                      <w:rFonts w:hint="default" w:ascii="Times New Roman" w:hAnsi="Times New Roman" w:cs="Times New Roman"/>
                      <w:color w:val="000000"/>
                      <w:kern w:val="44"/>
                      <w:szCs w:val="21"/>
                      <w:vertAlign w:val="subscript"/>
                    </w:rPr>
                    <w:t>2</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年平均质量浓度</w:t>
                  </w:r>
                </w:p>
              </w:tc>
              <w:tc>
                <w:tcPr>
                  <w:tcW w:w="1614"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kern w:val="44"/>
                      <w:szCs w:val="21"/>
                      <w:lang w:val="en-US" w:eastAsia="zh-CN"/>
                    </w:rPr>
                    <w:t>55</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40</w:t>
                  </w:r>
                </w:p>
              </w:tc>
              <w:tc>
                <w:tcPr>
                  <w:tcW w:w="1423"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137.5</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lang w:eastAsia="zh-CN"/>
                    </w:rPr>
                    <w:t>不</w:t>
                  </w:r>
                  <w:r>
                    <w:rPr>
                      <w:rFonts w:hint="default" w:ascii="Times New Roman" w:hAnsi="Times New Roman" w:cs="Times New Roman"/>
                      <w:color w:val="000000"/>
                      <w:kern w:val="44"/>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8"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PM</w:t>
                  </w:r>
                  <w:r>
                    <w:rPr>
                      <w:rFonts w:hint="default" w:ascii="Times New Roman" w:hAnsi="Times New Roman" w:cs="Times New Roman"/>
                      <w:color w:val="000000"/>
                      <w:kern w:val="44"/>
                      <w:szCs w:val="21"/>
                      <w:vertAlign w:val="subscript"/>
                    </w:rPr>
                    <w:t>10</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年平均质量浓度</w:t>
                  </w:r>
                </w:p>
              </w:tc>
              <w:tc>
                <w:tcPr>
                  <w:tcW w:w="1614"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kern w:val="44"/>
                      <w:szCs w:val="21"/>
                    </w:rPr>
                    <w:t>1</w:t>
                  </w:r>
                  <w:r>
                    <w:rPr>
                      <w:rFonts w:hint="default" w:ascii="Times New Roman" w:hAnsi="Times New Roman" w:cs="Times New Roman"/>
                      <w:color w:val="000000"/>
                      <w:kern w:val="44"/>
                      <w:szCs w:val="21"/>
                      <w:lang w:val="en-US" w:eastAsia="zh-CN"/>
                    </w:rPr>
                    <w:t>22</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70</w:t>
                  </w:r>
                </w:p>
              </w:tc>
              <w:tc>
                <w:tcPr>
                  <w:tcW w:w="1423"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174</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不达标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0"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PM</w:t>
                  </w:r>
                  <w:r>
                    <w:rPr>
                      <w:rFonts w:hint="default" w:ascii="Times New Roman" w:hAnsi="Times New Roman" w:cs="Times New Roman"/>
                      <w:color w:val="000000"/>
                      <w:kern w:val="44"/>
                      <w:szCs w:val="21"/>
                      <w:vertAlign w:val="subscript"/>
                    </w:rPr>
                    <w:t>2.5</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年平均质量浓度</w:t>
                  </w:r>
                </w:p>
              </w:tc>
              <w:tc>
                <w:tcPr>
                  <w:tcW w:w="1614"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kern w:val="44"/>
                      <w:szCs w:val="21"/>
                      <w:lang w:val="en-US" w:eastAsia="zh-CN"/>
                    </w:rPr>
                    <w:t>63</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35</w:t>
                  </w:r>
                </w:p>
              </w:tc>
              <w:tc>
                <w:tcPr>
                  <w:tcW w:w="1423"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180</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不达标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8"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CO</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24小时平均第95百分位浓度</w:t>
                  </w:r>
                </w:p>
              </w:tc>
              <w:tc>
                <w:tcPr>
                  <w:tcW w:w="1614"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2</w:t>
                  </w:r>
                  <w:r>
                    <w:rPr>
                      <w:rFonts w:hint="default" w:ascii="Times New Roman" w:hAnsi="Times New Roman" w:cs="Times New Roman"/>
                      <w:color w:val="000000"/>
                      <w:kern w:val="44"/>
                      <w:szCs w:val="21"/>
                      <w:lang w:val="en-US" w:eastAsia="zh-CN"/>
                    </w:rPr>
                    <w:t>2</w:t>
                  </w:r>
                  <w:r>
                    <w:rPr>
                      <w:rFonts w:hint="default" w:ascii="Times New Roman" w:hAnsi="Times New Roman" w:cs="Times New Roman"/>
                      <w:color w:val="000000"/>
                      <w:kern w:val="44"/>
                      <w:szCs w:val="21"/>
                    </w:rPr>
                    <w:t>00</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4000</w:t>
                  </w:r>
                </w:p>
              </w:tc>
              <w:tc>
                <w:tcPr>
                  <w:tcW w:w="1423"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55</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56" w:hRule="atLeast"/>
              </w:trPr>
              <w:tc>
                <w:tcPr>
                  <w:tcW w:w="969"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O</w:t>
                  </w:r>
                  <w:r>
                    <w:rPr>
                      <w:rFonts w:hint="default" w:ascii="Times New Roman" w:hAnsi="Times New Roman" w:cs="Times New Roman"/>
                      <w:color w:val="000000"/>
                      <w:kern w:val="44"/>
                      <w:szCs w:val="21"/>
                      <w:vertAlign w:val="subscript"/>
                    </w:rPr>
                    <w:t>3</w:t>
                  </w:r>
                </w:p>
              </w:tc>
              <w:tc>
                <w:tcPr>
                  <w:tcW w:w="2086" w:type="dxa"/>
                  <w:noWrap w:val="0"/>
                  <w:vAlign w:val="center"/>
                </w:tcPr>
                <w:p>
                  <w:pPr>
                    <w:jc w:val="center"/>
                    <w:rPr>
                      <w:rFonts w:hint="default" w:ascii="Times New Roman" w:hAnsi="Times New Roman" w:cs="Times New Roman"/>
                      <w:bCs/>
                      <w:szCs w:val="21"/>
                      <w:lang w:bidi="ar-BH"/>
                    </w:rPr>
                  </w:pPr>
                  <w:r>
                    <w:rPr>
                      <w:rFonts w:hint="default" w:ascii="Times New Roman" w:hAnsi="Times New Roman" w:cs="Times New Roman"/>
                      <w:color w:val="000000"/>
                      <w:kern w:val="44"/>
                      <w:szCs w:val="21"/>
                    </w:rPr>
                    <w:t>日最大8小时平均第90百分位数浓度</w:t>
                  </w:r>
                </w:p>
              </w:tc>
              <w:tc>
                <w:tcPr>
                  <w:tcW w:w="1614" w:type="dxa"/>
                  <w:noWrap w:val="0"/>
                  <w:vAlign w:val="center"/>
                </w:tcPr>
                <w:p>
                  <w:pPr>
                    <w:jc w:val="center"/>
                    <w:rPr>
                      <w:rFonts w:hint="default" w:ascii="Times New Roman" w:hAnsi="Times New Roman" w:eastAsia="宋体" w:cs="Times New Roman"/>
                      <w:kern w:val="0"/>
                      <w:szCs w:val="21"/>
                      <w:lang w:eastAsia="zh-CN" w:bidi="ar"/>
                    </w:rPr>
                  </w:pPr>
                  <w:r>
                    <w:rPr>
                      <w:rFonts w:hint="default" w:ascii="Times New Roman" w:hAnsi="Times New Roman" w:cs="Times New Roman"/>
                      <w:color w:val="000000"/>
                      <w:kern w:val="44"/>
                      <w:szCs w:val="21"/>
                    </w:rPr>
                    <w:t>18</w:t>
                  </w:r>
                  <w:r>
                    <w:rPr>
                      <w:rFonts w:hint="default" w:ascii="Times New Roman" w:hAnsi="Times New Roman" w:cs="Times New Roman"/>
                      <w:color w:val="000000"/>
                      <w:kern w:val="44"/>
                      <w:szCs w:val="21"/>
                      <w:lang w:val="en-US" w:eastAsia="zh-CN"/>
                    </w:rPr>
                    <w:t>0</w:t>
                  </w:r>
                </w:p>
              </w:tc>
              <w:tc>
                <w:tcPr>
                  <w:tcW w:w="1585"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160</w:t>
                  </w:r>
                </w:p>
              </w:tc>
              <w:tc>
                <w:tcPr>
                  <w:tcW w:w="1423" w:type="dxa"/>
                  <w:noWrap w:val="0"/>
                  <w:vAlign w:val="center"/>
                </w:tcPr>
                <w:p>
                  <w:pPr>
                    <w:jc w:val="center"/>
                    <w:rPr>
                      <w:rFonts w:hint="default" w:ascii="Times New Roman" w:hAnsi="Times New Roman" w:eastAsia="宋体" w:cs="Times New Roman"/>
                      <w:kern w:val="0"/>
                      <w:szCs w:val="21"/>
                      <w:lang w:val="en-US" w:eastAsia="zh-CN" w:bidi="ar"/>
                    </w:rPr>
                  </w:pPr>
                  <w:r>
                    <w:rPr>
                      <w:rFonts w:hint="default" w:ascii="Times New Roman" w:hAnsi="Times New Roman" w:cs="Times New Roman"/>
                      <w:color w:val="000000"/>
                      <w:szCs w:val="21"/>
                      <w:lang w:val="en-US" w:eastAsia="zh-CN"/>
                    </w:rPr>
                    <w:t>113</w:t>
                  </w:r>
                </w:p>
              </w:tc>
              <w:tc>
                <w:tcPr>
                  <w:tcW w:w="1043" w:type="dxa"/>
                  <w:noWrap w:val="0"/>
                  <w:vAlign w:val="center"/>
                </w:tcPr>
                <w:p>
                  <w:pPr>
                    <w:jc w:val="center"/>
                    <w:rPr>
                      <w:rFonts w:hint="default" w:ascii="Times New Roman" w:hAnsi="Times New Roman" w:cs="Times New Roman"/>
                      <w:kern w:val="0"/>
                      <w:szCs w:val="21"/>
                      <w:lang w:bidi="ar"/>
                    </w:rPr>
                  </w:pPr>
                  <w:r>
                    <w:rPr>
                      <w:rFonts w:hint="default" w:ascii="Times New Roman" w:hAnsi="Times New Roman" w:cs="Times New Roman"/>
                      <w:color w:val="000000"/>
                      <w:kern w:val="44"/>
                      <w:szCs w:val="21"/>
                    </w:rPr>
                    <w:t>不达标</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由上表可知，</w:t>
            </w:r>
            <w:r>
              <w:rPr>
                <w:rFonts w:hint="default" w:ascii="Times New Roman" w:hAnsi="Times New Roman" w:cs="Times New Roman"/>
                <w:color w:val="000000"/>
                <w:sz w:val="24"/>
              </w:rPr>
              <w:t>环境空气基本污染物监测项目中，SO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年平均浓度值、CO24小时平均第95百分位数的浓度低于《环境空气质量标准》（GB3095-2012）中的二级标准要求；NO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、PM</w:t>
            </w:r>
            <w:r>
              <w:rPr>
                <w:rFonts w:hint="default" w:ascii="Times New Roman" w:hAnsi="Times New Roman" w:cs="Times New Roman"/>
                <w:color w:val="000000"/>
                <w:sz w:val="24"/>
                <w:vertAlign w:val="subscript"/>
              </w:rPr>
              <w:t>10</w:t>
            </w:r>
            <w:r>
              <w:rPr>
                <w:rFonts w:hint="default" w:ascii="Times New Roman" w:hAnsi="Times New Roman" w:cs="Times New Roman"/>
                <w:color w:val="000000"/>
                <w:sz w:val="24"/>
              </w:rPr>
              <w:t>、PM</w:t>
            </w:r>
            <w:r>
              <w:rPr>
                <w:rFonts w:hint="default" w:ascii="Times New Roman" w:hAnsi="Times New Roman" w:cs="Times New Roman"/>
                <w:color w:val="000000"/>
                <w:sz w:val="24"/>
                <w:vertAlign w:val="subscript"/>
              </w:rPr>
              <w:t>2.5</w:t>
            </w:r>
            <w:r>
              <w:rPr>
                <w:rFonts w:hint="default" w:ascii="Times New Roman" w:hAnsi="Times New Roman" w:cs="Times New Roman"/>
                <w:color w:val="000000"/>
                <w:sz w:val="24"/>
              </w:rPr>
              <w:t>年均浓度值和O</w:t>
            </w:r>
            <w:r>
              <w:rPr>
                <w:rFonts w:hint="default" w:ascii="Times New Roman" w:hAnsi="Times New Roman" w:cs="Times New Roman"/>
                <w:color w:val="000000"/>
                <w:sz w:val="24"/>
                <w:vertAlign w:val="subscript"/>
              </w:rPr>
              <w:t>3</w:t>
            </w:r>
            <w:r>
              <w:rPr>
                <w:rFonts w:hint="default" w:ascii="Times New Roman" w:hAnsi="Times New Roman" w:cs="Times New Roman"/>
                <w:color w:val="000000"/>
                <w:sz w:val="24"/>
              </w:rPr>
              <w:t>日最大8小时平均第90百分位浓度值均高于《环境空气质量标准》（GB3095-2012）中的二级标准要求。因此建设项目所在地为大气环境质量不达标区。</w:t>
            </w:r>
          </w:p>
          <w:p>
            <w:pPr>
              <w:spacing w:line="480" w:lineRule="exact"/>
              <w:ind w:firstLine="480" w:firstLineChars="200"/>
              <w:rPr>
                <w:rFonts w:hint="default" w:ascii="Times New Roman" w:hAnsi="Times New Roman" w:cs="Times New Roman"/>
                <w:b/>
                <w:color w:val="000000"/>
                <w:sz w:val="24"/>
                <w:highlight w:val="yellow"/>
              </w:rPr>
            </w:pPr>
            <w:r>
              <w:rPr>
                <w:rFonts w:hint="default" w:ascii="Times New Roman" w:hAnsi="Times New Roman" w:cs="Times New Roman"/>
                <w:color w:val="000000"/>
                <w:sz w:val="24"/>
                <w:lang w:eastAsia="zh-CN"/>
              </w:rPr>
              <w:t>另</w:t>
            </w:r>
            <w:r>
              <w:rPr>
                <w:rFonts w:hint="default" w:ascii="Times New Roman" w:hAnsi="Times New Roman" w:cs="Times New Roman"/>
                <w:color w:val="000000"/>
                <w:sz w:val="24"/>
              </w:rPr>
              <w:t>本项目委托西安普惠环境检测技术有限公司对该项目环境空气质量进行监测。本次监测布设2个监测点，分别为项目区及下风向西北村。监测时间为2017年12月20日~26日。监测点位见附图4，具体监测结果见表</w:t>
            </w:r>
            <w:r>
              <w:rPr>
                <w:rFonts w:hint="default" w:ascii="Times New Roman" w:hAnsi="Times New Roman" w:cs="Times New Roman"/>
                <w:color w:val="000000"/>
                <w:sz w:val="24"/>
                <w:lang w:val="en-US" w:eastAsia="zh-CN"/>
              </w:rPr>
              <w:t>7</w:t>
            </w:r>
            <w:r>
              <w:rPr>
                <w:rFonts w:hint="default" w:ascii="Times New Roman" w:hAnsi="Times New Roman" w:cs="Times New Roman"/>
                <w:color w:val="000000"/>
                <w:sz w:val="24"/>
              </w:rPr>
              <w:t>。</w:t>
            </w:r>
          </w:p>
          <w:p>
            <w:pPr>
              <w:spacing w:line="480" w:lineRule="exact"/>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default" w:ascii="Times New Roman" w:hAnsi="Times New Roman" w:cs="Times New Roman"/>
                <w:b/>
                <w:color w:val="000000"/>
                <w:sz w:val="24"/>
                <w:szCs w:val="24"/>
                <w:lang w:val="en-US" w:eastAsia="zh-CN"/>
              </w:rPr>
              <w:t>7</w:t>
            </w:r>
            <w:r>
              <w:rPr>
                <w:rFonts w:hint="default" w:ascii="Times New Roman" w:hAnsi="Times New Roman" w:cs="Times New Roman"/>
                <w:b/>
                <w:color w:val="000000"/>
                <w:sz w:val="24"/>
                <w:szCs w:val="24"/>
              </w:rPr>
              <w:t xml:space="preserve">   环境空气监测结果统计表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423"/>
              <w:gridCol w:w="1281"/>
              <w:gridCol w:w="1281"/>
              <w:gridCol w:w="1280"/>
              <w:gridCol w:w="16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jc w:val="center"/>
              </w:trPr>
              <w:tc>
                <w:tcPr>
                  <w:tcW w:w="1689" w:type="dxa"/>
                  <w:vMerge w:val="restart"/>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监测点位</w:t>
                  </w:r>
                </w:p>
              </w:tc>
              <w:tc>
                <w:tcPr>
                  <w:tcW w:w="2704" w:type="dxa"/>
                  <w:gridSpan w:val="2"/>
                  <w:noWrap w:val="0"/>
                  <w:vAlign w:val="center"/>
                </w:tcPr>
                <w:p>
                  <w:pPr>
                    <w:snapToGrid w:val="0"/>
                    <w:jc w:val="center"/>
                    <w:rPr>
                      <w:rFonts w:hint="default" w:ascii="Times New Roman" w:hAnsi="Times New Roman" w:cs="Times New Roman"/>
                      <w:color w:val="000000"/>
                      <w:szCs w:val="21"/>
                      <w:vertAlign w:val="subscript"/>
                    </w:rPr>
                  </w:pPr>
                  <w:r>
                    <w:rPr>
                      <w:rFonts w:hint="default" w:ascii="Times New Roman" w:hAnsi="Times New Roman" w:cs="Times New Roman"/>
                      <w:color w:val="000000"/>
                      <w:szCs w:val="21"/>
                    </w:rPr>
                    <w:t>SO</w:t>
                  </w:r>
                  <w:r>
                    <w:rPr>
                      <w:rFonts w:hint="default" w:ascii="Times New Roman" w:hAnsi="Times New Roman" w:cs="Times New Roman"/>
                      <w:color w:val="000000"/>
                      <w:szCs w:val="21"/>
                      <w:vertAlign w:val="subscript"/>
                    </w:rPr>
                    <w:t>2</w:t>
                  </w:r>
                  <w:r>
                    <w:rPr>
                      <w:rFonts w:hint="default" w:ascii="Times New Roman" w:hAnsi="Times New Roman" w:cs="Times New Roman"/>
                      <w:color w:val="000000"/>
                      <w:szCs w:val="21"/>
                    </w:rPr>
                    <w:t>（ug/m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2561" w:type="dxa"/>
                  <w:gridSpan w:val="2"/>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NO</w:t>
                  </w:r>
                  <w:r>
                    <w:rPr>
                      <w:rFonts w:hint="default" w:ascii="Times New Roman" w:hAnsi="Times New Roman" w:cs="Times New Roman"/>
                      <w:color w:val="000000"/>
                      <w:szCs w:val="21"/>
                      <w:vertAlign w:val="subscript"/>
                    </w:rPr>
                    <w:t>2</w:t>
                  </w:r>
                  <w:r>
                    <w:rPr>
                      <w:rFonts w:hint="default" w:ascii="Times New Roman" w:hAnsi="Times New Roman" w:cs="Times New Roman"/>
                      <w:color w:val="000000"/>
                      <w:szCs w:val="21"/>
                    </w:rPr>
                    <w:t>（ug/m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PM</w:t>
                  </w:r>
                  <w:r>
                    <w:rPr>
                      <w:rFonts w:hint="default" w:ascii="Times New Roman" w:hAnsi="Times New Roman" w:cs="Times New Roman"/>
                      <w:color w:val="000000"/>
                      <w:szCs w:val="21"/>
                      <w:vertAlign w:val="subscript"/>
                    </w:rPr>
                    <w:t>10</w:t>
                  </w:r>
                  <w:r>
                    <w:rPr>
                      <w:rFonts w:hint="default" w:ascii="Times New Roman" w:hAnsi="Times New Roman" w:cs="Times New Roman"/>
                      <w:color w:val="000000"/>
                      <w:szCs w:val="21"/>
                    </w:rPr>
                    <w:t>（ug/m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67" w:hRule="atLeast"/>
                <w:jc w:val="center"/>
              </w:trPr>
              <w:tc>
                <w:tcPr>
                  <w:tcW w:w="1689" w:type="dxa"/>
                  <w:vMerge w:val="continue"/>
                  <w:noWrap w:val="0"/>
                  <w:vAlign w:val="center"/>
                </w:tcPr>
                <w:p>
                  <w:pPr>
                    <w:snapToGrid w:val="0"/>
                    <w:jc w:val="center"/>
                    <w:rPr>
                      <w:rFonts w:hint="default" w:ascii="Times New Roman" w:hAnsi="Times New Roman" w:cs="Times New Roman"/>
                      <w:color w:val="000000"/>
                      <w:szCs w:val="21"/>
                    </w:rPr>
                  </w:pP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1h均值</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24h均值</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1h均值</w:t>
                  </w:r>
                </w:p>
              </w:tc>
              <w:tc>
                <w:tcPr>
                  <w:tcW w:w="1280"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24h均值</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24h均值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58"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项目地上风向</w:t>
                  </w:r>
                </w:p>
              </w:tc>
              <w:tc>
                <w:tcPr>
                  <w:tcW w:w="1423"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24-62</w:t>
                  </w:r>
                </w:p>
              </w:tc>
              <w:tc>
                <w:tcPr>
                  <w:tcW w:w="1281"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34-48</w:t>
                  </w:r>
                </w:p>
              </w:tc>
              <w:tc>
                <w:tcPr>
                  <w:tcW w:w="1281"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23-68</w:t>
                  </w:r>
                </w:p>
              </w:tc>
              <w:tc>
                <w:tcPr>
                  <w:tcW w:w="1280"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41-58</w:t>
                  </w:r>
                </w:p>
              </w:tc>
              <w:tc>
                <w:tcPr>
                  <w:tcW w:w="1646"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120-210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65"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超标率（%）</w:t>
                  </w: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0" w:type="dxa"/>
                  <w:noWrap w:val="0"/>
                  <w:vAlign w:val="center"/>
                </w:tcPr>
                <w:p>
                  <w:pPr>
                    <w:pStyle w:val="71"/>
                    <w:snapToGri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63"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超标倍数</w:t>
                  </w: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0" w:type="dxa"/>
                  <w:noWrap w:val="0"/>
                  <w:vAlign w:val="center"/>
                </w:tcPr>
                <w:p>
                  <w:pPr>
                    <w:pStyle w:val="71"/>
                    <w:snapToGri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43"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项目地下风向</w:t>
                  </w:r>
                </w:p>
              </w:tc>
              <w:tc>
                <w:tcPr>
                  <w:tcW w:w="1423"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25-65</w:t>
                  </w:r>
                </w:p>
              </w:tc>
              <w:tc>
                <w:tcPr>
                  <w:tcW w:w="1281"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35-60</w:t>
                  </w:r>
                </w:p>
              </w:tc>
              <w:tc>
                <w:tcPr>
                  <w:tcW w:w="1281"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31-74</w:t>
                  </w:r>
                </w:p>
              </w:tc>
              <w:tc>
                <w:tcPr>
                  <w:tcW w:w="1280"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45-62</w:t>
                  </w:r>
                </w:p>
              </w:tc>
              <w:tc>
                <w:tcPr>
                  <w:tcW w:w="1646" w:type="dxa"/>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125-215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82"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超标率（%）</w:t>
                  </w: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0" w:type="dxa"/>
                  <w:noWrap w:val="0"/>
                  <w:vAlign w:val="center"/>
                </w:tcPr>
                <w:p>
                  <w:pPr>
                    <w:pStyle w:val="71"/>
                    <w:snapToGri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72"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超标倍数</w:t>
                  </w: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80" w:type="dxa"/>
                  <w:noWrap w:val="0"/>
                  <w:vAlign w:val="center"/>
                </w:tcPr>
                <w:p>
                  <w:pPr>
                    <w:pStyle w:val="71"/>
                    <w:snapToGri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trHeight w:val="176" w:hRule="atLeast"/>
                <w:jc w:val="center"/>
              </w:trPr>
              <w:tc>
                <w:tcPr>
                  <w:tcW w:w="1689"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标准</w:t>
                  </w:r>
                </w:p>
              </w:tc>
              <w:tc>
                <w:tcPr>
                  <w:tcW w:w="1423"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500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c>
                <w:tcPr>
                  <w:tcW w:w="1281"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200</w:t>
                  </w:r>
                </w:p>
              </w:tc>
              <w:tc>
                <w:tcPr>
                  <w:tcW w:w="1280"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80</w:t>
                  </w:r>
                </w:p>
              </w:tc>
              <w:tc>
                <w:tcPr>
                  <w:tcW w:w="1646" w:type="dxa"/>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r>
          </w:tbl>
          <w:p>
            <w:pPr>
              <w:adjustRightInd w:val="0"/>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环境空气质量现状评价结果表明：项目所在区域环境空气质量监测中，SO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和NO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的1h均值、24h均值均满足《环境空气质量标准》（GB3095-2012）中二级标准要求；PM</w:t>
            </w:r>
            <w:r>
              <w:rPr>
                <w:rFonts w:hint="default" w:ascii="Times New Roman" w:hAnsi="Times New Roman" w:cs="Times New Roman"/>
                <w:color w:val="000000"/>
                <w:sz w:val="24"/>
                <w:vertAlign w:val="subscript"/>
              </w:rPr>
              <w:t>10</w:t>
            </w:r>
            <w:r>
              <w:rPr>
                <w:rFonts w:hint="default" w:ascii="Times New Roman" w:hAnsi="Times New Roman" w:cs="Times New Roman"/>
                <w:color w:val="000000"/>
                <w:sz w:val="24"/>
              </w:rPr>
              <w:t>24h均值超标0.4倍左右，这可能跟当地气候条件有关。</w:t>
            </w:r>
          </w:p>
          <w:p>
            <w:pPr>
              <w:pStyle w:val="16"/>
              <w:spacing w:after="0" w:line="480" w:lineRule="exact"/>
              <w:rPr>
                <w:rFonts w:hint="default" w:ascii="Times New Roman" w:hAnsi="Times New Roman" w:cs="Times New Roman"/>
                <w:b/>
                <w:bCs/>
                <w:color w:val="00000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b/>
                <w:bCs/>
                <w:color w:val="000000"/>
                <w:sz w:val="24"/>
                <w:szCs w:val="24"/>
              </w:rPr>
              <w:t>、声环境质量现状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本项目声环境质量监测委托西安普惠环境检测技术有限公司于2017年12月20-21日进行了现状监测。</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监测时间：分昼间与夜间进行监测。</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监测点位：项目声环境质量现状监测布点在建设项目厂界四周，北1#、东2#、南3#、西4#厂界外1m处各一个监测点。</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监测点位分布图见附图5。监测结果见表</w:t>
            </w:r>
            <w:r>
              <w:rPr>
                <w:rFonts w:hint="default" w:ascii="Times New Roman" w:hAnsi="Times New Roman" w:cs="Times New Roman"/>
                <w:color w:val="000000"/>
                <w:sz w:val="24"/>
                <w:lang w:val="en-US" w:eastAsia="zh-CN"/>
              </w:rPr>
              <w:t>8</w:t>
            </w:r>
            <w:r>
              <w:rPr>
                <w:rFonts w:hint="default" w:ascii="Times New Roman" w:hAnsi="Times New Roman" w:cs="Times New Roman"/>
                <w:color w:val="000000"/>
                <w:sz w:val="24"/>
              </w:rPr>
              <w:t>。</w:t>
            </w:r>
          </w:p>
          <w:p>
            <w:pPr>
              <w:spacing w:line="480" w:lineRule="exact"/>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default" w:ascii="Times New Roman" w:hAnsi="Times New Roman" w:cs="Times New Roman"/>
                <w:b/>
                <w:color w:val="000000"/>
                <w:sz w:val="24"/>
                <w:szCs w:val="24"/>
                <w:lang w:val="en-US" w:eastAsia="zh-CN"/>
              </w:rPr>
              <w:t>8</w:t>
            </w:r>
            <w:r>
              <w:rPr>
                <w:rFonts w:hint="default" w:ascii="Times New Roman" w:hAnsi="Times New Roman" w:cs="Times New Roman"/>
                <w:b/>
                <w:color w:val="000000"/>
                <w:sz w:val="24"/>
                <w:szCs w:val="24"/>
              </w:rPr>
              <w:t xml:space="preserve">   环境噪声监测结果统计表   单位dB(A)</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926"/>
              <w:gridCol w:w="1519"/>
              <w:gridCol w:w="1833"/>
              <w:gridCol w:w="1676"/>
              <w:gridCol w:w="167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vMerge w:val="restart"/>
                  <w:tcBorders>
                    <w:top w:val="single" w:color="auto" w:sz="12"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监测地点</w:t>
                  </w:r>
                </w:p>
              </w:tc>
              <w:tc>
                <w:tcPr>
                  <w:tcW w:w="3352" w:type="dxa"/>
                  <w:gridSpan w:val="2"/>
                  <w:tcBorders>
                    <w:top w:val="single" w:color="auto" w:sz="12"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2017年12月20日</w:t>
                  </w:r>
                </w:p>
              </w:tc>
              <w:tc>
                <w:tcPr>
                  <w:tcW w:w="3351" w:type="dxa"/>
                  <w:gridSpan w:val="2"/>
                  <w:tcBorders>
                    <w:top w:val="single" w:color="auto" w:sz="12"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2017年12月21日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vMerge w:val="continue"/>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p>
              </w:tc>
              <w:tc>
                <w:tcPr>
                  <w:tcW w:w="1519"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昼间</w:t>
                  </w:r>
                </w:p>
              </w:tc>
              <w:tc>
                <w:tcPr>
                  <w:tcW w:w="1833"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夜间</w:t>
                  </w:r>
                </w:p>
              </w:tc>
              <w:tc>
                <w:tcPr>
                  <w:tcW w:w="1676"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昼间</w:t>
                  </w:r>
                </w:p>
              </w:tc>
              <w:tc>
                <w:tcPr>
                  <w:tcW w:w="1675"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1#北厂界</w:t>
                  </w:r>
                </w:p>
              </w:tc>
              <w:tc>
                <w:tcPr>
                  <w:tcW w:w="1519"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50.1</w:t>
                  </w:r>
                </w:p>
              </w:tc>
              <w:tc>
                <w:tcPr>
                  <w:tcW w:w="1833"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46.2</w:t>
                  </w:r>
                </w:p>
              </w:tc>
              <w:tc>
                <w:tcPr>
                  <w:tcW w:w="1676"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49.5</w:t>
                  </w:r>
                </w:p>
              </w:tc>
              <w:tc>
                <w:tcPr>
                  <w:tcW w:w="1675"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2#东厂界</w:t>
                  </w:r>
                </w:p>
              </w:tc>
              <w:tc>
                <w:tcPr>
                  <w:tcW w:w="1519"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51.3</w:t>
                  </w:r>
                </w:p>
              </w:tc>
              <w:tc>
                <w:tcPr>
                  <w:tcW w:w="1833"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42.8</w:t>
                  </w:r>
                </w:p>
              </w:tc>
              <w:tc>
                <w:tcPr>
                  <w:tcW w:w="1676"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52.1</w:t>
                  </w:r>
                </w:p>
              </w:tc>
              <w:tc>
                <w:tcPr>
                  <w:tcW w:w="1675"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tcBorders>
                    <w:top w:val="single" w:color="auto" w:sz="6" w:space="0"/>
                    <w:bottom w:val="single" w:color="auto" w:sz="6"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3#南厂界</w:t>
                  </w:r>
                </w:p>
              </w:tc>
              <w:tc>
                <w:tcPr>
                  <w:tcW w:w="1519"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52.9</w:t>
                  </w:r>
                </w:p>
              </w:tc>
              <w:tc>
                <w:tcPr>
                  <w:tcW w:w="1833"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43.4</w:t>
                  </w:r>
                </w:p>
              </w:tc>
              <w:tc>
                <w:tcPr>
                  <w:tcW w:w="1676"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52.3</w:t>
                  </w:r>
                </w:p>
              </w:tc>
              <w:tc>
                <w:tcPr>
                  <w:tcW w:w="1675"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tcBorders>
                    <w:top w:val="single" w:color="auto" w:sz="6" w:space="0"/>
                    <w:bottom w:val="single" w:color="auto" w:sz="6"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4#西厂界</w:t>
                  </w:r>
                </w:p>
              </w:tc>
              <w:tc>
                <w:tcPr>
                  <w:tcW w:w="1519" w:type="dxa"/>
                  <w:tcBorders>
                    <w:top w:val="single" w:color="auto" w:sz="6" w:space="0"/>
                    <w:left w:val="single" w:color="auto" w:sz="4" w:space="0"/>
                    <w:bottom w:val="single" w:color="auto" w:sz="6" w:space="0"/>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49.9</w:t>
                  </w:r>
                </w:p>
              </w:tc>
              <w:tc>
                <w:tcPr>
                  <w:tcW w:w="1833"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43.7</w:t>
                  </w:r>
                </w:p>
              </w:tc>
              <w:tc>
                <w:tcPr>
                  <w:tcW w:w="1676"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50.4</w:t>
                  </w:r>
                </w:p>
              </w:tc>
              <w:tc>
                <w:tcPr>
                  <w:tcW w:w="1675" w:type="dxa"/>
                  <w:tcBorders>
                    <w:top w:val="single" w:color="auto" w:sz="6" w:space="0"/>
                    <w:bottom w:val="single" w:color="auto" w:sz="6" w:space="0"/>
                  </w:tcBorders>
                  <w:noWrap w:val="0"/>
                  <w:vAlign w:val="center"/>
                </w:tcPr>
                <w:p>
                  <w:pPr>
                    <w:widowControl/>
                    <w:jc w:val="center"/>
                    <w:textAlignment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43.2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1926" w:type="dxa"/>
                  <w:tcBorders>
                    <w:top w:val="single" w:color="auto" w:sz="6" w:space="0"/>
                    <w:bottom w:val="single" w:color="auto" w:sz="12"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2类区标准</w:t>
                  </w:r>
                </w:p>
              </w:tc>
              <w:tc>
                <w:tcPr>
                  <w:tcW w:w="6703" w:type="dxa"/>
                  <w:gridSpan w:val="4"/>
                  <w:tcBorders>
                    <w:top w:val="single" w:color="auto" w:sz="6" w:space="0"/>
                    <w:left w:val="single" w:color="auto" w:sz="4" w:space="0"/>
                    <w:bottom w:val="single" w:color="auto" w:sz="12"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昼间60、夜间50</w:t>
                  </w:r>
                </w:p>
              </w:tc>
            </w:tr>
          </w:tbl>
          <w:p>
            <w:pPr>
              <w:overflowPunct w:val="0"/>
              <w:topLinePunct/>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rPr>
              <w:t>根</w:t>
            </w:r>
            <w:r>
              <w:rPr>
                <w:rFonts w:hint="default" w:ascii="Times New Roman" w:hAnsi="Times New Roman" w:cs="Times New Roman"/>
                <w:color w:val="000000"/>
                <w:sz w:val="24"/>
                <w:szCs w:val="24"/>
              </w:rPr>
              <w:t>监测结果表明，正常工况下，项目场界四周昼间噪声值满足《声环境质量标准》（GB3096-2008）2类标准要求。</w:t>
            </w: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pStyle w:val="14"/>
              <w:spacing w:line="240" w:lineRule="auto"/>
              <w:rPr>
                <w:rFonts w:hint="default" w:ascii="Times New Roman" w:hAnsi="Times New Roman" w:cs="Times New Roman"/>
                <w:color w:val="000000"/>
                <w:sz w:val="24"/>
              </w:rPr>
            </w:pPr>
          </w:p>
          <w:p>
            <w:pPr>
              <w:spacing w:line="360" w:lineRule="auto"/>
              <w:rPr>
                <w:rFonts w:hint="default" w:ascii="Times New Roman" w:hAnsi="Times New Roman" w:cs="Times New Roman"/>
                <w:b/>
                <w:color w:val="000000"/>
                <w:sz w:val="30"/>
              </w:rPr>
            </w:pPr>
            <w:r>
              <w:rPr>
                <w:rFonts w:hint="default" w:ascii="Times New Roman" w:hAnsi="Times New Roman" w:cs="Times New Roman"/>
                <w:b/>
                <w:color w:val="000000"/>
                <w:sz w:val="30"/>
              </w:rPr>
              <w:t>主要环境保护目标（列出名单及保护级别）</w:t>
            </w:r>
          </w:p>
          <w:p>
            <w:pPr>
              <w:spacing w:line="360" w:lineRule="auto"/>
              <w:ind w:firstLine="475" w:firstLineChars="198"/>
              <w:rPr>
                <w:rFonts w:hint="default" w:ascii="Times New Roman" w:hAnsi="Times New Roman" w:cs="Times New Roman"/>
                <w:bCs/>
                <w:color w:val="000000"/>
                <w:sz w:val="24"/>
              </w:rPr>
            </w:pPr>
            <w:r>
              <w:rPr>
                <w:rFonts w:hint="default" w:ascii="Times New Roman" w:hAnsi="Times New Roman" w:cs="Times New Roman"/>
                <w:color w:val="000000"/>
                <w:sz w:val="24"/>
              </w:rPr>
              <w:t>根据本项目特性和所在地环境特征，本项目</w:t>
            </w:r>
            <w:r>
              <w:rPr>
                <w:rFonts w:hint="default" w:ascii="Times New Roman" w:hAnsi="Times New Roman" w:cs="Times New Roman"/>
                <w:bCs/>
                <w:color w:val="000000"/>
                <w:sz w:val="24"/>
              </w:rPr>
              <w:t>主要环境保护目标见表</w:t>
            </w:r>
            <w:r>
              <w:rPr>
                <w:rFonts w:hint="default" w:ascii="Times New Roman" w:hAnsi="Times New Roman" w:cs="Times New Roman"/>
                <w:bCs/>
                <w:color w:val="000000"/>
                <w:sz w:val="24"/>
                <w:lang w:val="en-US" w:eastAsia="zh-CN"/>
              </w:rPr>
              <w:t>9</w:t>
            </w:r>
            <w:r>
              <w:rPr>
                <w:rFonts w:hint="default" w:ascii="Times New Roman" w:hAnsi="Times New Roman" w:cs="Times New Roman"/>
                <w:bCs/>
                <w:color w:val="000000"/>
                <w:sz w:val="24"/>
              </w:rPr>
              <w:t>。</w:t>
            </w:r>
          </w:p>
          <w:p>
            <w:pPr>
              <w:spacing w:line="480" w:lineRule="exact"/>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default" w:ascii="Times New Roman" w:hAnsi="Times New Roman" w:cs="Times New Roman"/>
                <w:b/>
                <w:color w:val="000000"/>
                <w:sz w:val="24"/>
                <w:szCs w:val="24"/>
                <w:lang w:val="en-US" w:eastAsia="zh-CN"/>
              </w:rPr>
              <w:t>9</w:t>
            </w:r>
            <w:r>
              <w:rPr>
                <w:rFonts w:hint="default" w:ascii="Times New Roman" w:hAnsi="Times New Roman" w:cs="Times New Roman"/>
                <w:b/>
                <w:color w:val="000000"/>
                <w:sz w:val="24"/>
                <w:szCs w:val="24"/>
              </w:rPr>
              <w:t xml:space="preserve">   主要环境保护目标</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77"/>
              <w:gridCol w:w="701"/>
              <w:gridCol w:w="1218"/>
              <w:gridCol w:w="1300"/>
              <w:gridCol w:w="675"/>
              <w:gridCol w:w="2225"/>
              <w:gridCol w:w="800"/>
              <w:gridCol w:w="94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45" w:hRule="atLeast"/>
                <w:jc w:val="center"/>
              </w:trPr>
              <w:tc>
                <w:tcPr>
                  <w:tcW w:w="677" w:type="dxa"/>
                  <w:vMerge w:val="restart"/>
                  <w:tcBorders>
                    <w:top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类别</w:t>
                  </w:r>
                </w:p>
              </w:tc>
              <w:tc>
                <w:tcPr>
                  <w:tcW w:w="701" w:type="dxa"/>
                  <w:vMerge w:val="restart"/>
                  <w:tcBorders>
                    <w:top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保护目标</w:t>
                  </w:r>
                </w:p>
              </w:tc>
              <w:tc>
                <w:tcPr>
                  <w:tcW w:w="2518" w:type="dxa"/>
                  <w:gridSpan w:val="2"/>
                  <w:tcBorders>
                    <w:top w:val="single" w:color="auto" w:sz="12" w:space="0"/>
                  </w:tcBorders>
                  <w:noWrap w:val="0"/>
                  <w:vAlign w:val="center"/>
                </w:tcPr>
                <w:p>
                  <w:pPr>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坐标</w:t>
                  </w:r>
                </w:p>
              </w:tc>
              <w:tc>
                <w:tcPr>
                  <w:tcW w:w="675" w:type="dxa"/>
                  <w:vMerge w:val="restart"/>
                  <w:tcBorders>
                    <w:top w:val="single" w:color="auto" w:sz="12" w:space="0"/>
                  </w:tcBorders>
                  <w:noWrap w:val="0"/>
                  <w:vAlign w:val="center"/>
                </w:tcPr>
                <w:p>
                  <w:pPr>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rPr>
                    <w:t>保护</w:t>
                  </w:r>
                  <w:r>
                    <w:rPr>
                      <w:rFonts w:hint="default" w:ascii="Times New Roman" w:hAnsi="Times New Roman" w:cs="Times New Roman"/>
                      <w:bCs/>
                      <w:color w:val="000000"/>
                      <w:szCs w:val="21"/>
                      <w:lang w:eastAsia="zh-CN"/>
                    </w:rPr>
                    <w:t>内容</w:t>
                  </w:r>
                </w:p>
              </w:tc>
              <w:tc>
                <w:tcPr>
                  <w:tcW w:w="2225" w:type="dxa"/>
                  <w:vMerge w:val="restart"/>
                  <w:tcBorders>
                    <w:top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保护级别及要求</w:t>
                  </w:r>
                </w:p>
              </w:tc>
              <w:tc>
                <w:tcPr>
                  <w:tcW w:w="800" w:type="dxa"/>
                  <w:vMerge w:val="restart"/>
                  <w:tcBorders>
                    <w:top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相对方位</w:t>
                  </w:r>
                </w:p>
              </w:tc>
              <w:tc>
                <w:tcPr>
                  <w:tcW w:w="943" w:type="dxa"/>
                  <w:vMerge w:val="restart"/>
                  <w:tcBorders>
                    <w:top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相对距离（m）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45" w:hRule="atLeast"/>
                <w:jc w:val="center"/>
              </w:trPr>
              <w:tc>
                <w:tcPr>
                  <w:tcW w:w="677" w:type="dxa"/>
                  <w:vMerge w:val="continue"/>
                  <w:noWrap w:val="0"/>
                  <w:vAlign w:val="center"/>
                </w:tcPr>
                <w:p>
                  <w:pPr>
                    <w:jc w:val="center"/>
                    <w:rPr>
                      <w:rFonts w:hint="default" w:ascii="Times New Roman" w:hAnsi="Times New Roman" w:cs="Times New Roman"/>
                      <w:bCs/>
                      <w:color w:val="000000"/>
                      <w:szCs w:val="21"/>
                    </w:rPr>
                  </w:pPr>
                </w:p>
              </w:tc>
              <w:tc>
                <w:tcPr>
                  <w:tcW w:w="701" w:type="dxa"/>
                  <w:vMerge w:val="continue"/>
                  <w:noWrap w:val="0"/>
                  <w:vAlign w:val="center"/>
                </w:tcPr>
                <w:p>
                  <w:pPr>
                    <w:jc w:val="center"/>
                    <w:rPr>
                      <w:rFonts w:hint="default" w:ascii="Times New Roman" w:hAnsi="Times New Roman" w:cs="Times New Roman"/>
                      <w:bCs/>
                      <w:color w:val="000000"/>
                      <w:szCs w:val="21"/>
                    </w:rPr>
                  </w:pPr>
                </w:p>
              </w:tc>
              <w:tc>
                <w:tcPr>
                  <w:tcW w:w="1218" w:type="dxa"/>
                  <w:tcBorders>
                    <w:top w:val="single" w:color="auto" w:sz="12" w:space="0"/>
                    <w:right w:val="single" w:color="auto" w:sz="4" w:space="0"/>
                  </w:tcBorders>
                  <w:noWrap w:val="0"/>
                  <w:vAlign w:val="center"/>
                </w:tcPr>
                <w:p>
                  <w:pPr>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经度</w:t>
                  </w:r>
                </w:p>
              </w:tc>
              <w:tc>
                <w:tcPr>
                  <w:tcW w:w="1300" w:type="dxa"/>
                  <w:tcBorders>
                    <w:top w:val="single" w:color="auto" w:sz="12" w:space="0"/>
                    <w:left w:val="single" w:color="auto" w:sz="4" w:space="0"/>
                  </w:tcBorders>
                  <w:noWrap w:val="0"/>
                  <w:vAlign w:val="center"/>
                </w:tcPr>
                <w:p>
                  <w:pPr>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纬度</w:t>
                  </w:r>
                </w:p>
              </w:tc>
              <w:tc>
                <w:tcPr>
                  <w:tcW w:w="675" w:type="dxa"/>
                  <w:vMerge w:val="continue"/>
                  <w:noWrap w:val="0"/>
                  <w:vAlign w:val="center"/>
                </w:tcPr>
                <w:p>
                  <w:pPr>
                    <w:jc w:val="center"/>
                    <w:rPr>
                      <w:rFonts w:hint="default" w:ascii="Times New Roman" w:hAnsi="Times New Roman" w:cs="Times New Roman"/>
                      <w:bCs/>
                      <w:color w:val="000000"/>
                      <w:szCs w:val="21"/>
                    </w:rPr>
                  </w:pPr>
                </w:p>
              </w:tc>
              <w:tc>
                <w:tcPr>
                  <w:tcW w:w="2225" w:type="dxa"/>
                  <w:vMerge w:val="continue"/>
                  <w:noWrap w:val="0"/>
                  <w:vAlign w:val="center"/>
                </w:tcPr>
                <w:p>
                  <w:pPr>
                    <w:jc w:val="center"/>
                    <w:rPr>
                      <w:rFonts w:hint="default" w:ascii="Times New Roman" w:hAnsi="Times New Roman" w:cs="Times New Roman"/>
                      <w:bCs/>
                      <w:color w:val="000000"/>
                      <w:szCs w:val="21"/>
                    </w:rPr>
                  </w:pPr>
                </w:p>
              </w:tc>
              <w:tc>
                <w:tcPr>
                  <w:tcW w:w="800" w:type="dxa"/>
                  <w:vMerge w:val="continue"/>
                  <w:noWrap w:val="0"/>
                  <w:vAlign w:val="center"/>
                </w:tcPr>
                <w:p>
                  <w:pPr>
                    <w:jc w:val="center"/>
                    <w:rPr>
                      <w:rFonts w:hint="default" w:ascii="Times New Roman" w:hAnsi="Times New Roman" w:cs="Times New Roman"/>
                      <w:bCs/>
                      <w:color w:val="000000"/>
                      <w:szCs w:val="21"/>
                    </w:rPr>
                  </w:pPr>
                </w:p>
              </w:tc>
              <w:tc>
                <w:tcPr>
                  <w:tcW w:w="943" w:type="dxa"/>
                  <w:vMerge w:val="continue"/>
                  <w:noWrap w:val="0"/>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jc w:val="center"/>
              </w:trPr>
              <w:tc>
                <w:tcPr>
                  <w:tcW w:w="677" w:type="dxa"/>
                  <w:vMerge w:val="restart"/>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大气环境</w:t>
                  </w:r>
                </w:p>
              </w:tc>
              <w:tc>
                <w:tcPr>
                  <w:tcW w:w="701" w:type="dxa"/>
                  <w:tcBorders>
                    <w:top w:val="single" w:color="auto" w:sz="4" w:space="0"/>
                    <w:bottom w:val="single" w:color="auto" w:sz="4"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唐家寨村</w:t>
                  </w:r>
                </w:p>
              </w:tc>
              <w:tc>
                <w:tcPr>
                  <w:tcW w:w="1218" w:type="dxa"/>
                  <w:tcBorders>
                    <w:top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109.081621</w:t>
                  </w:r>
                </w:p>
              </w:tc>
              <w:tc>
                <w:tcPr>
                  <w:tcW w:w="1300"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34.262040</w:t>
                  </w:r>
                </w:p>
              </w:tc>
              <w:tc>
                <w:tcPr>
                  <w:tcW w:w="675" w:type="dxa"/>
                  <w:vMerge w:val="restart"/>
                  <w:tcBorders>
                    <w:top w:val="single" w:color="auto" w:sz="4" w:space="0"/>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人群</w:t>
                  </w:r>
                </w:p>
              </w:tc>
              <w:tc>
                <w:tcPr>
                  <w:tcW w:w="2225"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《环境空气质量标准》（GB3095-2012）二级标准</w:t>
                  </w:r>
                </w:p>
              </w:tc>
              <w:tc>
                <w:tcPr>
                  <w:tcW w:w="80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WN</w:t>
                  </w:r>
                </w:p>
              </w:tc>
              <w:tc>
                <w:tcPr>
                  <w:tcW w:w="94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170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60" w:hRule="atLeast"/>
                <w:jc w:val="center"/>
              </w:trPr>
              <w:tc>
                <w:tcPr>
                  <w:tcW w:w="677" w:type="dxa"/>
                  <w:vMerge w:val="continue"/>
                  <w:noWrap w:val="0"/>
                  <w:vAlign w:val="center"/>
                </w:tcPr>
                <w:p>
                  <w:pPr>
                    <w:jc w:val="center"/>
                    <w:rPr>
                      <w:rFonts w:hint="default" w:ascii="Times New Roman" w:hAnsi="Times New Roman" w:cs="Times New Roman"/>
                      <w:bCs/>
                      <w:color w:val="000000"/>
                      <w:szCs w:val="21"/>
                    </w:rPr>
                  </w:pPr>
                </w:p>
              </w:tc>
              <w:tc>
                <w:tcPr>
                  <w:tcW w:w="701" w:type="dxa"/>
                  <w:tcBorders>
                    <w:top w:val="single" w:color="auto" w:sz="4" w:space="0"/>
                    <w:bottom w:val="single" w:color="auto" w:sz="4"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枣园苏村</w:t>
                  </w:r>
                </w:p>
              </w:tc>
              <w:tc>
                <w:tcPr>
                  <w:tcW w:w="121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109.084110</w:t>
                  </w:r>
                </w:p>
              </w:tc>
              <w:tc>
                <w:tcPr>
                  <w:tcW w:w="1300"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34.268495</w:t>
                  </w:r>
                </w:p>
              </w:tc>
              <w:tc>
                <w:tcPr>
                  <w:tcW w:w="675" w:type="dxa"/>
                  <w:vMerge w:val="continue"/>
                  <w:tcBorders>
                    <w:bottom w:val="single" w:color="auto" w:sz="4" w:space="0"/>
                  </w:tcBorders>
                  <w:noWrap w:val="0"/>
                  <w:vAlign w:val="center"/>
                </w:tcPr>
                <w:p>
                  <w:pPr>
                    <w:jc w:val="center"/>
                    <w:rPr>
                      <w:rFonts w:hint="default" w:ascii="Times New Roman" w:hAnsi="Times New Roman" w:cs="Times New Roman"/>
                      <w:color w:val="000000"/>
                      <w:szCs w:val="21"/>
                    </w:rPr>
                  </w:pPr>
                </w:p>
              </w:tc>
              <w:tc>
                <w:tcPr>
                  <w:tcW w:w="2225" w:type="dxa"/>
                  <w:vMerge w:val="continue"/>
                  <w:noWrap w:val="0"/>
                  <w:vAlign w:val="center"/>
                </w:tcPr>
                <w:p>
                  <w:pPr>
                    <w:jc w:val="center"/>
                    <w:rPr>
                      <w:rFonts w:hint="default" w:ascii="Times New Roman" w:hAnsi="Times New Roman" w:cs="Times New Roman"/>
                      <w:color w:val="000000"/>
                      <w:szCs w:val="21"/>
                    </w:rPr>
                  </w:pPr>
                </w:p>
              </w:tc>
              <w:tc>
                <w:tcPr>
                  <w:tcW w:w="80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w:t>
                  </w:r>
                </w:p>
              </w:tc>
              <w:tc>
                <w:tcPr>
                  <w:tcW w:w="94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10" w:hRule="atLeast"/>
                <w:jc w:val="center"/>
              </w:trPr>
              <w:tc>
                <w:tcPr>
                  <w:tcW w:w="677"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声环境</w:t>
                  </w:r>
                </w:p>
              </w:tc>
              <w:tc>
                <w:tcPr>
                  <w:tcW w:w="701" w:type="dxa"/>
                  <w:tcBorders>
                    <w:top w:val="single" w:color="auto" w:sz="4" w:space="0"/>
                    <w:bottom w:val="single" w:color="auto" w:sz="4"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伍府井</w:t>
                  </w:r>
                </w:p>
              </w:tc>
              <w:tc>
                <w:tcPr>
                  <w:tcW w:w="121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109.081964</w:t>
                  </w:r>
                </w:p>
              </w:tc>
              <w:tc>
                <w:tcPr>
                  <w:tcW w:w="1300"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34.260799</w:t>
                  </w:r>
                </w:p>
              </w:tc>
              <w:tc>
                <w:tcPr>
                  <w:tcW w:w="675" w:type="dxa"/>
                  <w:tcBorders>
                    <w:top w:val="single" w:color="auto" w:sz="4" w:space="0"/>
                    <w:bottom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人群</w:t>
                  </w:r>
                </w:p>
              </w:tc>
              <w:tc>
                <w:tcPr>
                  <w:tcW w:w="222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《声环境质量标准》（GB3096-2008）2类标</w:t>
                  </w:r>
                </w:p>
              </w:tc>
              <w:tc>
                <w:tcPr>
                  <w:tcW w:w="80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w:t>
                  </w:r>
                </w:p>
              </w:tc>
              <w:tc>
                <w:tcPr>
                  <w:tcW w:w="94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10" w:hRule="atLeast"/>
                <w:jc w:val="center"/>
              </w:trPr>
              <w:tc>
                <w:tcPr>
                  <w:tcW w:w="677" w:type="dxa"/>
                  <w:tcBorders>
                    <w:bottom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地表水</w:t>
                  </w:r>
                </w:p>
              </w:tc>
              <w:tc>
                <w:tcPr>
                  <w:tcW w:w="701" w:type="dxa"/>
                  <w:tcBorders>
                    <w:top w:val="single" w:color="auto" w:sz="4" w:space="0"/>
                    <w:bottom w:val="single" w:color="auto" w:sz="12" w:space="0"/>
                  </w:tcBorders>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灞河</w:t>
                  </w:r>
                </w:p>
              </w:tc>
              <w:tc>
                <w:tcPr>
                  <w:tcW w:w="1218" w:type="dxa"/>
                  <w:tcBorders>
                    <w:top w:val="single" w:color="auto" w:sz="4" w:space="0"/>
                    <w:bottom w:val="single" w:color="auto" w:sz="12"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109.108658</w:t>
                  </w:r>
                </w:p>
              </w:tc>
              <w:tc>
                <w:tcPr>
                  <w:tcW w:w="1300" w:type="dxa"/>
                  <w:tcBorders>
                    <w:top w:val="single" w:color="auto" w:sz="4" w:space="0"/>
                    <w:bottom w:val="single" w:color="auto" w:sz="12"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34.276510</w:t>
                  </w:r>
                </w:p>
              </w:tc>
              <w:tc>
                <w:tcPr>
                  <w:tcW w:w="675" w:type="dxa"/>
                  <w:tcBorders>
                    <w:top w:val="single" w:color="auto" w:sz="4" w:space="0"/>
                    <w:bottom w:val="single" w:color="auto" w:sz="12" w:space="0"/>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河流</w:t>
                  </w:r>
                </w:p>
              </w:tc>
              <w:tc>
                <w:tcPr>
                  <w:tcW w:w="2225" w:type="dxa"/>
                  <w:tcBorders>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《地表水环境质量标准》（GB3838-2002）Ⅲ类水域标准</w:t>
                  </w:r>
                </w:p>
              </w:tc>
              <w:tc>
                <w:tcPr>
                  <w:tcW w:w="800" w:type="dxa"/>
                  <w:tcBorders>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E</w:t>
                  </w:r>
                </w:p>
              </w:tc>
              <w:tc>
                <w:tcPr>
                  <w:tcW w:w="943" w:type="dxa"/>
                  <w:tcBorders>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2800</w:t>
                  </w:r>
                </w:p>
              </w:tc>
            </w:tr>
          </w:tbl>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p>
            <w:pPr>
              <w:pStyle w:val="14"/>
              <w:spacing w:line="360" w:lineRule="auto"/>
              <w:rPr>
                <w:rFonts w:hint="default" w:ascii="Times New Roman" w:hAnsi="Times New Roman" w:cs="Times New Roman"/>
                <w:color w:val="000000"/>
                <w:sz w:val="24"/>
              </w:rPr>
            </w:pPr>
          </w:p>
        </w:tc>
      </w:tr>
    </w:tbl>
    <w:p>
      <w:pP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br w:type="page"/>
      </w:r>
      <w:r>
        <w:rPr>
          <w:rFonts w:hint="default" w:ascii="Times New Roman" w:hAnsi="Times New Roman" w:eastAsia="黑体" w:cs="Times New Roman"/>
          <w:b/>
          <w:color w:val="000000"/>
          <w:sz w:val="32"/>
          <w:szCs w:val="32"/>
        </w:rPr>
        <w:t>评价适用标准</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
      <w:tblGrid>
        <w:gridCol w:w="496"/>
        <w:gridCol w:w="79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CellMar>
            <w:top w:w="0" w:type="dxa"/>
            <w:left w:w="108" w:type="dxa"/>
            <w:bottom w:w="0" w:type="dxa"/>
            <w:right w:w="108" w:type="dxa"/>
          </w:tblCellMar>
        </w:tblPrEx>
        <w:trPr>
          <w:wBefore w:w="0" w:type="dxa"/>
          <w:wAfter w:w="0" w:type="dxa"/>
          <w:trHeight w:val="20" w:hRule="atLeast"/>
          <w:jc w:val="center"/>
        </w:trPr>
        <w:tc>
          <w:tcPr>
            <w:tcW w:w="496" w:type="dxa"/>
            <w:noWrap w:val="0"/>
            <w:vAlign w:val="top"/>
          </w:tcPr>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环</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境</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质</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量</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标</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准</w:t>
            </w: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tc>
        <w:tc>
          <w:tcPr>
            <w:tcW w:w="7900" w:type="dxa"/>
            <w:noWrap w:val="0"/>
            <w:vAlign w:val="top"/>
          </w:tcPr>
          <w:p>
            <w:pPr>
              <w:tabs>
                <w:tab w:val="left" w:pos="4404"/>
              </w:tabs>
              <w:spacing w:line="360" w:lineRule="auto"/>
              <w:ind w:firstLine="470" w:firstLineChars="196"/>
              <w:rPr>
                <w:rFonts w:hint="default" w:ascii="Times New Roman" w:hAnsi="Times New Roman" w:cs="Times New Roman"/>
                <w:b/>
                <w:color w:val="000000"/>
                <w:sz w:val="24"/>
              </w:rPr>
            </w:pPr>
            <w:r>
              <w:rPr>
                <w:rFonts w:hint="default" w:ascii="Times New Roman" w:hAnsi="Times New Roman" w:cs="Times New Roman"/>
                <w:color w:val="000000"/>
                <w:kern w:val="0"/>
                <w:sz w:val="24"/>
                <w:szCs w:val="24"/>
              </w:rPr>
              <w:t>本项目的环境质量标准执行如下：</w:t>
            </w:r>
          </w:p>
          <w:p>
            <w:pPr>
              <w:tabs>
                <w:tab w:val="left" w:pos="4404"/>
              </w:tabs>
              <w:spacing w:line="360" w:lineRule="auto"/>
              <w:ind w:firstLine="472" w:firstLineChars="196"/>
              <w:rPr>
                <w:rFonts w:hint="default" w:ascii="Times New Roman" w:hAnsi="Times New Roman" w:cs="Times New Roman"/>
                <w:b/>
                <w:color w:val="000000"/>
                <w:sz w:val="24"/>
              </w:rPr>
            </w:pPr>
            <w:r>
              <w:rPr>
                <w:rFonts w:hint="default" w:ascii="Times New Roman" w:hAnsi="Times New Roman" w:cs="Times New Roman"/>
                <w:b/>
                <w:color w:val="000000"/>
                <w:sz w:val="24"/>
              </w:rPr>
              <w:t>1、环境空气质量</w:t>
            </w:r>
          </w:p>
          <w:p>
            <w:pPr>
              <w:tabs>
                <w:tab w:val="left" w:pos="4404"/>
              </w:tabs>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项目所在区环境空气质量评价执行国家《环境空气质量标准》（GB3095-2012）中二级标准，标准值如下表</w:t>
            </w:r>
            <w:r>
              <w:rPr>
                <w:rFonts w:hint="default" w:ascii="Times New Roman" w:hAnsi="Times New Roman" w:cs="Times New Roman"/>
                <w:color w:val="000000"/>
                <w:sz w:val="24"/>
                <w:lang w:val="en-US" w:eastAsia="zh-CN"/>
              </w:rPr>
              <w:t>10</w:t>
            </w:r>
            <w:r>
              <w:rPr>
                <w:rFonts w:hint="default" w:ascii="Times New Roman" w:hAnsi="Times New Roman" w:cs="Times New Roman"/>
                <w:color w:val="000000"/>
                <w:sz w:val="24"/>
              </w:rPr>
              <w:t>。</w:t>
            </w:r>
          </w:p>
          <w:p>
            <w:pPr>
              <w:pStyle w:val="147"/>
              <w:snapToGrid w:val="0"/>
              <w:spacing w:before="62" w:beforeLines="20" w:after="31" w:afterLines="10"/>
              <w:jc w:val="center"/>
              <w:rPr>
                <w:rFonts w:hint="default" w:ascii="Times New Roman" w:hAnsi="Times New Roman" w:cs="Times New Roman"/>
                <w:b/>
                <w:color w:val="000000"/>
                <w:szCs w:val="24"/>
              </w:rPr>
            </w:pPr>
            <w:r>
              <w:rPr>
                <w:rFonts w:hint="default" w:ascii="Times New Roman" w:hAnsi="Times New Roman" w:cs="Times New Roman"/>
                <w:b/>
                <w:color w:val="000000"/>
                <w:szCs w:val="24"/>
              </w:rPr>
              <w:t>表</w:t>
            </w:r>
            <w:r>
              <w:rPr>
                <w:rFonts w:hint="default" w:ascii="Times New Roman" w:hAnsi="Times New Roman" w:cs="Times New Roman"/>
                <w:b/>
                <w:color w:val="000000"/>
                <w:szCs w:val="24"/>
                <w:lang w:val="en-US" w:eastAsia="zh-CN"/>
              </w:rPr>
              <w:t>1</w:t>
            </w:r>
            <w:r>
              <w:rPr>
                <w:rFonts w:hint="default" w:ascii="Times New Roman" w:hAnsi="Times New Roman" w:cs="Times New Roman"/>
                <w:b/>
                <w:color w:val="000000"/>
                <w:szCs w:val="24"/>
                <w:lang w:val="en-US" w:eastAsia="zh-CN"/>
              </w:rPr>
              <w:t>0</w:t>
            </w:r>
            <w:r>
              <w:rPr>
                <w:rFonts w:hint="default" w:ascii="Times New Roman" w:hAnsi="Times New Roman" w:cs="Times New Roman"/>
                <w:b/>
                <w:color w:val="000000"/>
                <w:szCs w:val="24"/>
              </w:rPr>
              <w:t xml:space="preserve">   环境空气污染物基本项目浓度限值  ug/L</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766"/>
              <w:gridCol w:w="709"/>
              <w:gridCol w:w="992"/>
              <w:gridCol w:w="851"/>
              <w:gridCol w:w="1134"/>
              <w:gridCol w:w="1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 w:hRule="atLeast"/>
                <w:jc w:val="center"/>
              </w:trPr>
              <w:tc>
                <w:tcPr>
                  <w:tcW w:w="1029"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区域名</w:t>
                  </w:r>
                </w:p>
              </w:tc>
              <w:tc>
                <w:tcPr>
                  <w:tcW w:w="1766"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执行标准</w:t>
                  </w:r>
                </w:p>
              </w:tc>
              <w:tc>
                <w:tcPr>
                  <w:tcW w:w="709"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级别</w:t>
                  </w:r>
                </w:p>
              </w:tc>
              <w:tc>
                <w:tcPr>
                  <w:tcW w:w="992"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污染物名称</w:t>
                  </w:r>
                </w:p>
              </w:tc>
              <w:tc>
                <w:tcPr>
                  <w:tcW w:w="851"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浓度</w:t>
                  </w:r>
                </w:p>
                <w:p>
                  <w:pPr>
                    <w:jc w:val="center"/>
                    <w:rPr>
                      <w:rFonts w:hint="default" w:ascii="Times New Roman" w:hAnsi="Times New Roman" w:cs="Times New Roman"/>
                      <w:color w:val="000000"/>
                    </w:rPr>
                  </w:pPr>
                  <w:r>
                    <w:rPr>
                      <w:rFonts w:hint="default" w:ascii="Times New Roman" w:hAnsi="Times New Roman" w:cs="Times New Roman"/>
                      <w:color w:val="000000"/>
                    </w:rPr>
                    <w:t>单位</w:t>
                  </w:r>
                </w:p>
              </w:tc>
              <w:tc>
                <w:tcPr>
                  <w:tcW w:w="2246" w:type="dxa"/>
                  <w:gridSpan w:val="2"/>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 w:hRule="atLeast"/>
                <w:jc w:val="center"/>
              </w:trPr>
              <w:tc>
                <w:tcPr>
                  <w:tcW w:w="1029" w:type="dxa"/>
                  <w:vMerge w:val="continue"/>
                  <w:noWrap w:val="0"/>
                  <w:vAlign w:val="center"/>
                </w:tcPr>
                <w:p>
                  <w:pPr>
                    <w:jc w:val="center"/>
                    <w:rPr>
                      <w:rFonts w:hint="default" w:ascii="Times New Roman" w:hAnsi="Times New Roman" w:cs="Times New Roman"/>
                      <w:color w:val="000000"/>
                    </w:rPr>
                  </w:pPr>
                </w:p>
              </w:tc>
              <w:tc>
                <w:tcPr>
                  <w:tcW w:w="1766" w:type="dxa"/>
                  <w:vMerge w:val="continue"/>
                  <w:noWrap w:val="0"/>
                  <w:vAlign w:val="center"/>
                </w:tcPr>
                <w:p>
                  <w:pPr>
                    <w:jc w:val="center"/>
                    <w:rPr>
                      <w:rFonts w:hint="default" w:ascii="Times New Roman" w:hAnsi="Times New Roman" w:cs="Times New Roman"/>
                      <w:color w:val="000000"/>
                    </w:rPr>
                  </w:pPr>
                </w:p>
              </w:tc>
              <w:tc>
                <w:tcPr>
                  <w:tcW w:w="709" w:type="dxa"/>
                  <w:vMerge w:val="continue"/>
                  <w:noWrap w:val="0"/>
                  <w:vAlign w:val="top"/>
                </w:tcPr>
                <w:p>
                  <w:pPr>
                    <w:jc w:val="center"/>
                    <w:rPr>
                      <w:rFonts w:hint="default" w:ascii="Times New Roman" w:hAnsi="Times New Roman" w:cs="Times New Roman"/>
                      <w:color w:val="000000"/>
                    </w:rPr>
                  </w:pPr>
                </w:p>
              </w:tc>
              <w:tc>
                <w:tcPr>
                  <w:tcW w:w="992" w:type="dxa"/>
                  <w:vMerge w:val="continue"/>
                  <w:noWrap w:val="0"/>
                  <w:vAlign w:val="top"/>
                </w:tcPr>
                <w:p>
                  <w:pPr>
                    <w:jc w:val="center"/>
                    <w:rPr>
                      <w:rFonts w:hint="default" w:ascii="Times New Roman" w:hAnsi="Times New Roman" w:cs="Times New Roman"/>
                      <w:color w:val="000000"/>
                    </w:rPr>
                  </w:pPr>
                </w:p>
              </w:tc>
              <w:tc>
                <w:tcPr>
                  <w:tcW w:w="851" w:type="dxa"/>
                  <w:vMerge w:val="continue"/>
                  <w:noWrap w:val="0"/>
                  <w:vAlign w:val="top"/>
                </w:tcPr>
                <w:p>
                  <w:pPr>
                    <w:jc w:val="center"/>
                    <w:rPr>
                      <w:rFonts w:hint="default" w:ascii="Times New Roman" w:hAnsi="Times New Roman" w:cs="Times New Roman"/>
                      <w:color w:val="000000"/>
                    </w:rPr>
                  </w:pPr>
                </w:p>
              </w:tc>
              <w:tc>
                <w:tcPr>
                  <w:tcW w:w="1134"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1h平均</w:t>
                  </w:r>
                </w:p>
              </w:tc>
              <w:tc>
                <w:tcPr>
                  <w:tcW w:w="1112" w:type="dxa"/>
                  <w:noWrap w:val="0"/>
                  <w:vAlign w:val="center"/>
                </w:tcPr>
                <w:p>
                  <w:pPr>
                    <w:rPr>
                      <w:rFonts w:hint="default" w:ascii="Times New Roman" w:hAnsi="Times New Roman" w:cs="Times New Roman"/>
                      <w:color w:val="000000"/>
                    </w:rPr>
                  </w:pPr>
                  <w:r>
                    <w:rPr>
                      <w:rFonts w:hint="default" w:ascii="Times New Roman" w:hAnsi="Times New Roman" w:cs="Times New Roman"/>
                      <w:color w:val="000000"/>
                    </w:rPr>
                    <w:t>24h平均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029"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项目所在区域</w:t>
                  </w:r>
                </w:p>
              </w:tc>
              <w:tc>
                <w:tcPr>
                  <w:tcW w:w="1766"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《环境空气质量标准》（GB3095</w:t>
                  </w:r>
                  <w:r>
                    <w:rPr>
                      <w:rFonts w:hint="default" w:ascii="Times New Roman" w:hAnsi="Times New Roman" w:cs="Times New Roman"/>
                      <w:color w:val="000000"/>
                      <w:sz w:val="24"/>
                    </w:rPr>
                    <w:t>－</w:t>
                  </w:r>
                  <w:r>
                    <w:rPr>
                      <w:rFonts w:hint="default" w:ascii="Times New Roman" w:hAnsi="Times New Roman" w:cs="Times New Roman"/>
                      <w:color w:val="000000"/>
                    </w:rPr>
                    <w:t>2012）</w:t>
                  </w:r>
                </w:p>
              </w:tc>
              <w:tc>
                <w:tcPr>
                  <w:tcW w:w="709"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二级</w:t>
                  </w: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SO</w:t>
                  </w:r>
                  <w:r>
                    <w:rPr>
                      <w:rFonts w:hint="default" w:ascii="Times New Roman" w:hAnsi="Times New Roman" w:cs="Times New Roman"/>
                      <w:color w:val="000000"/>
                      <w:szCs w:val="21"/>
                      <w:vertAlign w:val="subscript"/>
                    </w:rPr>
                    <w:t>2</w:t>
                  </w:r>
                </w:p>
              </w:tc>
              <w:tc>
                <w:tcPr>
                  <w:tcW w:w="85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µg/m</w:t>
                  </w:r>
                  <w:r>
                    <w:rPr>
                      <w:rFonts w:hint="default" w:ascii="Times New Roman" w:hAnsi="Times New Roman" w:cs="Times New Roman"/>
                      <w:color w:val="000000"/>
                      <w:szCs w:val="21"/>
                      <w:vertAlign w:val="superscript"/>
                    </w:rPr>
                    <w:t>3</w:t>
                  </w:r>
                </w:p>
              </w:tc>
              <w:tc>
                <w:tcPr>
                  <w:tcW w:w="113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500</w:t>
                  </w:r>
                </w:p>
              </w:tc>
              <w:tc>
                <w:tcPr>
                  <w:tcW w:w="111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029" w:type="dxa"/>
                  <w:vMerge w:val="continue"/>
                  <w:noWrap w:val="0"/>
                  <w:vAlign w:val="center"/>
                </w:tcPr>
                <w:p>
                  <w:pPr>
                    <w:jc w:val="center"/>
                    <w:rPr>
                      <w:rFonts w:hint="default" w:ascii="Times New Roman" w:hAnsi="Times New Roman" w:cs="Times New Roman"/>
                      <w:color w:val="000000"/>
                    </w:rPr>
                  </w:pPr>
                </w:p>
              </w:tc>
              <w:tc>
                <w:tcPr>
                  <w:tcW w:w="1766" w:type="dxa"/>
                  <w:vMerge w:val="continue"/>
                  <w:noWrap w:val="0"/>
                  <w:vAlign w:val="center"/>
                </w:tcPr>
                <w:p>
                  <w:pPr>
                    <w:jc w:val="center"/>
                    <w:rPr>
                      <w:rFonts w:hint="default" w:ascii="Times New Roman" w:hAnsi="Times New Roman" w:cs="Times New Roman"/>
                      <w:color w:val="000000"/>
                    </w:rPr>
                  </w:pPr>
                </w:p>
              </w:tc>
              <w:tc>
                <w:tcPr>
                  <w:tcW w:w="709" w:type="dxa"/>
                  <w:vMerge w:val="continue"/>
                  <w:noWrap w:val="0"/>
                  <w:vAlign w:val="top"/>
                </w:tcPr>
                <w:p>
                  <w:pPr>
                    <w:jc w:val="center"/>
                    <w:rPr>
                      <w:rFonts w:hint="default" w:ascii="Times New Roman" w:hAnsi="Times New Roman" w:cs="Times New Roman"/>
                      <w:color w:val="000000"/>
                    </w:rPr>
                  </w:pP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PM</w:t>
                  </w:r>
                  <w:r>
                    <w:rPr>
                      <w:rFonts w:hint="default" w:ascii="Times New Roman" w:hAnsi="Times New Roman" w:cs="Times New Roman"/>
                      <w:color w:val="000000"/>
                      <w:szCs w:val="21"/>
                      <w:vertAlign w:val="subscript"/>
                    </w:rPr>
                    <w:t>10</w:t>
                  </w:r>
                </w:p>
              </w:tc>
              <w:tc>
                <w:tcPr>
                  <w:tcW w:w="85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µg/m</w:t>
                  </w:r>
                  <w:r>
                    <w:rPr>
                      <w:rFonts w:hint="default" w:ascii="Times New Roman" w:hAnsi="Times New Roman" w:cs="Times New Roman"/>
                      <w:color w:val="000000"/>
                      <w:szCs w:val="21"/>
                      <w:vertAlign w:val="superscript"/>
                    </w:rPr>
                    <w:t>3</w:t>
                  </w:r>
                </w:p>
              </w:tc>
              <w:tc>
                <w:tcPr>
                  <w:tcW w:w="113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11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029" w:type="dxa"/>
                  <w:vMerge w:val="continue"/>
                  <w:noWrap w:val="0"/>
                  <w:vAlign w:val="center"/>
                </w:tcPr>
                <w:p>
                  <w:pPr>
                    <w:jc w:val="center"/>
                    <w:rPr>
                      <w:rFonts w:hint="default" w:ascii="Times New Roman" w:hAnsi="Times New Roman" w:cs="Times New Roman"/>
                      <w:color w:val="000000"/>
                    </w:rPr>
                  </w:pPr>
                </w:p>
              </w:tc>
              <w:tc>
                <w:tcPr>
                  <w:tcW w:w="1766" w:type="dxa"/>
                  <w:vMerge w:val="continue"/>
                  <w:noWrap w:val="0"/>
                  <w:vAlign w:val="center"/>
                </w:tcPr>
                <w:p>
                  <w:pPr>
                    <w:jc w:val="center"/>
                    <w:rPr>
                      <w:rFonts w:hint="default" w:ascii="Times New Roman" w:hAnsi="Times New Roman" w:cs="Times New Roman"/>
                      <w:color w:val="000000"/>
                    </w:rPr>
                  </w:pPr>
                </w:p>
              </w:tc>
              <w:tc>
                <w:tcPr>
                  <w:tcW w:w="709" w:type="dxa"/>
                  <w:vMerge w:val="continue"/>
                  <w:noWrap w:val="0"/>
                  <w:vAlign w:val="top"/>
                </w:tcPr>
                <w:p>
                  <w:pPr>
                    <w:jc w:val="center"/>
                    <w:rPr>
                      <w:rFonts w:hint="default" w:ascii="Times New Roman" w:hAnsi="Times New Roman" w:cs="Times New Roman"/>
                      <w:color w:val="000000"/>
                    </w:rPr>
                  </w:pP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TSP</w:t>
                  </w:r>
                </w:p>
              </w:tc>
              <w:tc>
                <w:tcPr>
                  <w:tcW w:w="85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µg/m</w:t>
                  </w:r>
                  <w:r>
                    <w:rPr>
                      <w:rFonts w:hint="default" w:ascii="Times New Roman" w:hAnsi="Times New Roman" w:cs="Times New Roman"/>
                      <w:color w:val="000000"/>
                      <w:szCs w:val="21"/>
                      <w:vertAlign w:val="superscript"/>
                    </w:rPr>
                    <w:t>3</w:t>
                  </w:r>
                </w:p>
              </w:tc>
              <w:tc>
                <w:tcPr>
                  <w:tcW w:w="113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11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jc w:val="center"/>
              </w:trPr>
              <w:tc>
                <w:tcPr>
                  <w:tcW w:w="1029" w:type="dxa"/>
                  <w:vMerge w:val="continue"/>
                  <w:noWrap w:val="0"/>
                  <w:vAlign w:val="center"/>
                </w:tcPr>
                <w:p>
                  <w:pPr>
                    <w:jc w:val="center"/>
                    <w:rPr>
                      <w:rFonts w:hint="default" w:ascii="Times New Roman" w:hAnsi="Times New Roman" w:cs="Times New Roman"/>
                      <w:color w:val="000000"/>
                    </w:rPr>
                  </w:pPr>
                </w:p>
              </w:tc>
              <w:tc>
                <w:tcPr>
                  <w:tcW w:w="1766" w:type="dxa"/>
                  <w:vMerge w:val="continue"/>
                  <w:noWrap w:val="0"/>
                  <w:vAlign w:val="center"/>
                </w:tcPr>
                <w:p>
                  <w:pPr>
                    <w:jc w:val="center"/>
                    <w:rPr>
                      <w:rFonts w:hint="default" w:ascii="Times New Roman" w:hAnsi="Times New Roman" w:cs="Times New Roman"/>
                      <w:color w:val="000000"/>
                    </w:rPr>
                  </w:pPr>
                </w:p>
              </w:tc>
              <w:tc>
                <w:tcPr>
                  <w:tcW w:w="709" w:type="dxa"/>
                  <w:vMerge w:val="continue"/>
                  <w:noWrap w:val="0"/>
                  <w:vAlign w:val="top"/>
                </w:tcPr>
                <w:p>
                  <w:pPr>
                    <w:jc w:val="center"/>
                    <w:rPr>
                      <w:rFonts w:hint="default" w:ascii="Times New Roman" w:hAnsi="Times New Roman" w:cs="Times New Roman"/>
                      <w:color w:val="000000"/>
                    </w:rPr>
                  </w:pP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NO</w:t>
                  </w:r>
                  <w:r>
                    <w:rPr>
                      <w:rFonts w:hint="default" w:ascii="Times New Roman" w:hAnsi="Times New Roman" w:cs="Times New Roman"/>
                      <w:color w:val="000000"/>
                      <w:szCs w:val="21"/>
                      <w:vertAlign w:val="subscript"/>
                    </w:rPr>
                    <w:t>2</w:t>
                  </w:r>
                </w:p>
              </w:tc>
              <w:tc>
                <w:tcPr>
                  <w:tcW w:w="85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µg/m</w:t>
                  </w:r>
                  <w:r>
                    <w:rPr>
                      <w:rFonts w:hint="default" w:ascii="Times New Roman" w:hAnsi="Times New Roman" w:cs="Times New Roman"/>
                      <w:color w:val="000000"/>
                      <w:szCs w:val="21"/>
                      <w:vertAlign w:val="superscript"/>
                    </w:rPr>
                    <w:t>3</w:t>
                  </w:r>
                </w:p>
              </w:tc>
              <w:tc>
                <w:tcPr>
                  <w:tcW w:w="113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200</w:t>
                  </w:r>
                </w:p>
              </w:tc>
              <w:tc>
                <w:tcPr>
                  <w:tcW w:w="111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80</w:t>
                  </w:r>
                </w:p>
              </w:tc>
            </w:tr>
          </w:tbl>
          <w:p>
            <w:pPr>
              <w:tabs>
                <w:tab w:val="left" w:pos="4404"/>
              </w:tabs>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2、地表水环境质量标准</w:t>
            </w:r>
          </w:p>
          <w:p>
            <w:pPr>
              <w:pStyle w:val="147"/>
              <w:snapToGrid w:val="0"/>
              <w:spacing w:before="62" w:beforeLines="20" w:after="31" w:afterLines="10"/>
              <w:ind w:firstLine="480" w:firstLineChars="200"/>
              <w:rPr>
                <w:rFonts w:hint="default" w:ascii="Times New Roman" w:hAnsi="Times New Roman" w:cs="Times New Roman"/>
                <w:b/>
                <w:color w:val="000000"/>
                <w:sz w:val="21"/>
                <w:szCs w:val="21"/>
              </w:rPr>
            </w:pPr>
            <w:r>
              <w:rPr>
                <w:rFonts w:hint="default" w:ascii="Times New Roman" w:hAnsi="Times New Roman" w:cs="Times New Roman"/>
                <w:color w:val="000000"/>
              </w:rPr>
              <w:t>地表水环境执行《地表水环境质量标准》（GB3838-2002）III类水域标准。</w:t>
            </w:r>
          </w:p>
          <w:p>
            <w:pPr>
              <w:pStyle w:val="147"/>
              <w:snapToGrid w:val="0"/>
              <w:spacing w:before="62" w:beforeLines="20" w:after="31" w:afterLines="10"/>
              <w:jc w:val="center"/>
              <w:rPr>
                <w:rFonts w:hint="default" w:ascii="Times New Roman" w:hAnsi="Times New Roman" w:cs="Times New Roman"/>
                <w:b/>
                <w:color w:val="000000"/>
                <w:szCs w:val="24"/>
              </w:rPr>
            </w:pPr>
            <w:r>
              <w:rPr>
                <w:rFonts w:hint="default" w:ascii="Times New Roman" w:hAnsi="Times New Roman" w:cs="Times New Roman"/>
                <w:b/>
                <w:color w:val="000000"/>
                <w:szCs w:val="24"/>
              </w:rPr>
              <w:t>表1</w:t>
            </w:r>
            <w:r>
              <w:rPr>
                <w:rFonts w:hint="default" w:ascii="Times New Roman" w:hAnsi="Times New Roman" w:cs="Times New Roman"/>
                <w:b/>
                <w:color w:val="000000"/>
                <w:szCs w:val="24"/>
                <w:lang w:val="en-US" w:eastAsia="zh-CN"/>
              </w:rPr>
              <w:t>1</w:t>
            </w:r>
            <w:r>
              <w:rPr>
                <w:rFonts w:hint="default" w:ascii="Times New Roman" w:hAnsi="Times New Roman" w:cs="Times New Roman"/>
                <w:b/>
                <w:color w:val="000000"/>
                <w:szCs w:val="24"/>
              </w:rPr>
              <w:t xml:space="preserve">   地表水环境质量标准   单位：mg/L</w:t>
            </w:r>
          </w:p>
          <w:tbl>
            <w:tblPr>
              <w:tblStyle w:val="30"/>
              <w:tblW w:w="0" w:type="auto"/>
              <w:tblInd w:w="0" w:type="dxa"/>
              <w:tblBorders>
                <w:top w:val="single" w:color="auto" w:sz="12" w:space="0"/>
                <w:left w:val="none" w:color="auto" w:sz="0" w:space="0"/>
                <w:bottom w:val="single" w:color="auto" w:sz="12"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2676"/>
              <w:gridCol w:w="876"/>
              <w:gridCol w:w="1074"/>
              <w:gridCol w:w="997"/>
              <w:gridCol w:w="953"/>
              <w:gridCol w:w="1108"/>
            </w:tblGrid>
            <w:tr>
              <w:tblPrEx>
                <w:tblBorders>
                  <w:top w:val="single" w:color="auto" w:sz="12" w:space="0"/>
                  <w:left w:val="none" w:color="auto" w:sz="0" w:space="0"/>
                  <w:bottom w:val="single" w:color="auto" w:sz="12"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wAfter w:w="0" w:type="dxa"/>
                <w:cantSplit/>
                <w:trHeight w:val="443" w:hRule="atLeast"/>
              </w:trPr>
              <w:tc>
                <w:tcPr>
                  <w:tcW w:w="2676" w:type="dxa"/>
                  <w:tcBorders>
                    <w:top w:val="single" w:color="auto" w:sz="12" w:space="0"/>
                    <w:bottom w:val="single" w:color="auto" w:sz="6" w:space="0"/>
                    <w:tl2br w:val="single" w:color="auto" w:sz="6"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污染物指标</w:t>
                  </w:r>
                </w:p>
                <w:p>
                  <w:pPr>
                    <w:rPr>
                      <w:rFonts w:hint="default" w:ascii="Times New Roman" w:hAnsi="Times New Roman" w:cs="Times New Roman"/>
                      <w:color w:val="000000"/>
                      <w:szCs w:val="21"/>
                    </w:rPr>
                  </w:pPr>
                  <w:r>
                    <w:rPr>
                      <w:rFonts w:hint="default" w:ascii="Times New Roman" w:hAnsi="Times New Roman" w:cs="Times New Roman"/>
                      <w:color w:val="000000"/>
                      <w:szCs w:val="21"/>
                    </w:rPr>
                    <w:t>标准</w:t>
                  </w:r>
                </w:p>
              </w:tc>
              <w:tc>
                <w:tcPr>
                  <w:tcW w:w="876" w:type="dxa"/>
                  <w:tcBorders>
                    <w:top w:val="single" w:color="auto" w:sz="12" w:space="0"/>
                    <w:bottom w:val="single" w:color="auto" w:sz="6"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pH值</w:t>
                  </w:r>
                </w:p>
              </w:tc>
              <w:tc>
                <w:tcPr>
                  <w:tcW w:w="1074" w:type="dxa"/>
                  <w:tcBorders>
                    <w:top w:val="single" w:color="auto" w:sz="12" w:space="0"/>
                    <w:bottom w:val="single" w:color="auto" w:sz="6"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997" w:type="dxa"/>
                  <w:tcBorders>
                    <w:top w:val="single" w:color="auto" w:sz="12" w:space="0"/>
                    <w:bottom w:val="single" w:color="auto" w:sz="6" w:space="0"/>
                  </w:tcBorders>
                  <w:noWrap w:val="0"/>
                  <w:vAlign w:val="center"/>
                </w:tcPr>
                <w:p>
                  <w:pPr>
                    <w:adjustRightInd w:val="0"/>
                    <w:snapToGrid w:val="0"/>
                    <w:jc w:val="center"/>
                    <w:rPr>
                      <w:rFonts w:hint="default" w:ascii="Times New Roman" w:hAnsi="Times New Roman" w:cs="Times New Roman"/>
                      <w:iCs/>
                      <w:color w:val="000000"/>
                      <w:szCs w:val="21"/>
                      <w:vertAlign w:val="subscript"/>
                    </w:rPr>
                  </w:pPr>
                  <w:r>
                    <w:rPr>
                      <w:rFonts w:hint="default" w:ascii="Times New Roman" w:hAnsi="Times New Roman" w:cs="Times New Roman"/>
                      <w:color w:val="000000"/>
                      <w:szCs w:val="21"/>
                    </w:rPr>
                    <w:t>BOD</w:t>
                  </w:r>
                  <w:r>
                    <w:rPr>
                      <w:rFonts w:hint="default" w:ascii="Times New Roman" w:hAnsi="Times New Roman" w:cs="Times New Roman"/>
                      <w:color w:val="000000"/>
                      <w:szCs w:val="21"/>
                      <w:vertAlign w:val="subscript"/>
                    </w:rPr>
                    <w:t>5</w:t>
                  </w:r>
                </w:p>
              </w:tc>
              <w:tc>
                <w:tcPr>
                  <w:tcW w:w="953" w:type="dxa"/>
                  <w:tcBorders>
                    <w:top w:val="single" w:color="auto" w:sz="12" w:space="0"/>
                    <w:bottom w:val="single" w:color="auto" w:sz="6"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1108" w:type="dxa"/>
                  <w:tcBorders>
                    <w:top w:val="single" w:color="auto" w:sz="12" w:space="0"/>
                    <w:bottom w:val="single" w:color="auto" w:sz="6"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6" w:space="0"/>
                </w:tblBorders>
                <w:tblCellMar>
                  <w:top w:w="0" w:type="dxa"/>
                  <w:left w:w="108" w:type="dxa"/>
                  <w:bottom w:w="0" w:type="dxa"/>
                  <w:right w:w="108" w:type="dxa"/>
                </w:tblCellMar>
              </w:tblPrEx>
              <w:trPr>
                <w:wBefore w:w="0" w:type="dxa"/>
                <w:wAfter w:w="0" w:type="dxa"/>
                <w:cantSplit/>
                <w:trHeight w:val="398" w:hRule="atLeast"/>
              </w:trPr>
              <w:tc>
                <w:tcPr>
                  <w:tcW w:w="2676" w:type="dxa"/>
                  <w:tcBorders>
                    <w:top w:val="single" w:color="auto" w:sz="6" w:space="0"/>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III</w:t>
                  </w:r>
                  <w:r>
                    <w:rPr>
                      <w:rFonts w:hint="default" w:ascii="Times New Roman" w:hAnsi="Times New Roman" w:cs="Times New Roman"/>
                      <w:color w:val="000000"/>
                      <w:szCs w:val="21"/>
                    </w:rPr>
                    <w:t>类标准(mg/L)</w:t>
                  </w:r>
                </w:p>
              </w:tc>
              <w:tc>
                <w:tcPr>
                  <w:tcW w:w="876" w:type="dxa"/>
                  <w:tcBorders>
                    <w:top w:val="single" w:color="auto" w:sz="6" w:space="0"/>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6～9</w:t>
                  </w:r>
                </w:p>
              </w:tc>
              <w:tc>
                <w:tcPr>
                  <w:tcW w:w="1074" w:type="dxa"/>
                  <w:tcBorders>
                    <w:top w:val="single" w:color="auto" w:sz="6" w:space="0"/>
                    <w:bottom w:val="single" w:color="auto" w:sz="12" w:space="0"/>
                  </w:tcBorders>
                  <w:noWrap w:val="0"/>
                  <w:vAlign w:val="center"/>
                </w:tcPr>
                <w:p>
                  <w:pPr>
                    <w:ind w:firstLine="210" w:firstLineChars="100"/>
                    <w:jc w:val="center"/>
                    <w:rPr>
                      <w:rFonts w:hint="default" w:ascii="Times New Roman" w:hAnsi="Times New Roman" w:cs="Times New Roman"/>
                      <w:color w:val="000000"/>
                      <w:szCs w:val="21"/>
                    </w:rPr>
                  </w:pPr>
                  <w:r>
                    <w:rPr>
                      <w:rFonts w:hint="default" w:ascii="Times New Roman" w:hAnsi="Times New Roman" w:cs="Times New Roman"/>
                      <w:color w:val="000000"/>
                      <w:szCs w:val="21"/>
                    </w:rPr>
                    <w:t>15</w:t>
                  </w:r>
                </w:p>
              </w:tc>
              <w:tc>
                <w:tcPr>
                  <w:tcW w:w="997" w:type="dxa"/>
                  <w:tcBorders>
                    <w:top w:val="single" w:color="auto" w:sz="6" w:space="0"/>
                    <w:bottom w:val="single" w:color="auto" w:sz="12" w:space="0"/>
                  </w:tcBorders>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3.0</w:t>
                  </w:r>
                </w:p>
              </w:tc>
              <w:tc>
                <w:tcPr>
                  <w:tcW w:w="953" w:type="dxa"/>
                  <w:tcBorders>
                    <w:top w:val="single" w:color="auto" w:sz="6" w:space="0"/>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108" w:type="dxa"/>
                  <w:tcBorders>
                    <w:top w:val="single" w:color="auto" w:sz="6" w:space="0"/>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0.5</w:t>
                  </w:r>
                </w:p>
              </w:tc>
            </w:tr>
          </w:tbl>
          <w:p>
            <w:pPr>
              <w:tabs>
                <w:tab w:val="left" w:pos="4404"/>
              </w:tabs>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3、声环境质量标准</w:t>
            </w:r>
          </w:p>
          <w:p>
            <w:pPr>
              <w:tabs>
                <w:tab w:val="left" w:pos="4404"/>
              </w:tabs>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项目区声环境执行《声环境质量标准》（GB3096-2008）2类标准。</w:t>
            </w:r>
          </w:p>
          <w:p>
            <w:pPr>
              <w:pStyle w:val="147"/>
              <w:snapToGrid w:val="0"/>
              <w:spacing w:before="0" w:after="0"/>
              <w:jc w:val="center"/>
              <w:rPr>
                <w:rFonts w:hint="default" w:ascii="Times New Roman" w:hAnsi="Times New Roman" w:cs="Times New Roman"/>
                <w:b/>
                <w:color w:val="000000"/>
                <w:szCs w:val="24"/>
              </w:rPr>
            </w:pPr>
            <w:r>
              <w:rPr>
                <w:rFonts w:hint="default" w:ascii="Times New Roman" w:hAnsi="Times New Roman" w:cs="Times New Roman"/>
                <w:b/>
                <w:color w:val="000000"/>
                <w:szCs w:val="24"/>
              </w:rPr>
              <w:t>表1</w:t>
            </w:r>
            <w:r>
              <w:rPr>
                <w:rFonts w:hint="default" w:ascii="Times New Roman" w:hAnsi="Times New Roman" w:cs="Times New Roman"/>
                <w:b/>
                <w:color w:val="000000"/>
                <w:szCs w:val="24"/>
                <w:lang w:val="en-US" w:eastAsia="zh-CN"/>
              </w:rPr>
              <w:t>2</w:t>
            </w:r>
            <w:r>
              <w:rPr>
                <w:rFonts w:hint="default" w:ascii="Times New Roman" w:hAnsi="Times New Roman" w:cs="Times New Roman"/>
                <w:b/>
                <w:color w:val="000000"/>
                <w:szCs w:val="24"/>
              </w:rPr>
              <w:t xml:space="preserve">   声环境质量标准</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73"/>
              <w:gridCol w:w="1275"/>
              <w:gridCol w:w="1134"/>
              <w:gridCol w:w="993"/>
              <w:gridCol w:w="1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993"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区域名</w:t>
                  </w:r>
                </w:p>
              </w:tc>
              <w:tc>
                <w:tcPr>
                  <w:tcW w:w="2273"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执行标准</w:t>
                  </w:r>
                </w:p>
              </w:tc>
              <w:tc>
                <w:tcPr>
                  <w:tcW w:w="1275"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级别</w:t>
                  </w:r>
                </w:p>
              </w:tc>
              <w:tc>
                <w:tcPr>
                  <w:tcW w:w="1134"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单位</w:t>
                  </w:r>
                </w:p>
              </w:tc>
              <w:tc>
                <w:tcPr>
                  <w:tcW w:w="2009" w:type="dxa"/>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993" w:type="dxa"/>
                  <w:vMerge w:val="continue"/>
                  <w:noWrap w:val="0"/>
                  <w:vAlign w:val="center"/>
                </w:tcPr>
                <w:p>
                  <w:pPr>
                    <w:widowControl/>
                    <w:jc w:val="center"/>
                    <w:rPr>
                      <w:rFonts w:hint="default" w:ascii="Times New Roman" w:hAnsi="Times New Roman" w:cs="Times New Roman"/>
                      <w:color w:val="000000"/>
                      <w:szCs w:val="21"/>
                    </w:rPr>
                  </w:pPr>
                </w:p>
              </w:tc>
              <w:tc>
                <w:tcPr>
                  <w:tcW w:w="2273" w:type="dxa"/>
                  <w:vMerge w:val="continue"/>
                  <w:noWrap w:val="0"/>
                  <w:vAlign w:val="center"/>
                </w:tcPr>
                <w:p>
                  <w:pPr>
                    <w:widowControl/>
                    <w:jc w:val="center"/>
                    <w:rPr>
                      <w:rFonts w:hint="default" w:ascii="Times New Roman" w:hAnsi="Times New Roman" w:cs="Times New Roman"/>
                      <w:color w:val="000000"/>
                      <w:szCs w:val="21"/>
                    </w:rPr>
                  </w:pPr>
                </w:p>
              </w:tc>
              <w:tc>
                <w:tcPr>
                  <w:tcW w:w="1275" w:type="dxa"/>
                  <w:vMerge w:val="continue"/>
                  <w:noWrap w:val="0"/>
                  <w:vAlign w:val="center"/>
                </w:tcPr>
                <w:p>
                  <w:pPr>
                    <w:widowControl/>
                    <w:jc w:val="center"/>
                    <w:rPr>
                      <w:rFonts w:hint="default" w:ascii="Times New Roman" w:hAnsi="Times New Roman" w:cs="Times New Roman"/>
                      <w:color w:val="000000"/>
                      <w:szCs w:val="21"/>
                    </w:rPr>
                  </w:pPr>
                </w:p>
              </w:tc>
              <w:tc>
                <w:tcPr>
                  <w:tcW w:w="1134" w:type="dxa"/>
                  <w:vMerge w:val="continue"/>
                  <w:noWrap w:val="0"/>
                  <w:vAlign w:val="center"/>
                </w:tcPr>
                <w:p>
                  <w:pPr>
                    <w:widowControl/>
                    <w:jc w:val="center"/>
                    <w:rPr>
                      <w:rFonts w:hint="default" w:ascii="Times New Roman" w:hAnsi="Times New Roman" w:cs="Times New Roman"/>
                      <w:color w:val="000000"/>
                      <w:szCs w:val="21"/>
                    </w:rPr>
                  </w:pPr>
                </w:p>
              </w:tc>
              <w:tc>
                <w:tcPr>
                  <w:tcW w:w="99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昼间</w:t>
                  </w:r>
                </w:p>
              </w:tc>
              <w:tc>
                <w:tcPr>
                  <w:tcW w:w="101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99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项目区</w:t>
                  </w:r>
                </w:p>
              </w:tc>
              <w:tc>
                <w:tcPr>
                  <w:tcW w:w="227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《声环境质量标准》(GB3096-2008)</w:t>
                  </w:r>
                </w:p>
              </w:tc>
              <w:tc>
                <w:tcPr>
                  <w:tcW w:w="127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bCs/>
                      <w:color w:val="000000"/>
                      <w:szCs w:val="21"/>
                    </w:rPr>
                    <w:t>2类标准</w:t>
                  </w:r>
                </w:p>
              </w:tc>
              <w:tc>
                <w:tcPr>
                  <w:tcW w:w="113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dB（A）</w:t>
                  </w:r>
                </w:p>
              </w:tc>
              <w:tc>
                <w:tcPr>
                  <w:tcW w:w="99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60</w:t>
                  </w:r>
                </w:p>
              </w:tc>
              <w:tc>
                <w:tcPr>
                  <w:tcW w:w="101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50</w:t>
                  </w:r>
                </w:p>
              </w:tc>
            </w:tr>
          </w:tbl>
          <w:p>
            <w:pPr>
              <w:spacing w:line="360" w:lineRule="auto"/>
              <w:rPr>
                <w:rFonts w:hint="default" w:ascii="Times New Roman" w:hAnsi="Times New Roman" w:cs="Times New Roman"/>
                <w:color w:val="000000"/>
                <w:sz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CellMar>
            <w:top w:w="0" w:type="dxa"/>
            <w:left w:w="108" w:type="dxa"/>
            <w:bottom w:w="0" w:type="dxa"/>
            <w:right w:w="108" w:type="dxa"/>
          </w:tblCellMar>
        </w:tblPrEx>
        <w:trPr>
          <w:wBefore w:w="0" w:type="dxa"/>
          <w:wAfter w:w="0" w:type="dxa"/>
          <w:trHeight w:val="13714" w:hRule="atLeast"/>
          <w:jc w:val="center"/>
        </w:trPr>
        <w:tc>
          <w:tcPr>
            <w:tcW w:w="496" w:type="dxa"/>
            <w:noWrap w:val="0"/>
            <w:vAlign w:val="top"/>
          </w:tcPr>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污</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染</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物</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排</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放</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标</w:t>
            </w:r>
          </w:p>
          <w:p>
            <w:pPr>
              <w:spacing w:line="360" w:lineRule="auto"/>
              <w:jc w:val="center"/>
              <w:rPr>
                <w:rFonts w:hint="default" w:ascii="Times New Roman" w:hAnsi="Times New Roman" w:cs="Times New Roman"/>
                <w:color w:val="000000"/>
                <w:sz w:val="28"/>
              </w:rPr>
            </w:pPr>
            <w:r>
              <w:rPr>
                <w:rFonts w:hint="default" w:ascii="Times New Roman" w:hAnsi="Times New Roman" w:cs="Times New Roman"/>
                <w:color w:val="000000"/>
                <w:sz w:val="28"/>
              </w:rPr>
              <w:t>准</w:t>
            </w:r>
          </w:p>
        </w:tc>
        <w:tc>
          <w:tcPr>
            <w:tcW w:w="7900" w:type="dxa"/>
            <w:noWrap w:val="0"/>
            <w:vAlign w:val="top"/>
          </w:tcPr>
          <w:p>
            <w:pPr>
              <w:tabs>
                <w:tab w:val="left" w:pos="4404"/>
              </w:tabs>
              <w:autoSpaceDE w:val="0"/>
              <w:autoSpaceDN w:val="0"/>
              <w:adjustRightInd w:val="0"/>
              <w:spacing w:line="480" w:lineRule="exact"/>
              <w:jc w:val="left"/>
              <w:rPr>
                <w:rFonts w:hint="default" w:ascii="Times New Roman" w:hAnsi="Times New Roman" w:cs="Times New Roman"/>
                <w:b/>
                <w:color w:val="000000"/>
                <w:kern w:val="0"/>
                <w:sz w:val="24"/>
              </w:rPr>
            </w:pPr>
            <w:r>
              <w:rPr>
                <w:rFonts w:hint="default" w:ascii="Times New Roman" w:hAnsi="Times New Roman" w:cs="Times New Roman"/>
                <w:color w:val="000000"/>
                <w:kern w:val="0"/>
                <w:sz w:val="24"/>
                <w:szCs w:val="24"/>
              </w:rPr>
              <w:t>本项目的污染物排放标准执行如下：</w:t>
            </w:r>
          </w:p>
          <w:p>
            <w:pPr>
              <w:tabs>
                <w:tab w:val="left" w:pos="4404"/>
              </w:tabs>
              <w:autoSpaceDE w:val="0"/>
              <w:autoSpaceDN w:val="0"/>
              <w:adjustRightInd w:val="0"/>
              <w:spacing w:line="480" w:lineRule="exact"/>
              <w:ind w:firstLine="472" w:firstLineChars="196"/>
              <w:jc w:val="left"/>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1、废气</w:t>
            </w:r>
          </w:p>
          <w:p>
            <w:pPr>
              <w:tabs>
                <w:tab w:val="left" w:pos="4404"/>
              </w:tabs>
              <w:spacing w:line="360" w:lineRule="auto"/>
              <w:ind w:firstLine="470" w:firstLineChars="196"/>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运营期粉尘排放标准</w:t>
            </w:r>
          </w:p>
          <w:p>
            <w:pPr>
              <w:tabs>
                <w:tab w:val="left" w:pos="4404"/>
              </w:tabs>
              <w:spacing w:line="360" w:lineRule="auto"/>
              <w:ind w:firstLine="470" w:firstLineChars="196"/>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①水泥罐仓有组织粉尘排放执行</w:t>
            </w:r>
            <w:r>
              <w:rPr>
                <w:rFonts w:hint="default" w:ascii="Times New Roman" w:hAnsi="Times New Roman" w:eastAsia="宋体" w:cs="Times New Roman"/>
                <w:color w:val="auto"/>
                <w:kern w:val="0"/>
                <w:sz w:val="24"/>
              </w:rPr>
              <w:t>《关中地区重点行业大气污染物排放限值》（DB61/941-2018）表</w:t>
            </w:r>
            <w:r>
              <w:rPr>
                <w:rFonts w:hint="default" w:ascii="Times New Roman" w:hAnsi="Times New Roman" w:eastAsia="宋体" w:cs="Times New Roman"/>
                <w:color w:val="auto"/>
                <w:kern w:val="0"/>
                <w:sz w:val="24"/>
                <w:lang w:val="en-US" w:eastAsia="zh-CN"/>
              </w:rPr>
              <w:t>1</w:t>
            </w:r>
            <w:r>
              <w:rPr>
                <w:rFonts w:hint="default" w:ascii="Times New Roman" w:hAnsi="Times New Roman" w:eastAsia="宋体" w:cs="Times New Roman"/>
                <w:color w:val="auto"/>
                <w:kern w:val="0"/>
                <w:sz w:val="24"/>
              </w:rPr>
              <w:t>中</w:t>
            </w:r>
            <w:r>
              <w:rPr>
                <w:rFonts w:hint="default" w:ascii="Times New Roman" w:hAnsi="Times New Roman" w:eastAsia="宋体" w:cs="Times New Roman"/>
                <w:color w:val="auto"/>
                <w:kern w:val="0"/>
                <w:sz w:val="24"/>
                <w:lang w:eastAsia="zh-CN"/>
              </w:rPr>
              <w:t>水泥仓及其他通风设备</w:t>
            </w:r>
            <w:r>
              <w:rPr>
                <w:rFonts w:hint="default" w:ascii="Times New Roman" w:hAnsi="Times New Roman" w:eastAsia="宋体" w:cs="Times New Roman"/>
                <w:color w:val="auto"/>
                <w:kern w:val="0"/>
                <w:sz w:val="24"/>
              </w:rPr>
              <w:t>生产排放浓度限值要求</w:t>
            </w:r>
            <w:r>
              <w:rPr>
                <w:rFonts w:hint="default" w:ascii="Times New Roman" w:hAnsi="Times New Roman" w:eastAsia="宋体" w:cs="Times New Roman"/>
                <w:color w:val="auto"/>
                <w:kern w:val="0"/>
                <w:sz w:val="24"/>
                <w:lang w:eastAsia="zh-CN"/>
              </w:rPr>
              <w:t>；</w:t>
            </w:r>
          </w:p>
          <w:p>
            <w:pPr>
              <w:tabs>
                <w:tab w:val="left" w:pos="4404"/>
              </w:tabs>
              <w:spacing w:line="360" w:lineRule="auto"/>
              <w:ind w:firstLine="470" w:firstLineChars="196"/>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②破碎间布袋除尘器排气筒有组织粉尘排放执行《砖瓦工业大气污染物排放标准》（GB29620-2013）大气污染物排放限值要求。</w:t>
            </w:r>
          </w:p>
          <w:p>
            <w:pPr>
              <w:tabs>
                <w:tab w:val="left" w:pos="4404"/>
              </w:tabs>
              <w:spacing w:line="360" w:lineRule="auto"/>
              <w:ind w:firstLine="470" w:firstLineChars="196"/>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③无组织粉尘排放执行《砖瓦工业大气污染物排放标准》（GB29620-2013）</w:t>
            </w:r>
            <w:r>
              <w:rPr>
                <w:rFonts w:hint="default" w:ascii="Times New Roman" w:hAnsi="Times New Roman" w:cs="Times New Roman"/>
                <w:color w:val="000000"/>
                <w:kern w:val="0"/>
                <w:sz w:val="24"/>
                <w:lang w:eastAsia="zh-CN"/>
              </w:rPr>
              <w:t>中</w:t>
            </w:r>
            <w:r>
              <w:rPr>
                <w:rFonts w:hint="default" w:ascii="Times New Roman" w:hAnsi="Times New Roman" w:cs="Times New Roman"/>
                <w:color w:val="000000"/>
                <w:kern w:val="0"/>
                <w:sz w:val="24"/>
              </w:rPr>
              <w:t>企业边界大气污染物浓度限值：无组织总悬浮颗粒物厂界外浓度最高点≤1.0mg/m</w:t>
            </w:r>
            <w:r>
              <w:rPr>
                <w:rFonts w:hint="default" w:ascii="Times New Roman" w:hAnsi="Times New Roman" w:cs="Times New Roman"/>
                <w:color w:val="000000"/>
                <w:kern w:val="0"/>
                <w:sz w:val="24"/>
                <w:vertAlign w:val="superscript"/>
              </w:rPr>
              <w:t>3</w:t>
            </w:r>
            <w:r>
              <w:rPr>
                <w:rFonts w:hint="default" w:ascii="Times New Roman" w:hAnsi="Times New Roman" w:cs="Times New Roman"/>
                <w:color w:val="000000"/>
                <w:kern w:val="0"/>
                <w:sz w:val="24"/>
              </w:rPr>
              <w:t>。</w:t>
            </w:r>
          </w:p>
          <w:p>
            <w:pPr>
              <w:tabs>
                <w:tab w:val="left" w:pos="4404"/>
              </w:tabs>
              <w:spacing w:line="360" w:lineRule="auto"/>
              <w:ind w:firstLine="472" w:firstLineChars="196"/>
              <w:jc w:val="center"/>
              <w:rPr>
                <w:rFonts w:hint="default" w:ascii="Times New Roman" w:hAnsi="Times New Roman" w:cs="Times New Roman"/>
                <w:b/>
                <w:color w:val="000000"/>
                <w:spacing w:val="16"/>
                <w:kern w:val="0"/>
                <w:sz w:val="24"/>
                <w:szCs w:val="24"/>
                <w:vertAlign w:val="superscript"/>
              </w:rPr>
            </w:pPr>
            <w:r>
              <w:rPr>
                <w:rFonts w:hint="default" w:ascii="Times New Roman" w:hAnsi="Times New Roman" w:cs="Times New Roman"/>
                <w:b/>
                <w:color w:val="000000"/>
                <w:sz w:val="24"/>
                <w:szCs w:val="24"/>
              </w:rPr>
              <w:t>表1</w:t>
            </w:r>
            <w:r>
              <w:rPr>
                <w:rFonts w:hint="default" w:ascii="Times New Roman" w:hAnsi="Times New Roman" w:cs="Times New Roman"/>
                <w:b/>
                <w:color w:val="000000"/>
                <w:sz w:val="24"/>
                <w:szCs w:val="24"/>
                <w:lang w:val="en-US" w:eastAsia="zh-CN"/>
              </w:rPr>
              <w:t>4</w:t>
            </w:r>
            <w:r>
              <w:rPr>
                <w:rFonts w:hint="default" w:ascii="Times New Roman" w:hAnsi="Times New Roman" w:cs="Times New Roman"/>
                <w:b/>
                <w:color w:val="000000"/>
                <w:sz w:val="24"/>
                <w:szCs w:val="24"/>
              </w:rPr>
              <w:t xml:space="preserve">   运营期大气污染物排放标准   单位：mg/m</w:t>
            </w:r>
            <w:r>
              <w:rPr>
                <w:rFonts w:hint="default" w:ascii="Times New Roman" w:hAnsi="Times New Roman" w:cs="Times New Roman"/>
                <w:b/>
                <w:color w:val="000000"/>
                <w:spacing w:val="16"/>
                <w:kern w:val="0"/>
                <w:sz w:val="24"/>
                <w:szCs w:val="24"/>
                <w:vertAlign w:val="superscript"/>
              </w:rPr>
              <w:t>3</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12"/>
              <w:gridCol w:w="3105"/>
              <w:gridCol w:w="1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atLeast"/>
                <w:jc w:val="center"/>
              </w:trPr>
              <w:tc>
                <w:tcPr>
                  <w:tcW w:w="3312"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执行标准</w:t>
                  </w:r>
                </w:p>
              </w:tc>
              <w:tc>
                <w:tcPr>
                  <w:tcW w:w="4466" w:type="dxa"/>
                  <w:gridSpan w:val="2"/>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atLeast"/>
                <w:jc w:val="center"/>
              </w:trPr>
              <w:tc>
                <w:tcPr>
                  <w:tcW w:w="3312"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《关中地区重点行业大气污染物排放限值》（DB61/941-201</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3105"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水泥仓及其他通风生产设备有组织颗粒物排放浓度</w:t>
                  </w:r>
                </w:p>
              </w:tc>
              <w:tc>
                <w:tcPr>
                  <w:tcW w:w="1361"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10mg/m</w:t>
                  </w:r>
                  <w:r>
                    <w:rPr>
                      <w:rFonts w:hint="default" w:ascii="Times New Roman" w:hAnsi="Times New Roman" w:eastAsia="宋体" w:cs="Times New Roman"/>
                      <w:color w:val="auto"/>
                      <w:spacing w:val="16"/>
                      <w:kern w:val="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atLeast"/>
                <w:jc w:val="center"/>
              </w:trPr>
              <w:tc>
                <w:tcPr>
                  <w:tcW w:w="3312" w:type="dxa"/>
                  <w:vMerge w:val="restar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《砖瓦工业大气污染物排放标准》（GB29620-2013）</w:t>
                  </w:r>
                </w:p>
              </w:tc>
              <w:tc>
                <w:tcPr>
                  <w:tcW w:w="3105"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原料燃料破碎及制备成型有组织颗粒物排放浓度</w:t>
                  </w:r>
                </w:p>
              </w:tc>
              <w:tc>
                <w:tcPr>
                  <w:tcW w:w="1361"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30mg/m</w:t>
                  </w:r>
                  <w:r>
                    <w:rPr>
                      <w:rFonts w:hint="default" w:ascii="Times New Roman" w:hAnsi="Times New Roman" w:eastAsia="宋体" w:cs="Times New Roman"/>
                      <w:color w:val="auto"/>
                      <w:spacing w:val="16"/>
                      <w:kern w:val="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4" w:hRule="atLeast"/>
                <w:jc w:val="center"/>
              </w:trPr>
              <w:tc>
                <w:tcPr>
                  <w:tcW w:w="3312" w:type="dxa"/>
                  <w:vMerge w:val="continue"/>
                  <w:noWrap w:val="0"/>
                  <w:vAlign w:val="center"/>
                </w:tcPr>
                <w:p>
                  <w:pPr>
                    <w:jc w:val="center"/>
                    <w:rPr>
                      <w:rFonts w:hint="default" w:ascii="Times New Roman" w:hAnsi="Times New Roman" w:eastAsia="宋体" w:cs="Times New Roman"/>
                      <w:color w:val="auto"/>
                      <w:szCs w:val="21"/>
                    </w:rPr>
                  </w:pPr>
                </w:p>
              </w:tc>
              <w:tc>
                <w:tcPr>
                  <w:tcW w:w="3105"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无组织厂界1小时平均浓度限值</w:t>
                  </w:r>
                </w:p>
              </w:tc>
              <w:tc>
                <w:tcPr>
                  <w:tcW w:w="1361"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 mg/m</w:t>
                  </w:r>
                  <w:r>
                    <w:rPr>
                      <w:rFonts w:hint="default" w:ascii="Times New Roman" w:hAnsi="Times New Roman" w:eastAsia="宋体" w:cs="Times New Roman"/>
                      <w:color w:val="auto"/>
                      <w:spacing w:val="16"/>
                      <w:kern w:val="0"/>
                      <w:szCs w:val="21"/>
                      <w:vertAlign w:val="superscript"/>
                    </w:rPr>
                    <w:t>3</w:t>
                  </w:r>
                </w:p>
              </w:tc>
            </w:tr>
          </w:tbl>
          <w:p>
            <w:pPr>
              <w:spacing w:line="480" w:lineRule="exact"/>
              <w:ind w:firstLine="472" w:firstLineChars="196"/>
              <w:rPr>
                <w:rFonts w:hint="default" w:ascii="Times New Roman" w:hAnsi="Times New Roman" w:cs="Times New Roman"/>
                <w:color w:val="000000"/>
                <w:sz w:val="24"/>
              </w:rPr>
            </w:pPr>
            <w:r>
              <w:rPr>
                <w:rFonts w:hint="default" w:ascii="Times New Roman" w:hAnsi="Times New Roman" w:cs="Times New Roman"/>
                <w:b/>
                <w:color w:val="000000"/>
                <w:sz w:val="24"/>
              </w:rPr>
              <w:t>2、废水</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综合利用，不外排。</w:t>
            </w:r>
          </w:p>
          <w:p>
            <w:pPr>
              <w:spacing w:line="480" w:lineRule="exact"/>
              <w:ind w:firstLine="458" w:firstLineChars="190"/>
              <w:rPr>
                <w:rFonts w:hint="default" w:ascii="Times New Roman" w:hAnsi="Times New Roman" w:cs="Times New Roman"/>
                <w:b/>
                <w:color w:val="000000"/>
                <w:sz w:val="24"/>
              </w:rPr>
            </w:pPr>
            <w:r>
              <w:rPr>
                <w:rFonts w:hint="default" w:ascii="Times New Roman" w:hAnsi="Times New Roman" w:cs="Times New Roman"/>
                <w:b/>
                <w:color w:val="000000"/>
                <w:sz w:val="24"/>
              </w:rPr>
              <w:t>3、噪声</w:t>
            </w:r>
          </w:p>
          <w:p>
            <w:pPr>
              <w:tabs>
                <w:tab w:val="left" w:pos="5940"/>
              </w:tabs>
              <w:spacing w:line="480" w:lineRule="atLeast"/>
              <w:ind w:right="113"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厂界噪声执行《工业企业厂界环境噪声排放标准》（GB12348</w:t>
            </w:r>
            <w:r>
              <w:rPr>
                <w:rFonts w:hint="default" w:ascii="Times New Roman" w:hAnsi="Times New Roman" w:cs="Times New Roman"/>
                <w:color w:val="000000"/>
                <w:sz w:val="24"/>
              </w:rPr>
              <w:sym w:font="Symbol" w:char="F02D"/>
            </w:r>
            <w:r>
              <w:rPr>
                <w:rFonts w:hint="default" w:ascii="Times New Roman" w:hAnsi="Times New Roman" w:cs="Times New Roman"/>
                <w:color w:val="000000"/>
                <w:sz w:val="24"/>
              </w:rPr>
              <w:t>2008）中的2类标准，标准值见表1</w:t>
            </w:r>
            <w:r>
              <w:rPr>
                <w:rFonts w:hint="default" w:ascii="Times New Roman" w:hAnsi="Times New Roman" w:cs="Times New Roman"/>
                <w:color w:val="000000"/>
                <w:sz w:val="24"/>
                <w:lang w:val="en-US" w:eastAsia="zh-CN"/>
              </w:rPr>
              <w:t>5</w:t>
            </w:r>
            <w:r>
              <w:rPr>
                <w:rFonts w:hint="default" w:ascii="Times New Roman" w:hAnsi="Times New Roman" w:cs="Times New Roman"/>
                <w:color w:val="000000"/>
                <w:sz w:val="24"/>
              </w:rPr>
              <w:t>。</w:t>
            </w:r>
          </w:p>
          <w:p>
            <w:pPr>
              <w:tabs>
                <w:tab w:val="left" w:pos="5940"/>
              </w:tabs>
              <w:spacing w:line="480" w:lineRule="atLeast"/>
              <w:ind w:right="113"/>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表1</w:t>
            </w:r>
            <w:r>
              <w:rPr>
                <w:rFonts w:hint="default" w:ascii="Times New Roman" w:hAnsi="Times New Roman" w:cs="Times New Roman"/>
                <w:b/>
                <w:color w:val="000000"/>
                <w:sz w:val="24"/>
                <w:szCs w:val="24"/>
                <w:lang w:val="en-US" w:eastAsia="zh-CN"/>
              </w:rPr>
              <w:t>5</w:t>
            </w:r>
            <w:r>
              <w:rPr>
                <w:rFonts w:hint="default" w:ascii="Times New Roman" w:hAnsi="Times New Roman" w:cs="Times New Roman"/>
                <w:b/>
                <w:color w:val="000000"/>
                <w:sz w:val="24"/>
                <w:szCs w:val="24"/>
              </w:rPr>
              <w:t xml:space="preserve">   工业企业环境噪声排放限值</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14"/>
              <w:gridCol w:w="2920"/>
              <w:gridCol w:w="910"/>
              <w:gridCol w:w="917"/>
              <w:gridCol w:w="905"/>
              <w:gridCol w:w="9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40" w:hRule="atLeast"/>
              </w:trPr>
              <w:tc>
                <w:tcPr>
                  <w:tcW w:w="1014"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监测点</w:t>
                  </w:r>
                </w:p>
              </w:tc>
              <w:tc>
                <w:tcPr>
                  <w:tcW w:w="2920"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执行标准</w:t>
                  </w:r>
                </w:p>
              </w:tc>
              <w:tc>
                <w:tcPr>
                  <w:tcW w:w="910"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级别</w:t>
                  </w:r>
                </w:p>
              </w:tc>
              <w:tc>
                <w:tcPr>
                  <w:tcW w:w="917"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单位</w:t>
                  </w:r>
                </w:p>
              </w:tc>
              <w:tc>
                <w:tcPr>
                  <w:tcW w:w="1822" w:type="dxa"/>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82" w:hRule="atLeast"/>
              </w:trPr>
              <w:tc>
                <w:tcPr>
                  <w:tcW w:w="1014" w:type="dxa"/>
                  <w:vMerge w:val="continue"/>
                  <w:noWrap w:val="0"/>
                  <w:vAlign w:val="center"/>
                </w:tcPr>
                <w:p>
                  <w:pPr>
                    <w:jc w:val="center"/>
                    <w:rPr>
                      <w:rFonts w:hint="default" w:ascii="Times New Roman" w:hAnsi="Times New Roman" w:cs="Times New Roman"/>
                      <w:color w:val="000000"/>
                      <w:szCs w:val="21"/>
                    </w:rPr>
                  </w:pPr>
                </w:p>
              </w:tc>
              <w:tc>
                <w:tcPr>
                  <w:tcW w:w="2920" w:type="dxa"/>
                  <w:vMerge w:val="continue"/>
                  <w:noWrap w:val="0"/>
                  <w:vAlign w:val="center"/>
                </w:tcPr>
                <w:p>
                  <w:pPr>
                    <w:jc w:val="center"/>
                    <w:rPr>
                      <w:rFonts w:hint="default" w:ascii="Times New Roman" w:hAnsi="Times New Roman" w:cs="Times New Roman"/>
                      <w:color w:val="000000"/>
                      <w:szCs w:val="21"/>
                    </w:rPr>
                  </w:pPr>
                </w:p>
              </w:tc>
              <w:tc>
                <w:tcPr>
                  <w:tcW w:w="910" w:type="dxa"/>
                  <w:vMerge w:val="continue"/>
                  <w:noWrap w:val="0"/>
                  <w:vAlign w:val="center"/>
                </w:tcPr>
                <w:p>
                  <w:pPr>
                    <w:jc w:val="center"/>
                    <w:rPr>
                      <w:rFonts w:hint="default" w:ascii="Times New Roman" w:hAnsi="Times New Roman" w:cs="Times New Roman"/>
                      <w:color w:val="000000"/>
                      <w:szCs w:val="21"/>
                    </w:rPr>
                  </w:pPr>
                </w:p>
              </w:tc>
              <w:tc>
                <w:tcPr>
                  <w:tcW w:w="917" w:type="dxa"/>
                  <w:vMerge w:val="continue"/>
                  <w:noWrap w:val="0"/>
                  <w:vAlign w:val="center"/>
                </w:tcPr>
                <w:p>
                  <w:pPr>
                    <w:jc w:val="center"/>
                    <w:rPr>
                      <w:rFonts w:hint="default" w:ascii="Times New Roman" w:hAnsi="Times New Roman" w:cs="Times New Roman"/>
                      <w:color w:val="000000"/>
                      <w:szCs w:val="21"/>
                    </w:rPr>
                  </w:pPr>
                </w:p>
              </w:tc>
              <w:tc>
                <w:tcPr>
                  <w:tcW w:w="90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昼间</w:t>
                  </w:r>
                </w:p>
              </w:tc>
              <w:tc>
                <w:tcPr>
                  <w:tcW w:w="91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73" w:hRule="atLeast"/>
              </w:trPr>
              <w:tc>
                <w:tcPr>
                  <w:tcW w:w="1014"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厂界</w:t>
                  </w:r>
                </w:p>
              </w:tc>
              <w:tc>
                <w:tcPr>
                  <w:tcW w:w="292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《工业企业环境噪声排放标准》（GB12348-2008）</w:t>
                  </w:r>
                </w:p>
              </w:tc>
              <w:tc>
                <w:tcPr>
                  <w:tcW w:w="91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2类</w:t>
                  </w:r>
                </w:p>
              </w:tc>
              <w:tc>
                <w:tcPr>
                  <w:tcW w:w="91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dB（A）</w:t>
                  </w:r>
                </w:p>
              </w:tc>
              <w:tc>
                <w:tcPr>
                  <w:tcW w:w="90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60</w:t>
                  </w:r>
                </w:p>
              </w:tc>
              <w:tc>
                <w:tcPr>
                  <w:tcW w:w="91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50</w:t>
                  </w:r>
                </w:p>
              </w:tc>
            </w:tr>
          </w:tbl>
          <w:p>
            <w:pPr>
              <w:spacing w:line="48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4、固废</w:t>
            </w:r>
          </w:p>
          <w:p>
            <w:pPr>
              <w:spacing w:line="480" w:lineRule="exact"/>
              <w:ind w:firstLine="480" w:firstLineChars="200"/>
              <w:rPr>
                <w:rFonts w:hint="default" w:ascii="Times New Roman" w:hAnsi="Times New Roman" w:cs="Times New Roman"/>
                <w:color w:val="000000"/>
                <w:kern w:val="0"/>
                <w:sz w:val="24"/>
                <w:szCs w:val="24"/>
              </w:rPr>
            </w:pPr>
            <w:r>
              <w:rPr>
                <w:rFonts w:hint="default" w:ascii="Times New Roman" w:hAnsi="Times New Roman" w:cs="Times New Roman"/>
                <w:color w:val="000000"/>
                <w:sz w:val="24"/>
              </w:rPr>
              <w:t>固体废物执行《一般工业固体废物贮存、处置场污染控制标准》（GB18599-2001）</w:t>
            </w:r>
            <w:r>
              <w:rPr>
                <w:rFonts w:hint="default" w:ascii="Times New Roman" w:hAnsi="Times New Roman" w:cs="Times New Roman"/>
                <w:color w:val="000000"/>
                <w:kern w:val="0"/>
                <w:sz w:val="24"/>
              </w:rPr>
              <w:t>及修改单（环保部公告[</w:t>
            </w:r>
            <w:r>
              <w:rPr>
                <w:rFonts w:hint="default" w:ascii="Times New Roman" w:hAnsi="Times New Roman" w:cs="Times New Roman"/>
                <w:color w:val="000000"/>
                <w:sz w:val="24"/>
              </w:rPr>
              <w:t>2013]36号）</w:t>
            </w:r>
            <w:r>
              <w:rPr>
                <w:rFonts w:hint="default" w:ascii="Times New Roman" w:hAnsi="Times New Roman" w:cs="Times New Roman"/>
                <w:color w:val="000000"/>
                <w:kern w:val="0"/>
                <w:sz w:val="24"/>
              </w:rPr>
              <w:t>中的有关规定；</w:t>
            </w:r>
            <w:r>
              <w:rPr>
                <w:rFonts w:hint="default" w:ascii="Times New Roman" w:hAnsi="Times New Roman" w:cs="Times New Roman"/>
                <w:color w:val="000000"/>
                <w:sz w:val="24"/>
              </w:rPr>
              <w:t>危险废物贮存、处理/处置执行《危险废物贮存污染控制标准》（GB18597-2001）及其2013年修改单标准。</w:t>
            </w:r>
          </w:p>
        </w:tc>
      </w:tr>
    </w:tbl>
    <w:p>
      <w:pPr>
        <w:pStyle w:val="2"/>
        <w:spacing w:before="0" w:after="0" w:line="240" w:lineRule="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建设项目工程分析</w:t>
      </w:r>
    </w:p>
    <w:tbl>
      <w:tblPr>
        <w:tblStyle w:val="3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8993" w:type="dxa"/>
            <w:noWrap w:val="0"/>
            <w:vAlign w:val="top"/>
          </w:tcPr>
          <w:p>
            <w:pPr>
              <w:spacing w:line="500" w:lineRule="exac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工艺流程简图（图示）</w:t>
            </w:r>
          </w:p>
          <w:p>
            <w:pPr>
              <w:spacing w:line="480" w:lineRule="exact"/>
              <w:ind w:firstLine="436"/>
              <w:rPr>
                <w:rFonts w:hint="default" w:ascii="Times New Roman" w:hAnsi="Times New Roman" w:eastAsia="黑体" w:cs="Times New Roman"/>
                <w:b/>
                <w:color w:val="000000"/>
                <w:spacing w:val="4"/>
                <w:sz w:val="28"/>
                <w:szCs w:val="28"/>
              </w:rPr>
            </w:pPr>
            <w:r>
              <w:rPr>
                <w:rFonts w:hint="default" w:ascii="Times New Roman" w:hAnsi="Times New Roman" w:eastAsia="黑体" w:cs="Times New Roman"/>
                <w:b/>
                <w:color w:val="000000"/>
                <w:spacing w:val="4"/>
                <w:sz w:val="28"/>
                <w:szCs w:val="28"/>
              </w:rPr>
              <w:t>一、施工期</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本项目为补办环评，施工期已完成。</w:t>
            </w:r>
          </w:p>
          <w:p>
            <w:pPr>
              <w:spacing w:line="480" w:lineRule="exact"/>
              <w:ind w:firstLine="436"/>
              <w:rPr>
                <w:rFonts w:hint="default" w:ascii="Times New Roman" w:hAnsi="Times New Roman" w:eastAsia="黑体" w:cs="Times New Roman"/>
                <w:b/>
                <w:color w:val="000000"/>
                <w:spacing w:val="4"/>
                <w:sz w:val="28"/>
                <w:szCs w:val="28"/>
              </w:rPr>
            </w:pPr>
            <w:r>
              <w:rPr>
                <w:rFonts w:hint="default" w:ascii="Times New Roman" w:hAnsi="Times New Roman" w:eastAsia="黑体" w:cs="Times New Roman"/>
                <w:b/>
                <w:color w:val="000000"/>
                <w:spacing w:val="4"/>
                <w:sz w:val="28"/>
                <w:szCs w:val="28"/>
              </w:rPr>
              <w:t>二、营运期</w:t>
            </w:r>
          </w:p>
          <w:p>
            <w:pPr>
              <w:spacing w:line="480" w:lineRule="exact"/>
              <w:ind w:firstLine="480" w:firstLineChars="20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1、建筑垃圾处理工艺流程</w:t>
            </w:r>
          </w:p>
          <w:p>
            <w:pPr>
              <w:ind w:firstLine="420" w:firstLineChars="200"/>
              <w:jc w:val="center"/>
              <w:rPr>
                <w:rFonts w:hint="default" w:ascii="Times New Roman" w:hAnsi="Times New Roman" w:cs="Times New Roman"/>
                <w:b/>
                <w:bCs/>
                <w:color w:val="000000"/>
                <w:sz w:val="24"/>
                <w:szCs w:val="24"/>
              </w:rPr>
            </w:pPr>
            <w:r>
              <w:rPr>
                <w:rFonts w:hint="default" w:ascii="Times New Roman" w:hAnsi="Times New Roman" w:cs="Times New Roman"/>
                <w:color w:val="000000"/>
              </w:rPr>
              <w:object>
                <v:shape id="_x0000_i1025" o:spt="75" type="#_x0000_t75" style="height:149.85pt;width:371.1pt;" o:ole="t" filled="f" o:preferrelative="t" stroked="f" coordsize="21600,21600">
                  <v:path/>
                  <v:fill on="f" focussize="0,0"/>
                  <v:stroke on="f"/>
                  <v:imagedata r:id="rId13" o:title=""/>
                  <o:lock v:ext="edit" aspectratio="t"/>
                  <w10:wrap type="none"/>
                  <w10:anchorlock/>
                </v:shape>
                <o:OLEObject Type="Embed" ProgID="Visio.Drawing.11" ShapeID="_x0000_i1025" DrawAspect="Content" ObjectID="_1468075725" r:id="rId12">
                  <o:LockedField>false</o:LockedField>
                </o:OLEObject>
              </w:object>
            </w:r>
          </w:p>
          <w:p>
            <w:pPr>
              <w:spacing w:line="40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图1   项目工艺流程及产污环节图</w:t>
            </w:r>
          </w:p>
          <w:p>
            <w:pPr>
              <w:spacing w:line="480" w:lineRule="exact"/>
              <w:ind w:left="420" w:leftChars="200"/>
              <w:jc w:val="left"/>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生产工艺流程说明：</w:t>
            </w:r>
          </w:p>
          <w:p>
            <w:pPr>
              <w:spacing w:line="48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（1）混合建筑垃圾进入处理区域后，由装载机将垃圾平坦场地上，由人工对垃圾进行粗选，将垃圾中的软性纤维物、木块实施人工分离。</w:t>
            </w:r>
          </w:p>
          <w:p>
            <w:pPr>
              <w:spacing w:line="48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（2）经过粗选过的垃圾由装载机送入建筑垃圾专用给料机均匀给料。</w:t>
            </w:r>
          </w:p>
          <w:p>
            <w:pPr>
              <w:spacing w:line="48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垃圾由振动给料机均匀送至破碎机破碎，完成对物料的粗破。破碎后物料由出料口输出，将垃圾中磁性物质与垃圾有效分离，分拣后的建筑垃圾经输送皮带送入锤式破碎机对骨料进行细碎，细碎后为成品骨料。</w:t>
            </w:r>
          </w:p>
          <w:p>
            <w:pPr>
              <w:spacing w:line="48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2、压制成型工艺流程</w:t>
            </w:r>
          </w:p>
          <w:p>
            <w:pPr>
              <w:ind w:firstLine="420" w:firstLineChars="200"/>
              <w:jc w:val="center"/>
              <w:rPr>
                <w:rFonts w:hint="default" w:ascii="Times New Roman" w:hAnsi="Times New Roman" w:cs="Times New Roman"/>
                <w:color w:val="000000"/>
              </w:rPr>
            </w:pPr>
            <w:r>
              <w:rPr>
                <w:rFonts w:hint="default" w:ascii="Times New Roman" w:hAnsi="Times New Roman" w:cs="Times New Roman"/>
                <w:color w:val="000000"/>
              </w:rPr>
              <w:object>
                <v:shape id="_x0000_i1026" o:spt="75" type="#_x0000_t75" style="height:117.35pt;width:353.4pt;" o:ole="t" filled="f" o:preferrelative="t" stroked="f" coordsize="21600,21600">
                  <v:path/>
                  <v:fill on="f" alignshape="1" focussize="0,0"/>
                  <v:stroke on="f"/>
                  <v:imagedata r:id="rId15" o:title=""/>
                  <o:lock v:ext="edit" aspectratio="t"/>
                  <w10:wrap type="none"/>
                  <w10:anchorlock/>
                </v:shape>
                <o:OLEObject Type="Embed" ProgID="Visio.Drawing.11" ShapeID="_x0000_i1026" DrawAspect="Content" ObjectID="_1468075726" r:id="rId14">
                  <o:LockedField>false</o:LockedField>
                </o:OLEObject>
              </w:object>
            </w:r>
          </w:p>
          <w:p>
            <w:pPr>
              <w:spacing w:line="40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图2   压制成型工艺流程及产污环节图</w:t>
            </w:r>
          </w:p>
          <w:p>
            <w:pPr>
              <w:numPr>
                <w:ilvl w:val="0"/>
                <w:numId w:val="0"/>
              </w:numPr>
              <w:spacing w:line="480" w:lineRule="exact"/>
              <w:ind w:left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1</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装载机将原料铲至配料站的储料仓内进行存储；</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配料机按设定的参数值将储料仓内的原材料送至称量仓内进行自动计量配料；</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3</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自动计量完毕后，称量仓皮带输送机与搅拌机上料皮带开始运转，将称量完毕的原材料送至搅拌机搅拌仓内进行搅拌，搅拌机启动；</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4</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同时水泥输送机开始工作，将水泥仓内的水泥送至水泥称量仓内按设定值进行称量，完毕后自动卸至搅拌仓内；</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水泵开始按照设定的时间进行加水搅拌，搅拌约1-2分钟后原材料变成混凝土；</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6</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搅拌机卸料门开，将混凝土卸下落至混凝土皮带输送机上，皮带输送机开始工作，将混凝土运送至砌块成型机储料斗内进行存储；</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7</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自动上板机将托板自动送至送板机板仓内备用；</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8</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砖机通过360度旋转布料及液压加电机振动生产混凝土砖，完毕后由接砖机送出，进行养护；</w:t>
            </w:r>
          </w:p>
          <w:p>
            <w:pPr>
              <w:numPr>
                <w:ilvl w:val="0"/>
                <w:numId w:val="0"/>
              </w:numPr>
              <w:spacing w:line="480" w:lineRule="exact"/>
              <w:ind w:leftChars="200"/>
              <w:jc w:val="left"/>
              <w:rPr>
                <w:rFonts w:hint="default" w:ascii="Times New Roman" w:hAnsi="Times New Roman" w:cs="Times New Roman"/>
                <w:color w:val="000000"/>
                <w:spacing w:val="4"/>
                <w:sz w:val="24"/>
                <w:szCs w:val="24"/>
              </w:rPr>
            </w:pP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rPr>
              <w:t>养护后，送至成品堆放区。</w:t>
            </w:r>
          </w:p>
          <w:p>
            <w:pPr>
              <w:spacing w:line="480" w:lineRule="exact"/>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本项目物料平衡见下表：</w:t>
            </w:r>
          </w:p>
          <w:p>
            <w:pPr>
              <w:spacing w:line="480" w:lineRule="exact"/>
              <w:jc w:val="center"/>
              <w:rPr>
                <w:rFonts w:hint="default" w:ascii="Times New Roman" w:hAnsi="Times New Roman" w:cs="Times New Roman"/>
                <w:color w:val="000000"/>
                <w:sz w:val="24"/>
              </w:rPr>
            </w:pPr>
            <w:r>
              <w:rPr>
                <w:rFonts w:hint="default" w:ascii="Times New Roman" w:hAnsi="Times New Roman" w:cs="Times New Roman"/>
                <w:b/>
                <w:color w:val="000000"/>
                <w:sz w:val="24"/>
              </w:rPr>
              <w:t>表1</w:t>
            </w:r>
            <w:r>
              <w:rPr>
                <w:rFonts w:hint="default" w:ascii="Times New Roman" w:hAnsi="Times New Roman" w:cs="Times New Roman"/>
                <w:b/>
                <w:color w:val="000000"/>
                <w:sz w:val="24"/>
                <w:lang w:val="en-US" w:eastAsia="zh-CN"/>
              </w:rPr>
              <w:t>6</w:t>
            </w:r>
            <w:r>
              <w:rPr>
                <w:rFonts w:hint="default" w:ascii="Times New Roman" w:hAnsi="Times New Roman" w:cs="Times New Roman"/>
                <w:b/>
                <w:color w:val="000000"/>
                <w:sz w:val="24"/>
              </w:rPr>
              <w:t xml:space="preserve">   物料平衡表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697"/>
              <w:gridCol w:w="1985"/>
              <w:gridCol w:w="27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21" w:type="dxa"/>
                  <w:gridSpan w:val="2"/>
                  <w:noWrap w:val="0"/>
                  <w:vAlign w:val="center"/>
                </w:tcPr>
                <w:p>
                  <w:pPr>
                    <w:adjustRightInd w:val="0"/>
                    <w:snapToGrid w:val="0"/>
                    <w:ind w:left="-92" w:leftChars="-44" w:right="-97" w:rightChars="-46"/>
                    <w:jc w:val="center"/>
                    <w:rPr>
                      <w:rFonts w:hint="default" w:ascii="Times New Roman" w:hAnsi="Times New Roman" w:cs="Times New Roman"/>
                      <w:color w:val="FF0000"/>
                      <w:sz w:val="24"/>
                    </w:rPr>
                  </w:pPr>
                  <w:r>
                    <w:rPr>
                      <w:rFonts w:hint="default" w:ascii="Times New Roman" w:hAnsi="Times New Roman" w:cs="Times New Roman"/>
                      <w:color w:val="FF0000"/>
                      <w:sz w:val="24"/>
                    </w:rPr>
                    <w:t>进入</w:t>
                  </w:r>
                </w:p>
              </w:tc>
              <w:tc>
                <w:tcPr>
                  <w:tcW w:w="4754" w:type="dxa"/>
                  <w:gridSpan w:val="2"/>
                  <w:noWrap w:val="0"/>
                  <w:vAlign w:val="center"/>
                </w:tcPr>
                <w:p>
                  <w:pPr>
                    <w:adjustRightInd w:val="0"/>
                    <w:snapToGrid w:val="0"/>
                    <w:ind w:left="-92" w:leftChars="-44" w:right="-97" w:rightChars="-46"/>
                    <w:jc w:val="center"/>
                    <w:rPr>
                      <w:rFonts w:hint="default" w:ascii="Times New Roman" w:hAnsi="Times New Roman" w:cs="Times New Roman"/>
                      <w:color w:val="FF0000"/>
                      <w:sz w:val="24"/>
                    </w:rPr>
                  </w:pPr>
                  <w:r>
                    <w:rPr>
                      <w:rFonts w:hint="default" w:ascii="Times New Roman" w:hAnsi="Times New Roman" w:cs="Times New Roman"/>
                      <w:color w:val="FF0000"/>
                      <w:sz w:val="24"/>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项目名称</w:t>
                  </w:r>
                </w:p>
              </w:tc>
              <w:tc>
                <w:tcPr>
                  <w:tcW w:w="1697"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年用量t/a</w:t>
                  </w:r>
                </w:p>
              </w:tc>
              <w:tc>
                <w:tcPr>
                  <w:tcW w:w="1985"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项目名称</w:t>
                  </w:r>
                </w:p>
              </w:tc>
              <w:tc>
                <w:tcPr>
                  <w:tcW w:w="2769"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产量t/a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建筑垃圾</w:t>
                  </w:r>
                </w:p>
              </w:tc>
              <w:tc>
                <w:tcPr>
                  <w:tcW w:w="1697" w:type="dxa"/>
                  <w:noWrap w:val="0"/>
                  <w:vAlign w:val="center"/>
                </w:tcPr>
                <w:p>
                  <w:pPr>
                    <w:ind w:left="-92" w:right="-97"/>
                    <w:jc w:val="center"/>
                    <w:rPr>
                      <w:rFonts w:hint="default" w:ascii="Times New Roman" w:hAnsi="Times New Roman" w:cs="Times New Roman"/>
                      <w:color w:val="FF0000"/>
                      <w:szCs w:val="21"/>
                    </w:rPr>
                  </w:pPr>
                  <w:r>
                    <w:rPr>
                      <w:rFonts w:hint="default" w:ascii="Times New Roman" w:hAnsi="Times New Roman" w:cs="Times New Roman"/>
                      <w:color w:val="FF0000"/>
                      <w:szCs w:val="21"/>
                    </w:rPr>
                    <w:t>50万</w:t>
                  </w:r>
                </w:p>
              </w:tc>
              <w:tc>
                <w:tcPr>
                  <w:tcW w:w="1985" w:type="dxa"/>
                  <w:noWrap w:val="0"/>
                  <w:vAlign w:val="center"/>
                </w:tcPr>
                <w:p>
                  <w:pPr>
                    <w:pStyle w:val="137"/>
                    <w:spacing w:line="240" w:lineRule="auto"/>
                    <w:rPr>
                      <w:rFonts w:hint="default" w:ascii="Times New Roman" w:hAnsi="Times New Roman" w:eastAsia="宋体" w:cs="Times New Roman"/>
                      <w:color w:val="FF0000"/>
                      <w:sz w:val="21"/>
                      <w:szCs w:val="21"/>
                    </w:rPr>
                  </w:pPr>
                  <w:r>
                    <w:rPr>
                      <w:rFonts w:hint="eastAsia" w:ascii="Times New Roman" w:hAnsi="Times New Roman" w:eastAsia="宋体" w:cs="Times New Roman"/>
                      <w:color w:val="FF0000"/>
                      <w:sz w:val="21"/>
                      <w:szCs w:val="21"/>
                      <w:lang w:eastAsia="zh-CN"/>
                    </w:rPr>
                    <w:t>颚式</w:t>
                  </w:r>
                  <w:r>
                    <w:rPr>
                      <w:rFonts w:hint="default" w:ascii="Times New Roman" w:hAnsi="Times New Roman" w:eastAsia="宋体" w:cs="Times New Roman"/>
                      <w:color w:val="FF0000"/>
                      <w:sz w:val="21"/>
                      <w:szCs w:val="21"/>
                    </w:rPr>
                    <w:t>破碎粉尘</w:t>
                  </w:r>
                </w:p>
              </w:tc>
              <w:tc>
                <w:tcPr>
                  <w:tcW w:w="2769" w:type="dxa"/>
                  <w:noWrap w:val="0"/>
                  <w:vAlign w:val="center"/>
                </w:tcPr>
                <w:p>
                  <w:pPr>
                    <w:pStyle w:val="46"/>
                    <w:spacing w:line="240" w:lineRule="auto"/>
                    <w:ind w:firstLine="0" w:firstLineChars="0"/>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val="en-US" w:eastAsia="zh-CN"/>
                    </w:rPr>
                    <w:t>9</w:t>
                  </w:r>
                  <w:r>
                    <w:rPr>
                      <w:rFonts w:hint="default" w:ascii="Times New Roman" w:hAnsi="Times New Roman" w:cs="Times New Roman"/>
                      <w:color w:val="FF000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kern w:val="2"/>
                      <w:sz w:val="21"/>
                      <w:szCs w:val="21"/>
                      <w:lang w:val="en-US" w:eastAsia="zh-CN" w:bidi="ar-SA"/>
                    </w:rPr>
                  </w:pPr>
                  <w:r>
                    <w:rPr>
                      <w:rFonts w:hint="default" w:ascii="Times New Roman" w:hAnsi="Times New Roman" w:cs="Times New Roman"/>
                      <w:color w:val="FF0000"/>
                      <w:spacing w:val="6"/>
                    </w:rPr>
                    <w:t>水泥</w:t>
                  </w:r>
                </w:p>
              </w:tc>
              <w:tc>
                <w:tcPr>
                  <w:tcW w:w="1697" w:type="dxa"/>
                  <w:noWrap w:val="0"/>
                  <w:vAlign w:val="center"/>
                </w:tcPr>
                <w:p>
                  <w:pPr>
                    <w:ind w:left="-92" w:leftChars="0" w:right="-97" w:rightChars="0"/>
                    <w:jc w:val="center"/>
                    <w:rPr>
                      <w:rFonts w:hint="default" w:ascii="Times New Roman" w:hAnsi="Times New Roman" w:cs="Times New Roman"/>
                      <w:color w:val="FF0000"/>
                      <w:kern w:val="2"/>
                      <w:sz w:val="21"/>
                      <w:szCs w:val="21"/>
                      <w:lang w:val="en-US" w:eastAsia="zh-CN" w:bidi="ar-SA"/>
                    </w:rPr>
                  </w:pPr>
                  <w:r>
                    <w:rPr>
                      <w:rFonts w:hint="default" w:ascii="Times New Roman" w:hAnsi="Times New Roman" w:cs="Times New Roman"/>
                      <w:color w:val="FF0000"/>
                      <w:szCs w:val="21"/>
                    </w:rPr>
                    <w:t>0.96万</w:t>
                  </w:r>
                </w:p>
              </w:tc>
              <w:tc>
                <w:tcPr>
                  <w:tcW w:w="1985" w:type="dxa"/>
                  <w:noWrap w:val="0"/>
                  <w:vAlign w:val="center"/>
                </w:tcPr>
                <w:p>
                  <w:pPr>
                    <w:pStyle w:val="137"/>
                    <w:spacing w:line="240" w:lineRule="auto"/>
                    <w:rPr>
                      <w:rFonts w:hint="default" w:ascii="Times New Roman" w:hAnsi="Times New Roman" w:eastAsia="宋体" w:cs="Times New Roman"/>
                      <w:color w:val="FF0000"/>
                      <w:sz w:val="21"/>
                      <w:szCs w:val="21"/>
                    </w:rPr>
                  </w:pPr>
                  <w:r>
                    <w:rPr>
                      <w:rFonts w:hint="eastAsia" w:ascii="Times New Roman" w:hAnsi="Times New Roman" w:eastAsia="宋体" w:cs="Times New Roman"/>
                      <w:color w:val="FF0000"/>
                      <w:sz w:val="21"/>
                      <w:szCs w:val="21"/>
                      <w:lang w:eastAsia="zh-CN"/>
                    </w:rPr>
                    <w:t>锤式</w:t>
                  </w:r>
                  <w:r>
                    <w:rPr>
                      <w:rFonts w:hint="default" w:ascii="Times New Roman" w:hAnsi="Times New Roman" w:eastAsia="宋体" w:cs="Times New Roman"/>
                      <w:color w:val="FF0000"/>
                      <w:sz w:val="21"/>
                      <w:szCs w:val="21"/>
                    </w:rPr>
                    <w:t>破碎粉尘</w:t>
                  </w:r>
                </w:p>
              </w:tc>
              <w:tc>
                <w:tcPr>
                  <w:tcW w:w="2769" w:type="dxa"/>
                  <w:noWrap w:val="0"/>
                  <w:vAlign w:val="center"/>
                </w:tcPr>
                <w:p>
                  <w:pPr>
                    <w:pStyle w:val="46"/>
                    <w:spacing w:line="240" w:lineRule="auto"/>
                    <w:ind w:firstLine="0" w:firstLineChars="0"/>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pStyle w:val="137"/>
                    <w:spacing w:line="240" w:lineRule="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储棚粉尘</w:t>
                  </w:r>
                </w:p>
              </w:tc>
              <w:tc>
                <w:tcPr>
                  <w:tcW w:w="2769" w:type="dxa"/>
                  <w:noWrap w:val="0"/>
                  <w:vAlign w:val="center"/>
                </w:tcPr>
                <w:p>
                  <w:pPr>
                    <w:pStyle w:val="46"/>
                    <w:spacing w:line="240" w:lineRule="auto"/>
                    <w:ind w:firstLine="0" w:firstLineChars="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pStyle w:val="137"/>
                    <w:spacing w:line="240" w:lineRule="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装卸粉尘</w:t>
                  </w:r>
                </w:p>
              </w:tc>
              <w:tc>
                <w:tcPr>
                  <w:tcW w:w="2769" w:type="dxa"/>
                  <w:noWrap w:val="0"/>
                  <w:vAlign w:val="center"/>
                </w:tcPr>
                <w:p>
                  <w:pPr>
                    <w:pStyle w:val="46"/>
                    <w:spacing w:line="240" w:lineRule="auto"/>
                    <w:ind w:firstLine="0" w:firstLineChars="0"/>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val="en-US" w:eastAsia="zh-CN"/>
                    </w:rPr>
                    <w:t xml:space="preserve"> </w:t>
                  </w:r>
                  <w:r>
                    <w:rPr>
                      <w:rFonts w:hint="default" w:ascii="Times New Roman" w:hAnsi="Times New Roman" w:cs="Times New Roman"/>
                      <w:color w:val="FF0000"/>
                      <w:sz w:val="21"/>
                      <w:szCs w:val="21"/>
                    </w:rPr>
                    <w:t>0.073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入罐粉尘</w:t>
                  </w:r>
                </w:p>
              </w:tc>
              <w:tc>
                <w:tcPr>
                  <w:tcW w:w="2769" w:type="dxa"/>
                  <w:noWrap w:val="0"/>
                  <w:vAlign w:val="center"/>
                </w:tcPr>
                <w:p>
                  <w:pPr>
                    <w:ind w:left="-92" w:right="-97"/>
                    <w:jc w:val="center"/>
                    <w:rPr>
                      <w:rFonts w:hint="default" w:ascii="Times New Roman" w:hAnsi="Times New Roman" w:cs="Times New Roman"/>
                      <w:color w:val="FF0000"/>
                      <w:szCs w:val="21"/>
                    </w:rPr>
                  </w:pPr>
                  <w:r>
                    <w:rPr>
                      <w:rFonts w:hint="default" w:ascii="Times New Roman" w:hAnsi="Times New Roman" w:cs="Times New Roman"/>
                      <w:color w:val="FF0000"/>
                      <w:szCs w:val="21"/>
                    </w:rPr>
                    <w:t>22.08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eastAsia="zh-CN"/>
                    </w:rPr>
                    <w:t>搅拌粉尘</w:t>
                  </w:r>
                </w:p>
              </w:tc>
              <w:tc>
                <w:tcPr>
                  <w:tcW w:w="2769" w:type="dxa"/>
                  <w:noWrap w:val="0"/>
                  <w:vAlign w:val="center"/>
                </w:tcPr>
                <w:p>
                  <w:pPr>
                    <w:ind w:left="-92" w:right="-97"/>
                    <w:jc w:val="center"/>
                    <w:rPr>
                      <w:rFonts w:hint="eastAsia" w:ascii="Times New Roman" w:hAnsi="Times New Roman" w:eastAsia="宋体" w:cs="Times New Roman"/>
                      <w:color w:val="FF0000"/>
                      <w:szCs w:val="21"/>
                      <w:lang w:val="en-US" w:eastAsia="zh-CN"/>
                    </w:rPr>
                  </w:pPr>
                  <w:r>
                    <w:rPr>
                      <w:rFonts w:hint="eastAsia" w:ascii="Times New Roman" w:hAnsi="Times New Roman" w:cs="Times New Roman"/>
                      <w:color w:val="FF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汽车扬尘</w:t>
                  </w:r>
                </w:p>
              </w:tc>
              <w:tc>
                <w:tcPr>
                  <w:tcW w:w="2769" w:type="dxa"/>
                  <w:noWrap w:val="0"/>
                  <w:vAlign w:val="center"/>
                </w:tcPr>
                <w:p>
                  <w:pPr>
                    <w:ind w:left="-92" w:right="-97"/>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rPr>
                    <w:t>1.</w:t>
                  </w:r>
                  <w:r>
                    <w:rPr>
                      <w:rFonts w:hint="eastAsia" w:ascii="Times New Roman" w:hAnsi="Times New Roman" w:cs="Times New Roman"/>
                      <w:color w:val="FF0000"/>
                      <w:szCs w:val="21"/>
                      <w:lang w:val="en-US" w:eastAsia="zh-CN"/>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免烧砖</w:t>
                  </w:r>
                </w:p>
              </w:tc>
              <w:tc>
                <w:tcPr>
                  <w:tcW w:w="2769" w:type="dxa"/>
                  <w:noWrap w:val="0"/>
                  <w:vAlign w:val="center"/>
                </w:tcPr>
                <w:p>
                  <w:pPr>
                    <w:ind w:left="-92" w:right="-97"/>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val="en-US" w:eastAsia="zh-CN"/>
                    </w:rPr>
                    <w:t>35</w:t>
                  </w:r>
                  <w:r>
                    <w:rPr>
                      <w:rFonts w:hint="default" w:ascii="Times New Roman" w:hAnsi="Times New Roman" w:cs="Times New Roman"/>
                      <w:color w:val="FF0000"/>
                      <w:szCs w:val="21"/>
                    </w:rPr>
                    <w:t>.5</w:t>
                  </w:r>
                  <w:r>
                    <w:rPr>
                      <w:rFonts w:hint="eastAsia" w:ascii="Times New Roman" w:hAnsi="Times New Roman" w:cs="Times New Roman"/>
                      <w:color w:val="FF0000"/>
                      <w:szCs w:val="21"/>
                      <w:lang w:eastAsia="zh-CN"/>
                    </w:rPr>
                    <w:t>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金属杂质</w:t>
                  </w:r>
                </w:p>
              </w:tc>
              <w:tc>
                <w:tcPr>
                  <w:tcW w:w="2769" w:type="dxa"/>
                  <w:noWrap w:val="0"/>
                  <w:vAlign w:val="center"/>
                </w:tcPr>
                <w:p>
                  <w:pPr>
                    <w:ind w:left="-92" w:right="-97"/>
                    <w:jc w:val="center"/>
                    <w:rPr>
                      <w:rFonts w:hint="default" w:ascii="Times New Roman" w:hAnsi="Times New Roman" w:eastAsia="宋体" w:cs="Times New Roman"/>
                      <w:color w:val="FF0000"/>
                      <w:szCs w:val="21"/>
                      <w:lang w:val="en-US" w:eastAsia="zh-CN"/>
                    </w:rPr>
                  </w:pPr>
                  <w:r>
                    <w:rPr>
                      <w:rFonts w:hint="eastAsia" w:ascii="Times New Roman" w:hAnsi="Times New Roman" w:cs="Times New Roman"/>
                      <w:color w:val="FF0000"/>
                      <w:szCs w:val="21"/>
                      <w:lang w:val="en-US" w:eastAsia="zh-CN"/>
                    </w:rPr>
                    <w:t>2</w:t>
                  </w:r>
                  <w:r>
                    <w:rPr>
                      <w:rFonts w:hint="default" w:ascii="Times New Roman" w:hAnsi="Times New Roman" w:cs="Times New Roman"/>
                      <w:color w:val="FF0000"/>
                      <w:szCs w:val="21"/>
                    </w:rPr>
                    <w:t>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木质杂质</w:t>
                  </w:r>
                </w:p>
              </w:tc>
              <w:tc>
                <w:tcPr>
                  <w:tcW w:w="2769" w:type="dxa"/>
                  <w:noWrap w:val="0"/>
                  <w:vAlign w:val="center"/>
                </w:tcPr>
                <w:p>
                  <w:pPr>
                    <w:ind w:left="-92" w:right="-97"/>
                    <w:jc w:val="center"/>
                    <w:rPr>
                      <w:rFonts w:hint="default" w:ascii="Times New Roman" w:hAnsi="Times New Roman" w:cs="Times New Roman"/>
                      <w:color w:val="FF0000"/>
                      <w:szCs w:val="21"/>
                    </w:rPr>
                  </w:pPr>
                  <w:r>
                    <w:rPr>
                      <w:rFonts w:hint="default" w:ascii="Times New Roman" w:hAnsi="Times New Roman" w:cs="Times New Roman"/>
                      <w:color w:val="FF0000"/>
                      <w:szCs w:val="21"/>
                    </w:rPr>
                    <w:t>0.5万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eastAsia="zh-CN"/>
                    </w:rPr>
                    <w:t>土料</w:t>
                  </w:r>
                </w:p>
              </w:tc>
              <w:tc>
                <w:tcPr>
                  <w:tcW w:w="2769" w:type="dxa"/>
                  <w:noWrap w:val="0"/>
                  <w:vAlign w:val="center"/>
                </w:tcPr>
                <w:p>
                  <w:pPr>
                    <w:ind w:left="-92" w:right="-97"/>
                    <w:jc w:val="center"/>
                    <w:rPr>
                      <w:rFonts w:hint="eastAsia" w:ascii="Times New Roman" w:hAnsi="Times New Roman" w:eastAsia="宋体" w:cs="Times New Roman"/>
                      <w:color w:val="FF0000"/>
                      <w:szCs w:val="21"/>
                      <w:lang w:val="en-US" w:eastAsia="zh-CN"/>
                    </w:rPr>
                  </w:pPr>
                  <w:r>
                    <w:rPr>
                      <w:rFonts w:hint="eastAsia" w:ascii="Times New Roman" w:hAnsi="Times New Roman" w:cs="Times New Roman"/>
                      <w:color w:val="FF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824" w:type="dxa"/>
                  <w:noWrap w:val="0"/>
                  <w:vAlign w:val="center"/>
                </w:tcPr>
                <w:p>
                  <w:pPr>
                    <w:adjustRightInd w:val="0"/>
                    <w:snapToGrid w:val="0"/>
                    <w:jc w:val="center"/>
                    <w:rPr>
                      <w:rFonts w:hint="default" w:ascii="Times New Roman" w:hAnsi="Times New Roman" w:cs="Times New Roman"/>
                      <w:color w:val="FF0000"/>
                      <w:szCs w:val="21"/>
                    </w:rPr>
                  </w:pPr>
                </w:p>
              </w:tc>
              <w:tc>
                <w:tcPr>
                  <w:tcW w:w="1697" w:type="dxa"/>
                  <w:noWrap w:val="0"/>
                  <w:vAlign w:val="center"/>
                </w:tcPr>
                <w:p>
                  <w:pPr>
                    <w:ind w:left="-92" w:right="-97"/>
                    <w:jc w:val="center"/>
                    <w:rPr>
                      <w:rFonts w:hint="default" w:ascii="Times New Roman" w:hAnsi="Times New Roman" w:cs="Times New Roman"/>
                      <w:color w:val="FF0000"/>
                      <w:szCs w:val="21"/>
                    </w:rPr>
                  </w:pPr>
                </w:p>
              </w:tc>
              <w:tc>
                <w:tcPr>
                  <w:tcW w:w="198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外售骨料</w:t>
                  </w:r>
                </w:p>
              </w:tc>
              <w:tc>
                <w:tcPr>
                  <w:tcW w:w="2769" w:type="dxa"/>
                  <w:noWrap w:val="0"/>
                  <w:vAlign w:val="center"/>
                </w:tcPr>
                <w:p>
                  <w:pPr>
                    <w:ind w:left="-92" w:right="-97"/>
                    <w:jc w:val="center"/>
                    <w:rPr>
                      <w:rFonts w:hint="default" w:ascii="Times New Roman" w:hAnsi="Times New Roman" w:cs="Times New Roman"/>
                      <w:color w:val="FF0000"/>
                      <w:szCs w:val="21"/>
                    </w:rPr>
                  </w:pPr>
                  <w:r>
                    <w:rPr>
                      <w:rFonts w:hint="eastAsia" w:ascii="Times New Roman" w:hAnsi="Times New Roman" w:cs="Times New Roman"/>
                      <w:color w:val="FF0000"/>
                      <w:szCs w:val="21"/>
                      <w:lang w:val="en-US" w:eastAsia="zh-CN"/>
                    </w:rPr>
                    <w:t>13</w:t>
                  </w:r>
                  <w:r>
                    <w:rPr>
                      <w:rFonts w:hint="default" w:ascii="Times New Roman" w:hAnsi="Times New Roman" w:cs="Times New Roman"/>
                      <w:color w:val="FF0000"/>
                      <w:szCs w:val="21"/>
                    </w:rPr>
                    <w:t>.94万（根据需要）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824"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lang w:val="zh-CN"/>
                    </w:rPr>
                  </w:pPr>
                  <w:r>
                    <w:rPr>
                      <w:rFonts w:hint="default" w:ascii="Times New Roman" w:hAnsi="Times New Roman" w:cs="Times New Roman"/>
                      <w:color w:val="FF0000"/>
                      <w:szCs w:val="21"/>
                      <w:lang w:val="zh-CN"/>
                    </w:rPr>
                    <w:t>合计</w:t>
                  </w:r>
                </w:p>
              </w:tc>
              <w:tc>
                <w:tcPr>
                  <w:tcW w:w="1697" w:type="dxa"/>
                  <w:noWrap w:val="0"/>
                  <w:vAlign w:val="center"/>
                </w:tcPr>
                <w:p>
                  <w:pPr>
                    <w:adjustRightInd w:val="0"/>
                    <w:snapToGrid w:val="0"/>
                    <w:spacing w:line="340" w:lineRule="exact"/>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50.96万</w:t>
                  </w:r>
                </w:p>
              </w:tc>
              <w:tc>
                <w:tcPr>
                  <w:tcW w:w="1985" w:type="dxa"/>
                  <w:noWrap w:val="0"/>
                  <w:vAlign w:val="center"/>
                </w:tcPr>
                <w:p>
                  <w:pPr>
                    <w:spacing w:line="360" w:lineRule="exact"/>
                    <w:jc w:val="center"/>
                    <w:rPr>
                      <w:rFonts w:hint="default" w:ascii="Times New Roman" w:hAnsi="Times New Roman" w:cs="Times New Roman"/>
                      <w:color w:val="FF0000"/>
                      <w:szCs w:val="21"/>
                      <w:lang w:val="zh-CN"/>
                    </w:rPr>
                  </w:pPr>
                  <w:r>
                    <w:rPr>
                      <w:rFonts w:hint="default" w:ascii="Times New Roman" w:hAnsi="Times New Roman" w:cs="Times New Roman"/>
                      <w:color w:val="FF0000"/>
                      <w:szCs w:val="21"/>
                      <w:lang w:val="zh-CN"/>
                    </w:rPr>
                    <w:t>合计</w:t>
                  </w:r>
                </w:p>
              </w:tc>
              <w:tc>
                <w:tcPr>
                  <w:tcW w:w="2769" w:type="dxa"/>
                  <w:noWrap w:val="0"/>
                  <w:vAlign w:val="center"/>
                </w:tcPr>
                <w:p>
                  <w:pPr>
                    <w:adjustRightInd w:val="0"/>
                    <w:snapToGrid w:val="0"/>
                    <w:ind w:left="-92" w:leftChars="-44" w:right="-97" w:rightChars="-46"/>
                    <w:jc w:val="center"/>
                    <w:rPr>
                      <w:rFonts w:hint="default" w:ascii="Times New Roman" w:hAnsi="Times New Roman" w:cs="Times New Roman"/>
                      <w:color w:val="FF0000"/>
                      <w:szCs w:val="21"/>
                    </w:rPr>
                  </w:pPr>
                  <w:r>
                    <w:rPr>
                      <w:rFonts w:hint="default" w:ascii="Times New Roman" w:hAnsi="Times New Roman" w:cs="Times New Roman"/>
                      <w:color w:val="FF0000"/>
                      <w:szCs w:val="21"/>
                    </w:rPr>
                    <w:t>50.96万</w:t>
                  </w:r>
                </w:p>
              </w:tc>
            </w:tr>
          </w:tbl>
          <w:p>
            <w:pPr>
              <w:spacing w:line="480" w:lineRule="exact"/>
              <w:rPr>
                <w:rFonts w:hint="default" w:ascii="Times New Roman" w:hAnsi="Times New Roman" w:eastAsia="黑体" w:cs="Times New Roman"/>
                <w:color w:val="000000"/>
                <w:sz w:val="30"/>
                <w:szCs w:val="30"/>
              </w:rPr>
            </w:pPr>
          </w:p>
          <w:p>
            <w:pPr>
              <w:spacing w:line="480" w:lineRule="exact"/>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rPr>
              <w:t>主要污染源分析：</w:t>
            </w:r>
          </w:p>
          <w:p>
            <w:pPr>
              <w:spacing w:line="480" w:lineRule="exact"/>
              <w:ind w:firstLine="562" w:firstLineChars="200"/>
              <w:rPr>
                <w:rFonts w:hint="default" w:ascii="Times New Roman" w:hAnsi="Times New Roman" w:eastAsia="黑体" w:cs="Times New Roman"/>
                <w:b/>
                <w:bCs/>
                <w:color w:val="000000"/>
                <w:sz w:val="28"/>
                <w:szCs w:val="28"/>
              </w:rPr>
            </w:pPr>
            <w:r>
              <w:rPr>
                <w:rFonts w:hint="default" w:ascii="Times New Roman" w:hAnsi="Times New Roman" w:eastAsia="黑体" w:cs="Times New Roman"/>
                <w:b/>
                <w:bCs/>
                <w:color w:val="000000"/>
                <w:sz w:val="28"/>
                <w:szCs w:val="28"/>
              </w:rPr>
              <w:t>一、施工期</w:t>
            </w:r>
          </w:p>
          <w:p>
            <w:pPr>
              <w:tabs>
                <w:tab w:val="left" w:pos="3225"/>
              </w:tabs>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bCs/>
                <w:color w:val="000000"/>
                <w:sz w:val="24"/>
                <w:szCs w:val="24"/>
              </w:rPr>
              <w:t>本项目</w:t>
            </w:r>
            <w:r>
              <w:rPr>
                <w:rFonts w:hint="default" w:ascii="Times New Roman" w:hAnsi="Times New Roman" w:cs="Times New Roman"/>
                <w:color w:val="000000"/>
                <w:sz w:val="24"/>
              </w:rPr>
              <w:t>施工期已结束，不进行施工期污染源分析。</w:t>
            </w:r>
          </w:p>
          <w:p>
            <w:pPr>
              <w:spacing w:line="360" w:lineRule="auto"/>
              <w:ind w:firstLine="578" w:firstLineChars="200"/>
              <w:rPr>
                <w:rFonts w:hint="default" w:ascii="Times New Roman" w:hAnsi="Times New Roman" w:eastAsia="黑体" w:cs="Times New Roman"/>
                <w:b/>
                <w:color w:val="000000"/>
                <w:spacing w:val="4"/>
                <w:sz w:val="28"/>
                <w:szCs w:val="28"/>
              </w:rPr>
            </w:pPr>
            <w:r>
              <w:rPr>
                <w:rFonts w:hint="default" w:ascii="Times New Roman" w:hAnsi="Times New Roman" w:eastAsia="黑体" w:cs="Times New Roman"/>
                <w:b/>
                <w:color w:val="000000"/>
                <w:spacing w:val="4"/>
                <w:sz w:val="28"/>
                <w:szCs w:val="28"/>
              </w:rPr>
              <w:t>二、营运期</w:t>
            </w:r>
          </w:p>
          <w:p>
            <w:pPr>
              <w:spacing w:line="480" w:lineRule="exact"/>
              <w:ind w:left="-2" w:leftChars="-1" w:firstLine="620" w:firstLineChars="249"/>
              <w:rPr>
                <w:rFonts w:hint="default" w:ascii="Times New Roman" w:hAnsi="Times New Roman" w:cs="Times New Roman"/>
                <w:b/>
                <w:color w:val="000000"/>
                <w:spacing w:val="4"/>
                <w:sz w:val="24"/>
              </w:rPr>
            </w:pPr>
            <w:r>
              <w:rPr>
                <w:rFonts w:hint="default" w:ascii="Times New Roman" w:hAnsi="Times New Roman" w:cs="Times New Roman"/>
                <w:b/>
                <w:color w:val="000000"/>
                <w:spacing w:val="4"/>
                <w:sz w:val="24"/>
              </w:rPr>
              <w:t>1、废气</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根据工艺流程可知，本项目废气主要为粉尘。粉尘的主要来源为两部分，一是建筑垃圾处理再生过程中产生的粉尘，主要为破碎粉尘和传输带粉尘；二是水泥砌块砖生产线上产生的粉尘，主要为原料储棚扬尘、物料装卸扬尘、水泥粉料入罐扬尘、汽车运输扬尘、车辆尾气及食堂废气。建筑垃圾堆放区由于建筑垃圾为大块固体并且覆盖，因此产生粉尘量较少。</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（1）建筑垃圾破碎过程中产生的粉尘</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根据工艺特点，物料在破碎、筛分过程有粉尘产生。</w:t>
            </w:r>
          </w:p>
          <w:p>
            <w:pPr>
              <w:adjustRightInd w:val="0"/>
              <w:snapToGrid w:val="0"/>
              <w:spacing w:line="480" w:lineRule="exact"/>
              <w:ind w:firstLine="488" w:firstLineChars="200"/>
              <w:rPr>
                <w:rFonts w:hint="eastAsia" w:ascii="Times New Roman" w:hAnsi="Times New Roman" w:eastAsia="宋体" w:cs="Times New Roman"/>
                <w:color w:val="FF0000"/>
                <w:spacing w:val="2"/>
                <w:sz w:val="24"/>
                <w:lang w:val="en-US" w:eastAsia="zh-CN"/>
              </w:rPr>
            </w:pPr>
            <w:r>
              <w:rPr>
                <w:rFonts w:hint="default" w:ascii="Times New Roman" w:hAnsi="Times New Roman" w:cs="Times New Roman"/>
                <w:color w:val="FF0000"/>
                <w:spacing w:val="2"/>
                <w:sz w:val="24"/>
              </w:rPr>
              <w:t>在不配备任何防尘、抑尘措施的情况下，参考文献《采石场大气污染物源强分析与研究》进行分析，粉尘产生量可达到物料处理量的0.03%。本项目计划年处理建筑垃圾约50万吨，粉尘产生量约为150t/a</w:t>
            </w:r>
            <w:r>
              <w:rPr>
                <w:rFonts w:hint="eastAsia" w:ascii="Times New Roman" w:hAnsi="Times New Roman" w:cs="Times New Roman"/>
                <w:color w:val="FF0000"/>
                <w:spacing w:val="2"/>
                <w:sz w:val="24"/>
                <w:lang w:eastAsia="zh-CN"/>
              </w:rPr>
              <w:t>；其中颚式破碎机破碎过程中的产尘量约为</w:t>
            </w:r>
            <w:r>
              <w:rPr>
                <w:rFonts w:hint="eastAsia" w:ascii="Times New Roman" w:hAnsi="Times New Roman" w:cs="Times New Roman"/>
                <w:color w:val="FF0000"/>
                <w:spacing w:val="2"/>
                <w:sz w:val="24"/>
                <w:lang w:val="en-US" w:eastAsia="zh-CN"/>
              </w:rPr>
              <w:t>90</w:t>
            </w:r>
            <w:r>
              <w:rPr>
                <w:rFonts w:hint="default" w:ascii="Times New Roman" w:hAnsi="Times New Roman" w:cs="Times New Roman"/>
                <w:color w:val="FF0000"/>
                <w:spacing w:val="2"/>
                <w:sz w:val="24"/>
              </w:rPr>
              <w:t>t/a</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等的产尘量约为</w:t>
            </w:r>
            <w:r>
              <w:rPr>
                <w:rFonts w:hint="eastAsia" w:ascii="Times New Roman" w:hAnsi="Times New Roman" w:cs="Times New Roman"/>
                <w:color w:val="FF0000"/>
                <w:spacing w:val="2"/>
                <w:sz w:val="24"/>
                <w:lang w:val="en-US" w:eastAsia="zh-CN"/>
              </w:rPr>
              <w:t>60</w:t>
            </w:r>
            <w:r>
              <w:rPr>
                <w:rFonts w:hint="default" w:ascii="Times New Roman" w:hAnsi="Times New Roman" w:cs="Times New Roman"/>
                <w:color w:val="FF0000"/>
                <w:spacing w:val="2"/>
                <w:sz w:val="24"/>
              </w:rPr>
              <w:t>t/a</w:t>
            </w:r>
            <w:r>
              <w:rPr>
                <w:rFonts w:hint="eastAsia" w:ascii="Times New Roman" w:hAnsi="Times New Roman" w:cs="Times New Roman"/>
                <w:color w:val="FF0000"/>
                <w:spacing w:val="2"/>
                <w:sz w:val="24"/>
                <w:lang w:eastAsia="zh-CN"/>
              </w:rPr>
              <w:t>。</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FF0000"/>
                <w:spacing w:val="2"/>
                <w:sz w:val="24"/>
              </w:rPr>
              <w:t>项目将采用密闭性能较好的破碎机和振动筛分机，</w:t>
            </w:r>
            <w:r>
              <w:rPr>
                <w:rFonts w:hint="eastAsia" w:ascii="Times New Roman" w:hAnsi="Times New Roman" w:cs="Times New Roman"/>
                <w:color w:val="FF0000"/>
                <w:spacing w:val="2"/>
                <w:sz w:val="24"/>
                <w:lang w:eastAsia="zh-CN"/>
              </w:rPr>
              <w:t>将颚式破碎机单独用彩钢密封，并在其上方设置集气罩收集至布袋除尘器（风量为</w:t>
            </w:r>
            <w:r>
              <w:rPr>
                <w:rFonts w:hint="eastAsia" w:ascii="Times New Roman" w:hAnsi="Times New Roman" w:cs="Times New Roman"/>
                <w:color w:val="FF0000"/>
                <w:spacing w:val="2"/>
                <w:sz w:val="24"/>
                <w:lang w:val="en-US" w:eastAsia="zh-CN"/>
              </w:rPr>
              <w:t>8000</w:t>
            </w:r>
            <w:r>
              <w:rPr>
                <w:rFonts w:hint="default" w:ascii="Times New Roman" w:hAnsi="Times New Roman" w:cs="Times New Roman"/>
                <w:color w:val="FF0000"/>
                <w:sz w:val="24"/>
              </w:rPr>
              <w:t>m</w:t>
            </w:r>
            <w:r>
              <w:rPr>
                <w:rFonts w:hint="default" w:ascii="Times New Roman" w:hAnsi="Times New Roman" w:cs="Times New Roman"/>
                <w:color w:val="FF0000"/>
                <w:sz w:val="24"/>
                <w:vertAlign w:val="superscript"/>
              </w:rPr>
              <w:t>3</w:t>
            </w:r>
            <w:r>
              <w:rPr>
                <w:rFonts w:hint="default" w:ascii="Times New Roman" w:hAnsi="Times New Roman" w:cs="Times New Roman"/>
                <w:color w:val="FF0000"/>
                <w:sz w:val="24"/>
              </w:rPr>
              <w:t>/h</w:t>
            </w:r>
            <w:r>
              <w:rPr>
                <w:rFonts w:hint="eastAsia" w:ascii="Times New Roman" w:hAnsi="Times New Roman" w:cs="Times New Roman"/>
                <w:color w:val="FF0000"/>
                <w:spacing w:val="2"/>
                <w:sz w:val="24"/>
                <w:lang w:eastAsia="zh-CN"/>
              </w:rPr>
              <w:t>）处理，</w:t>
            </w:r>
            <w:r>
              <w:rPr>
                <w:rFonts w:hint="default" w:ascii="Times New Roman" w:hAnsi="Times New Roman" w:cs="Times New Roman"/>
                <w:color w:val="FF0000"/>
                <w:sz w:val="24"/>
              </w:rPr>
              <w:t>除尘效率为99%</w:t>
            </w:r>
            <w:r>
              <w:rPr>
                <w:rFonts w:hint="eastAsia" w:ascii="Times New Roman" w:hAnsi="Times New Roman" w:cs="Times New Roman"/>
                <w:color w:val="FF0000"/>
                <w:sz w:val="24"/>
                <w:lang w:eastAsia="zh-CN"/>
              </w:rPr>
              <w:t>，</w:t>
            </w:r>
            <w:r>
              <w:rPr>
                <w:rFonts w:hint="eastAsia" w:ascii="Times New Roman" w:hAnsi="Times New Roman" w:cs="Times New Roman"/>
                <w:color w:val="FF0000"/>
                <w:spacing w:val="2"/>
                <w:sz w:val="24"/>
                <w:lang w:eastAsia="zh-CN"/>
              </w:rPr>
              <w:t>再经</w:t>
            </w:r>
            <w:r>
              <w:rPr>
                <w:rFonts w:hint="eastAsia" w:ascii="Times New Roman" w:hAnsi="Times New Roman" w:cs="Times New Roman"/>
                <w:color w:val="FF0000"/>
                <w:spacing w:val="2"/>
                <w:sz w:val="24"/>
                <w:lang w:val="en-US" w:eastAsia="zh-CN"/>
              </w:rPr>
              <w:t>15m高排气筒（DA001）排出；</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等放置于破碎车间，封闭处理，</w:t>
            </w:r>
            <w:r>
              <w:rPr>
                <w:rFonts w:hint="default" w:ascii="Times New Roman" w:hAnsi="Times New Roman" w:cs="Times New Roman"/>
                <w:color w:val="FF0000"/>
                <w:spacing w:val="2"/>
                <w:sz w:val="24"/>
              </w:rPr>
              <w:t>并且在</w:t>
            </w:r>
            <w:r>
              <w:rPr>
                <w:rFonts w:hint="eastAsia" w:ascii="Times New Roman" w:hAnsi="Times New Roman" w:cs="Times New Roman"/>
                <w:color w:val="FF0000"/>
                <w:spacing w:val="2"/>
                <w:sz w:val="24"/>
                <w:lang w:eastAsia="zh-CN"/>
              </w:rPr>
              <w:t>锤式</w:t>
            </w:r>
            <w:r>
              <w:rPr>
                <w:rFonts w:hint="default" w:ascii="Times New Roman" w:hAnsi="Times New Roman" w:cs="Times New Roman"/>
                <w:color w:val="FF0000"/>
                <w:spacing w:val="2"/>
                <w:sz w:val="24"/>
              </w:rPr>
              <w:t>破碎机上方</w:t>
            </w:r>
            <w:r>
              <w:rPr>
                <w:rFonts w:hint="default" w:ascii="Times New Roman" w:hAnsi="Times New Roman" w:cs="Times New Roman"/>
                <w:color w:val="FF0000"/>
                <w:sz w:val="24"/>
              </w:rPr>
              <w:t>设置集气罩收集至布袋除尘器</w:t>
            </w:r>
            <w:r>
              <w:rPr>
                <w:rFonts w:hint="eastAsia" w:ascii="Times New Roman" w:hAnsi="Times New Roman" w:cs="Times New Roman"/>
                <w:color w:val="FF0000"/>
                <w:spacing w:val="2"/>
                <w:sz w:val="24"/>
                <w:lang w:eastAsia="zh-CN"/>
              </w:rPr>
              <w:t>（风量为</w:t>
            </w:r>
            <w:r>
              <w:rPr>
                <w:rFonts w:hint="eastAsia" w:ascii="Times New Roman" w:hAnsi="Times New Roman" w:cs="Times New Roman"/>
                <w:color w:val="FF0000"/>
                <w:spacing w:val="2"/>
                <w:sz w:val="24"/>
                <w:lang w:val="en-US" w:eastAsia="zh-CN"/>
              </w:rPr>
              <w:t>10000</w:t>
            </w:r>
            <w:r>
              <w:rPr>
                <w:rFonts w:hint="default" w:ascii="Times New Roman" w:hAnsi="Times New Roman" w:cs="Times New Roman"/>
                <w:color w:val="FF0000"/>
                <w:sz w:val="24"/>
              </w:rPr>
              <w:t>m</w:t>
            </w:r>
            <w:r>
              <w:rPr>
                <w:rFonts w:hint="default" w:ascii="Times New Roman" w:hAnsi="Times New Roman" w:cs="Times New Roman"/>
                <w:color w:val="FF0000"/>
                <w:sz w:val="24"/>
                <w:vertAlign w:val="superscript"/>
              </w:rPr>
              <w:t>3</w:t>
            </w:r>
            <w:r>
              <w:rPr>
                <w:rFonts w:hint="default" w:ascii="Times New Roman" w:hAnsi="Times New Roman" w:cs="Times New Roman"/>
                <w:color w:val="FF0000"/>
                <w:sz w:val="24"/>
              </w:rPr>
              <w:t>/h</w:t>
            </w:r>
            <w:r>
              <w:rPr>
                <w:rFonts w:hint="eastAsia" w:ascii="Times New Roman" w:hAnsi="Times New Roman" w:cs="Times New Roman"/>
                <w:color w:val="FF0000"/>
                <w:spacing w:val="2"/>
                <w:sz w:val="24"/>
                <w:lang w:eastAsia="zh-CN"/>
              </w:rPr>
              <w:t>）处理</w:t>
            </w:r>
            <w:r>
              <w:rPr>
                <w:rFonts w:hint="default" w:ascii="Times New Roman" w:hAnsi="Times New Roman" w:cs="Times New Roman"/>
                <w:color w:val="FF0000"/>
                <w:sz w:val="24"/>
              </w:rPr>
              <w:t>，除尘效率为99%</w:t>
            </w:r>
            <w:r>
              <w:rPr>
                <w:rFonts w:hint="eastAsia" w:ascii="Times New Roman" w:hAnsi="Times New Roman" w:cs="Times New Roman"/>
                <w:color w:val="FF0000"/>
                <w:sz w:val="24"/>
                <w:lang w:eastAsia="zh-CN"/>
              </w:rPr>
              <w:t>，</w:t>
            </w:r>
            <w:r>
              <w:rPr>
                <w:rFonts w:hint="eastAsia" w:ascii="Times New Roman" w:hAnsi="Times New Roman" w:cs="Times New Roman"/>
                <w:color w:val="FF0000"/>
                <w:spacing w:val="2"/>
                <w:sz w:val="24"/>
                <w:lang w:eastAsia="zh-CN"/>
              </w:rPr>
              <w:t>再经</w:t>
            </w:r>
            <w:r>
              <w:rPr>
                <w:rFonts w:hint="eastAsia" w:ascii="Times New Roman" w:hAnsi="Times New Roman" w:cs="Times New Roman"/>
                <w:color w:val="FF0000"/>
                <w:spacing w:val="2"/>
                <w:sz w:val="24"/>
                <w:lang w:val="en-US" w:eastAsia="zh-CN"/>
              </w:rPr>
              <w:t>15m高排气筒（DA002）排出</w:t>
            </w:r>
            <w:r>
              <w:rPr>
                <w:rFonts w:hint="default" w:ascii="Times New Roman" w:hAnsi="Times New Roman" w:cs="Times New Roman"/>
                <w:color w:val="FF0000"/>
                <w:spacing w:val="2"/>
                <w:sz w:val="24"/>
              </w:rPr>
              <w:t>，在</w:t>
            </w:r>
            <w:r>
              <w:rPr>
                <w:rFonts w:hint="eastAsia" w:ascii="Times New Roman" w:hAnsi="Times New Roman" w:cs="Times New Roman"/>
                <w:color w:val="FF0000"/>
                <w:spacing w:val="2"/>
                <w:sz w:val="24"/>
                <w:lang w:eastAsia="zh-CN"/>
              </w:rPr>
              <w:t>颚式破碎机、锤式破碎机等</w:t>
            </w:r>
            <w:r>
              <w:rPr>
                <w:rFonts w:hint="default" w:ascii="Times New Roman" w:hAnsi="Times New Roman" w:cs="Times New Roman"/>
                <w:color w:val="FF0000"/>
                <w:spacing w:val="2"/>
                <w:sz w:val="24"/>
              </w:rPr>
              <w:t>内外部设置了水喷淋设施进行抑尘，雾状喷淋可以抑制投料时产生的粉尘。</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FF0000"/>
                <w:spacing w:val="2"/>
                <w:sz w:val="24"/>
              </w:rPr>
              <w:t>项目分别在建筑垃圾进料斗口处、颚式破碎机、锤式破碎机均设置并安装了线杆式喷头。类比国内同行业经验，经过喷淋措施后，可在源头抑制约90%的粉尘产生，则本项目建筑垃圾再生处理过程中</w:t>
            </w:r>
            <w:r>
              <w:rPr>
                <w:rFonts w:hint="eastAsia" w:ascii="Times New Roman" w:hAnsi="Times New Roman" w:cs="Times New Roman"/>
                <w:color w:val="FF0000"/>
                <w:spacing w:val="2"/>
                <w:sz w:val="24"/>
                <w:lang w:eastAsia="zh-CN"/>
              </w:rPr>
              <w:t>，颚式破碎机破碎的产尘量可减少至</w:t>
            </w:r>
            <w:r>
              <w:rPr>
                <w:rFonts w:hint="eastAsia" w:ascii="Times New Roman" w:hAnsi="Times New Roman" w:cs="Times New Roman"/>
                <w:color w:val="FF0000"/>
                <w:spacing w:val="2"/>
                <w:sz w:val="24"/>
                <w:lang w:val="en-US" w:eastAsia="zh-CN"/>
              </w:rPr>
              <w:t>9</w:t>
            </w:r>
            <w:r>
              <w:rPr>
                <w:rFonts w:hint="default" w:ascii="Times New Roman" w:hAnsi="Times New Roman" w:cs="Times New Roman"/>
                <w:color w:val="FF0000"/>
                <w:spacing w:val="2"/>
                <w:sz w:val="24"/>
              </w:rPr>
              <w:t>t/a</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等的产尘量可减少至</w:t>
            </w:r>
            <w:r>
              <w:rPr>
                <w:rFonts w:hint="eastAsia" w:ascii="Times New Roman" w:hAnsi="Times New Roman" w:cs="Times New Roman"/>
                <w:color w:val="FF0000"/>
                <w:spacing w:val="2"/>
                <w:sz w:val="24"/>
                <w:lang w:val="en-US" w:eastAsia="zh-CN"/>
              </w:rPr>
              <w:t>6</w:t>
            </w:r>
            <w:r>
              <w:rPr>
                <w:rFonts w:hint="default" w:ascii="Times New Roman" w:hAnsi="Times New Roman" w:cs="Times New Roman"/>
                <w:color w:val="FF0000"/>
                <w:spacing w:val="2"/>
                <w:sz w:val="24"/>
              </w:rPr>
              <w:t>t/a。</w:t>
            </w:r>
          </w:p>
          <w:p>
            <w:pPr>
              <w:adjustRightInd w:val="0"/>
              <w:snapToGrid w:val="0"/>
              <w:spacing w:line="480" w:lineRule="exact"/>
              <w:ind w:firstLine="488" w:firstLineChars="200"/>
              <w:rPr>
                <w:rFonts w:hint="eastAsia" w:ascii="Times New Roman" w:hAnsi="Times New Roman" w:eastAsia="宋体" w:cs="Times New Roman"/>
                <w:color w:val="FF0000"/>
                <w:spacing w:val="2"/>
                <w:sz w:val="24"/>
                <w:lang w:val="en-US" w:eastAsia="zh-CN"/>
              </w:rPr>
            </w:pPr>
            <w:r>
              <w:rPr>
                <w:rFonts w:hint="eastAsia" w:ascii="Times New Roman" w:hAnsi="Times New Roman" w:cs="Times New Roman"/>
                <w:color w:val="FF0000"/>
                <w:spacing w:val="2"/>
                <w:sz w:val="24"/>
                <w:lang w:eastAsia="zh-CN"/>
              </w:rPr>
              <w:t>颚式破碎机破碎产生的粉尘</w:t>
            </w:r>
            <w:r>
              <w:rPr>
                <w:rFonts w:hint="default" w:ascii="Times New Roman" w:hAnsi="Times New Roman" w:cs="Times New Roman"/>
                <w:color w:val="FF0000"/>
                <w:spacing w:val="2"/>
                <w:sz w:val="24"/>
              </w:rPr>
              <w:t>经过布袋除尘器的处理后，</w:t>
            </w:r>
            <w:r>
              <w:rPr>
                <w:rFonts w:hint="eastAsia" w:ascii="Times New Roman" w:hAnsi="Times New Roman" w:cs="Times New Roman"/>
                <w:color w:val="FF0000"/>
                <w:sz w:val="24"/>
                <w:lang w:eastAsia="zh-CN"/>
              </w:rPr>
              <w:t>通过</w:t>
            </w:r>
            <w:r>
              <w:rPr>
                <w:rFonts w:hint="default" w:ascii="Times New Roman" w:hAnsi="Times New Roman" w:cs="Times New Roman"/>
                <w:color w:val="FF0000"/>
                <w:sz w:val="24"/>
              </w:rPr>
              <w:t>排气筒外排粉尘排放量为</w:t>
            </w:r>
            <w:r>
              <w:rPr>
                <w:rFonts w:hint="eastAsia" w:ascii="Times New Roman" w:hAnsi="Times New Roman" w:cs="Times New Roman"/>
                <w:color w:val="FF0000"/>
                <w:sz w:val="24"/>
                <w:lang w:val="en-US" w:eastAsia="zh-CN"/>
              </w:rPr>
              <w:t>9</w:t>
            </w:r>
            <w:r>
              <w:rPr>
                <w:rFonts w:hint="default" w:ascii="Times New Roman" w:hAnsi="Times New Roman" w:cs="Times New Roman"/>
                <w:color w:val="FF0000"/>
                <w:sz w:val="24"/>
              </w:rPr>
              <w:t>0kg/a，</w:t>
            </w:r>
            <w:r>
              <w:rPr>
                <w:rFonts w:hint="eastAsia" w:ascii="Times New Roman" w:hAnsi="Times New Roman" w:cs="Times New Roman"/>
                <w:color w:val="FF0000"/>
                <w:sz w:val="24"/>
                <w:lang w:eastAsia="zh-CN"/>
              </w:rPr>
              <w:t>排放速率为</w:t>
            </w:r>
            <w:r>
              <w:rPr>
                <w:rFonts w:hint="eastAsia" w:ascii="Times New Roman" w:hAnsi="Times New Roman" w:cs="Times New Roman"/>
                <w:color w:val="FF0000"/>
                <w:sz w:val="24"/>
                <w:lang w:val="en-US" w:eastAsia="zh-CN"/>
              </w:rPr>
              <w:t>0.0375</w:t>
            </w:r>
            <w:r>
              <w:rPr>
                <w:rFonts w:hint="default" w:ascii="Times New Roman" w:hAnsi="Times New Roman" w:cs="Times New Roman"/>
                <w:color w:val="FF0000"/>
                <w:sz w:val="24"/>
              </w:rPr>
              <w:t>kg/</w:t>
            </w:r>
            <w:r>
              <w:rPr>
                <w:rFonts w:hint="eastAsia" w:ascii="Times New Roman" w:hAnsi="Times New Roman" w:cs="Times New Roman"/>
                <w:color w:val="FF0000"/>
                <w:sz w:val="24"/>
                <w:lang w:val="en-US" w:eastAsia="zh-CN"/>
              </w:rPr>
              <w:t>h</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浓度为</w:t>
            </w:r>
            <w:r>
              <w:rPr>
                <w:rFonts w:hint="eastAsia" w:ascii="Times New Roman" w:hAnsi="Times New Roman" w:cs="Times New Roman"/>
                <w:color w:val="FF0000"/>
                <w:sz w:val="24"/>
                <w:lang w:val="en-US" w:eastAsia="zh-CN"/>
              </w:rPr>
              <w:t>4.6875</w:t>
            </w:r>
            <w:r>
              <w:rPr>
                <w:rFonts w:hint="default" w:ascii="Times New Roman" w:hAnsi="Times New Roman" w:cs="Times New Roman"/>
                <w:color w:val="FF0000"/>
                <w:sz w:val="24"/>
              </w:rPr>
              <w:t>mg/m</w:t>
            </w:r>
            <w:r>
              <w:rPr>
                <w:rFonts w:hint="default" w:ascii="Times New Roman" w:hAnsi="Times New Roman" w:cs="Times New Roman"/>
                <w:color w:val="FF0000"/>
                <w:sz w:val="24"/>
                <w:vertAlign w:val="superscript"/>
              </w:rPr>
              <w:t>3</w:t>
            </w:r>
            <w:r>
              <w:rPr>
                <w:rFonts w:hint="eastAsia" w:ascii="Times New Roman" w:hAnsi="Times New Roman" w:cs="Times New Roman"/>
                <w:color w:val="FF0000"/>
                <w:sz w:val="24"/>
                <w:lang w:eastAsia="zh-CN"/>
              </w:rPr>
              <w:t>；</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等产生的</w:t>
            </w:r>
            <w:r>
              <w:rPr>
                <w:rFonts w:hint="default" w:ascii="Times New Roman" w:hAnsi="Times New Roman" w:cs="Times New Roman"/>
                <w:color w:val="FF0000"/>
                <w:spacing w:val="2"/>
                <w:sz w:val="24"/>
              </w:rPr>
              <w:t>经过布袋除尘器的处理后，</w:t>
            </w:r>
            <w:r>
              <w:rPr>
                <w:rFonts w:hint="eastAsia" w:ascii="Times New Roman" w:hAnsi="Times New Roman" w:cs="Times New Roman"/>
                <w:color w:val="FF0000"/>
                <w:sz w:val="24"/>
                <w:lang w:eastAsia="zh-CN"/>
              </w:rPr>
              <w:t>通过</w:t>
            </w:r>
            <w:r>
              <w:rPr>
                <w:rFonts w:hint="default" w:ascii="Times New Roman" w:hAnsi="Times New Roman" w:cs="Times New Roman"/>
                <w:color w:val="FF0000"/>
                <w:sz w:val="24"/>
              </w:rPr>
              <w:t>排气筒外排粉尘排放量为</w:t>
            </w:r>
            <w:r>
              <w:rPr>
                <w:rFonts w:hint="eastAsia" w:ascii="Times New Roman" w:hAnsi="Times New Roman" w:cs="Times New Roman"/>
                <w:color w:val="FF0000"/>
                <w:sz w:val="24"/>
                <w:lang w:val="en-US" w:eastAsia="zh-CN"/>
              </w:rPr>
              <w:t>6</w:t>
            </w:r>
            <w:r>
              <w:rPr>
                <w:rFonts w:hint="default" w:ascii="Times New Roman" w:hAnsi="Times New Roman" w:cs="Times New Roman"/>
                <w:color w:val="FF0000"/>
                <w:sz w:val="24"/>
              </w:rPr>
              <w:t>0kg/a，</w:t>
            </w:r>
            <w:r>
              <w:rPr>
                <w:rFonts w:hint="eastAsia" w:ascii="Times New Roman" w:hAnsi="Times New Roman" w:cs="Times New Roman"/>
                <w:color w:val="FF0000"/>
                <w:sz w:val="24"/>
                <w:lang w:eastAsia="zh-CN"/>
              </w:rPr>
              <w:t>排放速率为</w:t>
            </w:r>
            <w:r>
              <w:rPr>
                <w:rFonts w:hint="eastAsia" w:ascii="Times New Roman" w:hAnsi="Times New Roman" w:cs="Times New Roman"/>
                <w:color w:val="FF0000"/>
                <w:sz w:val="24"/>
                <w:lang w:val="en-US" w:eastAsia="zh-CN"/>
              </w:rPr>
              <w:t>0.025</w:t>
            </w:r>
            <w:r>
              <w:rPr>
                <w:rFonts w:hint="default" w:ascii="Times New Roman" w:hAnsi="Times New Roman" w:cs="Times New Roman"/>
                <w:color w:val="FF0000"/>
                <w:sz w:val="24"/>
              </w:rPr>
              <w:t>kg/</w:t>
            </w:r>
            <w:r>
              <w:rPr>
                <w:rFonts w:hint="eastAsia" w:ascii="Times New Roman" w:hAnsi="Times New Roman" w:cs="Times New Roman"/>
                <w:color w:val="FF0000"/>
                <w:sz w:val="24"/>
                <w:lang w:val="en-US" w:eastAsia="zh-CN"/>
              </w:rPr>
              <w:t>h</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浓度为</w:t>
            </w:r>
            <w:r>
              <w:rPr>
                <w:rFonts w:hint="eastAsia" w:ascii="Times New Roman" w:hAnsi="Times New Roman" w:cs="Times New Roman"/>
                <w:color w:val="FF0000"/>
                <w:sz w:val="24"/>
                <w:lang w:val="en-US" w:eastAsia="zh-CN"/>
              </w:rPr>
              <w:t>2.5</w:t>
            </w:r>
            <w:r>
              <w:rPr>
                <w:rFonts w:hint="default" w:ascii="Times New Roman" w:hAnsi="Times New Roman" w:cs="Times New Roman"/>
                <w:color w:val="FF0000"/>
                <w:sz w:val="24"/>
              </w:rPr>
              <w:t>mg/m</w:t>
            </w:r>
            <w:r>
              <w:rPr>
                <w:rFonts w:hint="default" w:ascii="Times New Roman" w:hAnsi="Times New Roman" w:cs="Times New Roman"/>
                <w:color w:val="FF0000"/>
                <w:sz w:val="24"/>
                <w:vertAlign w:val="superscript"/>
              </w:rPr>
              <w:t>3</w:t>
            </w:r>
            <w:r>
              <w:rPr>
                <w:rFonts w:hint="default" w:ascii="Times New Roman" w:hAnsi="Times New Roman" w:cs="Times New Roman"/>
                <w:color w:val="FF0000"/>
                <w:spacing w:val="2"/>
                <w:sz w:val="24"/>
              </w:rPr>
              <w:t>。</w:t>
            </w:r>
          </w:p>
          <w:p>
            <w:pPr>
              <w:adjustRightInd w:val="0"/>
              <w:snapToGrid w:val="0"/>
              <w:spacing w:line="480" w:lineRule="exact"/>
              <w:ind w:left="488"/>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（2）原料储棚扬尘</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项目原料建筑垃圾等封闭储存，且原料含水率约8%（建筑垃圾在破碎过程中喷淋洒水，同时在卸料过程也进行洒水），但生产过程中由于铲车装车作业部分物料外露。外露的物料由于风等原因将产生一定量的粉尘，堆场起尘量采用秦皇岛码头煤场起尘量估算模式计算。</w:t>
            </w:r>
          </w:p>
          <w:p>
            <w:pPr>
              <w:adjustRightInd w:val="0"/>
              <w:snapToGrid w:val="0"/>
              <w:spacing w:line="480" w:lineRule="exact"/>
              <w:ind w:left="488"/>
              <w:jc w:val="center"/>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Q=0.0666k(U-U</w:t>
            </w:r>
            <w:r>
              <w:rPr>
                <w:rFonts w:hint="default" w:ascii="Times New Roman" w:hAnsi="Times New Roman" w:cs="Times New Roman"/>
                <w:color w:val="000000"/>
                <w:spacing w:val="2"/>
                <w:sz w:val="24"/>
                <w:vertAlign w:val="subscript"/>
              </w:rPr>
              <w:t>0</w:t>
            </w:r>
            <w:r>
              <w:rPr>
                <w:rFonts w:hint="default" w:ascii="Times New Roman" w:hAnsi="Times New Roman" w:cs="Times New Roman"/>
                <w:color w:val="000000"/>
                <w:spacing w:val="2"/>
                <w:sz w:val="24"/>
              </w:rPr>
              <w:t>)</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e</w:t>
            </w:r>
            <w:r>
              <w:rPr>
                <w:rFonts w:hint="default" w:ascii="Times New Roman" w:hAnsi="Times New Roman" w:cs="Times New Roman"/>
                <w:color w:val="000000"/>
                <w:spacing w:val="2"/>
                <w:sz w:val="24"/>
                <w:vertAlign w:val="superscript"/>
              </w:rPr>
              <w:t>-1.023w</w:t>
            </w:r>
            <w:r>
              <w:rPr>
                <w:rFonts w:hint="default" w:ascii="Times New Roman" w:hAnsi="Times New Roman" w:cs="Times New Roman"/>
                <w:color w:val="000000"/>
                <w:spacing w:val="2"/>
                <w:sz w:val="24"/>
              </w:rPr>
              <w:t>M</w:t>
            </w:r>
          </w:p>
          <w:p>
            <w:pPr>
              <w:adjustRightInd w:val="0"/>
              <w:snapToGrid w:val="0"/>
              <w:spacing w:line="480" w:lineRule="exact"/>
              <w:ind w:left="488"/>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式中：Q—堆场产尘量，mg/s；</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U</w:t>
            </w:r>
            <w:r>
              <w:rPr>
                <w:rFonts w:hint="default" w:ascii="Times New Roman" w:hAnsi="Times New Roman" w:cs="Times New Roman"/>
                <w:color w:val="000000"/>
                <w:spacing w:val="2"/>
                <w:sz w:val="24"/>
                <w:vertAlign w:val="subscript"/>
              </w:rPr>
              <w:t>0</w:t>
            </w:r>
            <w:r>
              <w:rPr>
                <w:rFonts w:hint="default" w:ascii="Times New Roman" w:hAnsi="Times New Roman" w:cs="Times New Roman"/>
                <w:color w:val="000000"/>
                <w:spacing w:val="2"/>
                <w:sz w:val="24"/>
              </w:rPr>
              <w:t>—50m高度处的扬尘启动风速，一般取4.0m/s；</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U—50m高度处的风速，取5.0m/s；</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W—物料含水率，8%；</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M—堆场物料量，总计约100t/a（外露堆场堆存量）；</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K—与物料含水率相关系数（8%对应系数为0.963）</w:t>
            </w:r>
          </w:p>
          <w:p>
            <w:pPr>
              <w:pStyle w:val="23"/>
              <w:adjustRightInd w:val="0"/>
              <w:snapToGrid w:val="0"/>
              <w:spacing w:after="0" w:line="480" w:lineRule="exact"/>
              <w:ind w:left="0" w:leftChars="0"/>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表1</w:t>
            </w:r>
            <w:r>
              <w:rPr>
                <w:rFonts w:hint="default" w:ascii="Times New Roman" w:hAnsi="Times New Roman" w:cs="Times New Roman"/>
                <w:b/>
                <w:color w:val="000000"/>
                <w:sz w:val="24"/>
                <w:szCs w:val="24"/>
                <w:lang w:val="en-US" w:eastAsia="zh-CN"/>
              </w:rPr>
              <w:t>7</w:t>
            </w:r>
            <w:r>
              <w:rPr>
                <w:rFonts w:hint="default" w:ascii="Times New Roman" w:hAnsi="Times New Roman" w:cs="Times New Roman"/>
                <w:b/>
                <w:color w:val="000000"/>
                <w:sz w:val="24"/>
                <w:szCs w:val="24"/>
              </w:rPr>
              <w:t xml:space="preserve">   不同含水率下的k值</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708"/>
              <w:gridCol w:w="709"/>
              <w:gridCol w:w="744"/>
              <w:gridCol w:w="874"/>
              <w:gridCol w:w="874"/>
              <w:gridCol w:w="874"/>
              <w:gridCol w:w="874"/>
              <w:gridCol w:w="874"/>
              <w:gridCol w:w="8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367"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含水率（%）</w:t>
                  </w:r>
                </w:p>
              </w:tc>
              <w:tc>
                <w:tcPr>
                  <w:tcW w:w="708"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1</w:t>
                  </w:r>
                </w:p>
              </w:tc>
              <w:tc>
                <w:tcPr>
                  <w:tcW w:w="709"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2</w:t>
                  </w:r>
                </w:p>
              </w:tc>
              <w:tc>
                <w:tcPr>
                  <w:tcW w:w="74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3</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4</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5</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6</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7</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8</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367"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k</w:t>
                  </w:r>
                </w:p>
              </w:tc>
              <w:tc>
                <w:tcPr>
                  <w:tcW w:w="708"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1.019</w:t>
                  </w:r>
                </w:p>
              </w:tc>
              <w:tc>
                <w:tcPr>
                  <w:tcW w:w="709"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1.010</w:t>
                  </w:r>
                </w:p>
              </w:tc>
              <w:tc>
                <w:tcPr>
                  <w:tcW w:w="74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1.002</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0.995</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0.986</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0.979</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0.971</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0.963</w:t>
                  </w:r>
                </w:p>
              </w:tc>
              <w:tc>
                <w:tcPr>
                  <w:tcW w:w="874" w:type="dxa"/>
                  <w:noWrap w:val="0"/>
                  <w:vAlign w:val="center"/>
                </w:tcPr>
                <w:p>
                  <w:pPr>
                    <w:adjustRightInd w:val="0"/>
                    <w:snapToGrid w:val="0"/>
                    <w:jc w:val="center"/>
                    <w:rPr>
                      <w:rFonts w:hint="default" w:ascii="Times New Roman" w:hAnsi="Times New Roman" w:cs="Times New Roman"/>
                      <w:color w:val="000000"/>
                      <w:spacing w:val="2"/>
                      <w:szCs w:val="21"/>
                    </w:rPr>
                  </w:pPr>
                  <w:r>
                    <w:rPr>
                      <w:rFonts w:hint="default" w:ascii="Times New Roman" w:hAnsi="Times New Roman" w:cs="Times New Roman"/>
                      <w:color w:val="000000"/>
                      <w:spacing w:val="2"/>
                      <w:szCs w:val="21"/>
                    </w:rPr>
                    <w:t>0.96</w:t>
                  </w:r>
                </w:p>
              </w:tc>
            </w:tr>
          </w:tbl>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计算可得，堆场起尘量约为5.91mg/s，换算后为0.05t/a；原料储棚采取</w:t>
            </w:r>
            <w:r>
              <w:rPr>
                <w:rFonts w:hint="default" w:ascii="Times New Roman" w:hAnsi="Times New Roman" w:cs="Times New Roman"/>
                <w:color w:val="000000"/>
                <w:kern w:val="0"/>
                <w:sz w:val="24"/>
              </w:rPr>
              <w:t>喷水降尘，去尘率可达到60%，原料储棚粉尘产生量减小至0.02</w:t>
            </w:r>
            <w:r>
              <w:rPr>
                <w:rFonts w:hint="default" w:ascii="Times New Roman" w:hAnsi="Times New Roman" w:cs="Times New Roman"/>
                <w:color w:val="000000"/>
                <w:spacing w:val="2"/>
                <w:sz w:val="24"/>
              </w:rPr>
              <w:t>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（3）装卸扬尘</w:t>
            </w:r>
          </w:p>
          <w:p>
            <w:pPr>
              <w:adjustRightInd w:val="0"/>
              <w:snapToGrid w:val="0"/>
              <w:spacing w:line="480" w:lineRule="exact"/>
              <w:ind w:firstLine="488" w:firstLineChars="200"/>
              <w:rPr>
                <w:rFonts w:hint="default" w:ascii="Times New Roman" w:hAnsi="Times New Roman" w:cs="Times New Roman"/>
                <w:color w:val="000000"/>
                <w:spacing w:val="2"/>
                <w:sz w:val="24"/>
                <w:vertAlign w:val="subscript"/>
              </w:rPr>
            </w:pPr>
            <w:r>
              <w:rPr>
                <w:rFonts w:hint="default" w:ascii="Times New Roman" w:hAnsi="Times New Roman" w:cs="Times New Roman"/>
                <w:color w:val="000000"/>
                <w:spacing w:val="2"/>
                <w:sz w:val="24"/>
              </w:rPr>
              <w:t>原料在装卸过程中易起尘，本项目采用山西环保科研所、武汉水运工程学院提出的自卸汽车卸料起尘量计算公式估算，经验公式为：</w:t>
            </w:r>
          </w:p>
          <w:p>
            <w:pPr>
              <w:adjustRightInd w:val="0"/>
              <w:snapToGrid w:val="0"/>
              <w:spacing w:line="480" w:lineRule="exact"/>
              <w:ind w:firstLine="488" w:firstLineChars="200"/>
              <w:jc w:val="center"/>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Q=e</w:t>
            </w:r>
            <w:r>
              <w:rPr>
                <w:rFonts w:hint="default" w:ascii="Times New Roman" w:hAnsi="Times New Roman" w:cs="Times New Roman"/>
                <w:color w:val="000000"/>
                <w:spacing w:val="2"/>
                <w:sz w:val="24"/>
                <w:vertAlign w:val="superscript"/>
              </w:rPr>
              <w:t>0.61u</w:t>
            </w:r>
            <w:r>
              <w:rPr>
                <w:rFonts w:hint="default" w:ascii="Times New Roman" w:hAnsi="Times New Roman" w:cs="Times New Roman"/>
                <w:color w:val="000000"/>
                <w:spacing w:val="2"/>
                <w:sz w:val="24"/>
              </w:rPr>
              <w:t>M/13.5</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式中：Q—自卸汽车卸料起尘量，g/次；</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U—平均风速，m/s，取1.3m/s</w:t>
            </w:r>
          </w:p>
          <w:p>
            <w:pPr>
              <w:adjustRightInd w:val="0"/>
              <w:snapToGrid w:val="0"/>
              <w:spacing w:line="480" w:lineRule="exact"/>
              <w:ind w:firstLine="1220" w:firstLineChars="5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M—汽车卸料量，t，取50万t/a（原料卸料至料斗过程）</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由上式计算的本项目卸料粉尘产生量约为0.073t/a，</w:t>
            </w:r>
            <w:r>
              <w:rPr>
                <w:rFonts w:hint="default" w:ascii="Times New Roman" w:hAnsi="Times New Roman" w:cs="Times New Roman"/>
                <w:color w:val="000000"/>
                <w:kern w:val="0"/>
                <w:sz w:val="24"/>
              </w:rPr>
              <w:t>为控制卸料粉尘产生量，卸料时喷水降尘，去尘率可达到60%，原料卸料时粉尘产生量减小至0.03</w:t>
            </w:r>
            <w:r>
              <w:rPr>
                <w:rFonts w:hint="default" w:ascii="Times New Roman" w:hAnsi="Times New Roman" w:cs="Times New Roman"/>
                <w:color w:val="000000"/>
                <w:spacing w:val="2"/>
                <w:sz w:val="24"/>
              </w:rPr>
              <w:t>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（4）水泥粉料入罐扬尘</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项目设置2个80m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的水泥罐，水泥罐自带滤芯式除尘器。罐仓产生的粉尘经过滤芯式除尘器处理达标后由排气筒外排。依据同类工程类比数据，1个水泥罐仓含尘废气中粉尘的产生浓度</w:t>
            </w:r>
            <w:r>
              <w:rPr>
                <w:rFonts w:hint="default" w:ascii="Times New Roman" w:hAnsi="Times New Roman" w:cs="Times New Roman"/>
                <w:bCs/>
                <w:color w:val="000000"/>
                <w:spacing w:val="2"/>
                <w:sz w:val="24"/>
              </w:rPr>
              <w:t>介于200mg/m</w:t>
            </w:r>
            <w:r>
              <w:rPr>
                <w:rFonts w:hint="default" w:ascii="Times New Roman" w:hAnsi="Times New Roman" w:cs="Times New Roman"/>
                <w:bCs/>
                <w:color w:val="000000"/>
                <w:spacing w:val="2"/>
                <w:sz w:val="24"/>
                <w:vertAlign w:val="superscript"/>
              </w:rPr>
              <w:t>3</w:t>
            </w:r>
            <w:r>
              <w:rPr>
                <w:rFonts w:hint="default" w:ascii="Times New Roman" w:hAnsi="Times New Roman" w:cs="Times New Roman"/>
                <w:bCs/>
                <w:color w:val="000000"/>
                <w:spacing w:val="2"/>
                <w:sz w:val="24"/>
              </w:rPr>
              <w:t>-3000mg/m</w:t>
            </w:r>
            <w:r>
              <w:rPr>
                <w:rFonts w:hint="default" w:ascii="Times New Roman" w:hAnsi="Times New Roman" w:cs="Times New Roman"/>
                <w:bCs/>
                <w:color w:val="000000"/>
                <w:spacing w:val="2"/>
                <w:sz w:val="24"/>
                <w:vertAlign w:val="superscript"/>
              </w:rPr>
              <w:t>3</w:t>
            </w:r>
            <w:r>
              <w:rPr>
                <w:rFonts w:hint="default" w:ascii="Times New Roman" w:hAnsi="Times New Roman" w:cs="Times New Roman"/>
                <w:bCs/>
                <w:color w:val="000000"/>
                <w:spacing w:val="2"/>
                <w:sz w:val="24"/>
              </w:rPr>
              <w:t>之间</w:t>
            </w:r>
            <w:r>
              <w:rPr>
                <w:rFonts w:hint="default" w:ascii="Times New Roman" w:hAnsi="Times New Roman" w:cs="Times New Roman"/>
                <w:color w:val="000000"/>
                <w:spacing w:val="2"/>
                <w:sz w:val="24"/>
              </w:rPr>
              <w:t>，</w:t>
            </w:r>
            <w:r>
              <w:rPr>
                <w:rFonts w:hint="default" w:ascii="Times New Roman" w:hAnsi="Times New Roman" w:cs="Times New Roman"/>
                <w:bCs/>
                <w:color w:val="000000"/>
                <w:spacing w:val="2"/>
                <w:sz w:val="24"/>
              </w:rPr>
              <w:t>本评价取2000mg/m</w:t>
            </w:r>
            <w:r>
              <w:rPr>
                <w:rFonts w:hint="default" w:ascii="Times New Roman" w:hAnsi="Times New Roman" w:cs="Times New Roman"/>
                <w:bCs/>
                <w:color w:val="000000"/>
                <w:spacing w:val="2"/>
                <w:sz w:val="24"/>
                <w:vertAlign w:val="superscript"/>
              </w:rPr>
              <w:t>3</w:t>
            </w:r>
            <w:r>
              <w:rPr>
                <w:rFonts w:hint="default" w:ascii="Times New Roman" w:hAnsi="Times New Roman" w:cs="Times New Roman"/>
                <w:bCs/>
                <w:color w:val="000000"/>
                <w:spacing w:val="2"/>
                <w:sz w:val="24"/>
              </w:rPr>
              <w:t>,</w:t>
            </w:r>
            <w:r>
              <w:rPr>
                <w:rFonts w:hint="default" w:ascii="Times New Roman" w:hAnsi="Times New Roman" w:cs="Times New Roman"/>
                <w:color w:val="000000"/>
                <w:spacing w:val="2"/>
                <w:sz w:val="24"/>
              </w:rPr>
              <w:t>根据建设单位提供的数据，该滤芯式除尘器的排风量约2300m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/h，除尘效率99.9%，则粉尘的产生速率为0.0092t/h，产生量为22.08t/a。</w:t>
            </w:r>
            <w:r>
              <w:rPr>
                <w:rFonts w:hint="default" w:ascii="Times New Roman" w:hAnsi="Times New Roman" w:cs="Times New Roman"/>
                <w:color w:val="auto"/>
                <w:spacing w:val="2"/>
                <w:sz w:val="24"/>
              </w:rPr>
              <w:t>经除尘器处理后，有组织排放粉尘约为2mg/m</w:t>
            </w:r>
            <w:r>
              <w:rPr>
                <w:rFonts w:hint="default" w:ascii="Times New Roman" w:hAnsi="Times New Roman" w:cs="Times New Roman"/>
                <w:color w:val="auto"/>
                <w:spacing w:val="2"/>
                <w:sz w:val="24"/>
                <w:vertAlign w:val="superscript"/>
              </w:rPr>
              <w:t>3</w:t>
            </w:r>
            <w:r>
              <w:rPr>
                <w:rFonts w:hint="default" w:ascii="Times New Roman" w:hAnsi="Times New Roman" w:cs="Times New Roman"/>
                <w:color w:val="auto"/>
                <w:spacing w:val="2"/>
                <w:sz w:val="24"/>
              </w:rPr>
              <w:t>，排放速率为9.2g/h，排放量为0.022t/a。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（5）汽车运输扬尘（产品运输粉尘）</w:t>
            </w:r>
          </w:p>
          <w:p>
            <w:pPr>
              <w:adjustRightInd w:val="0"/>
              <w:snapToGrid w:val="0"/>
              <w:spacing w:line="480" w:lineRule="exact"/>
              <w:ind w:left="488"/>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车辆行驶产生的扬尘，在路面完全干燥的情况下，可按下列经验公式计算：</w:t>
            </w:r>
          </w:p>
          <w:p>
            <w:pPr>
              <w:adjustRightInd w:val="0"/>
              <w:snapToGrid w:val="0"/>
              <w:spacing w:line="480" w:lineRule="exact"/>
              <w:ind w:left="488"/>
              <w:rPr>
                <w:rFonts w:hint="default" w:ascii="Times New Roman" w:hAnsi="Times New Roman" w:cs="Times New Roman"/>
                <w:color w:val="000000"/>
                <w:spacing w:val="2"/>
                <w:sz w:val="24"/>
              </w:rPr>
            </w:pPr>
            <w:r>
              <w:rPr>
                <w:rFonts w:hint="default" w:ascii="Times New Roman" w:hAnsi="Times New Roman" w:eastAsia="黑体" w:cs="Times New Roman"/>
                <w:color w:val="000000"/>
                <w:sz w:val="30"/>
                <w:szCs w:val="30"/>
              </w:rPr>
              <w:pict>
                <v:shape id="Picture 3" o:spid="_x0000_s1026" o:spt="75" type="#_x0000_t75" style="position:absolute;left:0pt;margin-left:81pt;margin-top:11.95pt;height:50pt;width:224.95pt;z-index:251659264;mso-width-relative:page;mso-height-relative:page;" o:ole="t" fillcolor="#000011" filled="f" o:preferrelative="t" stroked="f" coordsize="21600,21600">
                  <v:path/>
                  <v:fill on="f" focussize="0,0"/>
                  <v:stroke on="f"/>
                  <v:imagedata r:id="rId17" o:title=""/>
                  <o:lock v:ext="edit" aspectratio="t"/>
                </v:shape>
                <o:OLEObject Type="Embed" ProgID="" ShapeID="Picture 3" DrawAspect="Content" ObjectID="_1468075727" r:id="rId16">
                  <o:LockedField>false</o:LockedField>
                </o:OLEObject>
              </w:pict>
            </w:r>
          </w:p>
          <w:p>
            <w:pPr>
              <w:adjustRightInd w:val="0"/>
              <w:snapToGrid w:val="0"/>
              <w:spacing w:line="480" w:lineRule="exact"/>
              <w:ind w:left="488"/>
              <w:rPr>
                <w:rFonts w:hint="default" w:ascii="Times New Roman" w:hAnsi="Times New Roman" w:cs="Times New Roman"/>
                <w:color w:val="000000"/>
                <w:spacing w:val="2"/>
                <w:sz w:val="24"/>
              </w:rPr>
            </w:pPr>
          </w:p>
          <w:p>
            <w:pPr>
              <w:adjustRightInd w:val="0"/>
              <w:snapToGrid w:val="0"/>
              <w:spacing w:line="276" w:lineRule="auto"/>
              <w:ind w:left="488"/>
              <w:jc w:val="center"/>
              <w:rPr>
                <w:rFonts w:hint="default" w:ascii="Times New Roman" w:hAnsi="Times New Roman" w:cs="Times New Roman"/>
                <w:color w:val="000000"/>
                <w:spacing w:val="2"/>
                <w:sz w:val="24"/>
              </w:rPr>
            </w:pPr>
          </w:p>
          <w:p>
            <w:pPr>
              <w:adjustRightInd w:val="0"/>
              <w:snapToGrid w:val="0"/>
              <w:spacing w:line="480" w:lineRule="exact"/>
              <w:ind w:firstLine="360" w:firstLineChars="150"/>
              <w:jc w:val="left"/>
              <w:rPr>
                <w:rFonts w:hint="default" w:ascii="Times New Roman" w:hAnsi="Times New Roman" w:cs="Times New Roman"/>
                <w:color w:val="000000"/>
                <w:spacing w:val="2"/>
                <w:sz w:val="24"/>
              </w:rPr>
            </w:pPr>
            <w:r>
              <w:rPr>
                <w:rFonts w:hint="default" w:ascii="Times New Roman" w:hAnsi="Times New Roman" w:cs="Times New Roman"/>
                <w:color w:val="000000"/>
                <w:sz w:val="24"/>
              </w:rPr>
              <w:t>式中： Q</w:t>
            </w:r>
            <w:r>
              <w:rPr>
                <w:rFonts w:hint="default" w:ascii="Times New Roman" w:hAnsi="Times New Roman" w:cs="Times New Roman"/>
                <w:color w:val="000000"/>
                <w:sz w:val="24"/>
                <w:vertAlign w:val="subscript"/>
              </w:rPr>
              <w:t>P</w:t>
            </w:r>
            <w:r>
              <w:rPr>
                <w:rFonts w:hint="default" w:ascii="Times New Roman" w:hAnsi="Times New Roman" w:cs="Times New Roman"/>
                <w:color w:val="000000"/>
              </w:rPr>
              <w:t>—</w:t>
            </w:r>
            <w:r>
              <w:rPr>
                <w:rFonts w:hint="default" w:ascii="Times New Roman" w:hAnsi="Times New Roman" w:cs="Times New Roman"/>
                <w:color w:val="000000"/>
                <w:sz w:val="24"/>
              </w:rPr>
              <w:t>每辆汽车行驶扬尘量（kg/km·辆）；</w:t>
            </w:r>
          </w:p>
          <w:p>
            <w:pPr>
              <w:snapToGrid w:val="0"/>
              <w:spacing w:line="480" w:lineRule="exact"/>
              <w:ind w:firstLine="1200" w:firstLineChars="500"/>
              <w:rPr>
                <w:rFonts w:hint="default" w:ascii="Times New Roman" w:hAnsi="Times New Roman" w:cs="Times New Roman"/>
                <w:color w:val="000000"/>
                <w:sz w:val="24"/>
              </w:rPr>
            </w:pPr>
            <w:r>
              <w:rPr>
                <w:rFonts w:hint="default" w:ascii="Times New Roman" w:hAnsi="Times New Roman" w:cs="Times New Roman"/>
                <w:color w:val="000000"/>
                <w:sz w:val="24"/>
              </w:rPr>
              <w:t>Q</w:t>
            </w:r>
            <w:r>
              <w:rPr>
                <w:rFonts w:hint="default" w:ascii="Times New Roman" w:hAnsi="Times New Roman" w:cs="Times New Roman"/>
                <w:color w:val="000000"/>
                <w:sz w:val="24"/>
                <w:vertAlign w:val="subscript"/>
              </w:rPr>
              <w:t>P</w:t>
            </w:r>
            <w:r>
              <w:rPr>
                <w:rFonts w:hint="default" w:ascii="Times New Roman" w:hAnsi="Times New Roman" w:cs="Times New Roman"/>
                <w:color w:val="000000"/>
                <w:sz w:val="24"/>
                <w:vertAlign w:val="superscript"/>
              </w:rPr>
              <w:t>1</w:t>
            </w:r>
            <w:r>
              <w:rPr>
                <w:rFonts w:hint="default" w:ascii="Times New Roman" w:hAnsi="Times New Roman" w:cs="Times New Roman"/>
                <w:color w:val="000000"/>
              </w:rPr>
              <w:t>—</w:t>
            </w:r>
            <w:r>
              <w:rPr>
                <w:rFonts w:hint="default" w:ascii="Times New Roman" w:hAnsi="Times New Roman" w:cs="Times New Roman"/>
                <w:color w:val="000000"/>
                <w:sz w:val="24"/>
              </w:rPr>
              <w:t>总扬尘（kg/a）；</w:t>
            </w:r>
          </w:p>
          <w:p>
            <w:pPr>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 xml:space="preserve">      V</w:t>
            </w:r>
            <w:r>
              <w:rPr>
                <w:rFonts w:hint="default" w:ascii="Times New Roman" w:hAnsi="Times New Roman" w:cs="Times New Roman"/>
                <w:color w:val="000000"/>
              </w:rPr>
              <w:t>—</w:t>
            </w:r>
            <w:r>
              <w:rPr>
                <w:rFonts w:hint="default" w:ascii="Times New Roman" w:hAnsi="Times New Roman" w:cs="Times New Roman"/>
                <w:color w:val="000000"/>
                <w:sz w:val="24"/>
              </w:rPr>
              <w:t>车辆速度（km/h），取20km/h；</w:t>
            </w:r>
          </w:p>
          <w:p>
            <w:pPr>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 xml:space="preserve">      M</w:t>
            </w:r>
            <w:r>
              <w:rPr>
                <w:rFonts w:hint="default" w:ascii="Times New Roman" w:hAnsi="Times New Roman" w:cs="Times New Roman"/>
                <w:color w:val="000000"/>
              </w:rPr>
              <w:t>—</w:t>
            </w:r>
            <w:r>
              <w:rPr>
                <w:rFonts w:hint="default" w:ascii="Times New Roman" w:hAnsi="Times New Roman" w:cs="Times New Roman"/>
                <w:color w:val="000000"/>
                <w:sz w:val="24"/>
              </w:rPr>
              <w:t>车辆载重（t/辆）</w:t>
            </w:r>
          </w:p>
          <w:p>
            <w:pPr>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 xml:space="preserve">      P</w:t>
            </w:r>
            <w:r>
              <w:rPr>
                <w:rFonts w:hint="default" w:ascii="Times New Roman" w:hAnsi="Times New Roman" w:cs="Times New Roman"/>
                <w:color w:val="000000"/>
              </w:rPr>
              <w:t>—</w:t>
            </w:r>
            <w:r>
              <w:rPr>
                <w:rFonts w:hint="default" w:ascii="Times New Roman" w:hAnsi="Times New Roman" w:cs="Times New Roman"/>
                <w:color w:val="000000"/>
                <w:sz w:val="24"/>
              </w:rPr>
              <w:t>道路灰尘覆盖量（kg/m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w:t>
            </w:r>
            <w:r>
              <w:rPr>
                <w:rFonts w:hint="default" w:ascii="Times New Roman" w:hAnsi="Times New Roman" w:cs="Times New Roman"/>
                <w:color w:val="000000"/>
              </w:rPr>
              <w:t>，</w:t>
            </w:r>
            <w:r>
              <w:rPr>
                <w:rFonts w:hint="default" w:ascii="Times New Roman" w:hAnsi="Times New Roman" w:cs="Times New Roman"/>
                <w:color w:val="000000"/>
                <w:sz w:val="24"/>
              </w:rPr>
              <w:t>取0.1kg/m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w:t>
            </w:r>
          </w:p>
          <w:p>
            <w:pPr>
              <w:pStyle w:val="69"/>
              <w:spacing w:line="480" w:lineRule="exact"/>
              <w:ind w:firstLine="1200" w:firstLineChars="500"/>
              <w:rPr>
                <w:rFonts w:hint="default" w:ascii="Times New Roman" w:hAnsi="Times New Roman" w:cs="Times New Roman"/>
                <w:color w:val="000000"/>
              </w:rPr>
            </w:pPr>
            <w:r>
              <w:rPr>
                <w:rFonts w:hint="default" w:ascii="Times New Roman" w:hAnsi="Times New Roman" w:cs="Times New Roman"/>
                <w:color w:val="000000"/>
              </w:rPr>
              <w:t>L—运输距离（km），取0.1km；</w:t>
            </w:r>
          </w:p>
          <w:p>
            <w:pPr>
              <w:pStyle w:val="69"/>
              <w:spacing w:line="480" w:lineRule="exact"/>
              <w:ind w:firstLine="1200" w:firstLineChars="500"/>
              <w:rPr>
                <w:rFonts w:hint="default" w:ascii="Times New Roman" w:hAnsi="Times New Roman" w:cs="Times New Roman"/>
                <w:color w:val="000000"/>
              </w:rPr>
            </w:pPr>
            <w:r>
              <w:rPr>
                <w:rFonts w:hint="default" w:ascii="Times New Roman" w:hAnsi="Times New Roman" w:cs="Times New Roman"/>
                <w:color w:val="000000"/>
              </w:rPr>
              <w:t>Q—运输量（t/a）。</w:t>
            </w:r>
          </w:p>
          <w:p>
            <w:pPr>
              <w:snapToGrid w:val="0"/>
              <w:spacing w:line="480" w:lineRule="exact"/>
              <w:ind w:firstLine="360" w:firstLineChars="150"/>
              <w:rPr>
                <w:rFonts w:hint="default" w:ascii="Times New Roman" w:hAnsi="Times New Roman" w:cs="Times New Roman"/>
                <w:color w:val="000000"/>
                <w:sz w:val="24"/>
              </w:rPr>
            </w:pPr>
            <w:r>
              <w:rPr>
                <w:rFonts w:hint="default" w:ascii="Times New Roman" w:hAnsi="Times New Roman" w:cs="Times New Roman"/>
                <w:color w:val="000000"/>
                <w:sz w:val="24"/>
              </w:rPr>
              <w:t>（a）建筑垃圾运输扬尘</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根据上式，Q取50万t/a，项目车辆载重25t/辆，载重车道路扬尘0.465kg/km辆，项目厂区内0.1km运输路段内产生的扬尘量0.86t/a。</w:t>
            </w:r>
          </w:p>
          <w:p>
            <w:pPr>
              <w:snapToGrid w:val="0"/>
              <w:spacing w:line="480" w:lineRule="exact"/>
              <w:ind w:firstLine="360" w:firstLineChars="150"/>
              <w:rPr>
                <w:rFonts w:hint="default" w:ascii="Times New Roman" w:hAnsi="Times New Roman" w:cs="Times New Roman"/>
                <w:color w:val="000000"/>
                <w:sz w:val="24"/>
              </w:rPr>
            </w:pPr>
            <w:r>
              <w:rPr>
                <w:rFonts w:hint="default" w:ascii="Times New Roman" w:hAnsi="Times New Roman" w:cs="Times New Roman"/>
                <w:color w:val="000000"/>
                <w:sz w:val="24"/>
              </w:rPr>
              <w:t>（b）产品运输扬尘</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项目产品Q取50万t/a，项目厂区内0.1km运输路段内产生的扬尘量0.64t/a。</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综上，运输扬尘产生量为1.5t/a，采取洒水降尘、道路清扫等措施后，降尘率可达60%，则道路运输起尘量0.6t/a。</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（6）车辆尾气</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项目运输车辆尾气中主要污染物有CO、NO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、THC等。运行过程中排放的尾气量不大，靠自然通风扩散。</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（7）传输带粉尘</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kern w:val="0"/>
                <w:sz w:val="24"/>
              </w:rPr>
              <w:t>原料进入给料口后均采用输送带输送，输送带在输送过程匀速稳定，且位于密闭的车间内，在胶带机端头搭接部位采取喷水雾降尘控制措施，一般情况下不易起尘</w:t>
            </w:r>
            <w:r>
              <w:rPr>
                <w:rFonts w:hint="default" w:ascii="Times New Roman" w:hAnsi="Times New Roman" w:cs="Times New Roman"/>
                <w:color w:val="000000"/>
                <w:sz w:val="24"/>
              </w:rPr>
              <w:t>。</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（8）产品外售运输产生粉尘</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汽车在运输产品的过程中产生一定的扬尘，其产尘强度与路面种类、季节干湿以及汽车运行速度等因素有关，经估算和类比，公路旁粉尘浓度监测一般在10mg/m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左右，主要影响对象为道路两侧20m范围内的第一排建筑物。本项目外输道路为水泥硬化路面，路面扬尘污染较小，粉尘影响主要由运输车辆沿途散落土粉、石粉造成，车辆经过易造成二次扬尘污染。</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）原料搅拌粉尘</w:t>
            </w:r>
          </w:p>
          <w:p>
            <w:pPr>
              <w:spacing w:line="480" w:lineRule="atLeast"/>
              <w:ind w:firstLine="420"/>
              <w:rPr>
                <w:rFonts w:hint="default" w:ascii="Times New Roman" w:hAnsi="Times New Roman" w:cs="Times New Roman"/>
                <w:color w:val="FF0000"/>
                <w:sz w:val="24"/>
              </w:rPr>
            </w:pPr>
            <w:r>
              <w:rPr>
                <w:rFonts w:hint="default" w:ascii="Times New Roman" w:hAnsi="Times New Roman" w:cs="Times New Roman"/>
                <w:color w:val="auto"/>
                <w:sz w:val="24"/>
              </w:rPr>
              <w:t>在原料搅拌过程有粉尘产生，</w:t>
            </w:r>
            <w:r>
              <w:rPr>
                <w:rStyle w:val="36"/>
                <w:rFonts w:hint="default" w:ascii="Times New Roman" w:hAnsi="Times New Roman" w:cs="Times New Roman"/>
                <w:color w:val="auto"/>
              </w:rPr>
              <w:t>参照</w:t>
            </w:r>
            <w:r>
              <w:rPr>
                <w:rFonts w:hint="default" w:ascii="Times New Roman" w:hAnsi="Times New Roman" w:cs="Times New Roman"/>
                <w:color w:val="auto"/>
                <w:sz w:val="24"/>
              </w:rPr>
              <w:t>《美国环保局—空气污染物排放和控制手册》中湿法搅拌产尘系数为0.002kg/t</w:t>
            </w:r>
            <w:r>
              <w:rPr>
                <w:rFonts w:hint="default" w:ascii="Times New Roman" w:hAnsi="Times New Roman" w:cs="Times New Roman"/>
                <w:bCs/>
                <w:color w:val="auto"/>
                <w:sz w:val="24"/>
              </w:rPr>
              <w:t>，则本项目搅拌粉尘产生量为1</w:t>
            </w:r>
            <w:r>
              <w:rPr>
                <w:rFonts w:hint="default" w:ascii="Times New Roman" w:hAnsi="Times New Roman" w:cs="Times New Roman"/>
                <w:color w:val="auto"/>
                <w:sz w:val="24"/>
              </w:rPr>
              <w:t>t/a</w:t>
            </w:r>
            <w:r>
              <w:rPr>
                <w:rFonts w:hint="default" w:ascii="Times New Roman" w:hAnsi="Times New Roman" w:cs="Times New Roman"/>
                <w:color w:val="auto"/>
                <w:sz w:val="24"/>
                <w:lang w:eastAsia="zh-CN"/>
              </w:rPr>
              <w:t>，</w:t>
            </w:r>
            <w:r>
              <w:rPr>
                <w:rFonts w:hint="default" w:ascii="Times New Roman" w:hAnsi="Times New Roman" w:cs="Times New Roman"/>
                <w:bCs/>
                <w:color w:val="auto"/>
                <w:sz w:val="24"/>
                <w:lang w:val="en-US" w:eastAsia="zh-CN"/>
              </w:rPr>
              <w:t>0.416kg/h</w:t>
            </w:r>
            <w:r>
              <w:rPr>
                <w:rFonts w:hint="default" w:ascii="Times New Roman" w:hAnsi="Times New Roman" w:cs="Times New Roman"/>
                <w:color w:val="auto"/>
                <w:sz w:val="24"/>
              </w:rPr>
              <w:t>。</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2、废水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运营期用水包括抑尘用水、搅拌用水，养护用水，模框和托盘清洗用水，生活用水，绿化用水及厂区道路降尘用水。运营期所有废污水均损耗或综合利用，不外排。</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（1）抑尘用水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fldChar w:fldCharType="begin"/>
            </w:r>
            <w:r>
              <w:rPr>
                <w:rFonts w:hint="default" w:ascii="Times New Roman" w:hAnsi="Times New Roman" w:cs="Times New Roman"/>
                <w:color w:val="000000"/>
                <w:spacing w:val="2"/>
                <w:sz w:val="24"/>
              </w:rPr>
              <w:instrText xml:space="preserve"> = 1 \* GB3 </w:instrText>
            </w:r>
            <w:r>
              <w:rPr>
                <w:rFonts w:hint="default" w:ascii="Times New Roman" w:hAnsi="Times New Roman" w:cs="Times New Roman"/>
                <w:color w:val="000000"/>
                <w:spacing w:val="2"/>
                <w:sz w:val="24"/>
              </w:rPr>
              <w:fldChar w:fldCharType="separate"/>
            </w:r>
            <w:r>
              <w:rPr>
                <w:rFonts w:hint="default" w:ascii="Times New Roman" w:hAnsi="Times New Roman" w:cs="Times New Roman"/>
                <w:color w:val="000000"/>
                <w:spacing w:val="2"/>
                <w:sz w:val="24"/>
              </w:rPr>
              <w:t>①</w:t>
            </w:r>
            <w:r>
              <w:rPr>
                <w:rFonts w:hint="default" w:ascii="Times New Roman" w:hAnsi="Times New Roman" w:cs="Times New Roman"/>
                <w:color w:val="000000"/>
                <w:spacing w:val="2"/>
                <w:sz w:val="24"/>
              </w:rPr>
              <w:fldChar w:fldCharType="end"/>
            </w:r>
            <w:r>
              <w:rPr>
                <w:rFonts w:hint="default" w:ascii="Times New Roman" w:hAnsi="Times New Roman" w:cs="Times New Roman"/>
                <w:color w:val="000000"/>
                <w:spacing w:val="2"/>
                <w:sz w:val="24"/>
              </w:rPr>
              <w:t>原料储棚</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企业在向储棚卸料过程和日常存储过程需洒水降尘，根据建设单位提供数据，每天耗水2m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，则抑尘用水量为600m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fldChar w:fldCharType="begin"/>
            </w:r>
            <w:r>
              <w:rPr>
                <w:rFonts w:hint="default" w:ascii="Times New Roman" w:hAnsi="Times New Roman" w:cs="Times New Roman"/>
                <w:color w:val="000000"/>
                <w:spacing w:val="2"/>
                <w:sz w:val="24"/>
              </w:rPr>
              <w:instrText xml:space="preserve"> = 2 \* GB3 </w:instrText>
            </w:r>
            <w:r>
              <w:rPr>
                <w:rFonts w:hint="default" w:ascii="Times New Roman" w:hAnsi="Times New Roman" w:cs="Times New Roman"/>
                <w:color w:val="000000"/>
                <w:spacing w:val="2"/>
                <w:sz w:val="24"/>
              </w:rPr>
              <w:fldChar w:fldCharType="separate"/>
            </w:r>
            <w:r>
              <w:rPr>
                <w:rFonts w:hint="default" w:ascii="Times New Roman" w:hAnsi="Times New Roman" w:cs="Times New Roman"/>
                <w:color w:val="000000"/>
                <w:spacing w:val="2"/>
                <w:sz w:val="24"/>
              </w:rPr>
              <w:t>②</w:t>
            </w:r>
            <w:r>
              <w:rPr>
                <w:rFonts w:hint="default" w:ascii="Times New Roman" w:hAnsi="Times New Roman" w:cs="Times New Roman"/>
                <w:color w:val="000000"/>
                <w:spacing w:val="2"/>
                <w:sz w:val="24"/>
              </w:rPr>
              <w:fldChar w:fldCharType="end"/>
            </w:r>
            <w:r>
              <w:rPr>
                <w:rFonts w:hint="default" w:ascii="Times New Roman" w:hAnsi="Times New Roman" w:cs="Times New Roman"/>
                <w:color w:val="000000"/>
                <w:spacing w:val="2"/>
                <w:sz w:val="24"/>
              </w:rPr>
              <w:t>进料斗</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在进料过程中对原料进一步洒水抑尘，根据建设单位提供数据，每天耗水2m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，则抑尘用水量为600m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lang w:eastAsia="ja-JP"/>
              </w:rPr>
              <w:t>③</w:t>
            </w:r>
            <w:r>
              <w:rPr>
                <w:rFonts w:hint="default" w:ascii="Times New Roman" w:hAnsi="Times New Roman" w:cs="Times New Roman"/>
                <w:color w:val="000000"/>
                <w:spacing w:val="2"/>
                <w:sz w:val="24"/>
              </w:rPr>
              <w:t>破碎车间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原料在破碎过程中设置喷水装置，每天耗水量为5m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，则破碎间年抑尘用水量为1500m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lang w:eastAsia="ja-JP"/>
              </w:rPr>
              <w:t>④</w:t>
            </w:r>
            <w:r>
              <w:rPr>
                <w:rFonts w:hint="default" w:ascii="Times New Roman" w:hAnsi="Times New Roman" w:cs="Times New Roman"/>
                <w:color w:val="000000"/>
                <w:spacing w:val="2"/>
                <w:sz w:val="24"/>
              </w:rPr>
              <w:t>传送带</w:t>
            </w:r>
          </w:p>
          <w:p>
            <w:pPr>
              <w:adjustRightInd w:val="0"/>
              <w:snapToGrid w:val="0"/>
              <w:spacing w:line="480" w:lineRule="exact"/>
              <w:ind w:firstLine="480" w:firstLineChars="200"/>
              <w:rPr>
                <w:rFonts w:hint="default" w:ascii="Times New Roman" w:hAnsi="Times New Roman" w:cs="Times New Roman"/>
                <w:color w:val="000000"/>
                <w:spacing w:val="2"/>
                <w:sz w:val="24"/>
              </w:rPr>
            </w:pPr>
            <w:r>
              <w:rPr>
                <w:rFonts w:hint="default" w:ascii="Times New Roman" w:hAnsi="Times New Roman" w:cs="Times New Roman"/>
                <w:color w:val="000000"/>
                <w:kern w:val="0"/>
                <w:sz w:val="24"/>
              </w:rPr>
              <w:t>在传送带端头搭接部位采取喷水雾降尘控制措施，每天耗水量为1.5</w:t>
            </w:r>
            <w:r>
              <w:rPr>
                <w:rFonts w:hint="default" w:ascii="Times New Roman" w:hAnsi="Times New Roman" w:cs="Times New Roman"/>
                <w:color w:val="000000"/>
                <w:spacing w:val="2"/>
                <w:sz w:val="24"/>
              </w:rPr>
              <w:t>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，则传送带年抑尘耗水量为450m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（2）搅拌用水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本项目搅拌用水量约为原料用量的10%，原料用量为约50万t/a，则搅拌所需用水量为5万t/a。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（3）养护用水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为保证砖的质量，使成品砖能达到设计强度，在静停养护过程中需要加水进行养护，本项目设沉淀池一座，体积为10m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，对养护废水进行收集后沉淀，循环使用。根据建设单位提供数据，循环水量为2.0m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/d，补充新鲜水量为8.0m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（4）模框和托盘清洗用水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项目运行过程中，模框和托盘需要每天清洗，清洗废水沉淀池沉淀后循环使用。根据建设单位提供数据，循环水量为1.8m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/d，补充新鲜水量为0.2m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（5）生活污水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厂区不设员工宿舍和食堂。项目劳动定员35人，人均用水量按60L/人•d计，则新鲜用水量为2.1m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/d，630m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/a，污水量按用水量的80%计，</w:t>
            </w:r>
            <w:r>
              <w:rPr>
                <w:rFonts w:hint="default" w:ascii="Times New Roman" w:hAnsi="Times New Roman" w:cs="Times New Roman"/>
                <w:color w:val="000000"/>
                <w:sz w:val="24"/>
                <w:lang w:val="en-GB"/>
              </w:rPr>
              <w:t>则生活污水的产生量</w:t>
            </w:r>
            <w:r>
              <w:rPr>
                <w:rFonts w:hint="default" w:ascii="Times New Roman" w:hAnsi="Times New Roman" w:cs="Times New Roman"/>
                <w:color w:val="000000"/>
                <w:spacing w:val="2"/>
                <w:sz w:val="24"/>
              </w:rPr>
              <w:t>为1.38m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/d，504m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/a。主要污染物为COD、BOD</w:t>
            </w:r>
            <w:r>
              <w:rPr>
                <w:rFonts w:hint="default" w:ascii="Times New Roman" w:hAnsi="Times New Roman" w:cs="Times New Roman"/>
                <w:color w:val="000000"/>
                <w:spacing w:val="2"/>
                <w:sz w:val="24"/>
                <w:szCs w:val="24"/>
                <w:vertAlign w:val="subscript"/>
              </w:rPr>
              <w:t>5</w:t>
            </w:r>
            <w:r>
              <w:rPr>
                <w:rFonts w:hint="default" w:ascii="Times New Roman" w:hAnsi="Times New Roman" w:cs="Times New Roman"/>
                <w:color w:val="000000"/>
                <w:spacing w:val="2"/>
                <w:sz w:val="24"/>
              </w:rPr>
              <w:t>、NH</w:t>
            </w:r>
            <w:r>
              <w:rPr>
                <w:rFonts w:hint="default" w:ascii="Times New Roman" w:hAnsi="Times New Roman" w:cs="Times New Roman"/>
                <w:color w:val="000000"/>
                <w:spacing w:val="2"/>
                <w:sz w:val="24"/>
                <w:szCs w:val="24"/>
                <w:vertAlign w:val="subscript"/>
              </w:rPr>
              <w:t>3</w:t>
            </w:r>
            <w:r>
              <w:rPr>
                <w:rFonts w:hint="default" w:ascii="Times New Roman" w:hAnsi="Times New Roman" w:cs="Times New Roman"/>
                <w:color w:val="000000"/>
                <w:spacing w:val="2"/>
                <w:sz w:val="24"/>
              </w:rPr>
              <w:t>-N、SS等。</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（6）厂区道路降尘用水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项目厂区道路面积约为1000m</w:t>
            </w:r>
            <w:r>
              <w:rPr>
                <w:rFonts w:hint="default" w:ascii="Times New Roman" w:hAnsi="Times New Roman" w:cs="Times New Roman"/>
                <w:color w:val="000000"/>
                <w:spacing w:val="2"/>
                <w:sz w:val="24"/>
                <w:szCs w:val="24"/>
                <w:vertAlign w:val="superscript"/>
              </w:rPr>
              <w:t>2</w:t>
            </w:r>
            <w:r>
              <w:rPr>
                <w:rFonts w:hint="default" w:ascii="Times New Roman" w:hAnsi="Times New Roman" w:cs="Times New Roman"/>
                <w:color w:val="000000"/>
                <w:spacing w:val="2"/>
                <w:sz w:val="24"/>
                <w:szCs w:val="24"/>
              </w:rPr>
              <w:t>，</w:t>
            </w:r>
            <w:r>
              <w:rPr>
                <w:rFonts w:hint="default" w:ascii="Times New Roman" w:hAnsi="Times New Roman" w:cs="Times New Roman"/>
                <w:color w:val="000000"/>
                <w:spacing w:val="2"/>
                <w:sz w:val="24"/>
              </w:rPr>
              <w:t>厂区道路降尘用水按照2L/（m</w:t>
            </w:r>
            <w:r>
              <w:rPr>
                <w:rFonts w:hint="default" w:ascii="Times New Roman" w:hAnsi="Times New Roman" w:cs="Times New Roman"/>
                <w:color w:val="000000"/>
                <w:spacing w:val="2"/>
                <w:sz w:val="24"/>
                <w:szCs w:val="24"/>
                <w:vertAlign w:val="superscript"/>
              </w:rPr>
              <w:t>2</w:t>
            </w:r>
            <w:r>
              <w:rPr>
                <w:rFonts w:hint="default" w:ascii="Times New Roman" w:hAnsi="Times New Roman" w:cs="Times New Roman"/>
                <w:color w:val="000000"/>
                <w:spacing w:val="2"/>
                <w:sz w:val="24"/>
              </w:rPr>
              <w:t>•d）计，则厂区道路降尘用水量为2m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/d，600m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/a。</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（7）绿化用水</w:t>
            </w:r>
          </w:p>
          <w:p>
            <w:pPr>
              <w:adjustRightInd w:val="0"/>
              <w:snapToGrid w:val="0"/>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项目绿化面积约2500m</w:t>
            </w:r>
            <w:r>
              <w:rPr>
                <w:rFonts w:hint="default" w:ascii="Times New Roman" w:hAnsi="Times New Roman" w:cs="Times New Roman"/>
                <w:color w:val="000000"/>
                <w:spacing w:val="2"/>
                <w:sz w:val="24"/>
                <w:szCs w:val="24"/>
                <w:vertAlign w:val="superscript"/>
              </w:rPr>
              <w:t>2</w:t>
            </w:r>
            <w:r>
              <w:rPr>
                <w:rFonts w:hint="default" w:ascii="Times New Roman" w:hAnsi="Times New Roman" w:cs="Times New Roman"/>
                <w:color w:val="000000"/>
                <w:spacing w:val="2"/>
                <w:sz w:val="24"/>
              </w:rPr>
              <w:t>，绿化用水按照2L/（m</w:t>
            </w:r>
            <w:r>
              <w:rPr>
                <w:rFonts w:hint="default" w:ascii="Times New Roman" w:hAnsi="Times New Roman" w:cs="Times New Roman"/>
                <w:color w:val="000000"/>
                <w:spacing w:val="2"/>
                <w:sz w:val="24"/>
                <w:szCs w:val="24"/>
                <w:vertAlign w:val="superscript"/>
              </w:rPr>
              <w:t>2</w:t>
            </w:r>
            <w:r>
              <w:rPr>
                <w:rFonts w:hint="default" w:ascii="Times New Roman" w:hAnsi="Times New Roman" w:cs="Times New Roman"/>
                <w:color w:val="000000"/>
                <w:spacing w:val="2"/>
                <w:sz w:val="24"/>
              </w:rPr>
              <w:t>•次）计，每3天浇水一次，全年浇水按100天计，则绿化用水量为1.66m</w:t>
            </w:r>
            <w:r>
              <w:rPr>
                <w:rFonts w:hint="default" w:ascii="Times New Roman" w:hAnsi="Times New Roman" w:cs="Times New Roman"/>
                <w:color w:val="000000"/>
                <w:spacing w:val="2"/>
                <w:sz w:val="24"/>
                <w:vertAlign w:val="superscript"/>
              </w:rPr>
              <w:t>3</w:t>
            </w:r>
            <w:r>
              <w:rPr>
                <w:rFonts w:hint="default" w:ascii="Times New Roman" w:hAnsi="Times New Roman" w:cs="Times New Roman"/>
                <w:color w:val="000000"/>
                <w:spacing w:val="2"/>
                <w:sz w:val="24"/>
              </w:rPr>
              <w:t>/d，500m</w:t>
            </w:r>
            <w:r>
              <w:rPr>
                <w:rFonts w:hint="default" w:ascii="Times New Roman" w:hAnsi="Times New Roman" w:cs="Times New Roman"/>
                <w:color w:val="000000"/>
                <w:spacing w:val="2"/>
                <w:sz w:val="24"/>
                <w:szCs w:val="24"/>
                <w:vertAlign w:val="superscript"/>
              </w:rPr>
              <w:t>3</w:t>
            </w:r>
            <w:r>
              <w:rPr>
                <w:rFonts w:hint="default" w:ascii="Times New Roman" w:hAnsi="Times New Roman" w:cs="Times New Roman"/>
                <w:color w:val="000000"/>
                <w:spacing w:val="2"/>
                <w:sz w:val="24"/>
              </w:rPr>
              <w:t>/a。</w:t>
            </w:r>
          </w:p>
          <w:p>
            <w:pPr>
              <w:numPr>
                <w:ilvl w:val="0"/>
                <w:numId w:val="2"/>
              </w:numPr>
              <w:adjustRightInd w:val="0"/>
              <w:snapToGrid w:val="0"/>
              <w:spacing w:line="480" w:lineRule="exact"/>
              <w:ind w:firstLine="488" w:firstLineChars="200"/>
              <w:rPr>
                <w:rFonts w:hint="default" w:ascii="Times New Roman" w:hAnsi="Times New Roman" w:cs="Times New Roman"/>
                <w:color w:val="000000"/>
                <w:spacing w:val="2"/>
                <w:sz w:val="24"/>
                <w:lang w:val="en-US" w:eastAsia="zh-CN"/>
              </w:rPr>
            </w:pPr>
            <w:r>
              <w:rPr>
                <w:rFonts w:hint="default" w:ascii="Times New Roman" w:hAnsi="Times New Roman" w:cs="Times New Roman"/>
                <w:color w:val="000000"/>
                <w:spacing w:val="2"/>
                <w:sz w:val="24"/>
                <w:lang w:val="en-US" w:eastAsia="zh-CN"/>
              </w:rPr>
              <w:t>洗车台用水</w:t>
            </w:r>
          </w:p>
          <w:p>
            <w:pPr>
              <w:adjustRightInd w:val="0"/>
              <w:snapToGrid w:val="0"/>
              <w:spacing w:line="480" w:lineRule="exact"/>
              <w:ind w:firstLine="488" w:firstLineChars="200"/>
              <w:rPr>
                <w:rFonts w:hint="default" w:ascii="Times New Roman" w:hAnsi="Times New Roman" w:cs="Times New Roman"/>
                <w:color w:val="000000"/>
                <w:spacing w:val="2"/>
                <w:sz w:val="24"/>
                <w:szCs w:val="22"/>
                <w:lang w:val="en-US" w:eastAsia="zh-CN"/>
              </w:rPr>
            </w:pPr>
            <w:r>
              <w:rPr>
                <w:rFonts w:hint="default" w:ascii="Times New Roman" w:hAnsi="Times New Roman" w:cs="Times New Roman"/>
                <w:color w:val="000000"/>
                <w:spacing w:val="2"/>
                <w:sz w:val="24"/>
                <w:szCs w:val="22"/>
              </w:rPr>
              <w:t>为减少厂区扬尘产生量，项目对出厂车辆进行清洗，洗车台下设置沉淀池，有效容积约5m</w:t>
            </w:r>
            <w:r>
              <w:rPr>
                <w:rFonts w:hint="default" w:ascii="Times New Roman" w:hAnsi="Times New Roman" w:cs="Times New Roman"/>
                <w:color w:val="000000"/>
                <w:spacing w:val="2"/>
                <w:sz w:val="24"/>
                <w:szCs w:val="22"/>
                <w:vertAlign w:val="superscript"/>
              </w:rPr>
              <w:t>3</w:t>
            </w:r>
            <w:r>
              <w:rPr>
                <w:rFonts w:hint="default" w:ascii="Times New Roman" w:hAnsi="Times New Roman" w:cs="Times New Roman"/>
                <w:color w:val="000000"/>
                <w:spacing w:val="2"/>
                <w:sz w:val="24"/>
                <w:szCs w:val="22"/>
              </w:rPr>
              <w:t>，清洗废水经沉淀池沉淀处理后，循环使用，不外排，定期补充损耗。类比同类型企业，车辆冲洗水补充新鲜水量约2.0m</w:t>
            </w:r>
            <w:r>
              <w:rPr>
                <w:rFonts w:hint="default" w:ascii="Times New Roman" w:hAnsi="Times New Roman" w:cs="Times New Roman"/>
                <w:color w:val="000000"/>
                <w:spacing w:val="2"/>
                <w:sz w:val="24"/>
                <w:szCs w:val="22"/>
                <w:vertAlign w:val="superscript"/>
              </w:rPr>
              <w:t>3</w:t>
            </w:r>
            <w:r>
              <w:rPr>
                <w:rFonts w:hint="default" w:ascii="Times New Roman" w:hAnsi="Times New Roman" w:cs="Times New Roman"/>
                <w:color w:val="000000"/>
                <w:spacing w:val="2"/>
                <w:sz w:val="24"/>
                <w:szCs w:val="22"/>
              </w:rPr>
              <w:t>/周，项目年运行300天，则需补充新鲜水量约86m</w:t>
            </w:r>
            <w:r>
              <w:rPr>
                <w:rFonts w:hint="default" w:ascii="Times New Roman" w:hAnsi="Times New Roman" w:cs="Times New Roman"/>
                <w:color w:val="000000"/>
                <w:spacing w:val="2"/>
                <w:sz w:val="24"/>
                <w:szCs w:val="22"/>
                <w:vertAlign w:val="superscript"/>
              </w:rPr>
              <w:t>3</w:t>
            </w:r>
            <w:r>
              <w:rPr>
                <w:rFonts w:hint="default" w:ascii="Times New Roman" w:hAnsi="Times New Roman" w:cs="Times New Roman"/>
                <w:color w:val="000000"/>
                <w:spacing w:val="2"/>
                <w:sz w:val="24"/>
                <w:szCs w:val="22"/>
              </w:rPr>
              <w:t>/a。</w:t>
            </w:r>
          </w:p>
          <w:p>
            <w:pPr>
              <w:adjustRightInd w:val="0"/>
              <w:snapToGrid w:val="0"/>
              <w:spacing w:line="480" w:lineRule="exact"/>
              <w:ind w:firstLine="488" w:firstLineChars="200"/>
              <w:rPr>
                <w:rFonts w:hint="default" w:ascii="Times New Roman" w:hAnsi="Times New Roman" w:cs="Times New Roman"/>
                <w:color w:val="000000"/>
                <w:sz w:val="24"/>
                <w:szCs w:val="24"/>
              </w:rPr>
            </w:pPr>
            <w:r>
              <w:rPr>
                <w:rFonts w:hint="default" w:ascii="Times New Roman" w:hAnsi="Times New Roman" w:cs="Times New Roman"/>
                <w:color w:val="000000"/>
                <w:spacing w:val="2"/>
                <w:sz w:val="24"/>
              </w:rPr>
              <w:t>项目给排水情况见表1</w:t>
            </w:r>
            <w:r>
              <w:rPr>
                <w:rFonts w:hint="default" w:ascii="Times New Roman" w:hAnsi="Times New Roman" w:cs="Times New Roman"/>
                <w:color w:val="000000"/>
                <w:spacing w:val="2"/>
                <w:sz w:val="24"/>
                <w:lang w:val="en-US" w:eastAsia="zh-CN"/>
              </w:rPr>
              <w:t>8</w:t>
            </w:r>
            <w:r>
              <w:rPr>
                <w:rFonts w:hint="default" w:ascii="Times New Roman" w:hAnsi="Times New Roman" w:cs="Times New Roman"/>
                <w:color w:val="000000"/>
                <w:spacing w:val="2"/>
                <w:sz w:val="24"/>
              </w:rPr>
              <w:t>，水平衡见图3。</w:t>
            </w:r>
          </w:p>
          <w:p>
            <w:pPr>
              <w:pStyle w:val="23"/>
              <w:adjustRightInd w:val="0"/>
              <w:snapToGrid w:val="0"/>
              <w:spacing w:after="0" w:line="480" w:lineRule="exact"/>
              <w:ind w:left="0" w:leftChars="0" w:firstLine="20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表1</w:t>
            </w:r>
            <w:r>
              <w:rPr>
                <w:rFonts w:hint="default" w:ascii="Times New Roman" w:hAnsi="Times New Roman" w:cs="Times New Roman"/>
                <w:b/>
                <w:color w:val="000000"/>
                <w:sz w:val="21"/>
                <w:szCs w:val="21"/>
                <w:lang w:val="en-US" w:eastAsia="zh-CN"/>
              </w:rPr>
              <w:t>8</w:t>
            </w:r>
            <w:r>
              <w:rPr>
                <w:rFonts w:hint="default" w:ascii="Times New Roman" w:hAnsi="Times New Roman" w:cs="Times New Roman"/>
                <w:b/>
                <w:color w:val="000000"/>
                <w:sz w:val="21"/>
                <w:szCs w:val="21"/>
              </w:rPr>
              <w:t xml:space="preserve">   项目给排水情况  单位：m</w:t>
            </w:r>
            <w:r>
              <w:rPr>
                <w:rFonts w:hint="default" w:ascii="Times New Roman" w:hAnsi="Times New Roman" w:cs="Times New Roman"/>
                <w:b/>
                <w:color w:val="000000"/>
                <w:sz w:val="21"/>
                <w:szCs w:val="21"/>
                <w:vertAlign w:val="superscript"/>
              </w:rPr>
              <w:t>3</w:t>
            </w:r>
            <w:r>
              <w:rPr>
                <w:rFonts w:hint="default" w:ascii="Times New Roman" w:hAnsi="Times New Roman" w:cs="Times New Roman"/>
                <w:b/>
                <w:color w:val="000000"/>
                <w:sz w:val="21"/>
                <w:szCs w:val="21"/>
              </w:rPr>
              <w:t>/d</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597"/>
              <w:gridCol w:w="1142"/>
              <w:gridCol w:w="992"/>
              <w:gridCol w:w="851"/>
              <w:gridCol w:w="992"/>
              <w:gridCol w:w="992"/>
              <w:gridCol w:w="2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jc w:val="center"/>
              </w:trPr>
              <w:tc>
                <w:tcPr>
                  <w:tcW w:w="1597" w:type="dxa"/>
                  <w:vMerge w:val="restart"/>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工序</w:t>
                  </w:r>
                </w:p>
              </w:tc>
              <w:tc>
                <w:tcPr>
                  <w:tcW w:w="1142" w:type="dxa"/>
                  <w:vMerge w:val="restart"/>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总用水量</w:t>
                  </w:r>
                </w:p>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m</w:t>
                  </w:r>
                  <w:r>
                    <w:rPr>
                      <w:rFonts w:hint="default" w:ascii="Times New Roman" w:hAnsi="Times New Roman" w:cs="Times New Roman"/>
                      <w:bCs/>
                      <w:color w:val="000000"/>
                      <w:spacing w:val="4"/>
                      <w:szCs w:val="21"/>
                      <w:vertAlign w:val="superscript"/>
                    </w:rPr>
                    <w:t>3</w:t>
                  </w:r>
                  <w:r>
                    <w:rPr>
                      <w:rFonts w:hint="default" w:ascii="Times New Roman" w:hAnsi="Times New Roman" w:cs="Times New Roman"/>
                      <w:bCs/>
                      <w:color w:val="000000"/>
                      <w:spacing w:val="4"/>
                      <w:szCs w:val="21"/>
                    </w:rPr>
                    <w:t>/d</w:t>
                  </w:r>
                </w:p>
              </w:tc>
              <w:tc>
                <w:tcPr>
                  <w:tcW w:w="1843" w:type="dxa"/>
                  <w:gridSpan w:val="2"/>
                  <w:noWrap w:val="0"/>
                  <w:vAlign w:val="center"/>
                </w:tcPr>
                <w:p>
                  <w:pPr>
                    <w:ind w:firstLine="218" w:firstLineChars="100"/>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给水量m</w:t>
                  </w:r>
                  <w:r>
                    <w:rPr>
                      <w:rFonts w:hint="default" w:ascii="Times New Roman" w:hAnsi="Times New Roman" w:cs="Times New Roman"/>
                      <w:bCs/>
                      <w:color w:val="000000"/>
                      <w:spacing w:val="4"/>
                      <w:szCs w:val="21"/>
                      <w:vertAlign w:val="superscript"/>
                    </w:rPr>
                    <w:t>3</w:t>
                  </w:r>
                  <w:r>
                    <w:rPr>
                      <w:rFonts w:hint="default" w:ascii="Times New Roman" w:hAnsi="Times New Roman" w:cs="Times New Roman"/>
                      <w:bCs/>
                      <w:color w:val="000000"/>
                      <w:spacing w:val="4"/>
                      <w:szCs w:val="21"/>
                    </w:rPr>
                    <w:t>/d</w:t>
                  </w:r>
                </w:p>
              </w:tc>
              <w:tc>
                <w:tcPr>
                  <w:tcW w:w="992" w:type="dxa"/>
                  <w:vMerge w:val="restart"/>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损失量</w:t>
                  </w:r>
                </w:p>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m</w:t>
                  </w:r>
                  <w:r>
                    <w:rPr>
                      <w:rFonts w:hint="default" w:ascii="Times New Roman" w:hAnsi="Times New Roman" w:cs="Times New Roman"/>
                      <w:bCs/>
                      <w:color w:val="000000"/>
                      <w:spacing w:val="4"/>
                      <w:szCs w:val="21"/>
                      <w:vertAlign w:val="superscript"/>
                    </w:rPr>
                    <w:t>3</w:t>
                  </w:r>
                  <w:r>
                    <w:rPr>
                      <w:rFonts w:hint="default" w:ascii="Times New Roman" w:hAnsi="Times New Roman" w:cs="Times New Roman"/>
                      <w:bCs/>
                      <w:color w:val="000000"/>
                      <w:spacing w:val="4"/>
                      <w:szCs w:val="21"/>
                    </w:rPr>
                    <w:t>/d</w:t>
                  </w:r>
                </w:p>
              </w:tc>
              <w:tc>
                <w:tcPr>
                  <w:tcW w:w="992" w:type="dxa"/>
                  <w:vMerge w:val="restart"/>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排水量</w:t>
                  </w:r>
                </w:p>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m</w:t>
                  </w:r>
                  <w:r>
                    <w:rPr>
                      <w:rFonts w:hint="default" w:ascii="Times New Roman" w:hAnsi="Times New Roman" w:cs="Times New Roman"/>
                      <w:bCs/>
                      <w:color w:val="000000"/>
                      <w:spacing w:val="4"/>
                      <w:szCs w:val="21"/>
                      <w:vertAlign w:val="superscript"/>
                    </w:rPr>
                    <w:t>3</w:t>
                  </w:r>
                  <w:r>
                    <w:rPr>
                      <w:rFonts w:hint="default" w:ascii="Times New Roman" w:hAnsi="Times New Roman" w:cs="Times New Roman"/>
                      <w:bCs/>
                      <w:color w:val="000000"/>
                      <w:spacing w:val="4"/>
                      <w:szCs w:val="21"/>
                    </w:rPr>
                    <w:t>/d</w:t>
                  </w:r>
                </w:p>
              </w:tc>
              <w:tc>
                <w:tcPr>
                  <w:tcW w:w="2118" w:type="dxa"/>
                  <w:vMerge w:val="restart"/>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排水去向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jc w:val="center"/>
              </w:trPr>
              <w:tc>
                <w:tcPr>
                  <w:tcW w:w="1597" w:type="dxa"/>
                  <w:vMerge w:val="continue"/>
                  <w:noWrap w:val="0"/>
                  <w:vAlign w:val="center"/>
                </w:tcPr>
                <w:p>
                  <w:pPr>
                    <w:jc w:val="center"/>
                    <w:rPr>
                      <w:rFonts w:hint="default" w:ascii="Times New Roman" w:hAnsi="Times New Roman" w:cs="Times New Roman"/>
                      <w:bCs/>
                      <w:color w:val="000000"/>
                      <w:spacing w:val="4"/>
                      <w:szCs w:val="21"/>
                      <w:highlight w:val="yellow"/>
                    </w:rPr>
                  </w:pPr>
                </w:p>
              </w:tc>
              <w:tc>
                <w:tcPr>
                  <w:tcW w:w="1142" w:type="dxa"/>
                  <w:vMerge w:val="continue"/>
                  <w:noWrap w:val="0"/>
                  <w:vAlign w:val="center"/>
                </w:tcPr>
                <w:p>
                  <w:pPr>
                    <w:jc w:val="center"/>
                    <w:rPr>
                      <w:rFonts w:hint="default" w:ascii="Times New Roman" w:hAnsi="Times New Roman" w:cs="Times New Roman"/>
                      <w:bCs/>
                      <w:color w:val="000000"/>
                      <w:spacing w:val="4"/>
                      <w:szCs w:val="21"/>
                      <w:highlight w:val="yellow"/>
                    </w:rPr>
                  </w:pP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新水</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循环水</w:t>
                  </w:r>
                </w:p>
              </w:tc>
              <w:tc>
                <w:tcPr>
                  <w:tcW w:w="992" w:type="dxa"/>
                  <w:vMerge w:val="continue"/>
                  <w:noWrap w:val="0"/>
                  <w:vAlign w:val="center"/>
                </w:tcPr>
                <w:p>
                  <w:pPr>
                    <w:jc w:val="center"/>
                    <w:rPr>
                      <w:rFonts w:hint="default" w:ascii="Times New Roman" w:hAnsi="Times New Roman" w:cs="Times New Roman"/>
                      <w:bCs/>
                      <w:color w:val="000000"/>
                      <w:spacing w:val="4"/>
                      <w:szCs w:val="21"/>
                      <w:highlight w:val="yellow"/>
                    </w:rPr>
                  </w:pPr>
                </w:p>
              </w:tc>
              <w:tc>
                <w:tcPr>
                  <w:tcW w:w="992" w:type="dxa"/>
                  <w:vMerge w:val="continue"/>
                  <w:noWrap w:val="0"/>
                  <w:vAlign w:val="center"/>
                </w:tcPr>
                <w:p>
                  <w:pPr>
                    <w:jc w:val="center"/>
                    <w:rPr>
                      <w:rFonts w:hint="default" w:ascii="Times New Roman" w:hAnsi="Times New Roman" w:cs="Times New Roman"/>
                      <w:bCs/>
                      <w:color w:val="000000"/>
                      <w:spacing w:val="4"/>
                      <w:szCs w:val="21"/>
                      <w:highlight w:val="yellow"/>
                    </w:rPr>
                  </w:pPr>
                </w:p>
              </w:tc>
              <w:tc>
                <w:tcPr>
                  <w:tcW w:w="2118" w:type="dxa"/>
                  <w:vMerge w:val="continue"/>
                  <w:noWrap w:val="0"/>
                  <w:vAlign w:val="center"/>
                </w:tcPr>
                <w:p>
                  <w:pPr>
                    <w:jc w:val="center"/>
                    <w:rPr>
                      <w:rFonts w:hint="default" w:ascii="Times New Roman" w:hAnsi="Times New Roman" w:cs="Times New Roman"/>
                      <w:bCs/>
                      <w:color w:val="000000"/>
                      <w:spacing w:val="4"/>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75" w:hRule="atLeast"/>
                <w:jc w:val="center"/>
              </w:trPr>
              <w:tc>
                <w:tcPr>
                  <w:tcW w:w="1597"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抑尘</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10.5</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10.5</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10.5</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全部蒸发耗散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79" w:hRule="atLeast"/>
                <w:jc w:val="center"/>
              </w:trPr>
              <w:tc>
                <w:tcPr>
                  <w:tcW w:w="1597"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搅拌</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166.7</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166.7</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166.7</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highlight w:val="yellow"/>
                    </w:rPr>
                  </w:pPr>
                  <w:r>
                    <w:rPr>
                      <w:rFonts w:hint="default" w:ascii="Times New Roman" w:hAnsi="Times New Roman" w:cs="Times New Roman"/>
                      <w:bCs/>
                      <w:color w:val="000000"/>
                      <w:spacing w:val="4"/>
                      <w:szCs w:val="21"/>
                    </w:rPr>
                    <w:t>全部蒸发耗散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78" w:hRule="atLeast"/>
                <w:jc w:val="center"/>
              </w:trPr>
              <w:tc>
                <w:tcPr>
                  <w:tcW w:w="1597"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color w:val="000000"/>
                      <w:szCs w:val="21"/>
                    </w:rPr>
                    <w:t>养护</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8.0</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8.0</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2.0</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8.0</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收集沉淀后回用，部分蒸发耗散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78" w:hRule="atLeast"/>
                <w:jc w:val="center"/>
              </w:trPr>
              <w:tc>
                <w:tcPr>
                  <w:tcW w:w="159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模框和托盘清洗</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0.2</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0.2</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1.8</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0.2</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沉淀后回用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78" w:hRule="atLeast"/>
                <w:jc w:val="center"/>
              </w:trPr>
              <w:tc>
                <w:tcPr>
                  <w:tcW w:w="159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生活用水</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2.1</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2.1</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0.72</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1.38</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厂区道路泼洒降尘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5" w:hRule="atLeast"/>
                <w:jc w:val="center"/>
              </w:trPr>
              <w:tc>
                <w:tcPr>
                  <w:tcW w:w="159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场区道路降尘</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2</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蒸发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5" w:hRule="atLeast"/>
                <w:jc w:val="center"/>
              </w:trPr>
              <w:tc>
                <w:tcPr>
                  <w:tcW w:w="1597"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绿化</w:t>
                  </w:r>
                </w:p>
              </w:tc>
              <w:tc>
                <w:tcPr>
                  <w:tcW w:w="114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w:t>
                  </w:r>
                </w:p>
              </w:tc>
              <w:tc>
                <w:tcPr>
                  <w:tcW w:w="851"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1.66</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0</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吸收利用，蒸发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5" w:hRule="atLeast"/>
                <w:jc w:val="center"/>
              </w:trPr>
              <w:tc>
                <w:tcPr>
                  <w:tcW w:w="1597"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洗车台</w:t>
                  </w:r>
                </w:p>
              </w:tc>
              <w:tc>
                <w:tcPr>
                  <w:tcW w:w="114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0.29</w:t>
                  </w:r>
                </w:p>
              </w:tc>
              <w:tc>
                <w:tcPr>
                  <w:tcW w:w="99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0.29</w:t>
                  </w:r>
                </w:p>
              </w:tc>
              <w:tc>
                <w:tcPr>
                  <w:tcW w:w="851"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4.71</w:t>
                  </w:r>
                </w:p>
              </w:tc>
              <w:tc>
                <w:tcPr>
                  <w:tcW w:w="99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0.29</w:t>
                  </w:r>
                </w:p>
              </w:tc>
              <w:tc>
                <w:tcPr>
                  <w:tcW w:w="99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0</w:t>
                  </w:r>
                </w:p>
              </w:tc>
              <w:tc>
                <w:tcPr>
                  <w:tcW w:w="2118" w:type="dxa"/>
                  <w:noWrap w:val="0"/>
                  <w:vAlign w:val="center"/>
                </w:tcPr>
                <w:p>
                  <w:pPr>
                    <w:jc w:val="center"/>
                    <w:rPr>
                      <w:rFonts w:hint="default" w:ascii="Times New Roman" w:hAnsi="Times New Roman" w:eastAsia="宋体" w:cs="Times New Roman"/>
                      <w:bCs/>
                      <w:color w:val="000000"/>
                      <w:spacing w:val="4"/>
                      <w:szCs w:val="21"/>
                      <w:lang w:eastAsia="zh-CN"/>
                    </w:rPr>
                  </w:pPr>
                  <w:r>
                    <w:rPr>
                      <w:rFonts w:hint="default" w:ascii="Times New Roman" w:hAnsi="Times New Roman" w:cs="Times New Roman"/>
                      <w:bCs/>
                      <w:color w:val="000000"/>
                      <w:spacing w:val="4"/>
                      <w:szCs w:val="21"/>
                      <w:lang w:eastAsia="zh-CN"/>
                    </w:rPr>
                    <w:t>沉淀后回用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92" w:hRule="atLeast"/>
                <w:jc w:val="center"/>
              </w:trPr>
              <w:tc>
                <w:tcPr>
                  <w:tcW w:w="2739" w:type="dxa"/>
                  <w:gridSpan w:val="2"/>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合计</w:t>
                  </w:r>
                </w:p>
              </w:tc>
              <w:tc>
                <w:tcPr>
                  <w:tcW w:w="99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rPr>
                    <w:t>191.</w:t>
                  </w:r>
                  <w:r>
                    <w:rPr>
                      <w:rFonts w:hint="default" w:ascii="Times New Roman" w:hAnsi="Times New Roman" w:cs="Times New Roman"/>
                      <w:bCs/>
                      <w:color w:val="000000"/>
                      <w:spacing w:val="4"/>
                      <w:szCs w:val="21"/>
                      <w:lang w:val="en-US" w:eastAsia="zh-CN"/>
                    </w:rPr>
                    <w:t>4</w:t>
                  </w:r>
                  <w:r>
                    <w:rPr>
                      <w:rFonts w:hint="default" w:ascii="Times New Roman" w:hAnsi="Times New Roman" w:cs="Times New Roman"/>
                      <w:bCs/>
                      <w:color w:val="000000"/>
                      <w:spacing w:val="4"/>
                      <w:szCs w:val="21"/>
                      <w:lang w:val="en-US" w:eastAsia="zh-CN"/>
                    </w:rPr>
                    <w:t>5</w:t>
                  </w:r>
                </w:p>
              </w:tc>
              <w:tc>
                <w:tcPr>
                  <w:tcW w:w="851"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8</w:t>
                  </w:r>
                  <w:r>
                    <w:rPr>
                      <w:rFonts w:hint="default" w:ascii="Times New Roman" w:hAnsi="Times New Roman" w:cs="Times New Roman"/>
                      <w:bCs/>
                      <w:color w:val="000000"/>
                      <w:spacing w:val="4"/>
                      <w:szCs w:val="21"/>
                      <w:lang w:val="en-US" w:eastAsia="zh-CN"/>
                    </w:rPr>
                    <w:t>.51</w:t>
                  </w:r>
                </w:p>
              </w:tc>
              <w:tc>
                <w:tcPr>
                  <w:tcW w:w="992" w:type="dxa"/>
                  <w:noWrap w:val="0"/>
                  <w:vAlign w:val="center"/>
                </w:tcPr>
                <w:p>
                  <w:pPr>
                    <w:jc w:val="center"/>
                    <w:rPr>
                      <w:rFonts w:hint="default" w:ascii="Times New Roman" w:hAnsi="Times New Roman" w:eastAsia="宋体" w:cs="Times New Roman"/>
                      <w:bCs/>
                      <w:color w:val="000000"/>
                      <w:spacing w:val="4"/>
                      <w:szCs w:val="21"/>
                      <w:lang w:val="en-US" w:eastAsia="zh-CN"/>
                    </w:rPr>
                  </w:pPr>
                  <w:r>
                    <w:rPr>
                      <w:rFonts w:hint="default" w:ascii="Times New Roman" w:hAnsi="Times New Roman" w:cs="Times New Roman"/>
                      <w:bCs/>
                      <w:color w:val="000000"/>
                      <w:spacing w:val="4"/>
                      <w:szCs w:val="21"/>
                      <w:lang w:val="en-US" w:eastAsia="zh-CN"/>
                    </w:rPr>
                    <w:t>1</w:t>
                  </w:r>
                  <w:r>
                    <w:rPr>
                      <w:rFonts w:hint="default" w:ascii="Times New Roman" w:hAnsi="Times New Roman" w:cs="Times New Roman"/>
                      <w:bCs/>
                      <w:color w:val="000000"/>
                      <w:spacing w:val="4"/>
                      <w:szCs w:val="21"/>
                      <w:lang w:val="en-US" w:eastAsia="zh-CN"/>
                    </w:rPr>
                    <w:t>91.45</w:t>
                  </w:r>
                </w:p>
              </w:tc>
              <w:tc>
                <w:tcPr>
                  <w:tcW w:w="992"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1.38</w:t>
                  </w:r>
                </w:p>
              </w:tc>
              <w:tc>
                <w:tcPr>
                  <w:tcW w:w="2118" w:type="dxa"/>
                  <w:noWrap w:val="0"/>
                  <w:vAlign w:val="center"/>
                </w:tcPr>
                <w:p>
                  <w:pPr>
                    <w:jc w:val="center"/>
                    <w:rPr>
                      <w:rFonts w:hint="default" w:ascii="Times New Roman" w:hAnsi="Times New Roman" w:cs="Times New Roman"/>
                      <w:bCs/>
                      <w:color w:val="000000"/>
                      <w:spacing w:val="4"/>
                      <w:szCs w:val="21"/>
                    </w:rPr>
                  </w:pPr>
                  <w:r>
                    <w:rPr>
                      <w:rFonts w:hint="default" w:ascii="Times New Roman" w:hAnsi="Times New Roman" w:cs="Times New Roman"/>
                      <w:bCs/>
                      <w:color w:val="000000"/>
                      <w:spacing w:val="4"/>
                      <w:szCs w:val="21"/>
                    </w:rPr>
                    <w:t>/</w:t>
                  </w:r>
                </w:p>
              </w:tc>
            </w:tr>
          </w:tbl>
          <w:p>
            <w:pPr>
              <w:spacing w:line="480" w:lineRule="auto"/>
              <w:jc w:val="center"/>
              <w:rPr>
                <w:rFonts w:hint="default" w:ascii="Times New Roman" w:hAnsi="Times New Roman" w:cs="Times New Roman"/>
                <w:color w:val="000000"/>
              </w:rPr>
            </w:pPr>
            <w:r>
              <w:rPr>
                <w:rFonts w:hint="default" w:ascii="Times New Roman" w:hAnsi="Times New Roman" w:cs="Times New Roman"/>
                <w:color w:val="000000"/>
              </w:rPr>
              <w:object>
                <v:shape id="_x0000_i1029" o:spt="75" type="#_x0000_t75" style="height:360.3pt;width:348.85pt;" o:ole="t" filled="f" o:preferrelative="t" stroked="f" coordsize="21600,21600">
                  <v:path/>
                  <v:fill on="f" focussize="0,0"/>
                  <v:stroke on="f"/>
                  <v:imagedata r:id="rId19" o:title=""/>
                  <o:lock v:ext="edit" aspectratio="f"/>
                  <w10:wrap type="none"/>
                  <w10:anchorlock/>
                </v:shape>
                <o:OLEObject Type="Embed" ProgID="Visio.Drawing.11" ShapeID="_x0000_i1029" DrawAspect="Content" ObjectID="_1468075728" r:id="rId18">
                  <o:LockedField>false</o:LockedField>
                </o:OLEObject>
              </w:object>
            </w:r>
          </w:p>
          <w:p>
            <w:pPr>
              <w:spacing w:line="380" w:lineRule="exact"/>
              <w:jc w:val="center"/>
              <w:rPr>
                <w:rFonts w:hint="default" w:ascii="Times New Roman" w:hAnsi="Times New Roman" w:cs="Times New Roman"/>
                <w:b/>
                <w:color w:val="000000"/>
                <w:sz w:val="24"/>
                <w:szCs w:val="24"/>
              </w:rPr>
            </w:pPr>
          </w:p>
          <w:p>
            <w:pPr>
              <w:spacing w:line="38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szCs w:val="24"/>
              </w:rPr>
              <w:t>图3   项目水平衡图</w:t>
            </w:r>
            <w:r>
              <w:rPr>
                <w:rFonts w:hint="default" w:ascii="Times New Roman" w:hAnsi="Times New Roman" w:cs="Times New Roman"/>
                <w:b/>
                <w:color w:val="000000"/>
                <w:sz w:val="24"/>
              </w:rPr>
              <w:t>（单位：</w:t>
            </w: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default" w:ascii="Times New Roman" w:hAnsi="Times New Roman" w:cs="Times New Roman"/>
                <w:b/>
                <w:color w:val="000000"/>
                <w:szCs w:val="21"/>
              </w:rPr>
              <w:t>/d</w:t>
            </w:r>
            <w:r>
              <w:rPr>
                <w:rFonts w:hint="default" w:ascii="Times New Roman" w:hAnsi="Times New Roman" w:cs="Times New Roman"/>
                <w:b/>
                <w:color w:val="000000"/>
                <w:sz w:val="24"/>
              </w:rPr>
              <w:t>）</w:t>
            </w:r>
          </w:p>
          <w:p>
            <w:pPr>
              <w:spacing w:line="480" w:lineRule="exact"/>
              <w:ind w:firstLine="498" w:firstLineChars="200"/>
              <w:rPr>
                <w:rFonts w:hint="default" w:ascii="Times New Roman" w:hAnsi="Times New Roman" w:cs="Times New Roman"/>
                <w:b/>
                <w:color w:val="000000"/>
                <w:spacing w:val="4"/>
                <w:sz w:val="24"/>
              </w:rPr>
            </w:pPr>
            <w:r>
              <w:rPr>
                <w:rFonts w:hint="default" w:ascii="Times New Roman" w:hAnsi="Times New Roman" w:cs="Times New Roman"/>
                <w:b/>
                <w:color w:val="000000"/>
                <w:spacing w:val="4"/>
                <w:sz w:val="24"/>
              </w:rPr>
              <w:t>3、噪声</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本项目运营过程中噪声主要来自破碎机、配料机、搅拌机、制砖机等设备运行产生的噪声，其源强值一般为80~95dB（A）；同时还有运输车辆产生的噪声，其产生的噪声源强为60~70dB（A）。厂区主要设备噪声值见表1</w:t>
            </w:r>
            <w:r>
              <w:rPr>
                <w:rFonts w:hint="default" w:ascii="Times New Roman" w:hAnsi="Times New Roman" w:cs="Times New Roman"/>
                <w:color w:val="000000"/>
                <w:sz w:val="24"/>
                <w:szCs w:val="24"/>
                <w:lang w:val="en-US" w:eastAsia="zh-CN"/>
              </w:rPr>
              <w:t>9</w:t>
            </w:r>
            <w:r>
              <w:rPr>
                <w:rFonts w:hint="default" w:ascii="Times New Roman" w:hAnsi="Times New Roman" w:cs="Times New Roman"/>
                <w:color w:val="000000"/>
                <w:sz w:val="24"/>
                <w:szCs w:val="24"/>
              </w:rPr>
              <w:t>。</w:t>
            </w:r>
          </w:p>
          <w:p>
            <w:pPr>
              <w:spacing w:line="480" w:lineRule="exact"/>
              <w:ind w:firstLine="422" w:firstLineChars="20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表1</w:t>
            </w:r>
            <w:r>
              <w:rPr>
                <w:rFonts w:hint="default" w:ascii="Times New Roman" w:hAnsi="Times New Roman" w:cs="Times New Roman"/>
                <w:b/>
                <w:color w:val="000000"/>
                <w:szCs w:val="21"/>
                <w:lang w:val="en-US" w:eastAsia="zh-CN"/>
              </w:rPr>
              <w:t>9</w:t>
            </w:r>
            <w:r>
              <w:rPr>
                <w:rFonts w:hint="default" w:ascii="Times New Roman" w:hAnsi="Times New Roman" w:cs="Times New Roman"/>
                <w:b/>
                <w:color w:val="000000"/>
                <w:szCs w:val="21"/>
              </w:rPr>
              <w:t xml:space="preserve">   厂区主要设备噪声值范围  dB(A)</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560"/>
              <w:gridCol w:w="708"/>
              <w:gridCol w:w="1418"/>
              <w:gridCol w:w="2118"/>
              <w:gridCol w:w="1315"/>
              <w:gridCol w:w="8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80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56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设备名称</w:t>
                  </w:r>
                </w:p>
              </w:tc>
              <w:tc>
                <w:tcPr>
                  <w:tcW w:w="708"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数量</w:t>
                  </w:r>
                </w:p>
              </w:tc>
              <w:tc>
                <w:tcPr>
                  <w:tcW w:w="1418"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pacing w:val="-20"/>
                      <w:szCs w:val="21"/>
                    </w:rPr>
                    <w:t>源强dB(A)（措施前</w:t>
                  </w:r>
                  <w:r>
                    <w:rPr>
                      <w:rFonts w:hint="default" w:ascii="Times New Roman" w:hAnsi="Times New Roman" w:cs="Times New Roman"/>
                      <w:color w:val="000000"/>
                      <w:szCs w:val="21"/>
                    </w:rPr>
                    <w:t>）</w:t>
                  </w:r>
                </w:p>
              </w:tc>
              <w:tc>
                <w:tcPr>
                  <w:tcW w:w="2118"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治理措施</w:t>
                  </w:r>
                </w:p>
              </w:tc>
              <w:tc>
                <w:tcPr>
                  <w:tcW w:w="1315" w:type="dxa"/>
                  <w:noWrap w:val="0"/>
                  <w:vAlign w:val="center"/>
                </w:tcPr>
                <w:p>
                  <w:pPr>
                    <w:ind w:left="-105" w:leftChars="-50" w:right="-105" w:rightChars="-50"/>
                    <w:jc w:val="center"/>
                    <w:rPr>
                      <w:rFonts w:hint="default" w:ascii="Times New Roman" w:hAnsi="Times New Roman" w:cs="Times New Roman"/>
                      <w:color w:val="000000"/>
                      <w:szCs w:val="21"/>
                    </w:rPr>
                  </w:pPr>
                  <w:r>
                    <w:rPr>
                      <w:rFonts w:hint="default" w:ascii="Times New Roman" w:hAnsi="Times New Roman" w:cs="Times New Roman"/>
                      <w:color w:val="000000"/>
                      <w:szCs w:val="21"/>
                    </w:rPr>
                    <w:t>源强dB(A)</w:t>
                  </w:r>
                </w:p>
                <w:p>
                  <w:pPr>
                    <w:ind w:left="-105" w:leftChars="-50" w:right="-105" w:rightChars="-50"/>
                    <w:jc w:val="center"/>
                    <w:rPr>
                      <w:rFonts w:hint="default" w:ascii="Times New Roman" w:hAnsi="Times New Roman" w:cs="Times New Roman"/>
                      <w:color w:val="000000"/>
                      <w:szCs w:val="21"/>
                    </w:rPr>
                  </w:pPr>
                  <w:r>
                    <w:rPr>
                      <w:rFonts w:hint="default" w:ascii="Times New Roman" w:hAnsi="Times New Roman" w:cs="Times New Roman"/>
                      <w:color w:val="000000"/>
                      <w:szCs w:val="21"/>
                    </w:rPr>
                    <w:t>（措施后）</w:t>
                  </w:r>
                </w:p>
              </w:tc>
              <w:tc>
                <w:tcPr>
                  <w:tcW w:w="858"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发声</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800" w:type="dxa"/>
                  <w:noWrap w:val="0"/>
                  <w:vAlign w:val="center"/>
                </w:tcPr>
                <w:p>
                  <w:pPr>
                    <w:widowControl/>
                    <w:spacing w:line="380" w:lineRule="exact"/>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w:t>
                  </w:r>
                </w:p>
              </w:tc>
              <w:tc>
                <w:tcPr>
                  <w:tcW w:w="1560"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搅拌机</w:t>
                  </w:r>
                </w:p>
              </w:tc>
              <w:tc>
                <w:tcPr>
                  <w:tcW w:w="70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2</w:t>
                  </w:r>
                </w:p>
              </w:tc>
              <w:tc>
                <w:tcPr>
                  <w:tcW w:w="141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90</w:t>
                  </w:r>
                </w:p>
              </w:tc>
              <w:tc>
                <w:tcPr>
                  <w:tcW w:w="2118" w:type="dxa"/>
                  <w:noWrap w:val="0"/>
                  <w:vAlign w:val="center"/>
                </w:tcPr>
                <w:p>
                  <w:pPr>
                    <w:tabs>
                      <w:tab w:val="left" w:pos="2395"/>
                    </w:tabs>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减震基础、厂房隔声</w:t>
                  </w:r>
                </w:p>
              </w:tc>
              <w:tc>
                <w:tcPr>
                  <w:tcW w:w="131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≤75</w:t>
                  </w:r>
                </w:p>
              </w:tc>
              <w:tc>
                <w:tcPr>
                  <w:tcW w:w="858" w:type="dxa"/>
                  <w:noWrap w:val="0"/>
                  <w:vAlign w:val="center"/>
                </w:tcPr>
                <w:p>
                  <w:pPr>
                    <w:spacing w:before="50"/>
                    <w:ind w:right="36" w:rightChars="17"/>
                    <w:jc w:val="center"/>
                    <w:rPr>
                      <w:rFonts w:hint="default" w:ascii="Times New Roman" w:hAnsi="Times New Roman" w:cs="Times New Roman"/>
                      <w:color w:val="000000"/>
                      <w:szCs w:val="21"/>
                    </w:rPr>
                  </w:pPr>
                  <w:r>
                    <w:rPr>
                      <w:rFonts w:hint="default" w:ascii="Times New Roman" w:hAnsi="Times New Roman" w:cs="Times New Roman"/>
                      <w:color w:val="000000"/>
                      <w:szCs w:val="21"/>
                    </w:rPr>
                    <w:t>间歇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wBefore w:w="0" w:type="dxa"/>
                <w:wAfter w:w="0" w:type="dxa"/>
                <w:trHeight w:val="284" w:hRule="atLeast"/>
                <w:jc w:val="center"/>
              </w:trPr>
              <w:tc>
                <w:tcPr>
                  <w:tcW w:w="800" w:type="dxa"/>
                  <w:noWrap w:val="0"/>
                  <w:vAlign w:val="center"/>
                </w:tcPr>
                <w:p>
                  <w:pPr>
                    <w:widowControl/>
                    <w:spacing w:line="380" w:lineRule="exact"/>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w:t>
                  </w:r>
                </w:p>
              </w:tc>
              <w:tc>
                <w:tcPr>
                  <w:tcW w:w="1560"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配料机</w:t>
                  </w:r>
                </w:p>
              </w:tc>
              <w:tc>
                <w:tcPr>
                  <w:tcW w:w="70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2</w:t>
                  </w:r>
                </w:p>
              </w:tc>
              <w:tc>
                <w:tcPr>
                  <w:tcW w:w="141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80</w:t>
                  </w:r>
                </w:p>
              </w:tc>
              <w:tc>
                <w:tcPr>
                  <w:tcW w:w="2118" w:type="dxa"/>
                  <w:noWrap w:val="0"/>
                  <w:vAlign w:val="center"/>
                </w:tcPr>
                <w:p>
                  <w:pPr>
                    <w:tabs>
                      <w:tab w:val="left" w:pos="2395"/>
                    </w:tabs>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减震基础、厂房隔声</w:t>
                  </w:r>
                </w:p>
              </w:tc>
              <w:tc>
                <w:tcPr>
                  <w:tcW w:w="131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≤60</w:t>
                  </w:r>
                </w:p>
              </w:tc>
              <w:tc>
                <w:tcPr>
                  <w:tcW w:w="858" w:type="dxa"/>
                  <w:noWrap w:val="0"/>
                  <w:vAlign w:val="center"/>
                </w:tcPr>
                <w:p>
                  <w:pPr>
                    <w:spacing w:before="50"/>
                    <w:ind w:right="36" w:rightChars="17"/>
                    <w:jc w:val="center"/>
                    <w:rPr>
                      <w:rFonts w:hint="default" w:ascii="Times New Roman" w:hAnsi="Times New Roman" w:cs="Times New Roman"/>
                      <w:color w:val="000000"/>
                      <w:szCs w:val="21"/>
                    </w:rPr>
                  </w:pPr>
                  <w:r>
                    <w:rPr>
                      <w:rFonts w:hint="default" w:ascii="Times New Roman" w:hAnsi="Times New Roman" w:cs="Times New Roman"/>
                      <w:color w:val="000000"/>
                      <w:szCs w:val="21"/>
                    </w:rPr>
                    <w:t>间歇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800" w:type="dxa"/>
                  <w:noWrap w:val="0"/>
                  <w:vAlign w:val="center"/>
                </w:tcPr>
                <w:p>
                  <w:pPr>
                    <w:widowControl/>
                    <w:spacing w:line="380" w:lineRule="exact"/>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p>
              </w:tc>
              <w:tc>
                <w:tcPr>
                  <w:tcW w:w="1560"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制砖机</w:t>
                  </w:r>
                </w:p>
              </w:tc>
              <w:tc>
                <w:tcPr>
                  <w:tcW w:w="70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2</w:t>
                  </w:r>
                </w:p>
              </w:tc>
              <w:tc>
                <w:tcPr>
                  <w:tcW w:w="141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95</w:t>
                  </w:r>
                </w:p>
              </w:tc>
              <w:tc>
                <w:tcPr>
                  <w:tcW w:w="2118" w:type="dxa"/>
                  <w:noWrap w:val="0"/>
                  <w:vAlign w:val="center"/>
                </w:tcPr>
                <w:p>
                  <w:pPr>
                    <w:tabs>
                      <w:tab w:val="left" w:pos="2395"/>
                    </w:tabs>
                    <w:spacing w:line="360" w:lineRule="auto"/>
                    <w:ind w:left="-105" w:leftChars="-50" w:right="-105" w:rightChars="-50"/>
                    <w:jc w:val="center"/>
                    <w:rPr>
                      <w:rFonts w:hint="default" w:ascii="Times New Roman" w:hAnsi="Times New Roman" w:cs="Times New Roman"/>
                      <w:color w:val="000000"/>
                      <w:szCs w:val="21"/>
                    </w:rPr>
                  </w:pPr>
                  <w:r>
                    <w:rPr>
                      <w:rFonts w:hint="default" w:ascii="Times New Roman" w:hAnsi="Times New Roman" w:cs="Times New Roman"/>
                      <w:color w:val="000000"/>
                      <w:szCs w:val="21"/>
                    </w:rPr>
                    <w:t>减震基础、厂房隔声</w:t>
                  </w:r>
                </w:p>
              </w:tc>
              <w:tc>
                <w:tcPr>
                  <w:tcW w:w="1315" w:type="dxa"/>
                  <w:tcBorders>
                    <w:bottom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≤80</w:t>
                  </w:r>
                </w:p>
              </w:tc>
              <w:tc>
                <w:tcPr>
                  <w:tcW w:w="858" w:type="dxa"/>
                  <w:noWrap w:val="0"/>
                  <w:vAlign w:val="center"/>
                </w:tcPr>
                <w:p>
                  <w:pPr>
                    <w:ind w:right="36" w:rightChars="17"/>
                    <w:jc w:val="center"/>
                    <w:rPr>
                      <w:rFonts w:hint="default" w:ascii="Times New Roman" w:hAnsi="Times New Roman" w:cs="Times New Roman"/>
                      <w:color w:val="000000"/>
                      <w:szCs w:val="21"/>
                    </w:rPr>
                  </w:pPr>
                  <w:r>
                    <w:rPr>
                      <w:rFonts w:hint="default" w:ascii="Times New Roman" w:hAnsi="Times New Roman" w:cs="Times New Roman"/>
                      <w:color w:val="000000"/>
                      <w:szCs w:val="21"/>
                    </w:rPr>
                    <w:t>间歇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800" w:type="dxa"/>
                  <w:noWrap w:val="0"/>
                  <w:vAlign w:val="center"/>
                </w:tcPr>
                <w:p>
                  <w:pPr>
                    <w:widowControl/>
                    <w:spacing w:line="380" w:lineRule="exact"/>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4</w:t>
                  </w:r>
                </w:p>
              </w:tc>
              <w:tc>
                <w:tcPr>
                  <w:tcW w:w="1560"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破碎机</w:t>
                  </w:r>
                </w:p>
              </w:tc>
              <w:tc>
                <w:tcPr>
                  <w:tcW w:w="70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2</w:t>
                  </w:r>
                </w:p>
              </w:tc>
              <w:tc>
                <w:tcPr>
                  <w:tcW w:w="1418" w:type="dxa"/>
                  <w:noWrap w:val="0"/>
                  <w:vAlign w:val="center"/>
                </w:tcPr>
                <w:p>
                  <w:pPr>
                    <w:jc w:val="center"/>
                    <w:rPr>
                      <w:rFonts w:hint="default" w:ascii="Times New Roman" w:hAnsi="Times New Roman" w:cs="Times New Roman"/>
                      <w:color w:val="000000"/>
                      <w:spacing w:val="6"/>
                      <w:szCs w:val="21"/>
                    </w:rPr>
                  </w:pPr>
                  <w:r>
                    <w:rPr>
                      <w:rFonts w:hint="default" w:ascii="Times New Roman" w:hAnsi="Times New Roman" w:cs="Times New Roman"/>
                      <w:color w:val="000000"/>
                      <w:spacing w:val="6"/>
                      <w:szCs w:val="21"/>
                    </w:rPr>
                    <w:t>95</w:t>
                  </w:r>
                </w:p>
              </w:tc>
              <w:tc>
                <w:tcPr>
                  <w:tcW w:w="2118" w:type="dxa"/>
                  <w:noWrap w:val="0"/>
                  <w:vAlign w:val="center"/>
                </w:tcPr>
                <w:p>
                  <w:pPr>
                    <w:tabs>
                      <w:tab w:val="left" w:pos="2395"/>
                    </w:tabs>
                    <w:spacing w:line="360" w:lineRule="auto"/>
                    <w:ind w:left="-105" w:leftChars="-50" w:right="-105" w:rightChars="-50"/>
                    <w:jc w:val="center"/>
                    <w:rPr>
                      <w:rFonts w:hint="default" w:ascii="Times New Roman" w:hAnsi="Times New Roman" w:cs="Times New Roman"/>
                      <w:color w:val="000000"/>
                      <w:szCs w:val="21"/>
                    </w:rPr>
                  </w:pPr>
                  <w:r>
                    <w:rPr>
                      <w:rFonts w:hint="default" w:ascii="Times New Roman" w:hAnsi="Times New Roman" w:cs="Times New Roman"/>
                      <w:color w:val="000000"/>
                      <w:szCs w:val="21"/>
                    </w:rPr>
                    <w:t>减震基础、厂房隔声</w:t>
                  </w:r>
                </w:p>
              </w:tc>
              <w:tc>
                <w:tcPr>
                  <w:tcW w:w="1315" w:type="dxa"/>
                  <w:tcBorders>
                    <w:top w:val="single" w:color="auto" w:sz="4" w:space="0"/>
                    <w:bottom w:val="single" w:color="auto" w:sz="12"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≤80</w:t>
                  </w:r>
                </w:p>
              </w:tc>
              <w:tc>
                <w:tcPr>
                  <w:tcW w:w="858" w:type="dxa"/>
                  <w:noWrap w:val="0"/>
                  <w:vAlign w:val="center"/>
                </w:tcPr>
                <w:p>
                  <w:pPr>
                    <w:ind w:right="36" w:rightChars="17"/>
                    <w:jc w:val="center"/>
                    <w:rPr>
                      <w:rFonts w:hint="default" w:ascii="Times New Roman" w:hAnsi="Times New Roman" w:cs="Times New Roman"/>
                      <w:color w:val="000000"/>
                      <w:szCs w:val="21"/>
                    </w:rPr>
                  </w:pPr>
                  <w:r>
                    <w:rPr>
                      <w:rFonts w:hint="default" w:ascii="Times New Roman" w:hAnsi="Times New Roman" w:cs="Times New Roman"/>
                      <w:color w:val="000000"/>
                      <w:szCs w:val="21"/>
                    </w:rPr>
                    <w:t>间歇</w:t>
                  </w:r>
                </w:p>
              </w:tc>
            </w:tr>
          </w:tbl>
          <w:p>
            <w:pPr>
              <w:spacing w:line="480" w:lineRule="exact"/>
              <w:ind w:firstLine="498" w:firstLineChars="200"/>
              <w:jc w:val="left"/>
              <w:rPr>
                <w:rFonts w:hint="default" w:ascii="Times New Roman" w:hAnsi="Times New Roman" w:cs="Times New Roman"/>
                <w:b/>
                <w:color w:val="000000"/>
                <w:spacing w:val="4"/>
                <w:sz w:val="24"/>
              </w:rPr>
            </w:pPr>
            <w:r>
              <w:rPr>
                <w:rFonts w:hint="default" w:ascii="Times New Roman" w:hAnsi="Times New Roman" w:cs="Times New Roman"/>
                <w:b/>
                <w:color w:val="000000"/>
                <w:spacing w:val="4"/>
                <w:sz w:val="24"/>
              </w:rPr>
              <w:t>4、固废</w:t>
            </w:r>
          </w:p>
          <w:p>
            <w:pPr>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该项目固体废物主要为制砖工序产生的不合格产品、除尘器收尘灰和职工生活垃圾。</w:t>
            </w:r>
          </w:p>
          <w:p>
            <w:pPr>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（1）生活垃圾</w:t>
            </w:r>
          </w:p>
          <w:p>
            <w:pPr>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项目运营期劳动定员为35人，人均产生生活垃圾按0.5kg/d计，则项目运营期生活垃圾产生量约为5.3t/a。</w:t>
            </w:r>
          </w:p>
          <w:p>
            <w:pPr>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（2）不合格产品</w:t>
            </w:r>
          </w:p>
          <w:p>
            <w:pPr>
              <w:spacing w:line="480" w:lineRule="exact"/>
              <w:ind w:firstLine="460" w:firstLineChars="192"/>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项目运营期制砖过程中会产生不合格产品，按照成品砖万分之一核算，约为13t/a。</w:t>
            </w:r>
          </w:p>
          <w:p>
            <w:pPr>
              <w:spacing w:line="480" w:lineRule="exact"/>
              <w:ind w:firstLine="460" w:firstLineChars="192"/>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（3）回收粉尘</w:t>
            </w:r>
          </w:p>
          <w:p>
            <w:pPr>
              <w:spacing w:line="480" w:lineRule="exact"/>
              <w:ind w:firstLine="460" w:firstLineChars="192"/>
              <w:rPr>
                <w:rFonts w:hint="default" w:ascii="Times New Roman" w:hAnsi="Times New Roman" w:cs="Times New Roman"/>
                <w:color w:val="000000"/>
                <w:spacing w:val="2"/>
                <w:sz w:val="24"/>
              </w:rPr>
            </w:pPr>
            <w:r>
              <w:rPr>
                <w:rFonts w:hint="default" w:ascii="Times New Roman" w:hAnsi="Times New Roman" w:cs="Times New Roman"/>
                <w:color w:val="000000"/>
                <w:sz w:val="24"/>
                <w:szCs w:val="24"/>
              </w:rPr>
              <w:t>项目水泥罐仓粉尘产生量为22.08</w:t>
            </w:r>
            <w:r>
              <w:rPr>
                <w:rFonts w:hint="default" w:ascii="Times New Roman" w:hAnsi="Times New Roman" w:cs="Times New Roman"/>
                <w:color w:val="000000"/>
                <w:spacing w:val="2"/>
                <w:sz w:val="24"/>
              </w:rPr>
              <w:t>t/a</w:t>
            </w:r>
            <w:r>
              <w:rPr>
                <w:rFonts w:hint="default" w:ascii="Times New Roman" w:hAnsi="Times New Roman" w:cs="Times New Roman"/>
                <w:color w:val="000000"/>
                <w:sz w:val="24"/>
                <w:szCs w:val="24"/>
              </w:rPr>
              <w:t>，除尘效率为99.9%，则本项目除尘器收集的粉尘量约为22.06</w:t>
            </w:r>
            <w:r>
              <w:rPr>
                <w:rFonts w:hint="default" w:ascii="Times New Roman" w:hAnsi="Times New Roman" w:cs="Times New Roman"/>
                <w:color w:val="000000"/>
                <w:spacing w:val="2"/>
                <w:sz w:val="24"/>
              </w:rPr>
              <w:t>t/a。</w:t>
            </w:r>
          </w:p>
          <w:p>
            <w:pPr>
              <w:spacing w:line="480" w:lineRule="exact"/>
              <w:ind w:firstLine="460" w:firstLineChars="192"/>
              <w:rPr>
                <w:rFonts w:hint="default" w:ascii="Times New Roman" w:hAnsi="Times New Roman" w:cs="Times New Roman"/>
                <w:color w:val="FF0000"/>
                <w:spacing w:val="2"/>
                <w:sz w:val="24"/>
              </w:rPr>
            </w:pPr>
            <w:r>
              <w:rPr>
                <w:rFonts w:hint="default" w:ascii="Times New Roman" w:hAnsi="Times New Roman" w:cs="Times New Roman"/>
                <w:color w:val="FF0000"/>
                <w:sz w:val="24"/>
                <w:szCs w:val="24"/>
              </w:rPr>
              <w:t>本项目布袋除尘器收集的粉尘量约为14.9</w:t>
            </w:r>
            <w:r>
              <w:rPr>
                <w:rFonts w:hint="default" w:ascii="Times New Roman" w:hAnsi="Times New Roman" w:cs="Times New Roman"/>
                <w:color w:val="FF0000"/>
                <w:spacing w:val="2"/>
                <w:sz w:val="24"/>
              </w:rPr>
              <w:t>t/a。</w:t>
            </w:r>
          </w:p>
          <w:p>
            <w:pPr>
              <w:spacing w:line="480" w:lineRule="exact"/>
              <w:ind w:firstLine="468" w:firstLineChars="192"/>
              <w:rPr>
                <w:rFonts w:hint="default" w:ascii="Times New Roman" w:hAnsi="Times New Roman" w:cs="Times New Roman"/>
                <w:color w:val="FF0000"/>
                <w:spacing w:val="2"/>
                <w:sz w:val="24"/>
              </w:rPr>
            </w:pPr>
            <w:r>
              <w:rPr>
                <w:rFonts w:hint="default" w:ascii="Times New Roman" w:hAnsi="Times New Roman" w:cs="Times New Roman"/>
                <w:color w:val="FF0000"/>
                <w:spacing w:val="2"/>
                <w:sz w:val="24"/>
              </w:rPr>
              <w:t>则回收粉尘为36.96t/a。</w:t>
            </w:r>
          </w:p>
          <w:p>
            <w:pPr>
              <w:spacing w:line="480" w:lineRule="exact"/>
              <w:ind w:firstLine="460" w:firstLineChars="192"/>
              <w:rPr>
                <w:rFonts w:hint="default" w:ascii="Times New Roman" w:hAnsi="Times New Roman" w:cs="Times New Roman"/>
                <w:color w:val="000000"/>
                <w:sz w:val="24"/>
              </w:rPr>
            </w:pPr>
            <w:r>
              <w:rPr>
                <w:rFonts w:hint="default" w:ascii="Times New Roman" w:hAnsi="Times New Roman" w:cs="Times New Roman"/>
                <w:color w:val="000000"/>
                <w:sz w:val="24"/>
              </w:rPr>
              <w:t>（4）金属物质和木头等杂质</w:t>
            </w:r>
          </w:p>
          <w:p>
            <w:pPr>
              <w:spacing w:line="480" w:lineRule="exact"/>
              <w:ind w:firstLine="460" w:firstLineChars="192"/>
              <w:rPr>
                <w:rFonts w:hint="default" w:ascii="Times New Roman" w:hAnsi="Times New Roman" w:cs="Times New Roman"/>
                <w:color w:val="000000"/>
                <w:sz w:val="24"/>
              </w:rPr>
            </w:pPr>
            <w:r>
              <w:rPr>
                <w:rFonts w:hint="default" w:ascii="Times New Roman" w:hAnsi="Times New Roman" w:cs="Times New Roman"/>
                <w:color w:val="000000"/>
                <w:sz w:val="24"/>
              </w:rPr>
              <w:t>根据可研，本项目建筑垃圾处理过程中杂质约占5%，年杂质总产生量为2.5万t/a，其中以钢筋等金属物质为主，约为2.0万t/a，其余约0.5万t/a为木头等。</w:t>
            </w:r>
          </w:p>
          <w:p>
            <w:pPr>
              <w:spacing w:line="480" w:lineRule="exact"/>
              <w:ind w:firstLine="460" w:firstLineChars="192"/>
              <w:rPr>
                <w:rFonts w:hint="default" w:ascii="Times New Roman" w:hAnsi="Times New Roman" w:cs="Times New Roman"/>
                <w:color w:val="000000"/>
                <w:sz w:val="24"/>
              </w:rPr>
            </w:pPr>
            <w:r>
              <w:rPr>
                <w:rFonts w:hint="default" w:ascii="Times New Roman" w:hAnsi="Times New Roman" w:cs="Times New Roman"/>
                <w:color w:val="000000"/>
                <w:sz w:val="24"/>
              </w:rPr>
              <w:t>（5）废润滑油</w:t>
            </w:r>
          </w:p>
          <w:p>
            <w:pPr>
              <w:spacing w:line="480" w:lineRule="exact"/>
              <w:ind w:firstLine="476" w:firstLineChars="192"/>
              <w:rPr>
                <w:rFonts w:hint="default" w:ascii="Times New Roman" w:hAnsi="Times New Roman" w:cs="Times New Roman"/>
                <w:color w:val="000000"/>
                <w:spacing w:val="4"/>
                <w:sz w:val="24"/>
              </w:rPr>
            </w:pPr>
            <w:r>
              <w:rPr>
                <w:rFonts w:hint="default" w:ascii="Times New Roman" w:hAnsi="Times New Roman" w:cs="Times New Roman"/>
                <w:color w:val="000000"/>
                <w:spacing w:val="4"/>
                <w:sz w:val="24"/>
              </w:rPr>
              <w:t>在营运期的机械维修过程中，会产生废润滑油，废润滑油产生量约0.2t/a。</w:t>
            </w:r>
          </w:p>
          <w:p>
            <w:pPr>
              <w:spacing w:line="480" w:lineRule="exact"/>
              <w:ind w:firstLine="460" w:firstLineChars="192"/>
              <w:rPr>
                <w:rFonts w:hint="default" w:ascii="Times New Roman" w:hAnsi="Times New Roman" w:cs="Times New Roman"/>
                <w:color w:val="FF0000"/>
                <w:sz w:val="24"/>
              </w:rPr>
            </w:pPr>
            <w:r>
              <w:rPr>
                <w:rFonts w:hint="default" w:ascii="Times New Roman" w:hAnsi="Times New Roman" w:cs="Times New Roman"/>
                <w:color w:val="FF0000"/>
                <w:sz w:val="24"/>
              </w:rPr>
              <w:t>（6）建筑垃圾中土料</w:t>
            </w:r>
          </w:p>
          <w:p>
            <w:pPr>
              <w:spacing w:line="480" w:lineRule="exact"/>
              <w:ind w:firstLine="460" w:firstLineChars="192"/>
              <w:rPr>
                <w:rFonts w:hint="default" w:ascii="Times New Roman" w:hAnsi="Times New Roman" w:cs="Times New Roman"/>
                <w:color w:val="auto"/>
                <w:sz w:val="24"/>
              </w:rPr>
            </w:pPr>
            <w:r>
              <w:rPr>
                <w:rFonts w:hint="default" w:ascii="Times New Roman" w:hAnsi="Times New Roman" w:cs="Times New Roman"/>
                <w:color w:val="FF0000"/>
                <w:sz w:val="24"/>
              </w:rPr>
              <w:t>本项目建筑垃圾中土料约</w:t>
            </w:r>
            <w:r>
              <w:rPr>
                <w:rFonts w:hint="eastAsia" w:ascii="Times New Roman" w:hAnsi="Times New Roman" w:cs="Times New Roman"/>
                <w:color w:val="FF0000"/>
                <w:sz w:val="24"/>
                <w:lang w:eastAsia="zh-CN"/>
              </w:rPr>
              <w:t>为</w:t>
            </w:r>
            <w:r>
              <w:rPr>
                <w:rFonts w:hint="eastAsia" w:ascii="Times New Roman" w:hAnsi="Times New Roman" w:cs="Times New Roman"/>
                <w:color w:val="FF0000"/>
                <w:sz w:val="24"/>
                <w:lang w:val="en-US" w:eastAsia="zh-CN"/>
              </w:rPr>
              <w:t>1</w:t>
            </w:r>
            <w:r>
              <w:rPr>
                <w:rFonts w:hint="default" w:ascii="Times New Roman" w:hAnsi="Times New Roman" w:cs="Times New Roman"/>
                <w:color w:val="FF0000"/>
                <w:sz w:val="24"/>
              </w:rPr>
              <w:t>t/a</w:t>
            </w:r>
            <w:r>
              <w:rPr>
                <w:rFonts w:hint="eastAsia" w:ascii="Times New Roman" w:hAnsi="Times New Roman" w:cs="Times New Roman"/>
                <w:color w:val="FF0000"/>
                <w:sz w:val="24"/>
                <w:lang w:eastAsia="zh-CN"/>
              </w:rPr>
              <w:t>，定期运往垃圾填埋厂</w:t>
            </w:r>
            <w:r>
              <w:rPr>
                <w:rFonts w:hint="default" w:ascii="Times New Roman" w:hAnsi="Times New Roman" w:cs="Times New Roman"/>
                <w:color w:val="FF0000"/>
                <w:sz w:val="24"/>
              </w:rPr>
              <w:t>。</w:t>
            </w:r>
          </w:p>
          <w:p>
            <w:pPr>
              <w:numPr>
                <w:ilvl w:val="0"/>
                <w:numId w:val="0"/>
              </w:numPr>
              <w:spacing w:line="480" w:lineRule="exact"/>
              <w:ind w:firstLine="480" w:firstLineChars="200"/>
              <w:rPr>
                <w:rFonts w:hint="default" w:ascii="Times New Roman" w:hAnsi="Times New Roman" w:cs="Times New Roman"/>
                <w:color w:val="FF0000"/>
                <w:sz w:val="24"/>
                <w:lang w:eastAsia="zh-CN"/>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7</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洗车台沉淀池底泥</w:t>
            </w:r>
          </w:p>
          <w:p>
            <w:pPr>
              <w:numPr>
                <w:ilvl w:val="0"/>
                <w:numId w:val="0"/>
              </w:numPr>
              <w:spacing w:line="480" w:lineRule="exact"/>
              <w:ind w:firstLine="496" w:firstLineChars="200"/>
              <w:rPr>
                <w:rFonts w:hint="default" w:ascii="Times New Roman" w:hAnsi="Times New Roman" w:cs="Times New Roman"/>
                <w:color w:val="FF0000"/>
                <w:sz w:val="24"/>
                <w:lang w:eastAsia="zh-CN"/>
              </w:rPr>
            </w:pPr>
            <w:r>
              <w:rPr>
                <w:rFonts w:hint="default" w:ascii="Times New Roman" w:hAnsi="Times New Roman" w:cs="Times New Roman"/>
                <w:color w:val="000000"/>
                <w:spacing w:val="4"/>
                <w:sz w:val="24"/>
                <w:szCs w:val="22"/>
              </w:rPr>
              <w:t>本项目车辆冲洗平台对车辆冲洗过程中在沉淀池底部会产生一定量的底泥，类比同类项目</w:t>
            </w:r>
            <w:r>
              <w:rPr>
                <w:rFonts w:hint="default" w:ascii="Times New Roman" w:hAnsi="Times New Roman" w:cs="Times New Roman"/>
                <w:color w:val="000000"/>
                <w:spacing w:val="4"/>
                <w:sz w:val="24"/>
                <w:szCs w:val="22"/>
                <w:lang w:eastAsia="zh-CN"/>
              </w:rPr>
              <w:t>及建设单位提供资料</w:t>
            </w:r>
            <w:r>
              <w:rPr>
                <w:rFonts w:hint="default" w:ascii="Times New Roman" w:hAnsi="Times New Roman" w:cs="Times New Roman"/>
                <w:color w:val="000000"/>
                <w:spacing w:val="4"/>
                <w:sz w:val="24"/>
                <w:szCs w:val="22"/>
              </w:rPr>
              <w:t>，沉淀池底泥产生量约为0.5t/a。本项目沉淀池底泥主要为砂石，可用于道路铺设用碎石等。</w:t>
            </w:r>
          </w:p>
          <w:p>
            <w:pPr>
              <w:spacing w:line="480" w:lineRule="exact"/>
              <w:ind w:firstLine="460" w:firstLineChars="192"/>
              <w:rPr>
                <w:rFonts w:hint="default" w:ascii="Times New Roman" w:hAnsi="Times New Roman" w:cs="Times New Roman"/>
                <w:color w:val="000000"/>
                <w:sz w:val="24"/>
              </w:rPr>
            </w:pPr>
          </w:p>
          <w:p>
            <w:pPr>
              <w:spacing w:line="480" w:lineRule="exact"/>
              <w:ind w:firstLine="460" w:firstLineChars="192"/>
              <w:rPr>
                <w:rFonts w:hint="default" w:ascii="Times New Roman" w:hAnsi="Times New Roman" w:cs="Times New Roman"/>
                <w:color w:val="000000"/>
                <w:sz w:val="24"/>
              </w:rPr>
            </w:pPr>
          </w:p>
          <w:p>
            <w:pPr>
              <w:spacing w:line="480" w:lineRule="exact"/>
              <w:rPr>
                <w:rFonts w:hint="default" w:ascii="Times New Roman" w:hAnsi="Times New Roman" w:cs="Times New Roman"/>
                <w:color w:val="000000"/>
                <w:sz w:val="24"/>
              </w:rPr>
            </w:pPr>
          </w:p>
          <w:p>
            <w:pPr>
              <w:spacing w:line="480" w:lineRule="exact"/>
              <w:rPr>
                <w:rFonts w:hint="default" w:ascii="Times New Roman" w:hAnsi="Times New Roman" w:cs="Times New Roman"/>
                <w:color w:val="000000"/>
                <w:sz w:val="24"/>
              </w:rPr>
            </w:pPr>
          </w:p>
        </w:tc>
      </w:tr>
    </w:tbl>
    <w:p>
      <w:pP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项目主要污染物产生及预计排放情况</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25"/>
        <w:gridCol w:w="1745"/>
        <w:gridCol w:w="1664"/>
        <w:gridCol w:w="2068"/>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83" w:hRule="atLeast"/>
          <w:jc w:val="center"/>
        </w:trPr>
        <w:tc>
          <w:tcPr>
            <w:tcW w:w="1225" w:type="dxa"/>
            <w:tcBorders>
              <w:top w:val="single" w:color="auto" w:sz="12" w:space="0"/>
              <w:left w:val="single" w:color="auto" w:sz="12" w:space="0"/>
              <w:bottom w:val="single" w:color="auto" w:sz="4" w:space="0"/>
              <w:right w:val="single" w:color="auto" w:sz="4" w:space="0"/>
              <w:tl2br w:val="single" w:color="auto" w:sz="4" w:space="0"/>
            </w:tcBorders>
            <w:noWrap w:val="0"/>
            <w:vAlign w:val="center"/>
          </w:tcPr>
          <w:p>
            <w:pPr>
              <w:spacing w:line="240" w:lineRule="atLeast"/>
              <w:rPr>
                <w:rFonts w:hint="default" w:ascii="Times New Roman" w:hAnsi="Times New Roman" w:cs="Times New Roman"/>
                <w:color w:val="FF0000"/>
                <w:szCs w:val="21"/>
              </w:rPr>
            </w:pPr>
            <w:r>
              <w:rPr>
                <w:rFonts w:hint="default" w:ascii="Times New Roman" w:hAnsi="Times New Roman" w:cs="Times New Roman"/>
                <w:color w:val="FF0000"/>
                <w:szCs w:val="21"/>
              </w:rPr>
              <w:t xml:space="preserve">      内容</w:t>
            </w:r>
          </w:p>
          <w:p>
            <w:pPr>
              <w:spacing w:line="240" w:lineRule="atLeast"/>
              <w:ind w:firstLine="105" w:firstLineChars="50"/>
              <w:rPr>
                <w:rFonts w:hint="default" w:ascii="Times New Roman" w:hAnsi="Times New Roman" w:cs="Times New Roman"/>
                <w:color w:val="FF0000"/>
                <w:szCs w:val="21"/>
              </w:rPr>
            </w:pPr>
            <w:r>
              <w:rPr>
                <w:rFonts w:hint="default" w:ascii="Times New Roman" w:hAnsi="Times New Roman" w:cs="Times New Roman"/>
                <w:color w:val="FF0000"/>
                <w:szCs w:val="21"/>
              </w:rPr>
              <w:t>类型</w:t>
            </w:r>
          </w:p>
        </w:tc>
        <w:tc>
          <w:tcPr>
            <w:tcW w:w="1745" w:type="dxa"/>
            <w:tcBorders>
              <w:top w:val="single" w:color="auto" w:sz="12"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污染源</w:t>
            </w:r>
          </w:p>
        </w:tc>
        <w:tc>
          <w:tcPr>
            <w:tcW w:w="1664" w:type="dxa"/>
            <w:tcBorders>
              <w:top w:val="single" w:color="auto" w:sz="12"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污染物名称</w:t>
            </w:r>
          </w:p>
        </w:tc>
        <w:tc>
          <w:tcPr>
            <w:tcW w:w="2068" w:type="dxa"/>
            <w:tcBorders>
              <w:top w:val="single" w:color="auto" w:sz="12"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产生浓度及产生量</w:t>
            </w:r>
          </w:p>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(单位)</w:t>
            </w:r>
          </w:p>
        </w:tc>
        <w:tc>
          <w:tcPr>
            <w:tcW w:w="2268" w:type="dxa"/>
            <w:tcBorders>
              <w:top w:val="single" w:color="auto" w:sz="12" w:space="0"/>
              <w:left w:val="single" w:color="auto" w:sz="4" w:space="0"/>
              <w:bottom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排放浓度及排放量</w:t>
            </w:r>
          </w:p>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43" w:hRule="atLeast"/>
          <w:jc w:val="center"/>
        </w:trPr>
        <w:tc>
          <w:tcPr>
            <w:tcW w:w="1225" w:type="dxa"/>
            <w:vMerge w:val="restart"/>
            <w:tcBorders>
              <w:left w:val="single" w:color="auto" w:sz="1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大气污染物</w:t>
            </w:r>
          </w:p>
        </w:tc>
        <w:tc>
          <w:tcPr>
            <w:tcW w:w="1745"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颚式</w:t>
            </w:r>
            <w:r>
              <w:rPr>
                <w:rFonts w:hint="default" w:ascii="Times New Roman" w:hAnsi="Times New Roman" w:cs="Times New Roman"/>
                <w:color w:val="FF0000"/>
                <w:szCs w:val="21"/>
              </w:rPr>
              <w:t>破碎</w:t>
            </w: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有组织扬尘</w:t>
            </w:r>
          </w:p>
        </w:tc>
        <w:tc>
          <w:tcPr>
            <w:tcW w:w="2068"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lang w:val="de-DE"/>
              </w:rPr>
            </w:pPr>
            <w:r>
              <w:rPr>
                <w:rFonts w:hint="eastAsia" w:ascii="Times New Roman" w:hAnsi="Times New Roman" w:cs="Times New Roman"/>
                <w:color w:val="FF0000"/>
                <w:spacing w:val="2"/>
                <w:szCs w:val="21"/>
                <w:lang w:val="en-US" w:eastAsia="zh-CN"/>
              </w:rPr>
              <w:t>9</w:t>
            </w:r>
            <w:r>
              <w:rPr>
                <w:rFonts w:hint="default" w:ascii="Times New Roman" w:hAnsi="Times New Roman" w:cs="Times New Roman"/>
                <w:color w:val="FF0000"/>
                <w:spacing w:val="2"/>
                <w:szCs w:val="21"/>
              </w:rPr>
              <w:t>0t/a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eastAsia" w:ascii="Times New Roman" w:hAnsi="Times New Roman" w:eastAsia="宋体" w:cs="Times New Roman"/>
                <w:color w:val="FF0000"/>
                <w:szCs w:val="21"/>
                <w:lang w:val="de-DE" w:eastAsia="zh-CN"/>
              </w:rPr>
            </w:pPr>
            <w:r>
              <w:rPr>
                <w:rFonts w:hint="eastAsia" w:ascii="Times New Roman" w:hAnsi="Times New Roman" w:cs="Times New Roman"/>
                <w:color w:val="FF0000"/>
                <w:spacing w:val="2"/>
                <w:szCs w:val="21"/>
                <w:lang w:val="en-US" w:eastAsia="zh-CN"/>
              </w:rPr>
              <w:t>0.09</w:t>
            </w:r>
            <w:r>
              <w:rPr>
                <w:rFonts w:hint="default" w:ascii="Times New Roman" w:hAnsi="Times New Roman" w:cs="Times New Roman"/>
                <w:color w:val="FF0000"/>
                <w:spacing w:val="2"/>
                <w:szCs w:val="21"/>
              </w:rPr>
              <w:t>t/a</w:t>
            </w:r>
            <w:r>
              <w:rPr>
                <w:rFonts w:hint="eastAsia" w:ascii="Times New Roman" w:hAnsi="Times New Roman" w:cs="Times New Roman"/>
                <w:color w:val="FF0000"/>
                <w:spacing w:val="2"/>
                <w:szCs w:val="21"/>
                <w:lang w:eastAsia="zh-CN"/>
              </w:rPr>
              <w:t>，</w:t>
            </w:r>
            <w:r>
              <w:rPr>
                <w:rFonts w:hint="eastAsia" w:ascii="Times New Roman" w:hAnsi="Times New Roman" w:cs="Times New Roman"/>
                <w:color w:val="FF0000"/>
                <w:spacing w:val="2"/>
                <w:szCs w:val="21"/>
                <w:lang w:val="en-US" w:eastAsia="zh-CN"/>
              </w:rPr>
              <w:t>4.6875</w:t>
            </w:r>
            <w:r>
              <w:rPr>
                <w:rFonts w:hint="eastAsia" w:ascii="Times New Roman" w:hAnsi="Times New Roman" w:cs="Times New Roman"/>
                <w:color w:val="FF0000"/>
                <w:spacing w:val="2"/>
                <w:szCs w:val="21"/>
                <w:lang w:eastAsia="zh-CN"/>
              </w:rPr>
              <w:t>mg/m3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43" w:hRule="atLeast"/>
          <w:jc w:val="center"/>
        </w:trPr>
        <w:tc>
          <w:tcPr>
            <w:tcW w:w="1225" w:type="dxa"/>
            <w:vMerge w:val="continue"/>
            <w:tcBorders>
              <w:left w:val="single" w:color="auto" w:sz="1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745" w:type="dxa"/>
            <w:tcBorders>
              <w:top w:val="single" w:color="auto" w:sz="4" w:space="0"/>
              <w:left w:val="single" w:color="auto" w:sz="4" w:space="0"/>
              <w:right w:val="single" w:color="auto" w:sz="4" w:space="0"/>
            </w:tcBorders>
            <w:noWrap w:val="0"/>
            <w:vAlign w:val="center"/>
          </w:tcPr>
          <w:p>
            <w:pPr>
              <w:spacing w:line="240" w:lineRule="atLeast"/>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eastAsia="zh-CN"/>
              </w:rPr>
              <w:t>锤式破碎</w:t>
            </w: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有组织扬尘</w:t>
            </w:r>
          </w:p>
        </w:tc>
        <w:tc>
          <w:tcPr>
            <w:tcW w:w="2068"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pacing w:val="2"/>
                <w:szCs w:val="21"/>
              </w:rPr>
            </w:pPr>
            <w:r>
              <w:rPr>
                <w:rFonts w:hint="eastAsia" w:ascii="Times New Roman" w:hAnsi="Times New Roman" w:cs="Times New Roman"/>
                <w:color w:val="FF0000"/>
                <w:spacing w:val="2"/>
                <w:szCs w:val="21"/>
                <w:lang w:val="en-US" w:eastAsia="zh-CN"/>
              </w:rPr>
              <w:t>9</w:t>
            </w:r>
            <w:r>
              <w:rPr>
                <w:rFonts w:hint="default" w:ascii="Times New Roman" w:hAnsi="Times New Roman" w:cs="Times New Roman"/>
                <w:color w:val="FF0000"/>
                <w:spacing w:val="2"/>
                <w:szCs w:val="21"/>
              </w:rPr>
              <w:t>0t/a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eastAsia" w:ascii="Times New Roman" w:hAnsi="Times New Roman" w:eastAsia="宋体" w:cs="Times New Roman"/>
                <w:color w:val="FF0000"/>
                <w:spacing w:val="2"/>
                <w:szCs w:val="21"/>
                <w:lang w:eastAsia="zh-CN"/>
              </w:rPr>
            </w:pPr>
            <w:r>
              <w:rPr>
                <w:rFonts w:hint="eastAsia" w:ascii="Times New Roman" w:hAnsi="Times New Roman" w:cs="Times New Roman"/>
                <w:color w:val="FF0000"/>
                <w:spacing w:val="2"/>
                <w:szCs w:val="21"/>
                <w:lang w:val="en-US" w:eastAsia="zh-CN"/>
              </w:rPr>
              <w:t>0.06</w:t>
            </w:r>
            <w:r>
              <w:rPr>
                <w:rFonts w:hint="default" w:ascii="Times New Roman" w:hAnsi="Times New Roman" w:cs="Times New Roman"/>
                <w:color w:val="FF0000"/>
                <w:spacing w:val="2"/>
                <w:szCs w:val="21"/>
              </w:rPr>
              <w:t>t/a</w:t>
            </w:r>
            <w:r>
              <w:rPr>
                <w:rFonts w:hint="eastAsia" w:ascii="Times New Roman" w:hAnsi="Times New Roman" w:cs="Times New Roman"/>
                <w:color w:val="FF0000"/>
                <w:spacing w:val="2"/>
                <w:szCs w:val="21"/>
                <w:lang w:eastAsia="zh-CN"/>
              </w:rPr>
              <w:t>，</w:t>
            </w:r>
            <w:r>
              <w:rPr>
                <w:rFonts w:hint="eastAsia" w:ascii="Times New Roman" w:hAnsi="Times New Roman" w:cs="Times New Roman"/>
                <w:color w:val="FF0000"/>
                <w:spacing w:val="2"/>
                <w:szCs w:val="21"/>
                <w:lang w:val="en-US" w:eastAsia="zh-CN"/>
              </w:rPr>
              <w:t>2.5</w:t>
            </w:r>
            <w:r>
              <w:rPr>
                <w:rFonts w:hint="eastAsia" w:ascii="Times New Roman" w:hAnsi="Times New Roman" w:cs="Times New Roman"/>
                <w:color w:val="FF0000"/>
                <w:spacing w:val="2"/>
                <w:szCs w:val="21"/>
                <w:lang w:eastAsia="zh-CN"/>
              </w:rPr>
              <w:t>mg/m3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485"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原料储棚</w:t>
            </w: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highlight w:val="yellow"/>
                <w:lang w:val="de-DE"/>
              </w:rPr>
            </w:pPr>
            <w:r>
              <w:rPr>
                <w:rFonts w:hint="default" w:ascii="Times New Roman" w:hAnsi="Times New Roman" w:cs="Times New Roman"/>
                <w:color w:val="FF0000"/>
                <w:szCs w:val="21"/>
                <w:lang w:val="de-DE"/>
              </w:rPr>
              <w:t>0.05t/a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highlight w:val="yellow"/>
                <w:lang w:val="de-DE"/>
              </w:rPr>
            </w:pPr>
            <w:r>
              <w:rPr>
                <w:rFonts w:hint="default" w:ascii="Times New Roman" w:hAnsi="Times New Roman" w:cs="Times New Roman"/>
                <w:color w:val="FF0000"/>
                <w:szCs w:val="21"/>
                <w:lang w:val="de-DE"/>
              </w:rPr>
              <w:t>0.02t/a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45"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装卸</w:t>
            </w: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lang w:val="de-DE"/>
              </w:rPr>
            </w:pPr>
            <w:r>
              <w:rPr>
                <w:rFonts w:hint="default" w:ascii="Times New Roman" w:hAnsi="Times New Roman" w:cs="Times New Roman"/>
                <w:color w:val="FF0000"/>
                <w:szCs w:val="21"/>
                <w:lang w:val="de-DE"/>
              </w:rPr>
              <w:t>0.073t/a</w:t>
            </w:r>
          </w:p>
        </w:tc>
        <w:tc>
          <w:tcPr>
            <w:tcW w:w="2268" w:type="dxa"/>
            <w:tcBorders>
              <w:top w:val="single" w:color="auto" w:sz="4" w:space="0"/>
              <w:left w:val="single" w:color="auto" w:sz="4" w:space="0"/>
              <w:bottom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lang w:val="de-DE"/>
              </w:rPr>
            </w:pPr>
            <w:r>
              <w:rPr>
                <w:rFonts w:hint="default" w:ascii="Times New Roman" w:hAnsi="Times New Roman" w:cs="Times New Roman"/>
                <w:color w:val="FF0000"/>
                <w:szCs w:val="21"/>
                <w:lang w:val="de-DE"/>
              </w:rPr>
              <w:t>0.03t/a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4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水泥入罐</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pacing w:val="20"/>
                <w:szCs w:val="21"/>
              </w:rPr>
            </w:pPr>
            <w:r>
              <w:rPr>
                <w:rFonts w:hint="default" w:ascii="Times New Roman" w:hAnsi="Times New Roman" w:cs="Times New Roman"/>
                <w:color w:val="FF0000"/>
                <w:szCs w:val="21"/>
              </w:rPr>
              <w:t>有组织粉尘</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pacing w:val="20"/>
                <w:szCs w:val="21"/>
              </w:rPr>
            </w:pPr>
            <w:r>
              <w:rPr>
                <w:rFonts w:hint="default" w:ascii="Times New Roman" w:hAnsi="Times New Roman" w:cs="Times New Roman"/>
                <w:bCs/>
                <w:color w:val="FF0000"/>
                <w:szCs w:val="21"/>
              </w:rPr>
              <w:t>2000mg/m</w:t>
            </w:r>
            <w:r>
              <w:rPr>
                <w:rFonts w:hint="default" w:ascii="Times New Roman" w:hAnsi="Times New Roman" w:cs="Times New Roman"/>
                <w:bCs/>
                <w:color w:val="FF0000"/>
                <w:szCs w:val="21"/>
                <w:vertAlign w:val="superscript"/>
              </w:rPr>
              <w:t>3</w:t>
            </w:r>
            <w:r>
              <w:rPr>
                <w:rFonts w:hint="default" w:ascii="Times New Roman" w:hAnsi="Times New Roman" w:cs="Times New Roman"/>
                <w:bCs/>
                <w:color w:val="FF0000"/>
                <w:szCs w:val="21"/>
              </w:rPr>
              <w:t>，22.08</w:t>
            </w:r>
            <w:r>
              <w:rPr>
                <w:rFonts w:hint="default" w:ascii="Times New Roman" w:hAnsi="Times New Roman" w:cs="Times New Roman"/>
                <w:color w:val="FF0000"/>
                <w:szCs w:val="21"/>
              </w:rPr>
              <w:t>t/a</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pacing w:val="20"/>
                <w:szCs w:val="21"/>
              </w:rPr>
            </w:pPr>
            <w:r>
              <w:rPr>
                <w:rFonts w:hint="default" w:ascii="Times New Roman" w:hAnsi="Times New Roman" w:cs="Times New Roman"/>
                <w:bCs/>
                <w:color w:val="FF0000"/>
                <w:szCs w:val="21"/>
              </w:rPr>
              <w:t>2mg/m</w:t>
            </w:r>
            <w:r>
              <w:rPr>
                <w:rFonts w:hint="default" w:ascii="Times New Roman" w:hAnsi="Times New Roman" w:cs="Times New Roman"/>
                <w:bCs/>
                <w:color w:val="FF0000"/>
                <w:szCs w:val="21"/>
                <w:vertAlign w:val="superscript"/>
              </w:rPr>
              <w:t>3</w:t>
            </w:r>
            <w:r>
              <w:rPr>
                <w:rFonts w:hint="default" w:ascii="Times New Roman" w:hAnsi="Times New Roman" w:cs="Times New Roman"/>
                <w:bCs/>
                <w:color w:val="FF0000"/>
                <w:szCs w:val="21"/>
              </w:rPr>
              <w:t>，0.022</w:t>
            </w:r>
            <w:r>
              <w:rPr>
                <w:rFonts w:hint="default" w:ascii="Times New Roman" w:hAnsi="Times New Roman" w:cs="Times New Roman"/>
                <w:color w:val="FF0000"/>
                <w:szCs w:val="21"/>
              </w:rPr>
              <w:t>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67"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汽车运输</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1.5t/a</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0.6t/a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67"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车辆尾气</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CO、NO</w:t>
            </w:r>
            <w:r>
              <w:rPr>
                <w:rFonts w:hint="default" w:ascii="Times New Roman" w:hAnsi="Times New Roman" w:cs="Times New Roman"/>
                <w:color w:val="FF0000"/>
                <w:szCs w:val="21"/>
                <w:vertAlign w:val="subscript"/>
              </w:rPr>
              <w:t>2</w:t>
            </w:r>
            <w:r>
              <w:rPr>
                <w:rFonts w:hint="default" w:ascii="Times New Roman" w:hAnsi="Times New Roman" w:cs="Times New Roman"/>
                <w:color w:val="FF0000"/>
                <w:szCs w:val="21"/>
              </w:rPr>
              <w:t>、THC</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67"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传输带</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67"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建筑垃圾堆放区</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少量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67"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lang w:val="de-DE"/>
              </w:rPr>
            </w:pPr>
          </w:p>
        </w:tc>
        <w:tc>
          <w:tcPr>
            <w:tcW w:w="1745"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搅拌粉尘</w:t>
            </w:r>
          </w:p>
        </w:tc>
        <w:tc>
          <w:tcPr>
            <w:tcW w:w="1664"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2068" w:type="dxa"/>
            <w:tcBorders>
              <w:top w:val="single" w:color="auto" w:sz="4" w:space="0"/>
              <w:left w:val="single" w:color="auto" w:sz="4" w:space="0"/>
              <w:bottom w:val="single" w:color="auto" w:sz="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r>
              <w:rPr>
                <w:rFonts w:hint="default" w:ascii="Times New Roman" w:hAnsi="Times New Roman" w:cs="Times New Roman"/>
                <w:color w:val="FF0000"/>
                <w:szCs w:val="21"/>
                <w:lang w:val="de-DE"/>
              </w:rPr>
              <w:t>t/a</w:t>
            </w:r>
          </w:p>
        </w:tc>
        <w:tc>
          <w:tcPr>
            <w:tcW w:w="2268" w:type="dxa"/>
            <w:tcBorders>
              <w:top w:val="single" w:color="auto" w:sz="4" w:space="0"/>
              <w:left w:val="single" w:color="auto" w:sz="4" w:space="0"/>
              <w:bottom w:val="single" w:color="auto" w:sz="2"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r>
              <w:rPr>
                <w:rFonts w:hint="default" w:ascii="Times New Roman" w:hAnsi="Times New Roman" w:cs="Times New Roman"/>
                <w:color w:val="FF0000"/>
                <w:szCs w:val="21"/>
                <w:lang w:val="de-DE"/>
              </w:rPr>
              <w:t>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87" w:hRule="atLeast"/>
          <w:jc w:val="center"/>
        </w:trPr>
        <w:tc>
          <w:tcPr>
            <w:tcW w:w="1225" w:type="dxa"/>
            <w:vMerge w:val="restart"/>
            <w:tcBorders>
              <w:top w:val="single" w:color="auto" w:sz="4" w:space="0"/>
              <w:left w:val="single" w:color="auto" w:sz="12" w:space="0"/>
              <w:bottom w:val="nil"/>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水污染物</w:t>
            </w:r>
          </w:p>
        </w:tc>
        <w:tc>
          <w:tcPr>
            <w:tcW w:w="1745" w:type="dxa"/>
            <w:vMerge w:val="restart"/>
            <w:tcBorders>
              <w:top w:val="single" w:color="auto" w:sz="4" w:space="0"/>
              <w:left w:val="single" w:color="auto" w:sz="4" w:space="0"/>
              <w:bottom w:val="nil"/>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生活污水</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COD</w:t>
            </w:r>
          </w:p>
        </w:tc>
        <w:tc>
          <w:tcPr>
            <w:tcW w:w="2068"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268" w:type="dxa"/>
            <w:vMerge w:val="restart"/>
            <w:tcBorders>
              <w:top w:val="single" w:color="auto" w:sz="4" w:space="0"/>
              <w:left w:val="single" w:color="auto" w:sz="4" w:space="0"/>
              <w:bottom w:val="nil"/>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排入化粪池，外拉肥田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76" w:hRule="exac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rPr>
                <w:rFonts w:hint="default" w:ascii="Times New Roman" w:hAnsi="Times New Roman" w:cs="Times New Roman"/>
                <w:color w:val="FF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BOD</w:t>
            </w:r>
            <w:r>
              <w:rPr>
                <w:rFonts w:hint="default" w:ascii="Times New Roman" w:hAnsi="Times New Roman" w:cs="Times New Roman"/>
                <w:color w:val="FF0000"/>
                <w:szCs w:val="21"/>
                <w:vertAlign w:val="subscript"/>
              </w:rPr>
              <w:t>5</w:t>
            </w:r>
          </w:p>
        </w:tc>
        <w:tc>
          <w:tcPr>
            <w:tcW w:w="2068"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2268" w:type="dxa"/>
            <w:vMerge w:val="continue"/>
            <w:tcBorders>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29" w:hRule="exac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rPr>
                <w:rFonts w:hint="default" w:ascii="Times New Roman" w:hAnsi="Times New Roman" w:cs="Times New Roman"/>
                <w:color w:val="FF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NH</w:t>
            </w:r>
            <w:r>
              <w:rPr>
                <w:rFonts w:hint="default" w:ascii="Times New Roman" w:hAnsi="Times New Roman" w:cs="Times New Roman"/>
                <w:color w:val="FF0000"/>
                <w:szCs w:val="21"/>
                <w:vertAlign w:val="subscript"/>
              </w:rPr>
              <w:t>3</w:t>
            </w:r>
            <w:r>
              <w:rPr>
                <w:rFonts w:hint="default" w:ascii="Times New Roman" w:hAnsi="Times New Roman" w:cs="Times New Roman"/>
                <w:color w:val="FF0000"/>
                <w:szCs w:val="21"/>
              </w:rPr>
              <w:t>-N</w:t>
            </w:r>
          </w:p>
        </w:tc>
        <w:tc>
          <w:tcPr>
            <w:tcW w:w="2068"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2268" w:type="dxa"/>
            <w:vMerge w:val="continue"/>
            <w:tcBorders>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41"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SS</w:t>
            </w:r>
          </w:p>
        </w:tc>
        <w:tc>
          <w:tcPr>
            <w:tcW w:w="2068"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2268" w:type="dxa"/>
            <w:vMerge w:val="continue"/>
            <w:tcBorders>
              <w:left w:val="single" w:color="auto" w:sz="4" w:space="0"/>
              <w:bottom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80" w:hRule="atLeast"/>
          <w:jc w:val="center"/>
        </w:trPr>
        <w:tc>
          <w:tcPr>
            <w:tcW w:w="1225" w:type="dxa"/>
            <w:vMerge w:val="restart"/>
            <w:tcBorders>
              <w:top w:val="single" w:color="auto" w:sz="4" w:space="0"/>
              <w:left w:val="single" w:color="auto" w:sz="1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固体废物</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厂内生活区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生活垃圾</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5.3t/a</w:t>
            </w:r>
          </w:p>
        </w:tc>
        <w:tc>
          <w:tcPr>
            <w:tcW w:w="2268" w:type="dxa"/>
            <w:tcBorders>
              <w:top w:val="single" w:color="auto" w:sz="4" w:space="0"/>
              <w:left w:val="single" w:color="auto" w:sz="4" w:space="0"/>
              <w:bottom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经统一收集，送至环卫部门指定地点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479"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生产过程</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回收粉尘</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36.96t/a</w:t>
            </w:r>
          </w:p>
        </w:tc>
        <w:tc>
          <w:tcPr>
            <w:tcW w:w="2268" w:type="dxa"/>
            <w:tcBorders>
              <w:top w:val="single" w:color="auto" w:sz="4" w:space="0"/>
              <w:left w:val="single" w:color="auto" w:sz="4" w:space="0"/>
              <w:bottom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回用生产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不合格产品</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kern w:val="0"/>
                <w:szCs w:val="21"/>
              </w:rPr>
              <w:t>13</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在原料储棚人工破碎后回用于生产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金属类杂质</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2.0万</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金属杂质外售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木质杂质</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0.5万</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木头等杂质运往垃圾填埋场填埋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土料</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kern w:val="0"/>
                <w:szCs w:val="21"/>
              </w:rPr>
            </w:pPr>
            <w:r>
              <w:rPr>
                <w:rFonts w:hint="eastAsia" w:ascii="Times New Roman" w:hAnsi="Times New Roman" w:cs="Times New Roman"/>
                <w:color w:val="FF0000"/>
                <w:kern w:val="0"/>
                <w:szCs w:val="21"/>
                <w:lang w:val="en-US" w:eastAsia="zh-CN"/>
              </w:rPr>
              <w:t>1</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运往建筑垃圾填埋场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洗车池底泥</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0.5</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道路铺设</w:t>
            </w:r>
            <w:r>
              <w:rPr>
                <w:rFonts w:hint="default" w:ascii="Times New Roman" w:hAnsi="Times New Roman" w:cs="Times New Roman"/>
                <w:color w:val="FF0000"/>
                <w:szCs w:val="21"/>
                <w:lang w:eastAsia="zh-CN"/>
              </w:rPr>
              <w:t>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cantSplit/>
          <w:trHeight w:val="353" w:hRule="atLeast"/>
          <w:jc w:val="center"/>
        </w:trPr>
        <w:tc>
          <w:tcPr>
            <w:tcW w:w="1225" w:type="dxa"/>
            <w:vMerge w:val="continue"/>
            <w:tcBorders>
              <w:left w:val="single" w:color="auto" w:sz="12" w:space="0"/>
              <w:right w:val="single" w:color="auto" w:sz="4" w:space="0"/>
            </w:tcBorders>
            <w:noWrap w:val="0"/>
            <w:textDirection w:val="tbRlV"/>
            <w:vAlign w:val="center"/>
          </w:tcPr>
          <w:p>
            <w:pPr>
              <w:spacing w:line="240" w:lineRule="atLeast"/>
              <w:jc w:val="center"/>
              <w:rPr>
                <w:rFonts w:hint="default" w:ascii="Times New Roman" w:hAnsi="Times New Roman" w:cs="Times New Roman"/>
                <w:color w:val="FF0000"/>
                <w:szCs w:val="21"/>
              </w:rPr>
            </w:pPr>
          </w:p>
        </w:tc>
        <w:tc>
          <w:tcPr>
            <w:tcW w:w="1745"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危险废物</w:t>
            </w:r>
          </w:p>
        </w:tc>
        <w:tc>
          <w:tcPr>
            <w:tcW w:w="1664" w:type="dxa"/>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废润滑油</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0.2</w:t>
            </w:r>
            <w:r>
              <w:rPr>
                <w:rFonts w:hint="default" w:ascii="Times New Roman" w:hAnsi="Times New Roman" w:cs="Times New Roman"/>
                <w:color w:val="FF0000"/>
                <w:szCs w:val="21"/>
              </w:rPr>
              <w:t>t/a</w:t>
            </w:r>
          </w:p>
        </w:tc>
        <w:tc>
          <w:tcPr>
            <w:tcW w:w="2268" w:type="dxa"/>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委托有资质单位处理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8" w:hRule="atLeast"/>
          <w:jc w:val="center"/>
        </w:trPr>
        <w:tc>
          <w:tcPr>
            <w:tcW w:w="1225" w:type="dxa"/>
            <w:vMerge w:val="restart"/>
            <w:tcBorders>
              <w:top w:val="single" w:color="auto" w:sz="4" w:space="0"/>
              <w:left w:val="single" w:color="auto" w:sz="1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噪声</w:t>
            </w:r>
          </w:p>
        </w:tc>
        <w:tc>
          <w:tcPr>
            <w:tcW w:w="34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pacing w:val="20"/>
                <w:szCs w:val="21"/>
              </w:rPr>
              <w:t>破碎机、搅拌机、制砖机等设备</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85～95dB(A)</w:t>
            </w:r>
          </w:p>
        </w:tc>
        <w:tc>
          <w:tcPr>
            <w:tcW w:w="2268" w:type="dxa"/>
            <w:vMerge w:val="restart"/>
            <w:tcBorders>
              <w:top w:val="single" w:color="auto" w:sz="4" w:space="0"/>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达标排放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7" w:hRule="exact"/>
          <w:jc w:val="center"/>
        </w:trPr>
        <w:tc>
          <w:tcPr>
            <w:tcW w:w="1225" w:type="dxa"/>
            <w:vMerge w:val="continue"/>
            <w:tcBorders>
              <w:left w:val="single" w:color="auto" w:sz="12"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p>
        </w:tc>
        <w:tc>
          <w:tcPr>
            <w:tcW w:w="34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pacing w:val="20"/>
                <w:szCs w:val="21"/>
              </w:rPr>
            </w:pPr>
            <w:r>
              <w:rPr>
                <w:rFonts w:hint="default" w:ascii="Times New Roman" w:hAnsi="Times New Roman" w:cs="Times New Roman"/>
                <w:color w:val="FF0000"/>
                <w:spacing w:val="20"/>
                <w:szCs w:val="21"/>
              </w:rPr>
              <w:t>运输车辆</w:t>
            </w:r>
          </w:p>
        </w:tc>
        <w:tc>
          <w:tcPr>
            <w:tcW w:w="2068" w:type="dxa"/>
            <w:tcBorders>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60～70dB(A)</w:t>
            </w:r>
          </w:p>
        </w:tc>
        <w:tc>
          <w:tcPr>
            <w:tcW w:w="2268" w:type="dxa"/>
            <w:vMerge w:val="continue"/>
            <w:tcBorders>
              <w:left w:val="single" w:color="auto" w:sz="4" w:space="0"/>
              <w:right w:val="single" w:color="auto" w:sz="12" w:space="0"/>
            </w:tcBorders>
            <w:noWrap w:val="0"/>
            <w:vAlign w:val="center"/>
          </w:tcPr>
          <w:p>
            <w:pPr>
              <w:spacing w:line="240" w:lineRule="atLeast"/>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742" w:hRule="atLeast"/>
          <w:jc w:val="center"/>
        </w:trPr>
        <w:tc>
          <w:tcPr>
            <w:tcW w:w="8970" w:type="dxa"/>
            <w:gridSpan w:val="5"/>
            <w:tcBorders>
              <w:top w:val="single" w:color="auto" w:sz="4" w:space="0"/>
              <w:left w:val="single" w:color="auto" w:sz="12" w:space="0"/>
              <w:bottom w:val="single" w:color="auto" w:sz="12" w:space="0"/>
              <w:right w:val="single" w:color="auto" w:sz="12" w:space="0"/>
            </w:tcBorders>
            <w:noWrap w:val="0"/>
            <w:vAlign w:val="top"/>
          </w:tcPr>
          <w:p>
            <w:pPr>
              <w:spacing w:line="480" w:lineRule="atLeast"/>
              <w:rPr>
                <w:rFonts w:hint="default" w:ascii="Times New Roman" w:hAnsi="Times New Roman" w:cs="Times New Roman"/>
                <w:b/>
                <w:color w:val="FF0000"/>
                <w:sz w:val="24"/>
                <w:szCs w:val="24"/>
              </w:rPr>
            </w:pPr>
            <w:r>
              <w:rPr>
                <w:rFonts w:hint="default" w:ascii="Times New Roman" w:hAnsi="Times New Roman" w:cs="Times New Roman"/>
                <w:b/>
                <w:color w:val="FF0000"/>
                <w:sz w:val="24"/>
                <w:szCs w:val="24"/>
              </w:rPr>
              <w:t>主要生态影响:</w:t>
            </w:r>
          </w:p>
          <w:p>
            <w:pPr>
              <w:spacing w:line="480" w:lineRule="exact"/>
              <w:ind w:firstLine="460" w:firstLineChars="192"/>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本项目占地内没有珍稀动植物种，生态环境质量一般。项目占地内原有生物物种在项目周围地域广泛存在，基本不影响评价区域的生物多样性。</w:t>
            </w:r>
          </w:p>
        </w:tc>
      </w:tr>
    </w:tbl>
    <w:p>
      <w:pP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br w:type="page"/>
      </w:r>
      <w:r>
        <w:rPr>
          <w:rFonts w:hint="default" w:ascii="Times New Roman" w:hAnsi="Times New Roman" w:eastAsia="黑体" w:cs="Times New Roman"/>
          <w:b/>
          <w:color w:val="000000"/>
          <w:sz w:val="32"/>
          <w:szCs w:val="32"/>
        </w:rPr>
        <w:t>环境影响分析</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1634" w:hRule="atLeast"/>
          <w:jc w:val="center"/>
        </w:trPr>
        <w:tc>
          <w:tcPr>
            <w:tcW w:w="9069" w:type="dxa"/>
            <w:noWrap w:val="0"/>
            <w:vAlign w:val="top"/>
          </w:tcPr>
          <w:p>
            <w:pPr>
              <w:spacing w:before="156" w:beforeLines="50"/>
              <w:ind w:right="435" w:rightChars="207" w:firstLine="422" w:firstLineChars="150"/>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一、施工期环境影响</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本项目施工期已结束，不进行施工期环境影响分析。</w:t>
            </w:r>
          </w:p>
          <w:p>
            <w:pPr>
              <w:spacing w:before="156" w:beforeLines="50" w:after="156" w:afterLines="50" w:line="480" w:lineRule="exact"/>
              <w:ind w:firstLine="413" w:firstLineChars="147"/>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二、营运期环境影响分析</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1、大气环境影响分析</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本项目投入运营后，产生的废气污染物排放主要有粉尘、运输扬尘、车辆尾气等。</w:t>
            </w:r>
          </w:p>
          <w:p>
            <w:pPr>
              <w:snapToGrid w:val="0"/>
              <w:spacing w:line="480" w:lineRule="exact"/>
              <w:ind w:firstLine="480" w:firstLineChars="200"/>
              <w:contextualSpacing/>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（1）</w:t>
            </w:r>
            <w:r>
              <w:rPr>
                <w:rFonts w:hint="default" w:ascii="Times New Roman" w:hAnsi="Times New Roman" w:cs="Times New Roman"/>
                <w:bCs/>
                <w:color w:val="000000"/>
                <w:sz w:val="24"/>
                <w:szCs w:val="24"/>
              </w:rPr>
              <w:t>有组织粉尘环境影响分析</w:t>
            </w:r>
          </w:p>
          <w:p>
            <w:pPr>
              <w:snapToGrid w:val="0"/>
              <w:spacing w:line="480" w:lineRule="exact"/>
              <w:ind w:firstLine="480" w:firstLineChars="200"/>
              <w:contextualSpacing/>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①水泥罐仓扬尘环境影响分析</w:t>
            </w:r>
          </w:p>
          <w:p>
            <w:pPr>
              <w:snapToGrid w:val="0"/>
              <w:spacing w:line="480" w:lineRule="exact"/>
              <w:ind w:firstLine="480" w:firstLineChars="200"/>
              <w:contextualSpacing/>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本项目水泥为筒仓储藏，</w:t>
            </w:r>
            <w:r>
              <w:rPr>
                <w:rFonts w:hint="default" w:ascii="Times New Roman" w:hAnsi="Times New Roman" w:cs="Times New Roman"/>
                <w:color w:val="000000"/>
                <w:sz w:val="24"/>
                <w:szCs w:val="24"/>
              </w:rPr>
              <w:t>水泥由散装罐车吹入密闭筒仓，进料口位于筒仓底部，由钢管连接至筒仓顶，仓顶呼吸孔会产生一定量的粉尘。</w:t>
            </w:r>
          </w:p>
          <w:p>
            <w:pPr>
              <w:spacing w:line="360" w:lineRule="auto"/>
              <w:ind w:firstLine="480" w:firstLineChars="20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据工程分析，项目水泥罐仓产生呼吸粉尘总量为22.08t/a。水泥罐仓顶自带滤芯式除尘器，共2台。仓顶除尘器是一种用于通风或气力填充的料仓的圆筒形收尘机。机体为不锈钢材料，里面垂直安装了POLYPLEAT材料的滤芯。脉冲反吹清洁系统集成在防雨保护顶盖中。仓顶除尘器滤尘是通过滤芯进行的，滤芯是一种多孔性的滤尘材料，当气流通过时，由于震动作用、使气流中的微粒吸附在滤芯上或沉降下来，净化后的空气即可排出，为了清除附着和沉入滤芯的灰尘，每隔约2-4小时顺序振动除尘器，每次振动5下左右。仓顶除尘器结构如下图：</w:t>
            </w:r>
          </w:p>
          <w:p>
            <w:pPr>
              <w:spacing w:line="480" w:lineRule="atLeast"/>
              <w:ind w:firstLine="42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Cs w:val="24"/>
                <w:lang/>
              </w:rPr>
              <w:drawing>
                <wp:inline distT="0" distB="0" distL="114300" distR="114300">
                  <wp:extent cx="4379595" cy="228282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4379595" cy="2282825"/>
                          </a:xfrm>
                          <a:prstGeom prst="rect">
                            <a:avLst/>
                          </a:prstGeom>
                          <a:noFill/>
                          <a:ln>
                            <a:noFill/>
                          </a:ln>
                        </pic:spPr>
                      </pic:pic>
                    </a:graphicData>
                  </a:graphic>
                </wp:inline>
              </w:drawing>
            </w:r>
          </w:p>
          <w:p>
            <w:pPr>
              <w:adjustRightInd w:val="0"/>
              <w:snapToGrid w:val="0"/>
              <w:jc w:val="center"/>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图4   仓顶除尘器结构图</w:t>
            </w:r>
          </w:p>
          <w:p>
            <w:pPr>
              <w:spacing w:line="360" w:lineRule="auto"/>
              <w:ind w:firstLine="480" w:firstLineChars="20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仓顶除尘器处理效率可以达到99.9％以上，处理含尘浓度介于200mg/m</w:t>
            </w:r>
            <w:r>
              <w:rPr>
                <w:rFonts w:hint="default" w:ascii="Times New Roman" w:hAnsi="Times New Roman" w:cs="Times New Roman"/>
                <w:bCs/>
                <w:color w:val="000000"/>
                <w:sz w:val="24"/>
                <w:szCs w:val="24"/>
                <w:vertAlign w:val="superscript"/>
              </w:rPr>
              <w:t xml:space="preserve">3 </w:t>
            </w:r>
            <w:r>
              <w:rPr>
                <w:rFonts w:hint="default" w:ascii="Times New Roman" w:hAnsi="Times New Roman" w:cs="Times New Roman"/>
                <w:bCs/>
                <w:color w:val="000000"/>
                <w:sz w:val="24"/>
                <w:szCs w:val="24"/>
              </w:rPr>
              <w:t>-3000mg/m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之间，本评价以入口含尘浓度2000mg/m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计，则该部分粉尘产生及排放情况见表</w:t>
            </w:r>
            <w:r>
              <w:rPr>
                <w:rFonts w:hint="default"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lang w:val="en-US" w:eastAsia="zh-CN"/>
              </w:rPr>
              <w:t>0</w:t>
            </w:r>
            <w:r>
              <w:rPr>
                <w:rFonts w:hint="default" w:ascii="Times New Roman" w:hAnsi="Times New Roman" w:cs="Times New Roman"/>
                <w:bCs/>
                <w:color w:val="000000"/>
                <w:sz w:val="24"/>
                <w:szCs w:val="24"/>
              </w:rPr>
              <w:t>。</w:t>
            </w:r>
          </w:p>
          <w:p>
            <w:pPr>
              <w:widowControl/>
              <w:ind w:firstLine="723" w:firstLineChars="300"/>
              <w:jc w:val="center"/>
              <w:rPr>
                <w:rFonts w:hint="default" w:ascii="Times New Roman" w:hAnsi="Times New Roman" w:cs="Times New Roman"/>
                <w:b/>
                <w:color w:val="000000"/>
                <w:sz w:val="24"/>
                <w:szCs w:val="24"/>
              </w:rPr>
            </w:pPr>
            <w:r>
              <w:rPr>
                <w:rFonts w:hint="default" w:ascii="Times New Roman" w:hAnsi="Times New Roman" w:cs="Times New Roman"/>
                <w:b/>
                <w:color w:val="000000"/>
                <w:kern w:val="0"/>
                <w:sz w:val="24"/>
                <w:szCs w:val="24"/>
              </w:rPr>
              <w:t>表</w:t>
            </w:r>
            <w:r>
              <w:rPr>
                <w:rFonts w:hint="default" w:ascii="Times New Roman" w:hAnsi="Times New Roman" w:cs="Times New Roman"/>
                <w:b/>
                <w:color w:val="000000"/>
                <w:kern w:val="0"/>
                <w:sz w:val="24"/>
                <w:szCs w:val="24"/>
                <w:lang w:val="en-US" w:eastAsia="zh-CN"/>
              </w:rPr>
              <w:t>2</w:t>
            </w:r>
            <w:r>
              <w:rPr>
                <w:rFonts w:hint="default" w:ascii="Times New Roman" w:hAnsi="Times New Roman" w:cs="Times New Roman"/>
                <w:b/>
                <w:color w:val="000000"/>
                <w:kern w:val="0"/>
                <w:sz w:val="24"/>
                <w:szCs w:val="24"/>
                <w:lang w:val="en-US" w:eastAsia="zh-CN"/>
              </w:rPr>
              <w:t>0</w:t>
            </w:r>
            <w:r>
              <w:rPr>
                <w:rFonts w:hint="default" w:ascii="Times New Roman" w:hAnsi="Times New Roman" w:cs="Times New Roman"/>
                <w:b/>
                <w:color w:val="000000"/>
                <w:kern w:val="0"/>
                <w:sz w:val="24"/>
                <w:szCs w:val="24"/>
              </w:rPr>
              <w:t xml:space="preserve">   粉料仓呼吸粉尘产生及排放量一览表</w:t>
            </w:r>
          </w:p>
          <w:tbl>
            <w:tblPr>
              <w:tblStyle w:val="30"/>
              <w:tblW w:w="0" w:type="auto"/>
              <w:jc w:val="right"/>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14"/>
              <w:gridCol w:w="1156"/>
              <w:gridCol w:w="1156"/>
              <w:gridCol w:w="1156"/>
              <w:gridCol w:w="1300"/>
              <w:gridCol w:w="1300"/>
              <w:gridCol w:w="12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cantSplit/>
                <w:trHeight w:val="684" w:hRule="atLeast"/>
                <w:jc w:val="right"/>
              </w:trPr>
              <w:tc>
                <w:tcPr>
                  <w:tcW w:w="769"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筒库数量</w:t>
                  </w:r>
                </w:p>
              </w:tc>
              <w:tc>
                <w:tcPr>
                  <w:tcW w:w="814"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风量</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/h</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入口浓度</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mg/m</w:t>
                  </w:r>
                  <w:r>
                    <w:rPr>
                      <w:rFonts w:hint="default" w:ascii="Times New Roman" w:hAnsi="Times New Roman" w:cs="Times New Roman"/>
                      <w:color w:val="000000"/>
                      <w:szCs w:val="21"/>
                      <w:vertAlign w:val="superscript"/>
                    </w:rPr>
                    <w:t>3</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产生量</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t/a</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除尘设施</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及效率</w:t>
                  </w:r>
                </w:p>
              </w:tc>
              <w:tc>
                <w:tcPr>
                  <w:tcW w:w="1300"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排放浓度</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mg/m</w:t>
                  </w:r>
                  <w:r>
                    <w:rPr>
                      <w:rFonts w:hint="default" w:ascii="Times New Roman" w:hAnsi="Times New Roman" w:cs="Times New Roman"/>
                      <w:color w:val="000000"/>
                      <w:szCs w:val="21"/>
                      <w:vertAlign w:val="superscript"/>
                    </w:rPr>
                    <w:t>3</w:t>
                  </w:r>
                </w:p>
              </w:tc>
              <w:tc>
                <w:tcPr>
                  <w:tcW w:w="1300"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排放量t/a</w:t>
                  </w:r>
                </w:p>
              </w:tc>
              <w:tc>
                <w:tcPr>
                  <w:tcW w:w="120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排放标准</w:t>
                  </w:r>
                  <w:r>
                    <w:rPr>
                      <w:rFonts w:hint="default" w:ascii="Times New Roman" w:hAnsi="Times New Roman" w:cs="Times New Roman"/>
                      <w:bCs/>
                      <w:color w:val="000000"/>
                      <w:szCs w:val="21"/>
                    </w:rPr>
                    <w:t>mg/m</w:t>
                  </w:r>
                  <w:r>
                    <w:rPr>
                      <w:rFonts w:hint="default" w:ascii="Times New Roman" w:hAnsi="Times New Roman" w:cs="Times New Roman"/>
                      <w:bCs/>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cantSplit/>
                <w:trHeight w:val="534" w:hRule="atLeast"/>
                <w:jc w:val="right"/>
              </w:trPr>
              <w:tc>
                <w:tcPr>
                  <w:tcW w:w="769"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每只</w:t>
                  </w:r>
                </w:p>
              </w:tc>
              <w:tc>
                <w:tcPr>
                  <w:tcW w:w="814"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2300</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2000</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22.08t/a</w:t>
                  </w:r>
                </w:p>
              </w:tc>
              <w:tc>
                <w:tcPr>
                  <w:tcW w:w="1156"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仓顶除尘</w:t>
                  </w:r>
                </w:p>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器，99.9%</w:t>
                  </w:r>
                </w:p>
              </w:tc>
              <w:tc>
                <w:tcPr>
                  <w:tcW w:w="1300"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c>
                <w:tcPr>
                  <w:tcW w:w="1300"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0.022</w:t>
                  </w:r>
                </w:p>
              </w:tc>
              <w:tc>
                <w:tcPr>
                  <w:tcW w:w="1202" w:type="dxa"/>
                  <w:noWrap w:val="0"/>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rPr>
                    <w:t>0</w:t>
                  </w:r>
                </w:p>
              </w:tc>
            </w:tr>
          </w:tbl>
          <w:p>
            <w:pPr>
              <w:snapToGrid w:val="0"/>
              <w:spacing w:line="480" w:lineRule="exact"/>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根据上表，粉料仓粉尘产生总量为22.08t/a，经处理后粉尘排放量为0.022t/a。粉仓高</w:t>
            </w:r>
            <w:r>
              <w:rPr>
                <w:rFonts w:hint="default" w:ascii="Times New Roman" w:hAnsi="Times New Roman" w:cs="Times New Roman"/>
                <w:bCs/>
                <w:sz w:val="24"/>
                <w:lang w:val="en-US" w:eastAsia="zh-CN"/>
              </w:rPr>
              <w:t>1</w:t>
            </w:r>
            <w:r>
              <w:rPr>
                <w:rFonts w:hint="default" w:ascii="Times New Roman" w:hAnsi="Times New Roman" w:cs="Times New Roman"/>
                <w:bCs/>
                <w:sz w:val="24"/>
                <w:lang w:val="en-US" w:eastAsia="zh-CN"/>
              </w:rPr>
              <w:t>5</w:t>
            </w:r>
            <w:r>
              <w:rPr>
                <w:rFonts w:hint="default" w:ascii="Times New Roman" w:hAnsi="Times New Roman" w:cs="Times New Roman"/>
                <w:bCs/>
                <w:sz w:val="24"/>
              </w:rPr>
              <w:t>m，呼吸口及除尘器均位于仓顶，粉料仓呼吸粉尘排放浓度为</w:t>
            </w:r>
            <w:r>
              <w:rPr>
                <w:rFonts w:hint="default" w:ascii="Times New Roman" w:hAnsi="Times New Roman" w:cs="Times New Roman"/>
                <w:bCs/>
                <w:sz w:val="24"/>
                <w:szCs w:val="22"/>
                <w:lang w:val="en-US" w:eastAsia="zh-CN"/>
              </w:rPr>
              <w:t>2.0m</w:t>
            </w:r>
            <w:r>
              <w:rPr>
                <w:rFonts w:hint="default" w:ascii="Times New Roman" w:hAnsi="Times New Roman" w:cs="Times New Roman"/>
                <w:bCs/>
                <w:sz w:val="24"/>
              </w:rPr>
              <w:t>g/m</w:t>
            </w:r>
            <w:r>
              <w:rPr>
                <w:rFonts w:hint="default" w:ascii="Times New Roman" w:hAnsi="Times New Roman" w:cs="Times New Roman"/>
                <w:bCs/>
                <w:sz w:val="24"/>
                <w:vertAlign w:val="superscript"/>
              </w:rPr>
              <w:t>3</w:t>
            </w:r>
            <w:r>
              <w:rPr>
                <w:rFonts w:hint="default" w:ascii="Times New Roman" w:hAnsi="Times New Roman" w:cs="Times New Roman"/>
                <w:bCs/>
                <w:sz w:val="24"/>
              </w:rPr>
              <w:t>，可满足</w:t>
            </w:r>
            <w:r>
              <w:rPr>
                <w:rFonts w:hint="default" w:ascii="Times New Roman" w:hAnsi="Times New Roman" w:eastAsia="宋体" w:cs="Times New Roman"/>
                <w:color w:val="auto"/>
                <w:kern w:val="0"/>
                <w:sz w:val="24"/>
              </w:rPr>
              <w:t>《关中地区重点行业大气污染物排放限值》（DB61/941-201</w:t>
            </w:r>
            <w:r>
              <w:rPr>
                <w:rFonts w:hint="default" w:ascii="Times New Roman" w:hAnsi="Times New Roman" w:eastAsia="宋体" w:cs="Times New Roman"/>
                <w:color w:val="auto"/>
                <w:kern w:val="0"/>
                <w:sz w:val="24"/>
                <w:lang w:val="en-US" w:eastAsia="zh-CN"/>
              </w:rPr>
              <w:t>8</w:t>
            </w:r>
            <w:r>
              <w:rPr>
                <w:rFonts w:hint="default" w:ascii="Times New Roman" w:hAnsi="Times New Roman" w:eastAsia="宋体" w:cs="Times New Roman"/>
                <w:color w:val="auto"/>
                <w:kern w:val="0"/>
                <w:sz w:val="24"/>
              </w:rPr>
              <w:t>）表2中散装水泥中转站及水泥制品生产排放浓度限值要求</w:t>
            </w:r>
            <w:r>
              <w:rPr>
                <w:rFonts w:hint="default" w:ascii="Times New Roman" w:hAnsi="Times New Roman" w:cs="Times New Roman"/>
                <w:bCs/>
                <w:sz w:val="24"/>
              </w:rPr>
              <w:t>。</w:t>
            </w:r>
          </w:p>
          <w:p>
            <w:pPr>
              <w:spacing w:line="480" w:lineRule="exact"/>
              <w:ind w:firstLine="480" w:firstLineChars="200"/>
              <w:rPr>
                <w:rFonts w:hint="default" w:ascii="Times New Roman" w:hAnsi="Times New Roman" w:cs="Times New Roman"/>
                <w:bCs/>
                <w:color w:val="000000"/>
                <w:sz w:val="24"/>
              </w:rPr>
            </w:pPr>
            <w:r>
              <w:rPr>
                <w:rFonts w:hint="default" w:ascii="Times New Roman" w:hAnsi="Times New Roman" w:eastAsia="宋体" w:cs="Times New Roman"/>
                <w:color w:val="auto"/>
                <w:sz w:val="24"/>
              </w:rPr>
              <w:t>根据《环境影响评价技术导则 大气环境》（HJ2.2-2018），采用AERSCREEN估算模式对</w:t>
            </w:r>
            <w:r>
              <w:rPr>
                <w:rFonts w:hint="default" w:ascii="Times New Roman" w:hAnsi="Times New Roman" w:cs="Times New Roman"/>
                <w:bCs/>
                <w:color w:val="000000"/>
                <w:sz w:val="24"/>
              </w:rPr>
              <w:t>粉料仓呼吸粉尘进行</w:t>
            </w:r>
            <w:r>
              <w:rPr>
                <w:rFonts w:hint="default" w:ascii="Times New Roman" w:hAnsi="Times New Roman" w:eastAsia="宋体" w:cs="Times New Roman"/>
                <w:color w:val="auto"/>
                <w:sz w:val="24"/>
              </w:rPr>
              <w:t>影响预测</w:t>
            </w:r>
            <w:r>
              <w:rPr>
                <w:rFonts w:hint="default" w:ascii="Times New Roman" w:hAnsi="Times New Roman" w:cs="Times New Roman"/>
                <w:bCs/>
                <w:color w:val="000000"/>
                <w:sz w:val="24"/>
              </w:rPr>
              <w:t>，预测参数见表2</w:t>
            </w:r>
            <w:r>
              <w:rPr>
                <w:rFonts w:hint="default" w:ascii="Times New Roman" w:hAnsi="Times New Roman" w:cs="Times New Roman"/>
                <w:bCs/>
                <w:color w:val="000000"/>
                <w:sz w:val="24"/>
                <w:lang w:val="en-US" w:eastAsia="zh-CN"/>
              </w:rPr>
              <w:t>1</w:t>
            </w:r>
            <w:r>
              <w:rPr>
                <w:rFonts w:hint="default" w:ascii="Times New Roman" w:hAnsi="Times New Roman" w:cs="Times New Roman"/>
                <w:bCs/>
                <w:color w:val="000000"/>
                <w:sz w:val="24"/>
              </w:rPr>
              <w:t>。</w:t>
            </w:r>
          </w:p>
          <w:p>
            <w:pPr>
              <w:widowControl/>
              <w:spacing w:line="360" w:lineRule="auto"/>
              <w:ind w:firstLine="723" w:firstLineChars="300"/>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表2</w:t>
            </w:r>
            <w:r>
              <w:rPr>
                <w:rFonts w:hint="default" w:ascii="Times New Roman" w:hAnsi="Times New Roman" w:cs="Times New Roman"/>
                <w:b/>
                <w:bCs/>
                <w:color w:val="000000"/>
                <w:sz w:val="24"/>
                <w:lang w:val="en-US" w:eastAsia="zh-CN"/>
              </w:rPr>
              <w:t>1</w:t>
            </w:r>
            <w:r>
              <w:rPr>
                <w:rFonts w:hint="default" w:ascii="Times New Roman" w:hAnsi="Times New Roman" w:cs="Times New Roman"/>
                <w:b/>
                <w:bCs/>
                <w:color w:val="000000"/>
                <w:sz w:val="24"/>
              </w:rPr>
              <w:t xml:space="preserve">    估算模型参数一览表-粉料仓呼吸粉尘</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86"/>
              <w:gridCol w:w="993"/>
              <w:gridCol w:w="861"/>
              <w:gridCol w:w="1035"/>
              <w:gridCol w:w="824"/>
              <w:gridCol w:w="1195"/>
              <w:gridCol w:w="25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restart"/>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城市/农村</w:t>
                  </w:r>
                </w:p>
              </w:tc>
              <w:tc>
                <w:tcPr>
                  <w:tcW w:w="4908" w:type="dxa"/>
                  <w:gridSpan w:val="5"/>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城市/农村</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continue"/>
                  <w:noWrap w:val="0"/>
                  <w:vAlign w:val="center"/>
                </w:tcPr>
                <w:p>
                  <w:pPr>
                    <w:pStyle w:val="71"/>
                    <w:rPr>
                      <w:rFonts w:hint="default" w:ascii="Times New Roman" w:hAnsi="Times New Roman" w:eastAsia="宋体" w:cs="Times New Roman"/>
                      <w:color w:val="auto"/>
                      <w:kern w:val="2"/>
                      <w:sz w:val="21"/>
                    </w:rPr>
                  </w:pPr>
                </w:p>
              </w:tc>
              <w:tc>
                <w:tcPr>
                  <w:tcW w:w="4908" w:type="dxa"/>
                  <w:gridSpan w:val="5"/>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人口数</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最高温度K</w:t>
                  </w:r>
                </w:p>
              </w:tc>
              <w:tc>
                <w:tcPr>
                  <w:tcW w:w="2510" w:type="dxa"/>
                  <w:noWrap w:val="0"/>
                  <w:vAlign w:val="center"/>
                </w:tcPr>
                <w:p>
                  <w:pPr>
                    <w:pStyle w:val="71"/>
                    <w:rPr>
                      <w:rFonts w:hint="default" w:ascii="Times New Roman" w:hAnsi="Times New Roman" w:eastAsia="宋体" w:cs="Times New Roman"/>
                      <w:color w:val="auto"/>
                      <w:kern w:val="2"/>
                      <w:sz w:val="21"/>
                      <w:lang w:val="en-US" w:eastAsia="zh-CN"/>
                    </w:rPr>
                  </w:pPr>
                  <w:r>
                    <w:rPr>
                      <w:rFonts w:hint="default" w:ascii="Times New Roman" w:hAnsi="Times New Roman" w:eastAsia="宋体" w:cs="Times New Roman"/>
                      <w:color w:val="auto"/>
                      <w:kern w:val="2"/>
                      <w:sz w:val="21"/>
                    </w:rPr>
                    <w:t>31</w:t>
                  </w:r>
                  <w:r>
                    <w:rPr>
                      <w:rFonts w:hint="default" w:ascii="Times New Roman" w:hAnsi="Times New Roman" w:eastAsia="宋体" w:cs="Times New Roman"/>
                      <w:color w:val="auto"/>
                      <w:kern w:val="2"/>
                      <w:sz w:val="21"/>
                      <w:lang w:val="en-US" w:eastAsia="zh-CN"/>
                    </w:rPr>
                    <w:t>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最低温度K</w:t>
                  </w:r>
                </w:p>
              </w:tc>
              <w:tc>
                <w:tcPr>
                  <w:tcW w:w="2510" w:type="dxa"/>
                  <w:noWrap w:val="0"/>
                  <w:vAlign w:val="center"/>
                </w:tcPr>
                <w:p>
                  <w:pPr>
                    <w:pStyle w:val="71"/>
                    <w:rPr>
                      <w:rFonts w:hint="default" w:ascii="Times New Roman" w:hAnsi="Times New Roman" w:eastAsia="宋体" w:cs="Times New Roman"/>
                      <w:color w:val="auto"/>
                      <w:kern w:val="2"/>
                      <w:sz w:val="21"/>
                      <w:lang w:val="en-US" w:eastAsia="zh-CN"/>
                    </w:rPr>
                  </w:pPr>
                  <w:r>
                    <w:rPr>
                      <w:rFonts w:hint="default" w:ascii="Times New Roman" w:hAnsi="Times New Roman" w:eastAsia="宋体" w:cs="Times New Roman"/>
                      <w:color w:val="auto"/>
                      <w:kern w:val="2"/>
                      <w:sz w:val="21"/>
                    </w:rPr>
                    <w:t>2</w:t>
                  </w:r>
                  <w:r>
                    <w:rPr>
                      <w:rFonts w:hint="default" w:ascii="Times New Roman" w:hAnsi="Times New Roman" w:eastAsia="宋体" w:cs="Times New Roman"/>
                      <w:color w:val="auto"/>
                      <w:kern w:val="2"/>
                      <w:sz w:val="21"/>
                      <w:lang w:val="en-US" w:eastAsia="zh-CN"/>
                    </w:rPr>
                    <w:t>58.3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土地类型</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区域湿度条件</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中等湿润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是否考虑地形</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是否考虑岸线熏烟</w:t>
                  </w:r>
                </w:p>
              </w:tc>
              <w:tc>
                <w:tcPr>
                  <w:tcW w:w="2510"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restart"/>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污染源</w:t>
                  </w:r>
                </w:p>
              </w:tc>
              <w:tc>
                <w:tcPr>
                  <w:tcW w:w="4908" w:type="dxa"/>
                  <w:gridSpan w:val="5"/>
                  <w:noWrap w:val="0"/>
                  <w:vAlign w:val="center"/>
                </w:tcPr>
                <w:p>
                  <w:pPr>
                    <w:snapToGrid w:val="0"/>
                    <w:spacing w:line="240" w:lineRule="atLeast"/>
                    <w:contextualSpacing/>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排气参数</w:t>
                  </w:r>
                </w:p>
              </w:tc>
              <w:tc>
                <w:tcPr>
                  <w:tcW w:w="2510" w:type="dxa"/>
                  <w:noWrap w:val="0"/>
                  <w:vAlign w:val="center"/>
                </w:tcPr>
                <w:p>
                  <w:pPr>
                    <w:snapToGrid w:val="0"/>
                    <w:spacing w:line="240" w:lineRule="atLeast"/>
                    <w:contextualSpacing/>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污染物源强（g/s）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46" w:hRule="atLeast"/>
                <w:jc w:val="center"/>
              </w:trPr>
              <w:tc>
                <w:tcPr>
                  <w:tcW w:w="1386" w:type="dxa"/>
                  <w:vMerge w:val="continue"/>
                  <w:noWrap w:val="0"/>
                  <w:vAlign w:val="center"/>
                </w:tcPr>
                <w:p>
                  <w:pPr>
                    <w:pStyle w:val="71"/>
                    <w:rPr>
                      <w:rFonts w:hint="default" w:ascii="Times New Roman" w:hAnsi="Times New Roman" w:eastAsia="宋体" w:cs="Times New Roman"/>
                      <w:color w:val="auto"/>
                      <w:kern w:val="2"/>
                      <w:sz w:val="21"/>
                    </w:rPr>
                  </w:pPr>
                </w:p>
              </w:tc>
              <w:tc>
                <w:tcPr>
                  <w:tcW w:w="993" w:type="dxa"/>
                  <w:noWrap w:val="0"/>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高度（m）</w:t>
                  </w:r>
                </w:p>
              </w:tc>
              <w:tc>
                <w:tcPr>
                  <w:tcW w:w="861" w:type="dxa"/>
                  <w:noWrap w:val="0"/>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内径（m）</w:t>
                  </w:r>
                </w:p>
              </w:tc>
              <w:tc>
                <w:tcPr>
                  <w:tcW w:w="1035" w:type="dxa"/>
                  <w:noWrap w:val="0"/>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风量（m</w:t>
                  </w:r>
                  <w:r>
                    <w:rPr>
                      <w:rFonts w:hint="default" w:ascii="Times New Roman" w:hAnsi="Times New Roman" w:eastAsia="宋体" w:cs="Times New Roman"/>
                      <w:color w:val="auto"/>
                      <w:szCs w:val="24"/>
                      <w:vertAlign w:val="superscript"/>
                    </w:rPr>
                    <w:t>3</w:t>
                  </w:r>
                  <w:r>
                    <w:rPr>
                      <w:rFonts w:hint="default" w:ascii="Times New Roman" w:hAnsi="Times New Roman" w:eastAsia="宋体" w:cs="Times New Roman"/>
                      <w:color w:val="auto"/>
                      <w:szCs w:val="24"/>
                    </w:rPr>
                    <w:t>/h）</w:t>
                  </w:r>
                </w:p>
              </w:tc>
              <w:tc>
                <w:tcPr>
                  <w:tcW w:w="824" w:type="dxa"/>
                  <w:noWrap w:val="0"/>
                  <w:vAlign w:val="center"/>
                </w:tcPr>
                <w:p>
                  <w:pPr>
                    <w:pStyle w:val="6"/>
                    <w:ind w:firstLine="0" w:firstLineChars="0"/>
                    <w:rPr>
                      <w:rFonts w:hint="default" w:ascii="Times New Roman" w:hAnsi="Times New Roman" w:cs="Times New Roman"/>
                      <w:color w:val="auto"/>
                    </w:rPr>
                  </w:pPr>
                  <w:r>
                    <w:rPr>
                      <w:rFonts w:hint="default" w:ascii="Times New Roman" w:hAnsi="Times New Roman" w:cs="Times New Roman"/>
                      <w:color w:val="auto"/>
                    </w:rPr>
                    <w:t>温度（K）</w:t>
                  </w:r>
                </w:p>
              </w:tc>
              <w:tc>
                <w:tcPr>
                  <w:tcW w:w="1195" w:type="dxa"/>
                  <w:noWrap w:val="0"/>
                  <w:vAlign w:val="center"/>
                </w:tcPr>
                <w:p>
                  <w:pP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烟气流速</w:t>
                  </w:r>
                </w:p>
                <w:p>
                  <w:pPr>
                    <w:pStyle w:val="6"/>
                    <w:ind w:firstLine="0" w:firstLineChars="0"/>
                    <w:rPr>
                      <w:rFonts w:hint="default" w:ascii="Times New Roman" w:hAnsi="Times New Roman" w:cs="Times New Roman"/>
                      <w:color w:val="auto"/>
                    </w:rPr>
                  </w:pPr>
                  <w:r>
                    <w:rPr>
                      <w:rFonts w:hint="default" w:ascii="Times New Roman" w:hAnsi="Times New Roman" w:cs="Times New Roman"/>
                      <w:color w:val="auto"/>
                    </w:rPr>
                    <w:t>（m/s）</w:t>
                  </w:r>
                </w:p>
              </w:tc>
              <w:tc>
                <w:tcPr>
                  <w:tcW w:w="2510" w:type="dxa"/>
                  <w:noWrap w:val="0"/>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46" w:hRule="atLeast"/>
                <w:jc w:val="center"/>
              </w:trPr>
              <w:tc>
                <w:tcPr>
                  <w:tcW w:w="1386" w:type="dxa"/>
                  <w:noWrap w:val="0"/>
                  <w:vAlign w:val="center"/>
                </w:tcPr>
                <w:p>
                  <w:pPr>
                    <w:pStyle w:val="71"/>
                    <w:rPr>
                      <w:rFonts w:hint="default" w:ascii="Times New Roman" w:hAnsi="Times New Roman" w:eastAsia="宋体" w:cs="Times New Roman"/>
                      <w:color w:val="auto"/>
                      <w:kern w:val="2"/>
                      <w:sz w:val="21"/>
                    </w:rPr>
                  </w:pPr>
                  <w:r>
                    <w:rPr>
                      <w:rFonts w:hint="default" w:ascii="Times New Roman" w:hAnsi="Times New Roman" w:eastAsia="宋体" w:cs="Times New Roman"/>
                      <w:color w:val="auto"/>
                      <w:kern w:val="2"/>
                      <w:sz w:val="21"/>
                    </w:rPr>
                    <w:t>破碎粉尘</w:t>
                  </w:r>
                </w:p>
              </w:tc>
              <w:tc>
                <w:tcPr>
                  <w:tcW w:w="993" w:type="dxa"/>
                  <w:noWrap w:val="0"/>
                  <w:vAlign w:val="center"/>
                </w:tcPr>
                <w:p>
                  <w:pPr>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15</w:t>
                  </w:r>
                </w:p>
              </w:tc>
              <w:tc>
                <w:tcPr>
                  <w:tcW w:w="861" w:type="dxa"/>
                  <w:noWrap w:val="0"/>
                  <w:vAlign w:val="center"/>
                </w:tcPr>
                <w:p>
                  <w:pPr>
                    <w:jc w:val="center"/>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Cs w:val="24"/>
                    </w:rPr>
                    <w:t>0.</w:t>
                  </w:r>
                  <w:r>
                    <w:rPr>
                      <w:rFonts w:hint="default" w:ascii="Times New Roman" w:hAnsi="Times New Roman" w:eastAsia="宋体" w:cs="Times New Roman"/>
                      <w:color w:val="auto"/>
                      <w:szCs w:val="24"/>
                      <w:lang w:val="en-US" w:eastAsia="zh-CN"/>
                    </w:rPr>
                    <w:t>3</w:t>
                  </w:r>
                </w:p>
              </w:tc>
              <w:tc>
                <w:tcPr>
                  <w:tcW w:w="1035" w:type="dxa"/>
                  <w:noWrap w:val="0"/>
                  <w:vAlign w:val="center"/>
                </w:tcPr>
                <w:p>
                  <w:pPr>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w:t>
                  </w:r>
                  <w:r>
                    <w:rPr>
                      <w:rFonts w:hint="default" w:ascii="Times New Roman" w:hAnsi="Times New Roman" w:eastAsia="宋体" w:cs="Times New Roman"/>
                      <w:color w:val="auto"/>
                      <w:szCs w:val="24"/>
                      <w:lang w:val="en-US" w:eastAsia="zh-CN"/>
                    </w:rPr>
                    <w:t>3</w:t>
                  </w:r>
                  <w:r>
                    <w:rPr>
                      <w:rFonts w:hint="default" w:ascii="Times New Roman" w:hAnsi="Times New Roman" w:eastAsia="宋体" w:cs="Times New Roman"/>
                      <w:color w:val="auto"/>
                      <w:szCs w:val="24"/>
                    </w:rPr>
                    <w:t>00</w:t>
                  </w:r>
                </w:p>
              </w:tc>
              <w:tc>
                <w:tcPr>
                  <w:tcW w:w="824" w:type="dxa"/>
                  <w:noWrap w:val="0"/>
                  <w:vAlign w:val="center"/>
                </w:tcPr>
                <w:p>
                  <w:pPr>
                    <w:tabs>
                      <w:tab w:val="right" w:pos="1714"/>
                    </w:tabs>
                    <w:ind w:firstLine="210" w:firstLineChars="100"/>
                    <w:jc w:val="center"/>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29</w:t>
                  </w:r>
                  <w:r>
                    <w:rPr>
                      <w:rFonts w:hint="default" w:ascii="Times New Roman" w:hAnsi="Times New Roman" w:eastAsia="宋体" w:cs="Times New Roman"/>
                      <w:color w:val="auto"/>
                      <w:szCs w:val="24"/>
                      <w:lang w:val="en-US" w:eastAsia="zh-CN"/>
                    </w:rPr>
                    <w:t>8</w:t>
                  </w:r>
                  <w:r>
                    <w:rPr>
                      <w:rFonts w:hint="default" w:ascii="Times New Roman" w:hAnsi="Times New Roman" w:eastAsia="宋体" w:cs="Times New Roman"/>
                      <w:color w:val="auto"/>
                      <w:szCs w:val="24"/>
                    </w:rPr>
                    <w:tab/>
                  </w:r>
                  <w:r>
                    <w:rPr>
                      <w:rFonts w:hint="default" w:ascii="Times New Roman" w:hAnsi="Times New Roman" w:eastAsia="宋体" w:cs="Times New Roman"/>
                      <w:color w:val="auto"/>
                      <w:szCs w:val="24"/>
                    </w:rPr>
                    <w:t>4.25</w:t>
                  </w:r>
                </w:p>
              </w:tc>
              <w:tc>
                <w:tcPr>
                  <w:tcW w:w="1195" w:type="dxa"/>
                  <w:noWrap w:val="0"/>
                  <w:vAlign w:val="center"/>
                </w:tcPr>
                <w:p>
                  <w:pPr>
                    <w:tabs>
                      <w:tab w:val="right" w:pos="1714"/>
                    </w:tabs>
                    <w:ind w:firstLine="210" w:firstLineChars="100"/>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9.04</w:t>
                  </w:r>
                </w:p>
              </w:tc>
              <w:tc>
                <w:tcPr>
                  <w:tcW w:w="2510" w:type="dxa"/>
                  <w:noWrap w:val="0"/>
                  <w:vAlign w:val="center"/>
                </w:tcPr>
                <w:p>
                  <w:pPr>
                    <w:jc w:val="center"/>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0.0026</w:t>
                  </w:r>
                </w:p>
              </w:tc>
            </w:tr>
          </w:tbl>
          <w:p>
            <w:pPr>
              <w:snapToGrid w:val="0"/>
              <w:spacing w:line="480" w:lineRule="exact"/>
              <w:ind w:firstLine="480" w:firstLineChars="200"/>
              <w:contextualSpacing/>
              <w:rPr>
                <w:rFonts w:hint="default" w:ascii="Times New Roman" w:hAnsi="Times New Roman" w:cs="Times New Roman"/>
                <w:bCs/>
                <w:color w:val="000000"/>
                <w:sz w:val="24"/>
              </w:rPr>
            </w:pPr>
            <w:r>
              <w:rPr>
                <w:rFonts w:hint="default" w:ascii="Times New Roman" w:hAnsi="Times New Roman" w:cs="Times New Roman"/>
                <w:bCs/>
                <w:color w:val="000000"/>
                <w:sz w:val="24"/>
              </w:rPr>
              <w:t>预测结果见表2</w:t>
            </w:r>
            <w:r>
              <w:rPr>
                <w:rFonts w:hint="default" w:ascii="Times New Roman" w:hAnsi="Times New Roman" w:cs="Times New Roman"/>
                <w:bCs/>
                <w:color w:val="000000"/>
                <w:sz w:val="24"/>
                <w:lang w:val="en-US" w:eastAsia="zh-CN"/>
              </w:rPr>
              <w:t>2</w:t>
            </w:r>
            <w:r>
              <w:rPr>
                <w:rFonts w:hint="default" w:ascii="Times New Roman" w:hAnsi="Times New Roman" w:cs="Times New Roman"/>
                <w:bCs/>
                <w:color w:val="000000"/>
                <w:sz w:val="24"/>
              </w:rPr>
              <w:t>。</w:t>
            </w:r>
          </w:p>
          <w:p>
            <w:pPr>
              <w:widowControl/>
              <w:spacing w:line="360" w:lineRule="auto"/>
              <w:ind w:firstLine="723" w:firstLineChars="300"/>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表2</w:t>
            </w:r>
            <w:r>
              <w:rPr>
                <w:rFonts w:hint="default" w:ascii="Times New Roman" w:hAnsi="Times New Roman" w:cs="Times New Roman"/>
                <w:b/>
                <w:bCs/>
                <w:color w:val="000000"/>
                <w:sz w:val="24"/>
                <w:lang w:val="en-US" w:eastAsia="zh-CN"/>
              </w:rPr>
              <w:t>2</w:t>
            </w:r>
            <w:r>
              <w:rPr>
                <w:rFonts w:hint="default" w:ascii="Times New Roman" w:hAnsi="Times New Roman" w:cs="Times New Roman"/>
                <w:b/>
                <w:bCs/>
                <w:color w:val="000000"/>
                <w:sz w:val="24"/>
              </w:rPr>
              <w:t xml:space="preserve">    粉料仓呼吸粉尘估算模式预测结果</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3433"/>
              <w:gridCol w:w="2711"/>
              <w:gridCol w:w="270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w:t>
                  </w:r>
                </w:p>
              </w:tc>
              <w:tc>
                <w:tcPr>
                  <w:tcW w:w="2711" w:type="dxa"/>
                  <w:noWrap w:val="0"/>
                  <w:tcMar>
                    <w:top w:w="20" w:type="dxa"/>
                    <w:left w:w="20" w:type="dxa"/>
                    <w:bottom w:w="0" w:type="dxa"/>
                    <w:right w:w="20" w:type="dxa"/>
                  </w:tcMar>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筒仓</w:t>
                  </w:r>
                </w:p>
              </w:tc>
              <w:tc>
                <w:tcPr>
                  <w:tcW w:w="2709" w:type="dxa"/>
                  <w:noWrap w:val="0"/>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D/m</w:t>
                  </w:r>
                </w:p>
              </w:tc>
              <w:tc>
                <w:tcPr>
                  <w:tcW w:w="2711"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2709" w:type="dxa"/>
                  <w:noWrap w:val="0"/>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8.43E-02</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0.019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0.3007</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0.2397</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100</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0.1889</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wAfter w:w="0" w:type="dxa"/>
                <w:jc w:val="center"/>
              </w:trPr>
              <w:tc>
                <w:tcPr>
                  <w:tcW w:w="3433"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125</w:t>
                  </w:r>
                </w:p>
              </w:tc>
              <w:tc>
                <w:tcPr>
                  <w:tcW w:w="2711" w:type="dxa"/>
                  <w:noWrap w:val="0"/>
                  <w:tcMar>
                    <w:top w:w="20" w:type="dxa"/>
                    <w:left w:w="20" w:type="dxa"/>
                    <w:bottom w:w="0" w:type="dxa"/>
                    <w:right w:w="2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0.1603</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150</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0.1403</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175</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0.1255</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0.028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widowControl/>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200</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0.1138</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225</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0.1044</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0.023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trHeight w:val="90" w:hRule="atLeast"/>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w:t>
                  </w:r>
                </w:p>
              </w:tc>
              <w:tc>
                <w:tcPr>
                  <w:tcW w:w="2711" w:type="dxa"/>
                  <w:noWrap w:val="0"/>
                  <w:vAlign w:val="center"/>
                </w:tcPr>
                <w:p>
                  <w:pPr>
                    <w:jc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b/>
                      <w:color w:val="auto"/>
                      <w:sz w:val="21"/>
                      <w:szCs w:val="21"/>
                    </w:rPr>
                    <w:t>….</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b/>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widowControl/>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4950</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1.03E-02</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trHeight w:val="90" w:hRule="atLeast"/>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4975</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1.03E-02</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5000</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1.02E-02</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trHeight w:val="256" w:hRule="atLeast"/>
                <w:jc w:val="center"/>
              </w:trPr>
              <w:tc>
                <w:tcPr>
                  <w:tcW w:w="3433" w:type="dxa"/>
                  <w:noWrap w:val="0"/>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下风向最大浓度</w:t>
                  </w:r>
                </w:p>
              </w:tc>
              <w:tc>
                <w:tcPr>
                  <w:tcW w:w="271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0.3014</w:t>
                  </w:r>
                </w:p>
              </w:tc>
              <w:tc>
                <w:tcPr>
                  <w:tcW w:w="2709"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0.067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After w:w="0" w:type="dxa"/>
                <w:jc w:val="center"/>
              </w:trPr>
              <w:tc>
                <w:tcPr>
                  <w:tcW w:w="3433" w:type="dxa"/>
                  <w:noWrap w:val="0"/>
                  <w:vAlign w:val="center"/>
                </w:tcPr>
                <w:p>
                  <w:pPr>
                    <w:snapToGrid w:val="0"/>
                    <w:spacing w:line="240" w:lineRule="exact"/>
                    <w:contextualSpacing/>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Cs/>
                      <w:color w:val="auto"/>
                      <w:sz w:val="21"/>
                      <w:szCs w:val="21"/>
                    </w:rPr>
                    <w:t>最大浓度距离</w:t>
                  </w:r>
                  <w:r>
                    <w:rPr>
                      <w:rFonts w:hint="default" w:ascii="Times New Roman" w:hAnsi="Times New Roman" w:eastAsia="宋体" w:cs="Times New Roman"/>
                      <w:color w:val="auto"/>
                      <w:sz w:val="21"/>
                      <w:szCs w:val="21"/>
                    </w:rPr>
                    <w:t>/m</w:t>
                  </w:r>
                </w:p>
              </w:tc>
              <w:tc>
                <w:tcPr>
                  <w:tcW w:w="5420" w:type="dxa"/>
                  <w:gridSpan w:val="2"/>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w:t>
                  </w:r>
                </w:p>
              </w:tc>
            </w:tr>
          </w:tbl>
          <w:p>
            <w:pPr>
              <w:snapToGrid w:val="0"/>
              <w:spacing w:line="48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rPr>
              <w:t>由上表预测结果可知，经处理后，粉料仓呼吸粉尘最大地面质量浓度为0.</w:t>
            </w:r>
            <w:r>
              <w:rPr>
                <w:rFonts w:hint="default" w:ascii="Times New Roman" w:hAnsi="Times New Roman" w:cs="Times New Roman"/>
                <w:sz w:val="24"/>
                <w:lang w:val="en-US" w:eastAsia="zh-CN"/>
              </w:rPr>
              <w:t>3014u</w:t>
            </w:r>
            <w:r>
              <w:rPr>
                <w:rFonts w:hint="default" w:ascii="Times New Roman" w:hAnsi="Times New Roman" w:cs="Times New Roman"/>
                <w:sz w:val="24"/>
              </w:rPr>
              <w:t>g/m</w:t>
            </w:r>
            <w:r>
              <w:rPr>
                <w:rFonts w:hint="default" w:ascii="Times New Roman" w:hAnsi="Times New Roman" w:cs="Times New Roman"/>
                <w:sz w:val="24"/>
                <w:vertAlign w:val="superscript"/>
              </w:rPr>
              <w:t>3</w:t>
            </w:r>
            <w:r>
              <w:rPr>
                <w:rFonts w:hint="default" w:ascii="Times New Roman" w:hAnsi="Times New Roman" w:cs="Times New Roman"/>
                <w:sz w:val="24"/>
              </w:rPr>
              <w:t>，最大地面质量浓度出现距离分别为距源</w:t>
            </w:r>
            <w:r>
              <w:rPr>
                <w:rFonts w:hint="default" w:ascii="Times New Roman" w:hAnsi="Times New Roman" w:cs="Times New Roman"/>
                <w:sz w:val="24"/>
                <w:lang w:val="en-US" w:eastAsia="zh-CN"/>
              </w:rPr>
              <w:t>47</w:t>
            </w:r>
            <w:r>
              <w:rPr>
                <w:rFonts w:hint="default" w:ascii="Times New Roman" w:hAnsi="Times New Roman" w:cs="Times New Roman"/>
                <w:sz w:val="24"/>
              </w:rPr>
              <w:t>m，</w:t>
            </w:r>
            <w:r>
              <w:rPr>
                <w:rFonts w:hint="default" w:ascii="Times New Roman" w:hAnsi="Times New Roman" w:cs="Times New Roman"/>
                <w:kern w:val="0"/>
                <w:sz w:val="24"/>
              </w:rPr>
              <w:t>污染物最大落地浓度均满足</w:t>
            </w:r>
            <w:r>
              <w:rPr>
                <w:rFonts w:hint="default" w:ascii="Times New Roman" w:hAnsi="Times New Roman" w:cs="Times New Roman"/>
                <w:sz w:val="24"/>
              </w:rPr>
              <w:t>《环境空气质量标准》（GB3095-2012）中二级标准</w:t>
            </w:r>
            <w:r>
              <w:rPr>
                <w:rFonts w:hint="default" w:ascii="Times New Roman" w:hAnsi="Times New Roman" w:cs="Times New Roman"/>
                <w:kern w:val="0"/>
                <w:sz w:val="24"/>
              </w:rPr>
              <w:t>，对周围环境空气影响较小。</w:t>
            </w:r>
          </w:p>
          <w:p>
            <w:pPr>
              <w:snapToGrid w:val="0"/>
              <w:spacing w:line="480" w:lineRule="exact"/>
              <w:ind w:firstLine="480" w:firstLineChars="200"/>
              <w:contextualSpacing/>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②破碎车间扬尘环境影响分析</w:t>
            </w:r>
          </w:p>
          <w:p>
            <w:pPr>
              <w:snapToGrid w:val="0"/>
              <w:spacing w:line="480" w:lineRule="exact"/>
              <w:ind w:firstLine="488" w:firstLineChars="200"/>
              <w:contextualSpacing/>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根据工程分析，粉尘产生量约为150t/a，经过喷淋措施后，可在源头抑制约90%的粉尘产生，则本项目建筑垃圾再生处理过程中粉尘产生量可减少至约为15t/a</w:t>
            </w:r>
            <w:r>
              <w:rPr>
                <w:rFonts w:hint="eastAsia" w:ascii="Times New Roman" w:hAnsi="Times New Roman" w:cs="Times New Roman"/>
                <w:color w:val="000000"/>
                <w:spacing w:val="2"/>
                <w:sz w:val="24"/>
                <w:lang w:eastAsia="zh-CN"/>
              </w:rPr>
              <w:t>，其中</w:t>
            </w:r>
            <w:r>
              <w:rPr>
                <w:rFonts w:hint="eastAsia" w:ascii="Times New Roman" w:hAnsi="Times New Roman" w:cs="Times New Roman"/>
                <w:color w:val="FF0000"/>
                <w:spacing w:val="2"/>
                <w:sz w:val="24"/>
                <w:lang w:eastAsia="zh-CN"/>
              </w:rPr>
              <w:t>颚式破碎机破碎的产尘量可减少至</w:t>
            </w:r>
            <w:r>
              <w:rPr>
                <w:rFonts w:hint="eastAsia" w:ascii="Times New Roman" w:hAnsi="Times New Roman" w:cs="Times New Roman"/>
                <w:color w:val="FF0000"/>
                <w:spacing w:val="2"/>
                <w:sz w:val="24"/>
                <w:lang w:val="en-US" w:eastAsia="zh-CN"/>
              </w:rPr>
              <w:t>9</w:t>
            </w:r>
            <w:r>
              <w:rPr>
                <w:rFonts w:hint="default" w:ascii="Times New Roman" w:hAnsi="Times New Roman" w:cs="Times New Roman"/>
                <w:color w:val="FF0000"/>
                <w:spacing w:val="2"/>
                <w:sz w:val="24"/>
              </w:rPr>
              <w:t>t/a</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等的产尘量可减少至</w:t>
            </w:r>
            <w:r>
              <w:rPr>
                <w:rFonts w:hint="eastAsia" w:ascii="Times New Roman" w:hAnsi="Times New Roman" w:cs="Times New Roman"/>
                <w:color w:val="FF0000"/>
                <w:spacing w:val="2"/>
                <w:sz w:val="24"/>
                <w:lang w:val="en-US" w:eastAsia="zh-CN"/>
              </w:rPr>
              <w:t>6</w:t>
            </w:r>
            <w:r>
              <w:rPr>
                <w:rFonts w:hint="default" w:ascii="Times New Roman" w:hAnsi="Times New Roman" w:cs="Times New Roman"/>
                <w:color w:val="FF0000"/>
                <w:spacing w:val="2"/>
                <w:sz w:val="24"/>
              </w:rPr>
              <w:t>t/a</w:t>
            </w:r>
            <w:r>
              <w:rPr>
                <w:rFonts w:hint="default" w:ascii="Times New Roman" w:hAnsi="Times New Roman" w:cs="Times New Roman"/>
                <w:color w:val="000000"/>
                <w:spacing w:val="2"/>
                <w:sz w:val="24"/>
              </w:rPr>
              <w:t>。</w:t>
            </w:r>
          </w:p>
          <w:p>
            <w:pPr>
              <w:autoSpaceDE w:val="0"/>
              <w:autoSpaceDN w:val="0"/>
              <w:spacing w:line="480" w:lineRule="exact"/>
              <w:ind w:firstLine="480" w:firstLineChars="200"/>
              <w:rPr>
                <w:rFonts w:hint="default" w:ascii="Times New Roman" w:hAnsi="Times New Roman" w:cs="Times New Roman"/>
                <w:sz w:val="24"/>
              </w:rPr>
            </w:pPr>
            <w:r>
              <w:rPr>
                <w:rFonts w:hint="default" w:ascii="Times New Roman" w:hAnsi="Times New Roman" w:cs="Times New Roman"/>
                <w:color w:val="FF0000"/>
                <w:sz w:val="24"/>
              </w:rPr>
              <w:t>项目对</w:t>
            </w:r>
            <w:r>
              <w:rPr>
                <w:rFonts w:hint="eastAsia" w:ascii="Times New Roman" w:hAnsi="Times New Roman" w:cs="Times New Roman"/>
                <w:color w:val="FF0000"/>
                <w:spacing w:val="2"/>
                <w:sz w:val="24"/>
                <w:lang w:eastAsia="zh-CN"/>
              </w:rPr>
              <w:t>颚式破碎机单独用彩钢密封，并在其上方设置集气罩，并进入布袋除尘器处理，</w:t>
            </w:r>
            <w:r>
              <w:rPr>
                <w:rFonts w:hint="default" w:ascii="Times New Roman" w:hAnsi="Times New Roman" w:cs="Times New Roman"/>
                <w:color w:val="FF0000"/>
                <w:sz w:val="24"/>
              </w:rPr>
              <w:t>后经排气筒</w:t>
            </w:r>
            <w:r>
              <w:rPr>
                <w:rFonts w:hint="eastAsia" w:ascii="Times New Roman" w:hAnsi="Times New Roman" w:cs="Times New Roman"/>
                <w:color w:val="FF0000"/>
                <w:sz w:val="24"/>
                <w:lang w:eastAsia="zh-CN"/>
              </w:rPr>
              <w:t>（</w:t>
            </w:r>
            <w:r>
              <w:rPr>
                <w:rFonts w:hint="eastAsia" w:ascii="Times New Roman" w:hAnsi="Times New Roman" w:cs="Times New Roman"/>
                <w:color w:val="FF0000"/>
                <w:spacing w:val="2"/>
                <w:sz w:val="24"/>
                <w:lang w:val="en-US" w:eastAsia="zh-CN"/>
              </w:rPr>
              <w:t>DA001</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排出</w:t>
            </w:r>
            <w:r>
              <w:rPr>
                <w:rFonts w:hint="eastAsia" w:ascii="Times New Roman" w:hAnsi="Times New Roman" w:cs="Times New Roman"/>
                <w:color w:val="FF0000"/>
                <w:spacing w:val="2"/>
                <w:sz w:val="24"/>
                <w:lang w:eastAsia="zh-CN"/>
              </w:rPr>
              <w:t>；锤式破碎机及</w:t>
            </w:r>
            <w:r>
              <w:rPr>
                <w:rFonts w:hint="default" w:ascii="Times New Roman" w:hAnsi="Times New Roman" w:cs="Times New Roman"/>
                <w:color w:val="FF0000"/>
                <w:spacing w:val="2"/>
                <w:sz w:val="24"/>
              </w:rPr>
              <w:t>振动筛分机</w:t>
            </w:r>
            <w:r>
              <w:rPr>
                <w:rFonts w:hint="eastAsia" w:ascii="Times New Roman" w:hAnsi="Times New Roman" w:cs="Times New Roman"/>
                <w:color w:val="FF0000"/>
                <w:spacing w:val="2"/>
                <w:sz w:val="24"/>
                <w:lang w:eastAsia="zh-CN"/>
              </w:rPr>
              <w:t>等</w:t>
            </w:r>
            <w:r>
              <w:rPr>
                <w:rFonts w:hint="default" w:ascii="Times New Roman" w:hAnsi="Times New Roman" w:cs="Times New Roman"/>
                <w:color w:val="FF0000"/>
                <w:sz w:val="24"/>
              </w:rPr>
              <w:t>过程中产生粉尘在其上方设置集气罩，产生的粉尘经集气罩收集后进入布袋除尘装置，后经排气筒</w:t>
            </w:r>
            <w:r>
              <w:rPr>
                <w:rFonts w:hint="eastAsia" w:ascii="Times New Roman" w:hAnsi="Times New Roman" w:cs="Times New Roman"/>
                <w:color w:val="FF0000"/>
                <w:sz w:val="24"/>
                <w:lang w:eastAsia="zh-CN"/>
              </w:rPr>
              <w:t>（</w:t>
            </w:r>
            <w:r>
              <w:rPr>
                <w:rFonts w:hint="eastAsia" w:ascii="Times New Roman" w:hAnsi="Times New Roman" w:cs="Times New Roman"/>
                <w:color w:val="FF0000"/>
                <w:spacing w:val="2"/>
                <w:sz w:val="24"/>
                <w:lang w:val="en-US" w:eastAsia="zh-CN"/>
              </w:rPr>
              <w:t>DA002</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排出</w:t>
            </w:r>
            <w:r>
              <w:rPr>
                <w:rFonts w:hint="default" w:ascii="Times New Roman" w:hAnsi="Times New Roman" w:cs="Times New Roman"/>
                <w:sz w:val="24"/>
              </w:rPr>
              <w:t>。</w:t>
            </w:r>
            <w:r>
              <w:rPr>
                <w:rFonts w:hint="default" w:ascii="Times New Roman" w:hAnsi="Times New Roman" w:eastAsia="宋体" w:cs="Times New Roman"/>
                <w:color w:val="auto"/>
                <w:sz w:val="24"/>
                <w:szCs w:val="24"/>
              </w:rPr>
              <w:t>布袋除尘器是一种干式滤尘装置</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r>
              <w:rPr>
                <w:rFonts w:hint="eastAsia" w:ascii="Times New Roman" w:hAnsi="Times New Roman" w:eastAsia="宋体" w:cs="Times New Roman"/>
                <w:color w:val="auto"/>
                <w:sz w:val="24"/>
                <w:szCs w:val="24"/>
                <w:lang w:eastAsia="zh-CN"/>
              </w:rPr>
              <w:t>排放浓度</w:t>
            </w:r>
            <w:r>
              <w:rPr>
                <w:rFonts w:hint="default" w:ascii="Times New Roman" w:hAnsi="Times New Roman" w:cs="Times New Roman"/>
                <w:sz w:val="24"/>
              </w:rPr>
              <w:t>满足</w:t>
            </w:r>
            <w:r>
              <w:rPr>
                <w:rFonts w:hint="default" w:ascii="Times New Roman" w:hAnsi="Times New Roman" w:eastAsia="宋体" w:cs="Times New Roman"/>
                <w:color w:val="auto"/>
                <w:kern w:val="0"/>
                <w:sz w:val="24"/>
              </w:rPr>
              <w:t>《</w:t>
            </w:r>
            <w:r>
              <w:rPr>
                <w:rFonts w:hint="default" w:ascii="Times New Roman" w:hAnsi="Times New Roman" w:eastAsia="宋体" w:cs="Times New Roman"/>
                <w:color w:val="auto"/>
                <w:kern w:val="0"/>
                <w:sz w:val="24"/>
                <w:szCs w:val="22"/>
              </w:rPr>
              <w:t>砖瓦工业大气污染物排放标准</w:t>
            </w:r>
            <w:r>
              <w:rPr>
                <w:rFonts w:hint="default" w:ascii="Times New Roman" w:hAnsi="Times New Roman" w:eastAsia="宋体" w:cs="Times New Roman"/>
                <w:color w:val="auto"/>
                <w:kern w:val="0"/>
                <w:sz w:val="24"/>
              </w:rPr>
              <w:t>》（</w:t>
            </w:r>
            <w:r>
              <w:rPr>
                <w:rFonts w:hint="default" w:ascii="Times New Roman" w:hAnsi="Times New Roman" w:eastAsia="宋体" w:cs="Times New Roman"/>
                <w:color w:val="auto"/>
                <w:kern w:val="0"/>
                <w:sz w:val="24"/>
                <w:szCs w:val="22"/>
              </w:rPr>
              <w:t>GB29620-2013</w:t>
            </w:r>
            <w:r>
              <w:rPr>
                <w:rFonts w:hint="default" w:ascii="Times New Roman" w:hAnsi="Times New Roman" w:eastAsia="宋体" w:cs="Times New Roman"/>
                <w:color w:val="auto"/>
                <w:kern w:val="0"/>
                <w:sz w:val="24"/>
              </w:rPr>
              <w:t>）表2中原料燃料破碎及制备成型颗粒物排放浓度限值要求</w:t>
            </w:r>
            <w:r>
              <w:rPr>
                <w:rFonts w:hint="default" w:ascii="Times New Roman" w:hAnsi="Times New Roman" w:cs="Times New Roman"/>
                <w:sz w:val="24"/>
              </w:rPr>
              <w:t>。同时生产车间均密闭，产生粉尘仅限于厂区生产车间内，对外环境影响较小。</w:t>
            </w:r>
          </w:p>
          <w:p>
            <w:pPr>
              <w:spacing w:line="480" w:lineRule="exact"/>
              <w:ind w:firstLine="480" w:firstLineChars="200"/>
              <w:rPr>
                <w:rFonts w:hint="default" w:ascii="Times New Roman" w:hAnsi="Times New Roman" w:cs="Times New Roman"/>
                <w:bCs/>
                <w:sz w:val="24"/>
              </w:rPr>
            </w:pPr>
            <w:r>
              <w:rPr>
                <w:rFonts w:hint="default" w:ascii="Times New Roman" w:hAnsi="Times New Roman" w:eastAsia="宋体" w:cs="Times New Roman"/>
                <w:color w:val="auto"/>
                <w:sz w:val="24"/>
              </w:rPr>
              <w:t>根据《环境影响评价技术导则 大气环境》（HJ2.2-2018），采用AERSCREEN估算模式对</w:t>
            </w:r>
            <w:r>
              <w:rPr>
                <w:rFonts w:hint="default" w:ascii="Times New Roman" w:hAnsi="Times New Roman" w:eastAsia="宋体" w:cs="Times New Roman"/>
                <w:color w:val="auto"/>
                <w:sz w:val="24"/>
                <w:lang w:eastAsia="zh-CN"/>
              </w:rPr>
              <w:t>破碎粉尘</w:t>
            </w:r>
            <w:r>
              <w:rPr>
                <w:rFonts w:hint="default" w:ascii="Times New Roman" w:hAnsi="Times New Roman" w:eastAsia="宋体" w:cs="Times New Roman"/>
                <w:color w:val="auto"/>
                <w:sz w:val="24"/>
              </w:rPr>
              <w:t>进行影响预测。</w:t>
            </w:r>
            <w:r>
              <w:rPr>
                <w:rFonts w:hint="default" w:ascii="Times New Roman" w:hAnsi="Times New Roman" w:cs="Times New Roman"/>
                <w:bCs/>
                <w:sz w:val="24"/>
              </w:rPr>
              <w:t>预测参数见表2</w:t>
            </w:r>
            <w:r>
              <w:rPr>
                <w:rFonts w:hint="default" w:ascii="Times New Roman" w:hAnsi="Times New Roman" w:cs="Times New Roman"/>
                <w:bCs/>
                <w:sz w:val="24"/>
                <w:lang w:val="en-US" w:eastAsia="zh-CN"/>
              </w:rPr>
              <w:t>3</w:t>
            </w:r>
            <w:r>
              <w:rPr>
                <w:rFonts w:hint="default" w:ascii="Times New Roman" w:hAnsi="Times New Roman" w:cs="Times New Roman"/>
                <w:bCs/>
                <w:sz w:val="24"/>
              </w:rPr>
              <w:t>。</w:t>
            </w:r>
          </w:p>
          <w:p>
            <w:pPr>
              <w:widowControl/>
              <w:spacing w:line="360" w:lineRule="auto"/>
              <w:ind w:firstLine="723" w:firstLineChars="300"/>
              <w:jc w:val="center"/>
              <w:rPr>
                <w:rFonts w:hint="default" w:ascii="Times New Roman" w:hAnsi="Times New Roman" w:cs="Times New Roman"/>
                <w:b/>
                <w:bCs/>
                <w:sz w:val="24"/>
              </w:rPr>
            </w:pPr>
            <w:r>
              <w:rPr>
                <w:rFonts w:hint="default" w:ascii="Times New Roman" w:hAnsi="Times New Roman" w:cs="Times New Roman"/>
                <w:b/>
                <w:bCs/>
                <w:sz w:val="24"/>
              </w:rPr>
              <w:t>表2</w:t>
            </w:r>
            <w:r>
              <w:rPr>
                <w:rFonts w:hint="default" w:ascii="Times New Roman" w:hAnsi="Times New Roman" w:cs="Times New Roman"/>
                <w:b/>
                <w:bCs/>
                <w:sz w:val="24"/>
                <w:lang w:val="en-US" w:eastAsia="zh-CN"/>
              </w:rPr>
              <w:t>3</w:t>
            </w:r>
            <w:r>
              <w:rPr>
                <w:rFonts w:hint="default" w:ascii="Times New Roman" w:hAnsi="Times New Roman" w:cs="Times New Roman"/>
                <w:b/>
                <w:bCs/>
                <w:sz w:val="24"/>
              </w:rPr>
              <w:t xml:space="preserve">   估算模型参数一览表-</w:t>
            </w:r>
            <w:r>
              <w:rPr>
                <w:rFonts w:hint="default" w:ascii="Times New Roman" w:hAnsi="Times New Roman" w:cs="Times New Roman"/>
                <w:b/>
                <w:bCs/>
                <w:sz w:val="24"/>
                <w:lang w:eastAsia="zh-CN"/>
              </w:rPr>
              <w:t>破碎</w:t>
            </w:r>
            <w:r>
              <w:rPr>
                <w:rFonts w:hint="default" w:ascii="Times New Roman" w:hAnsi="Times New Roman" w:cs="Times New Roman"/>
                <w:b/>
                <w:bCs/>
                <w:sz w:val="24"/>
              </w:rPr>
              <w:t>粉尘</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86"/>
              <w:gridCol w:w="993"/>
              <w:gridCol w:w="861"/>
              <w:gridCol w:w="1035"/>
              <w:gridCol w:w="824"/>
              <w:gridCol w:w="1195"/>
              <w:gridCol w:w="25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restart"/>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城市/农村</w:t>
                  </w:r>
                </w:p>
              </w:tc>
              <w:tc>
                <w:tcPr>
                  <w:tcW w:w="4908" w:type="dxa"/>
                  <w:gridSpan w:val="5"/>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城市/农村</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continue"/>
                  <w:noWrap w:val="0"/>
                  <w:vAlign w:val="center"/>
                </w:tcPr>
                <w:p>
                  <w:pPr>
                    <w:pStyle w:val="71"/>
                    <w:rPr>
                      <w:rFonts w:hint="default" w:ascii="Times New Roman" w:hAnsi="Times New Roman" w:eastAsia="宋体" w:cs="Times New Roman"/>
                      <w:color w:val="FF0000"/>
                      <w:kern w:val="2"/>
                      <w:sz w:val="21"/>
                    </w:rPr>
                  </w:pPr>
                </w:p>
              </w:tc>
              <w:tc>
                <w:tcPr>
                  <w:tcW w:w="4908" w:type="dxa"/>
                  <w:gridSpan w:val="5"/>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人口数</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最高温度K</w:t>
                  </w:r>
                </w:p>
              </w:tc>
              <w:tc>
                <w:tcPr>
                  <w:tcW w:w="2510" w:type="dxa"/>
                  <w:noWrap w:val="0"/>
                  <w:vAlign w:val="center"/>
                </w:tcPr>
                <w:p>
                  <w:pPr>
                    <w:pStyle w:val="71"/>
                    <w:rPr>
                      <w:rFonts w:hint="default" w:ascii="Times New Roman" w:hAnsi="Times New Roman" w:eastAsia="宋体" w:cs="Times New Roman"/>
                      <w:color w:val="FF0000"/>
                      <w:kern w:val="2"/>
                      <w:sz w:val="21"/>
                      <w:lang w:val="en-US" w:eastAsia="zh-CN"/>
                    </w:rPr>
                  </w:pPr>
                  <w:r>
                    <w:rPr>
                      <w:rFonts w:hint="default" w:ascii="Times New Roman" w:hAnsi="Times New Roman" w:eastAsia="宋体" w:cs="Times New Roman"/>
                      <w:color w:val="FF0000"/>
                      <w:kern w:val="2"/>
                      <w:sz w:val="21"/>
                    </w:rPr>
                    <w:t>31</w:t>
                  </w:r>
                  <w:r>
                    <w:rPr>
                      <w:rFonts w:hint="default" w:ascii="Times New Roman" w:hAnsi="Times New Roman" w:eastAsia="宋体" w:cs="Times New Roman"/>
                      <w:color w:val="FF0000"/>
                      <w:kern w:val="2"/>
                      <w:sz w:val="21"/>
                      <w:lang w:val="en-US" w:eastAsia="zh-CN"/>
                    </w:rPr>
                    <w:t>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最低温度K</w:t>
                  </w:r>
                </w:p>
              </w:tc>
              <w:tc>
                <w:tcPr>
                  <w:tcW w:w="2510" w:type="dxa"/>
                  <w:noWrap w:val="0"/>
                  <w:vAlign w:val="center"/>
                </w:tcPr>
                <w:p>
                  <w:pPr>
                    <w:pStyle w:val="71"/>
                    <w:rPr>
                      <w:rFonts w:hint="default" w:ascii="Times New Roman" w:hAnsi="Times New Roman" w:eastAsia="宋体" w:cs="Times New Roman"/>
                      <w:color w:val="FF0000"/>
                      <w:kern w:val="2"/>
                      <w:sz w:val="21"/>
                      <w:lang w:val="en-US" w:eastAsia="zh-CN"/>
                    </w:rPr>
                  </w:pPr>
                  <w:r>
                    <w:rPr>
                      <w:rFonts w:hint="default" w:ascii="Times New Roman" w:hAnsi="Times New Roman" w:eastAsia="宋体" w:cs="Times New Roman"/>
                      <w:color w:val="FF0000"/>
                      <w:kern w:val="2"/>
                      <w:sz w:val="21"/>
                    </w:rPr>
                    <w:t>2</w:t>
                  </w:r>
                  <w:r>
                    <w:rPr>
                      <w:rFonts w:hint="default" w:ascii="Times New Roman" w:hAnsi="Times New Roman" w:eastAsia="宋体" w:cs="Times New Roman"/>
                      <w:color w:val="FF0000"/>
                      <w:kern w:val="2"/>
                      <w:sz w:val="21"/>
                      <w:lang w:val="en-US" w:eastAsia="zh-CN"/>
                    </w:rPr>
                    <w:t>58.3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土地类型</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区域湿度条件</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中等湿润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是否考虑地形</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6294" w:type="dxa"/>
                  <w:gridSpan w:val="6"/>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是否考虑岸线熏烟</w:t>
                  </w:r>
                </w:p>
              </w:tc>
              <w:tc>
                <w:tcPr>
                  <w:tcW w:w="2510"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66" w:hRule="atLeast"/>
                <w:jc w:val="center"/>
              </w:trPr>
              <w:tc>
                <w:tcPr>
                  <w:tcW w:w="1386" w:type="dxa"/>
                  <w:vMerge w:val="restart"/>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rPr>
                    <w:t>污染源</w:t>
                  </w:r>
                </w:p>
              </w:tc>
              <w:tc>
                <w:tcPr>
                  <w:tcW w:w="4908" w:type="dxa"/>
                  <w:gridSpan w:val="5"/>
                  <w:noWrap w:val="0"/>
                  <w:vAlign w:val="center"/>
                </w:tcPr>
                <w:p>
                  <w:pPr>
                    <w:snapToGrid w:val="0"/>
                    <w:spacing w:line="240" w:lineRule="atLeast"/>
                    <w:contextualSpacing/>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排气参数</w:t>
                  </w:r>
                </w:p>
              </w:tc>
              <w:tc>
                <w:tcPr>
                  <w:tcW w:w="2510" w:type="dxa"/>
                  <w:noWrap w:val="0"/>
                  <w:vAlign w:val="center"/>
                </w:tcPr>
                <w:p>
                  <w:pPr>
                    <w:snapToGrid w:val="0"/>
                    <w:spacing w:line="240" w:lineRule="atLeast"/>
                    <w:contextualSpacing/>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污染物源强（g/s）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46" w:hRule="atLeast"/>
                <w:jc w:val="center"/>
              </w:trPr>
              <w:tc>
                <w:tcPr>
                  <w:tcW w:w="1386" w:type="dxa"/>
                  <w:vMerge w:val="continue"/>
                  <w:noWrap w:val="0"/>
                  <w:vAlign w:val="center"/>
                </w:tcPr>
                <w:p>
                  <w:pPr>
                    <w:pStyle w:val="71"/>
                    <w:rPr>
                      <w:rFonts w:hint="default" w:ascii="Times New Roman" w:hAnsi="Times New Roman" w:eastAsia="宋体" w:cs="Times New Roman"/>
                      <w:color w:val="FF0000"/>
                      <w:kern w:val="2"/>
                      <w:sz w:val="21"/>
                    </w:rPr>
                  </w:pPr>
                </w:p>
              </w:tc>
              <w:tc>
                <w:tcPr>
                  <w:tcW w:w="993" w:type="dxa"/>
                  <w:noWrap w:val="0"/>
                  <w:vAlign w:val="center"/>
                </w:tcPr>
                <w:p>
                  <w:pPr>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高度（m）</w:t>
                  </w:r>
                </w:p>
              </w:tc>
              <w:tc>
                <w:tcPr>
                  <w:tcW w:w="861" w:type="dxa"/>
                  <w:noWrap w:val="0"/>
                  <w:vAlign w:val="center"/>
                </w:tcPr>
                <w:p>
                  <w:pPr>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内径（m）</w:t>
                  </w:r>
                </w:p>
              </w:tc>
              <w:tc>
                <w:tcPr>
                  <w:tcW w:w="1035" w:type="dxa"/>
                  <w:noWrap w:val="0"/>
                  <w:vAlign w:val="center"/>
                </w:tcPr>
                <w:p>
                  <w:pPr>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风量（m</w:t>
                  </w:r>
                  <w:r>
                    <w:rPr>
                      <w:rFonts w:hint="default" w:ascii="Times New Roman" w:hAnsi="Times New Roman" w:eastAsia="宋体" w:cs="Times New Roman"/>
                      <w:color w:val="FF0000"/>
                      <w:szCs w:val="24"/>
                      <w:vertAlign w:val="superscript"/>
                    </w:rPr>
                    <w:t>3</w:t>
                  </w:r>
                  <w:r>
                    <w:rPr>
                      <w:rFonts w:hint="default" w:ascii="Times New Roman" w:hAnsi="Times New Roman" w:eastAsia="宋体" w:cs="Times New Roman"/>
                      <w:color w:val="FF0000"/>
                      <w:szCs w:val="24"/>
                    </w:rPr>
                    <w:t>/h）</w:t>
                  </w:r>
                </w:p>
              </w:tc>
              <w:tc>
                <w:tcPr>
                  <w:tcW w:w="824" w:type="dxa"/>
                  <w:noWrap w:val="0"/>
                  <w:vAlign w:val="center"/>
                </w:tcPr>
                <w:p>
                  <w:pPr>
                    <w:pStyle w:val="6"/>
                    <w:ind w:firstLine="0" w:firstLineChars="0"/>
                    <w:rPr>
                      <w:rFonts w:hint="default" w:ascii="Times New Roman" w:hAnsi="Times New Roman" w:cs="Times New Roman"/>
                      <w:color w:val="FF0000"/>
                    </w:rPr>
                  </w:pPr>
                  <w:r>
                    <w:rPr>
                      <w:rFonts w:hint="default" w:ascii="Times New Roman" w:hAnsi="Times New Roman" w:cs="Times New Roman"/>
                      <w:color w:val="FF0000"/>
                    </w:rPr>
                    <w:t>温度（K）</w:t>
                  </w:r>
                </w:p>
              </w:tc>
              <w:tc>
                <w:tcPr>
                  <w:tcW w:w="1195" w:type="dxa"/>
                  <w:noWrap w:val="0"/>
                  <w:vAlign w:val="center"/>
                </w:tcPr>
                <w:p>
                  <w:pP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烟气流速</w:t>
                  </w:r>
                </w:p>
                <w:p>
                  <w:pPr>
                    <w:pStyle w:val="6"/>
                    <w:ind w:firstLine="0" w:firstLineChars="0"/>
                    <w:rPr>
                      <w:rFonts w:hint="default" w:ascii="Times New Roman" w:hAnsi="Times New Roman" w:cs="Times New Roman"/>
                      <w:color w:val="FF0000"/>
                    </w:rPr>
                  </w:pPr>
                  <w:r>
                    <w:rPr>
                      <w:rFonts w:hint="default" w:ascii="Times New Roman" w:hAnsi="Times New Roman" w:cs="Times New Roman"/>
                      <w:color w:val="FF0000"/>
                    </w:rPr>
                    <w:t>（m/s）</w:t>
                  </w:r>
                </w:p>
              </w:tc>
              <w:tc>
                <w:tcPr>
                  <w:tcW w:w="2510" w:type="dxa"/>
                  <w:noWrap w:val="0"/>
                  <w:vAlign w:val="center"/>
                </w:tcPr>
                <w:p>
                  <w:pPr>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46" w:hRule="atLeast"/>
                <w:jc w:val="center"/>
              </w:trPr>
              <w:tc>
                <w:tcPr>
                  <w:tcW w:w="1386"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lang w:eastAsia="zh-CN"/>
                    </w:rPr>
                    <w:t>颚式</w:t>
                  </w:r>
                  <w:r>
                    <w:rPr>
                      <w:rFonts w:hint="default" w:ascii="Times New Roman" w:hAnsi="Times New Roman" w:eastAsia="宋体" w:cs="Times New Roman"/>
                      <w:color w:val="FF0000"/>
                      <w:kern w:val="2"/>
                      <w:sz w:val="21"/>
                    </w:rPr>
                    <w:t>破碎粉尘</w:t>
                  </w:r>
                </w:p>
              </w:tc>
              <w:tc>
                <w:tcPr>
                  <w:tcW w:w="993" w:type="dxa"/>
                  <w:noWrap w:val="0"/>
                  <w:vAlign w:val="center"/>
                </w:tcPr>
                <w:p>
                  <w:pPr>
                    <w:jc w:val="center"/>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15</w:t>
                  </w:r>
                </w:p>
              </w:tc>
              <w:tc>
                <w:tcPr>
                  <w:tcW w:w="861" w:type="dxa"/>
                  <w:noWrap w:val="0"/>
                  <w:vAlign w:val="center"/>
                </w:tcPr>
                <w:p>
                  <w:pPr>
                    <w:jc w:val="center"/>
                    <w:rPr>
                      <w:rFonts w:hint="default" w:ascii="Times New Roman" w:hAnsi="Times New Roman" w:eastAsia="宋体" w:cs="Times New Roman"/>
                      <w:color w:val="FF0000"/>
                      <w:szCs w:val="24"/>
                      <w:lang w:eastAsia="zh-CN"/>
                    </w:rPr>
                  </w:pPr>
                  <w:r>
                    <w:rPr>
                      <w:rFonts w:hint="default" w:ascii="Times New Roman" w:hAnsi="Times New Roman" w:eastAsia="宋体" w:cs="Times New Roman"/>
                      <w:color w:val="FF0000"/>
                      <w:szCs w:val="24"/>
                    </w:rPr>
                    <w:t>0.</w:t>
                  </w:r>
                  <w:r>
                    <w:rPr>
                      <w:rFonts w:hint="eastAsia" w:ascii="Times New Roman" w:hAnsi="Times New Roman" w:eastAsia="宋体" w:cs="Times New Roman"/>
                      <w:color w:val="FF0000"/>
                      <w:szCs w:val="24"/>
                      <w:lang w:val="en-US" w:eastAsia="zh-CN"/>
                    </w:rPr>
                    <w:t>5</w:t>
                  </w:r>
                </w:p>
              </w:tc>
              <w:tc>
                <w:tcPr>
                  <w:tcW w:w="1035" w:type="dxa"/>
                  <w:noWrap w:val="0"/>
                  <w:vAlign w:val="center"/>
                </w:tcPr>
                <w:p>
                  <w:pPr>
                    <w:jc w:val="center"/>
                    <w:rPr>
                      <w:rFonts w:hint="default" w:ascii="Times New Roman" w:hAnsi="Times New Roman" w:eastAsia="宋体" w:cs="Times New Roman"/>
                      <w:color w:val="FF0000"/>
                      <w:szCs w:val="24"/>
                    </w:rPr>
                  </w:pPr>
                  <w:r>
                    <w:rPr>
                      <w:rFonts w:hint="eastAsia" w:ascii="Times New Roman" w:hAnsi="Times New Roman" w:eastAsia="宋体" w:cs="Times New Roman"/>
                      <w:color w:val="FF0000"/>
                      <w:szCs w:val="24"/>
                      <w:lang w:val="en-US" w:eastAsia="zh-CN"/>
                    </w:rPr>
                    <w:t>8</w:t>
                  </w:r>
                  <w:r>
                    <w:rPr>
                      <w:rFonts w:hint="default" w:ascii="Times New Roman" w:hAnsi="Times New Roman" w:eastAsia="宋体" w:cs="Times New Roman"/>
                      <w:color w:val="FF0000"/>
                      <w:szCs w:val="24"/>
                    </w:rPr>
                    <w:t>000</w:t>
                  </w:r>
                </w:p>
              </w:tc>
              <w:tc>
                <w:tcPr>
                  <w:tcW w:w="824" w:type="dxa"/>
                  <w:noWrap w:val="0"/>
                  <w:vAlign w:val="center"/>
                </w:tcPr>
                <w:p>
                  <w:pPr>
                    <w:tabs>
                      <w:tab w:val="right" w:pos="1714"/>
                    </w:tabs>
                    <w:ind w:firstLine="210" w:firstLineChars="100"/>
                    <w:jc w:val="both"/>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29</w:t>
                  </w:r>
                  <w:r>
                    <w:rPr>
                      <w:rFonts w:hint="default" w:ascii="Times New Roman" w:hAnsi="Times New Roman" w:eastAsia="宋体" w:cs="Times New Roman"/>
                      <w:color w:val="FF0000"/>
                      <w:szCs w:val="24"/>
                      <w:lang w:val="en-US" w:eastAsia="zh-CN"/>
                    </w:rPr>
                    <w:t>8</w:t>
                  </w:r>
                  <w:r>
                    <w:rPr>
                      <w:rFonts w:hint="default" w:ascii="Times New Roman" w:hAnsi="Times New Roman" w:eastAsia="宋体" w:cs="Times New Roman"/>
                      <w:color w:val="FF0000"/>
                      <w:szCs w:val="24"/>
                    </w:rPr>
                    <w:tab/>
                  </w:r>
                  <w:r>
                    <w:rPr>
                      <w:rFonts w:hint="default" w:ascii="Times New Roman" w:hAnsi="Times New Roman" w:eastAsia="宋体" w:cs="Times New Roman"/>
                      <w:color w:val="FF0000"/>
                      <w:szCs w:val="24"/>
                    </w:rPr>
                    <w:t>4.25</w:t>
                  </w:r>
                </w:p>
              </w:tc>
              <w:tc>
                <w:tcPr>
                  <w:tcW w:w="1195" w:type="dxa"/>
                  <w:noWrap w:val="0"/>
                  <w:vAlign w:val="center"/>
                </w:tcPr>
                <w:p>
                  <w:pPr>
                    <w:tabs>
                      <w:tab w:val="right" w:pos="1714"/>
                    </w:tabs>
                    <w:ind w:firstLine="210" w:firstLineChars="100"/>
                    <w:rPr>
                      <w:rFonts w:hint="default" w:ascii="Times New Roman" w:hAnsi="Times New Roman" w:eastAsia="宋体" w:cs="Times New Roman"/>
                      <w:color w:val="FF0000"/>
                      <w:szCs w:val="24"/>
                      <w:lang w:val="en-US" w:eastAsia="zh-CN"/>
                    </w:rPr>
                  </w:pPr>
                  <w:r>
                    <w:rPr>
                      <w:rFonts w:hint="default" w:ascii="Times New Roman" w:hAnsi="Times New Roman" w:eastAsia="宋体" w:cs="Times New Roman"/>
                      <w:color w:val="FF0000"/>
                      <w:szCs w:val="24"/>
                    </w:rPr>
                    <w:t>1</w:t>
                  </w:r>
                  <w:r>
                    <w:rPr>
                      <w:rFonts w:hint="default" w:ascii="Times New Roman" w:hAnsi="Times New Roman" w:eastAsia="宋体" w:cs="Times New Roman"/>
                      <w:color w:val="FF0000"/>
                      <w:szCs w:val="24"/>
                      <w:lang w:val="en-US" w:eastAsia="zh-CN"/>
                    </w:rPr>
                    <w:t>1.</w:t>
                  </w:r>
                  <w:r>
                    <w:rPr>
                      <w:rFonts w:hint="eastAsia" w:ascii="Times New Roman" w:hAnsi="Times New Roman" w:eastAsia="宋体" w:cs="Times New Roman"/>
                      <w:color w:val="FF0000"/>
                      <w:szCs w:val="24"/>
                      <w:lang w:val="en-US" w:eastAsia="zh-CN"/>
                    </w:rPr>
                    <w:t>32</w:t>
                  </w:r>
                </w:p>
              </w:tc>
              <w:tc>
                <w:tcPr>
                  <w:tcW w:w="2510" w:type="dxa"/>
                  <w:noWrap w:val="0"/>
                  <w:vAlign w:val="center"/>
                </w:tcPr>
                <w:p>
                  <w:pPr>
                    <w:jc w:val="center"/>
                    <w:rPr>
                      <w:rFonts w:hint="default" w:ascii="Times New Roman" w:hAnsi="Times New Roman" w:eastAsia="宋体" w:cs="Times New Roman"/>
                      <w:color w:val="FF0000"/>
                      <w:szCs w:val="24"/>
                      <w:lang w:val="en-US" w:eastAsia="zh-CN"/>
                    </w:rPr>
                  </w:pPr>
                  <w:r>
                    <w:rPr>
                      <w:rFonts w:hint="default" w:ascii="Times New Roman" w:hAnsi="Times New Roman" w:eastAsia="宋体" w:cs="Times New Roman"/>
                      <w:color w:val="FF0000"/>
                      <w:szCs w:val="24"/>
                      <w:lang w:val="en-US" w:eastAsia="zh-CN"/>
                    </w:rPr>
                    <w:t>0.01</w:t>
                  </w:r>
                  <w:r>
                    <w:rPr>
                      <w:rFonts w:hint="eastAsia" w:ascii="Times New Roman" w:hAnsi="Times New Roman" w:eastAsia="宋体" w:cs="Times New Roman"/>
                      <w:color w:val="FF0000"/>
                      <w:szCs w:val="24"/>
                      <w:lang w:val="en-US" w:eastAsia="zh-CN"/>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46" w:hRule="atLeast"/>
                <w:jc w:val="center"/>
              </w:trPr>
              <w:tc>
                <w:tcPr>
                  <w:tcW w:w="1386" w:type="dxa"/>
                  <w:noWrap w:val="0"/>
                  <w:vAlign w:val="center"/>
                </w:tcPr>
                <w:p>
                  <w:pPr>
                    <w:pStyle w:val="71"/>
                    <w:rPr>
                      <w:rFonts w:hint="default" w:ascii="Times New Roman" w:hAnsi="Times New Roman" w:eastAsia="宋体" w:cs="Times New Roman"/>
                      <w:color w:val="FF0000"/>
                      <w:kern w:val="2"/>
                      <w:sz w:val="21"/>
                    </w:rPr>
                  </w:pPr>
                  <w:r>
                    <w:rPr>
                      <w:rFonts w:hint="default" w:ascii="Times New Roman" w:hAnsi="Times New Roman" w:eastAsia="宋体" w:cs="Times New Roman"/>
                      <w:color w:val="FF0000"/>
                      <w:kern w:val="2"/>
                      <w:sz w:val="21"/>
                      <w:lang w:eastAsia="zh-CN"/>
                    </w:rPr>
                    <w:t>锤式破碎</w:t>
                  </w:r>
                  <w:r>
                    <w:rPr>
                      <w:rFonts w:hint="default" w:ascii="Times New Roman" w:hAnsi="Times New Roman" w:eastAsia="宋体" w:cs="Times New Roman"/>
                      <w:color w:val="FF0000"/>
                      <w:kern w:val="2"/>
                      <w:sz w:val="21"/>
                    </w:rPr>
                    <w:t>粉尘</w:t>
                  </w:r>
                </w:p>
              </w:tc>
              <w:tc>
                <w:tcPr>
                  <w:tcW w:w="993" w:type="dxa"/>
                  <w:noWrap w:val="0"/>
                  <w:vAlign w:val="center"/>
                </w:tcPr>
                <w:p>
                  <w:pPr>
                    <w:jc w:val="center"/>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15</w:t>
                  </w:r>
                </w:p>
              </w:tc>
              <w:tc>
                <w:tcPr>
                  <w:tcW w:w="861" w:type="dxa"/>
                  <w:noWrap w:val="0"/>
                  <w:vAlign w:val="center"/>
                </w:tcPr>
                <w:p>
                  <w:pPr>
                    <w:jc w:val="center"/>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0.5</w:t>
                  </w:r>
                </w:p>
              </w:tc>
              <w:tc>
                <w:tcPr>
                  <w:tcW w:w="1035" w:type="dxa"/>
                  <w:noWrap w:val="0"/>
                  <w:vAlign w:val="center"/>
                </w:tcPr>
                <w:p>
                  <w:pPr>
                    <w:jc w:val="center"/>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10000</w:t>
                  </w:r>
                </w:p>
              </w:tc>
              <w:tc>
                <w:tcPr>
                  <w:tcW w:w="824" w:type="dxa"/>
                  <w:noWrap w:val="0"/>
                  <w:vAlign w:val="center"/>
                </w:tcPr>
                <w:p>
                  <w:pPr>
                    <w:tabs>
                      <w:tab w:val="right" w:pos="1714"/>
                    </w:tabs>
                    <w:ind w:firstLine="210" w:firstLineChars="100"/>
                    <w:jc w:val="both"/>
                    <w:rPr>
                      <w:rFonts w:hint="default" w:ascii="Times New Roman" w:hAnsi="Times New Roman" w:eastAsia="宋体" w:cs="Times New Roman"/>
                      <w:color w:val="FF0000"/>
                      <w:szCs w:val="24"/>
                    </w:rPr>
                  </w:pPr>
                  <w:r>
                    <w:rPr>
                      <w:rFonts w:hint="default" w:ascii="Times New Roman" w:hAnsi="Times New Roman" w:eastAsia="宋体" w:cs="Times New Roman"/>
                      <w:color w:val="FF0000"/>
                      <w:szCs w:val="24"/>
                    </w:rPr>
                    <w:t>29</w:t>
                  </w:r>
                  <w:r>
                    <w:rPr>
                      <w:rFonts w:hint="default" w:ascii="Times New Roman" w:hAnsi="Times New Roman" w:eastAsia="宋体" w:cs="Times New Roman"/>
                      <w:color w:val="FF0000"/>
                      <w:szCs w:val="24"/>
                      <w:lang w:val="en-US" w:eastAsia="zh-CN"/>
                    </w:rPr>
                    <w:t>8</w:t>
                  </w:r>
                </w:p>
              </w:tc>
              <w:tc>
                <w:tcPr>
                  <w:tcW w:w="1195" w:type="dxa"/>
                  <w:noWrap w:val="0"/>
                  <w:vAlign w:val="center"/>
                </w:tcPr>
                <w:p>
                  <w:pPr>
                    <w:tabs>
                      <w:tab w:val="right" w:pos="1714"/>
                    </w:tabs>
                    <w:ind w:firstLine="210" w:firstLineChars="100"/>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14.15</w:t>
                  </w:r>
                </w:p>
              </w:tc>
              <w:tc>
                <w:tcPr>
                  <w:tcW w:w="2510" w:type="dxa"/>
                  <w:noWrap w:val="0"/>
                  <w:vAlign w:val="center"/>
                </w:tcPr>
                <w:p>
                  <w:pPr>
                    <w:jc w:val="center"/>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0.0069</w:t>
                  </w:r>
                </w:p>
              </w:tc>
            </w:tr>
          </w:tbl>
          <w:p>
            <w:pPr>
              <w:snapToGrid w:val="0"/>
              <w:spacing w:line="480" w:lineRule="exact"/>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预测结果见表2</w:t>
            </w:r>
            <w:r>
              <w:rPr>
                <w:rFonts w:hint="default" w:ascii="Times New Roman" w:hAnsi="Times New Roman" w:cs="Times New Roman"/>
                <w:bCs/>
                <w:sz w:val="24"/>
                <w:lang w:val="en-US" w:eastAsia="zh-CN"/>
              </w:rPr>
              <w:t>4</w:t>
            </w:r>
            <w:r>
              <w:rPr>
                <w:rFonts w:hint="default" w:ascii="Times New Roman" w:hAnsi="Times New Roman" w:cs="Times New Roman"/>
                <w:bCs/>
                <w:sz w:val="24"/>
              </w:rPr>
              <w:t>。</w:t>
            </w:r>
          </w:p>
          <w:p>
            <w:pPr>
              <w:widowControl/>
              <w:spacing w:line="360" w:lineRule="auto"/>
              <w:ind w:firstLine="723" w:firstLineChars="300"/>
              <w:jc w:val="center"/>
              <w:rPr>
                <w:rFonts w:hint="default" w:ascii="Times New Roman" w:hAnsi="Times New Roman" w:cs="Times New Roman"/>
                <w:b/>
                <w:bCs/>
                <w:sz w:val="24"/>
              </w:rPr>
            </w:pPr>
            <w:r>
              <w:rPr>
                <w:rFonts w:hint="default" w:ascii="Times New Roman" w:hAnsi="Times New Roman" w:cs="Times New Roman"/>
                <w:b/>
                <w:bCs/>
                <w:sz w:val="24"/>
              </w:rPr>
              <w:t>表2</w:t>
            </w:r>
            <w:r>
              <w:rPr>
                <w:rFonts w:hint="default" w:ascii="Times New Roman" w:hAnsi="Times New Roman" w:cs="Times New Roman"/>
                <w:b/>
                <w:bCs/>
                <w:sz w:val="24"/>
                <w:lang w:val="en-US" w:eastAsia="zh-CN"/>
              </w:rPr>
              <w:t>4</w:t>
            </w:r>
            <w:r>
              <w:rPr>
                <w:rFonts w:hint="default" w:ascii="Times New Roman" w:hAnsi="Times New Roman" w:cs="Times New Roman"/>
                <w:b/>
                <w:bCs/>
                <w:sz w:val="24"/>
              </w:rPr>
              <w:t xml:space="preserve">    </w:t>
            </w:r>
            <w:r>
              <w:rPr>
                <w:rFonts w:hint="default" w:ascii="Times New Roman" w:hAnsi="Times New Roman" w:cs="Times New Roman"/>
                <w:b/>
                <w:bCs/>
                <w:sz w:val="24"/>
                <w:lang w:eastAsia="zh-CN"/>
              </w:rPr>
              <w:t>破碎</w:t>
            </w:r>
            <w:r>
              <w:rPr>
                <w:rFonts w:hint="default" w:ascii="Times New Roman" w:hAnsi="Times New Roman" w:cs="Times New Roman"/>
                <w:b/>
                <w:bCs/>
                <w:sz w:val="24"/>
              </w:rPr>
              <w:t>粉尘估算模式预测结果</w:t>
            </w:r>
          </w:p>
          <w:tbl>
            <w:tblPr>
              <w:tblStyle w:val="30"/>
              <w:tblW w:w="883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278"/>
              <w:gridCol w:w="1932"/>
              <w:gridCol w:w="1670"/>
              <w:gridCol w:w="1479"/>
              <w:gridCol w:w="14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25" w:hRule="atLeast"/>
                <w:jc w:val="center"/>
              </w:trPr>
              <w:tc>
                <w:tcPr>
                  <w:tcW w:w="2278" w:type="dxa"/>
                  <w:vMerge w:val="restart"/>
                  <w:noWrap w:val="0"/>
                  <w:tcMar>
                    <w:top w:w="20" w:type="dxa"/>
                    <w:left w:w="20" w:type="dxa"/>
                    <w:bottom w:w="0" w:type="dxa"/>
                    <w:right w:w="20" w:type="dxa"/>
                  </w:tcMar>
                  <w:vAlign w:val="center"/>
                </w:tcPr>
                <w:p>
                  <w:pPr>
                    <w:snapToGrid w:val="0"/>
                    <w:spacing w:line="240" w:lineRule="exact"/>
                    <w:contextualSpacing/>
                    <w:jc w:val="center"/>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eastAsia="zh-CN"/>
                    </w:rPr>
                    <w:t>下风向距离（</w:t>
                  </w:r>
                  <w:r>
                    <w:rPr>
                      <w:rFonts w:hint="eastAsia" w:ascii="Times New Roman" w:hAnsi="Times New Roman" w:eastAsia="宋体" w:cs="Times New Roman"/>
                      <w:color w:val="FF0000"/>
                      <w:szCs w:val="21"/>
                      <w:lang w:val="en-US" w:eastAsia="zh-CN"/>
                    </w:rPr>
                    <w:t>m</w:t>
                  </w:r>
                  <w:r>
                    <w:rPr>
                      <w:rFonts w:hint="eastAsia" w:ascii="Times New Roman" w:hAnsi="Times New Roman" w:eastAsia="宋体" w:cs="Times New Roman"/>
                      <w:color w:val="FF0000"/>
                      <w:szCs w:val="21"/>
                      <w:lang w:eastAsia="zh-CN"/>
                    </w:rPr>
                    <w:t>）</w:t>
                  </w:r>
                </w:p>
              </w:tc>
              <w:tc>
                <w:tcPr>
                  <w:tcW w:w="3602" w:type="dxa"/>
                  <w:gridSpan w:val="2"/>
                  <w:noWrap w:val="0"/>
                  <w:tcMar>
                    <w:top w:w="20" w:type="dxa"/>
                    <w:left w:w="20" w:type="dxa"/>
                    <w:bottom w:w="0" w:type="dxa"/>
                    <w:right w:w="20" w:type="dxa"/>
                  </w:tcMar>
                  <w:vAlign w:val="center"/>
                </w:tcPr>
                <w:p>
                  <w:pPr>
                    <w:jc w:val="center"/>
                    <w:rPr>
                      <w:rFonts w:hint="eastAsia" w:ascii="Times New Roman" w:hAnsi="Times New Roman" w:eastAsia="宋体" w:cs="Times New Roman"/>
                      <w:color w:val="FF0000"/>
                      <w:szCs w:val="21"/>
                      <w:lang w:eastAsia="zh-CN"/>
                    </w:rPr>
                  </w:pPr>
                  <w:r>
                    <w:rPr>
                      <w:rFonts w:ascii="Times New Roman" w:hAnsi="Times New Roman"/>
                      <w:color w:val="FF0000"/>
                      <w:szCs w:val="21"/>
                    </w:rPr>
                    <w:t>颗粒物（DA001）</w:t>
                  </w:r>
                </w:p>
              </w:tc>
              <w:tc>
                <w:tcPr>
                  <w:tcW w:w="2958" w:type="dxa"/>
                  <w:gridSpan w:val="2"/>
                  <w:noWrap w:val="0"/>
                  <w:vAlign w:val="center"/>
                </w:tcPr>
                <w:p>
                  <w:pPr>
                    <w:jc w:val="center"/>
                    <w:rPr>
                      <w:rFonts w:hint="default" w:ascii="Times New Roman" w:hAnsi="Times New Roman" w:eastAsia="宋体" w:cs="Times New Roman"/>
                      <w:color w:val="FF0000"/>
                      <w:szCs w:val="21"/>
                    </w:rPr>
                  </w:pPr>
                  <w:r>
                    <w:rPr>
                      <w:rFonts w:ascii="Times New Roman" w:hAnsi="Times New Roman"/>
                      <w:color w:val="FF0000"/>
                      <w:szCs w:val="21"/>
                    </w:rPr>
                    <w:t>颗粒物（DA002）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25" w:hRule="atLeast"/>
                <w:jc w:val="center"/>
              </w:trPr>
              <w:tc>
                <w:tcPr>
                  <w:tcW w:w="2278" w:type="dxa"/>
                  <w:vMerge w:val="continue"/>
                  <w:noWrap w:val="0"/>
                  <w:tcMar>
                    <w:top w:w="20" w:type="dxa"/>
                    <w:left w:w="20" w:type="dxa"/>
                    <w:bottom w:w="0" w:type="dxa"/>
                    <w:right w:w="20" w:type="dxa"/>
                  </w:tcMar>
                  <w:vAlign w:val="center"/>
                </w:tcPr>
                <w:p>
                  <w:pPr>
                    <w:snapToGrid w:val="0"/>
                    <w:spacing w:line="240" w:lineRule="exact"/>
                    <w:contextualSpacing/>
                    <w:jc w:val="center"/>
                    <w:rPr>
                      <w:rFonts w:hint="default" w:ascii="Times New Roman" w:hAnsi="Times New Roman" w:eastAsia="宋体" w:cs="Times New Roman"/>
                      <w:color w:val="FF0000"/>
                      <w:szCs w:val="21"/>
                    </w:rPr>
                  </w:pPr>
                </w:p>
              </w:tc>
              <w:tc>
                <w:tcPr>
                  <w:tcW w:w="1932" w:type="dxa"/>
                  <w:noWrap w:val="0"/>
                  <w:tcMar>
                    <w:top w:w="20" w:type="dxa"/>
                    <w:left w:w="20" w:type="dxa"/>
                    <w:bottom w:w="0" w:type="dxa"/>
                    <w:right w:w="20" w:type="dxa"/>
                  </w:tcMar>
                  <w:vAlign w:val="center"/>
                </w:tcPr>
                <w:p>
                  <w:pPr>
                    <w:snapToGrid w:val="0"/>
                    <w:spacing w:line="240" w:lineRule="exact"/>
                    <w:contextualSpacing/>
                    <w:jc w:val="center"/>
                    <w:rPr>
                      <w:rFonts w:hint="default" w:ascii="Times New Roman" w:hAnsi="Times New Roman" w:eastAsia="宋体" w:cs="Times New Roman"/>
                      <w:color w:val="FF0000"/>
                      <w:kern w:val="2"/>
                      <w:sz w:val="21"/>
                      <w:szCs w:val="21"/>
                      <w:lang w:val="en-US" w:eastAsia="zh-CN" w:bidi="ar-SA"/>
                    </w:rPr>
                  </w:pPr>
                  <w:r>
                    <w:rPr>
                      <w:rFonts w:ascii="Times New Roman" w:hAnsi="Times New Roman"/>
                      <w:color w:val="FF0000"/>
                      <w:szCs w:val="21"/>
                    </w:rPr>
                    <w:t>预测质量浓度（μg/m</w:t>
                  </w:r>
                  <w:r>
                    <w:rPr>
                      <w:rFonts w:ascii="Times New Roman" w:hAnsi="Times New Roman"/>
                      <w:color w:val="FF0000"/>
                      <w:szCs w:val="21"/>
                      <w:vertAlign w:val="superscript"/>
                    </w:rPr>
                    <w:t>3</w:t>
                  </w:r>
                  <w:r>
                    <w:rPr>
                      <w:rFonts w:ascii="Times New Roman" w:hAnsi="Times New Roman"/>
                      <w:color w:val="FF0000"/>
                      <w:szCs w:val="21"/>
                    </w:rPr>
                    <w:t>）</w:t>
                  </w:r>
                </w:p>
              </w:tc>
              <w:tc>
                <w:tcPr>
                  <w:tcW w:w="1670" w:type="dxa"/>
                  <w:noWrap w:val="0"/>
                  <w:vAlign w:val="center"/>
                </w:tcPr>
                <w:p>
                  <w:pPr>
                    <w:snapToGrid w:val="0"/>
                    <w:spacing w:line="240" w:lineRule="exact"/>
                    <w:contextualSpacing/>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Cs w:val="21"/>
                    </w:rPr>
                    <w:t>占标率</w:t>
                  </w:r>
                  <w:r>
                    <w:rPr>
                      <w:rFonts w:ascii="Times New Roman" w:hAnsi="Times New Roman"/>
                      <w:color w:val="FF0000"/>
                      <w:szCs w:val="21"/>
                    </w:rPr>
                    <w:t>(%)</w:t>
                  </w:r>
                </w:p>
              </w:tc>
              <w:tc>
                <w:tcPr>
                  <w:tcW w:w="1479" w:type="dxa"/>
                  <w:noWrap w:val="0"/>
                  <w:vAlign w:val="center"/>
                </w:tcPr>
                <w:p>
                  <w:pPr>
                    <w:snapToGrid w:val="0"/>
                    <w:spacing w:line="240" w:lineRule="exact"/>
                    <w:contextualSpacing/>
                    <w:jc w:val="center"/>
                    <w:rPr>
                      <w:rFonts w:hint="default" w:ascii="Times New Roman" w:hAnsi="Times New Roman" w:eastAsia="宋体" w:cs="Times New Roman"/>
                      <w:color w:val="FF0000"/>
                      <w:kern w:val="2"/>
                      <w:sz w:val="21"/>
                      <w:szCs w:val="21"/>
                      <w:lang w:val="en-US" w:eastAsia="zh-CN" w:bidi="ar-SA"/>
                    </w:rPr>
                  </w:pPr>
                  <w:r>
                    <w:rPr>
                      <w:rFonts w:ascii="Times New Roman" w:hAnsi="Times New Roman"/>
                      <w:color w:val="FF0000"/>
                      <w:szCs w:val="21"/>
                    </w:rPr>
                    <w:t>预测质量浓度（μg/m</w:t>
                  </w:r>
                  <w:r>
                    <w:rPr>
                      <w:rFonts w:ascii="Times New Roman" w:hAnsi="Times New Roman"/>
                      <w:color w:val="FF0000"/>
                      <w:szCs w:val="21"/>
                      <w:vertAlign w:val="superscript"/>
                    </w:rPr>
                    <w:t>3</w:t>
                  </w:r>
                  <w:r>
                    <w:rPr>
                      <w:rFonts w:ascii="Times New Roman" w:hAnsi="Times New Roman"/>
                      <w:color w:val="FF0000"/>
                      <w:szCs w:val="21"/>
                    </w:rPr>
                    <w:t>）</w:t>
                  </w:r>
                </w:p>
              </w:tc>
              <w:tc>
                <w:tcPr>
                  <w:tcW w:w="1479" w:type="dxa"/>
                  <w:noWrap w:val="0"/>
                  <w:vAlign w:val="center"/>
                </w:tcPr>
                <w:p>
                  <w:pPr>
                    <w:snapToGrid w:val="0"/>
                    <w:spacing w:line="240" w:lineRule="exact"/>
                    <w:contextualSpacing/>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Cs w:val="21"/>
                    </w:rPr>
                    <w:t>占标率</w:t>
                  </w:r>
                  <w:r>
                    <w:rPr>
                      <w:rFonts w:ascii="Times New Roman" w:hAnsi="Times New Roman"/>
                      <w:color w:val="FF0000"/>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0.017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0.004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0.012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0.003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25</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11.910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2.647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7.940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1.764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50</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5.096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1.133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3.398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0.755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75</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3.511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0.780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2.341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0.520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100</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3.010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0.669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2.007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0.446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31" w:hRule="atLeast"/>
                <w:jc w:val="center"/>
              </w:trPr>
              <w:tc>
                <w:tcPr>
                  <w:tcW w:w="2278"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125</w:t>
                  </w:r>
                </w:p>
              </w:tc>
              <w:tc>
                <w:tcPr>
                  <w:tcW w:w="1932" w:type="dxa"/>
                  <w:noWrap w:val="0"/>
                  <w:tcMar>
                    <w:top w:w="20" w:type="dxa"/>
                    <w:left w:w="20" w:type="dxa"/>
                    <w:bottom w:w="0" w:type="dxa"/>
                    <w:right w:w="20" w:type="dxa"/>
                  </w:tcMar>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2.603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0.578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1.735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0.386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150</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2.291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0.509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1.527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0.339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175</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2.062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0.458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1.374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0.305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widowControl/>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200</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1.880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0.418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1.254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0.279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225</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1.734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0.385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1.156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0.257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b/>
                      <w:color w:val="FF0000"/>
                      <w:sz w:val="21"/>
                      <w:szCs w:val="21"/>
                    </w:rPr>
                    <w:t>….</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rPr>
                    <w:t>….</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rPr>
                    <w:t>….</w:t>
                  </w:r>
                </w:p>
              </w:tc>
              <w:tc>
                <w:tcPr>
                  <w:tcW w:w="1479"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w:t>
                  </w:r>
                </w:p>
              </w:tc>
              <w:tc>
                <w:tcPr>
                  <w:tcW w:w="1479"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widowControl/>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4950</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0.180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0.040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0.120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0.027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4975</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0.179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0.040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0.120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0.027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5000</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0.179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0.040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0.119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0.026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ascii="Times New Roman" w:hAnsi="Times New Roman"/>
                      <w:color w:val="FF0000"/>
                      <w:szCs w:val="21"/>
                    </w:rPr>
                    <w:t>下风向最大质量浓度及占标率（%）</w:t>
                  </w:r>
                </w:p>
              </w:tc>
              <w:tc>
                <w:tcPr>
                  <w:tcW w:w="1932"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15.180 </w:t>
                  </w:r>
                </w:p>
              </w:tc>
              <w:tc>
                <w:tcPr>
                  <w:tcW w:w="1670"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3.373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10.120 </w:t>
                  </w:r>
                </w:p>
              </w:tc>
              <w:tc>
                <w:tcPr>
                  <w:tcW w:w="1479" w:type="dxa"/>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 xml:space="preserve">2.249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2278" w:type="dxa"/>
                  <w:noWrap w:val="0"/>
                  <w:vAlign w:val="center"/>
                </w:tcPr>
                <w:p>
                  <w:pPr>
                    <w:jc w:val="center"/>
                    <w:rPr>
                      <w:rFonts w:hint="default" w:ascii="Times New Roman" w:hAnsi="Times New Roman" w:eastAsia="宋体" w:cs="Times New Roman"/>
                      <w:color w:val="FF0000"/>
                      <w:sz w:val="21"/>
                      <w:szCs w:val="21"/>
                    </w:rPr>
                  </w:pPr>
                  <w:r>
                    <w:rPr>
                      <w:rFonts w:ascii="Times New Roman" w:hAnsi="Times New Roman"/>
                      <w:iCs/>
                      <w:color w:val="FF0000"/>
                      <w:szCs w:val="21"/>
                    </w:rPr>
                    <w:t>最大质量浓度落地</w:t>
                  </w:r>
                  <w:r>
                    <w:rPr>
                      <w:rFonts w:ascii="Times New Roman" w:hAnsi="Times New Roman"/>
                      <w:color w:val="FF0000"/>
                      <w:szCs w:val="21"/>
                    </w:rPr>
                    <w:t>最远距离（m）</w:t>
                  </w:r>
                </w:p>
              </w:tc>
              <w:tc>
                <w:tcPr>
                  <w:tcW w:w="3602" w:type="dxa"/>
                  <w:gridSpan w:val="2"/>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2</w:t>
                  </w:r>
                  <w:r>
                    <w:rPr>
                      <w:rFonts w:hint="eastAsia" w:ascii="Times New Roman" w:hAnsi="Times New Roman" w:eastAsia="宋体" w:cs="Times New Roman"/>
                      <w:color w:val="FF0000"/>
                      <w:sz w:val="21"/>
                      <w:szCs w:val="21"/>
                      <w:lang w:val="en-US" w:eastAsia="zh-CN"/>
                    </w:rPr>
                    <w:t>4</w:t>
                  </w:r>
                </w:p>
              </w:tc>
              <w:tc>
                <w:tcPr>
                  <w:tcW w:w="2958" w:type="dxa"/>
                  <w:gridSpan w:val="2"/>
                  <w:noWrap w:val="0"/>
                  <w:vAlign w:val="center"/>
                </w:tcPr>
                <w:p>
                  <w:pPr>
                    <w:jc w:val="center"/>
                    <w:rPr>
                      <w:rFonts w:hint="default"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24</w:t>
                  </w:r>
                </w:p>
              </w:tc>
            </w:tr>
          </w:tbl>
          <w:p>
            <w:pPr>
              <w:snapToGrid w:val="0"/>
              <w:spacing w:line="48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color w:val="FF0000"/>
                <w:sz w:val="24"/>
              </w:rPr>
              <w:t>由上表预测结果可知，经处理后，</w:t>
            </w:r>
            <w:r>
              <w:rPr>
                <w:rFonts w:hint="eastAsia" w:ascii="Times New Roman" w:hAnsi="Times New Roman" w:cs="Times New Roman"/>
                <w:color w:val="FF0000"/>
                <w:sz w:val="24"/>
                <w:lang w:eastAsia="zh-CN"/>
              </w:rPr>
              <w:t>颚式</w:t>
            </w:r>
            <w:r>
              <w:rPr>
                <w:rFonts w:hint="default" w:ascii="Times New Roman" w:hAnsi="Times New Roman" w:cs="Times New Roman"/>
                <w:color w:val="FF0000"/>
                <w:sz w:val="24"/>
                <w:lang w:eastAsia="zh-CN"/>
              </w:rPr>
              <w:t>破碎</w:t>
            </w:r>
            <w:r>
              <w:rPr>
                <w:rFonts w:hint="default" w:ascii="Times New Roman" w:hAnsi="Times New Roman" w:cs="Times New Roman"/>
                <w:color w:val="FF0000"/>
                <w:sz w:val="24"/>
              </w:rPr>
              <w:t>粉尘</w:t>
            </w:r>
            <w:r>
              <w:rPr>
                <w:rFonts w:ascii="Times New Roman" w:hAnsi="Times New Roman"/>
                <w:color w:val="FF0000"/>
                <w:kern w:val="0"/>
                <w:sz w:val="24"/>
                <w:szCs w:val="24"/>
              </w:rPr>
              <w:t>DA001排气筒颗粒物</w:t>
            </w:r>
            <w:r>
              <w:rPr>
                <w:rFonts w:hint="default" w:ascii="Times New Roman" w:hAnsi="Times New Roman" w:cs="Times New Roman"/>
                <w:color w:val="FF0000"/>
                <w:sz w:val="24"/>
              </w:rPr>
              <w:t>最大地面质量浓度为</w:t>
            </w:r>
            <w:r>
              <w:rPr>
                <w:rFonts w:hint="eastAsia" w:ascii="Times New Roman" w:hAnsi="Times New Roman" w:cs="Times New Roman"/>
                <w:color w:val="FF0000"/>
                <w:sz w:val="24"/>
                <w:lang w:val="en-US" w:eastAsia="zh-CN"/>
              </w:rPr>
              <w:t>15.18</w:t>
            </w:r>
            <w:r>
              <w:rPr>
                <w:rFonts w:hint="default" w:ascii="Times New Roman" w:hAnsi="Times New Roman" w:cs="Times New Roman"/>
                <w:color w:val="FF0000"/>
                <w:sz w:val="24"/>
                <w:lang w:val="en-US" w:eastAsia="zh-CN"/>
              </w:rPr>
              <w:t>u</w:t>
            </w:r>
            <w:r>
              <w:rPr>
                <w:rFonts w:hint="default" w:ascii="Times New Roman" w:hAnsi="Times New Roman" w:cs="Times New Roman"/>
                <w:color w:val="FF0000"/>
                <w:sz w:val="24"/>
              </w:rPr>
              <w:t>g/m</w:t>
            </w:r>
            <w:r>
              <w:rPr>
                <w:rFonts w:hint="default" w:ascii="Times New Roman" w:hAnsi="Times New Roman" w:cs="Times New Roman"/>
                <w:color w:val="FF0000"/>
                <w:sz w:val="24"/>
                <w:vertAlign w:val="superscript"/>
              </w:rPr>
              <w:t>3</w:t>
            </w:r>
            <w:r>
              <w:rPr>
                <w:rFonts w:hint="default" w:ascii="Times New Roman" w:hAnsi="Times New Roman" w:cs="Times New Roman"/>
                <w:color w:val="FF0000"/>
                <w:sz w:val="24"/>
              </w:rPr>
              <w:t>，</w:t>
            </w:r>
            <w:r>
              <w:rPr>
                <w:rFonts w:ascii="Times New Roman" w:hAnsi="Times New Roman"/>
                <w:color w:val="FF0000"/>
                <w:kern w:val="0"/>
                <w:sz w:val="24"/>
                <w:szCs w:val="24"/>
              </w:rPr>
              <w:t>最大浓度占标率为</w:t>
            </w:r>
            <w:r>
              <w:rPr>
                <w:rFonts w:hint="eastAsia" w:ascii="Times New Roman" w:hAnsi="Times New Roman"/>
                <w:color w:val="FF0000"/>
                <w:kern w:val="0"/>
                <w:sz w:val="24"/>
                <w:szCs w:val="24"/>
                <w:lang w:val="en-US" w:eastAsia="zh-CN"/>
              </w:rPr>
              <w:t>3.373</w:t>
            </w:r>
            <w:r>
              <w:rPr>
                <w:rFonts w:ascii="Times New Roman" w:hAnsi="Times New Roman"/>
                <w:color w:val="FF0000"/>
                <w:kern w:val="0"/>
                <w:sz w:val="24"/>
                <w:szCs w:val="24"/>
              </w:rPr>
              <w:t>%</w:t>
            </w:r>
            <w:r>
              <w:rPr>
                <w:rFonts w:hint="eastAsia" w:ascii="Times New Roman" w:hAnsi="Times New Roman"/>
                <w:color w:val="FF0000"/>
                <w:kern w:val="0"/>
                <w:sz w:val="24"/>
                <w:szCs w:val="24"/>
                <w:lang w:eastAsia="zh-CN"/>
              </w:rPr>
              <w:t>，</w:t>
            </w:r>
            <w:r>
              <w:rPr>
                <w:rFonts w:hint="default" w:ascii="Times New Roman" w:hAnsi="Times New Roman" w:cs="Times New Roman"/>
                <w:color w:val="FF0000"/>
                <w:sz w:val="24"/>
              </w:rPr>
              <w:t>最大地面质量浓度出现距离为距源</w:t>
            </w:r>
            <w:r>
              <w:rPr>
                <w:rFonts w:hint="default" w:ascii="Times New Roman" w:hAnsi="Times New Roman" w:cs="Times New Roman"/>
                <w:color w:val="FF0000"/>
                <w:sz w:val="24"/>
                <w:lang w:val="en-US" w:eastAsia="zh-CN"/>
              </w:rPr>
              <w:t>2</w:t>
            </w:r>
            <w:r>
              <w:rPr>
                <w:rFonts w:hint="eastAsia" w:ascii="Times New Roman" w:hAnsi="Times New Roman" w:cs="Times New Roman"/>
                <w:color w:val="FF0000"/>
                <w:sz w:val="24"/>
                <w:lang w:val="en-US" w:eastAsia="zh-CN"/>
              </w:rPr>
              <w:t>4</w:t>
            </w:r>
            <w:r>
              <w:rPr>
                <w:rFonts w:hint="default" w:ascii="Times New Roman" w:hAnsi="Times New Roman" w:cs="Times New Roman"/>
                <w:color w:val="FF0000"/>
                <w:sz w:val="24"/>
              </w:rPr>
              <w:t>m，</w:t>
            </w:r>
            <w:r>
              <w:rPr>
                <w:rFonts w:hint="eastAsia" w:ascii="Times New Roman" w:hAnsi="Times New Roman" w:cs="Times New Roman"/>
                <w:color w:val="FF0000"/>
                <w:sz w:val="24"/>
                <w:lang w:eastAsia="zh-CN"/>
              </w:rPr>
              <w:t>锤式</w:t>
            </w:r>
            <w:r>
              <w:rPr>
                <w:rFonts w:hint="default" w:ascii="Times New Roman" w:hAnsi="Times New Roman" w:cs="Times New Roman"/>
                <w:color w:val="FF0000"/>
                <w:sz w:val="24"/>
                <w:lang w:eastAsia="zh-CN"/>
              </w:rPr>
              <w:t>破碎</w:t>
            </w:r>
            <w:r>
              <w:rPr>
                <w:rFonts w:hint="default" w:ascii="Times New Roman" w:hAnsi="Times New Roman" w:cs="Times New Roman"/>
                <w:color w:val="FF0000"/>
                <w:sz w:val="24"/>
              </w:rPr>
              <w:t>粉尘</w:t>
            </w:r>
            <w:r>
              <w:rPr>
                <w:rFonts w:ascii="Times New Roman" w:hAnsi="Times New Roman"/>
                <w:color w:val="FF0000"/>
                <w:kern w:val="0"/>
                <w:sz w:val="24"/>
                <w:szCs w:val="24"/>
              </w:rPr>
              <w:t>DA00</w:t>
            </w:r>
            <w:r>
              <w:rPr>
                <w:rFonts w:hint="eastAsia" w:ascii="Times New Roman" w:hAnsi="Times New Roman"/>
                <w:color w:val="FF0000"/>
                <w:kern w:val="0"/>
                <w:sz w:val="24"/>
                <w:szCs w:val="24"/>
                <w:lang w:val="en-US" w:eastAsia="zh-CN"/>
              </w:rPr>
              <w:t>2</w:t>
            </w:r>
            <w:r>
              <w:rPr>
                <w:rFonts w:ascii="Times New Roman" w:hAnsi="Times New Roman"/>
                <w:color w:val="FF0000"/>
                <w:kern w:val="0"/>
                <w:sz w:val="24"/>
                <w:szCs w:val="24"/>
              </w:rPr>
              <w:t>排气筒颗粒物</w:t>
            </w:r>
            <w:r>
              <w:rPr>
                <w:rFonts w:hint="default" w:ascii="Times New Roman" w:hAnsi="Times New Roman" w:cs="Times New Roman"/>
                <w:color w:val="FF0000"/>
                <w:sz w:val="24"/>
              </w:rPr>
              <w:t>最大地面质量浓度为</w:t>
            </w:r>
            <w:r>
              <w:rPr>
                <w:rFonts w:hint="eastAsia" w:ascii="Times New Roman" w:hAnsi="Times New Roman" w:cs="Times New Roman"/>
                <w:color w:val="FF0000"/>
                <w:sz w:val="24"/>
                <w:lang w:val="en-US" w:eastAsia="zh-CN"/>
              </w:rPr>
              <w:t>10.12</w:t>
            </w:r>
            <w:r>
              <w:rPr>
                <w:rFonts w:hint="default" w:ascii="Times New Roman" w:hAnsi="Times New Roman" w:cs="Times New Roman"/>
                <w:color w:val="FF0000"/>
                <w:sz w:val="24"/>
                <w:lang w:val="en-US" w:eastAsia="zh-CN"/>
              </w:rPr>
              <w:t>u</w:t>
            </w:r>
            <w:r>
              <w:rPr>
                <w:rFonts w:hint="default" w:ascii="Times New Roman" w:hAnsi="Times New Roman" w:cs="Times New Roman"/>
                <w:color w:val="FF0000"/>
                <w:sz w:val="24"/>
              </w:rPr>
              <w:t>g/m</w:t>
            </w:r>
            <w:r>
              <w:rPr>
                <w:rFonts w:hint="default" w:ascii="Times New Roman" w:hAnsi="Times New Roman" w:cs="Times New Roman"/>
                <w:color w:val="FF0000"/>
                <w:sz w:val="24"/>
                <w:vertAlign w:val="superscript"/>
              </w:rPr>
              <w:t>3</w:t>
            </w:r>
            <w:r>
              <w:rPr>
                <w:rFonts w:hint="default" w:ascii="Times New Roman" w:hAnsi="Times New Roman" w:cs="Times New Roman"/>
                <w:color w:val="FF0000"/>
                <w:sz w:val="24"/>
              </w:rPr>
              <w:t>，</w:t>
            </w:r>
            <w:r>
              <w:rPr>
                <w:rFonts w:ascii="Times New Roman" w:hAnsi="Times New Roman"/>
                <w:color w:val="FF0000"/>
                <w:kern w:val="0"/>
                <w:sz w:val="24"/>
                <w:szCs w:val="24"/>
              </w:rPr>
              <w:t>最大浓度占标率为</w:t>
            </w:r>
            <w:r>
              <w:rPr>
                <w:rFonts w:hint="eastAsia" w:ascii="Times New Roman" w:hAnsi="Times New Roman"/>
                <w:color w:val="FF0000"/>
                <w:kern w:val="0"/>
                <w:sz w:val="24"/>
                <w:szCs w:val="24"/>
                <w:lang w:val="en-US" w:eastAsia="zh-CN"/>
              </w:rPr>
              <w:t>2.249</w:t>
            </w:r>
            <w:r>
              <w:rPr>
                <w:rFonts w:ascii="Times New Roman" w:hAnsi="Times New Roman"/>
                <w:color w:val="FF0000"/>
                <w:kern w:val="0"/>
                <w:sz w:val="24"/>
                <w:szCs w:val="24"/>
              </w:rPr>
              <w:t>%</w:t>
            </w:r>
            <w:r>
              <w:rPr>
                <w:rFonts w:hint="eastAsia" w:ascii="Times New Roman" w:hAnsi="Times New Roman"/>
                <w:color w:val="FF0000"/>
                <w:kern w:val="0"/>
                <w:sz w:val="24"/>
                <w:szCs w:val="24"/>
                <w:lang w:eastAsia="zh-CN"/>
              </w:rPr>
              <w:t>，</w:t>
            </w:r>
            <w:r>
              <w:rPr>
                <w:rFonts w:hint="default" w:ascii="Times New Roman" w:hAnsi="Times New Roman" w:cs="Times New Roman"/>
                <w:color w:val="FF0000"/>
                <w:sz w:val="24"/>
              </w:rPr>
              <w:t>最大地面质量浓度出现距离为距源</w:t>
            </w:r>
            <w:r>
              <w:rPr>
                <w:rFonts w:hint="default" w:ascii="Times New Roman" w:hAnsi="Times New Roman" w:cs="Times New Roman"/>
                <w:color w:val="FF0000"/>
                <w:sz w:val="24"/>
                <w:lang w:val="en-US" w:eastAsia="zh-CN"/>
              </w:rPr>
              <w:t>2</w:t>
            </w:r>
            <w:r>
              <w:rPr>
                <w:rFonts w:hint="eastAsia" w:ascii="Times New Roman" w:hAnsi="Times New Roman" w:cs="Times New Roman"/>
                <w:color w:val="FF0000"/>
                <w:sz w:val="24"/>
                <w:lang w:val="en-US" w:eastAsia="zh-CN"/>
              </w:rPr>
              <w:t>4</w:t>
            </w:r>
            <w:r>
              <w:rPr>
                <w:rFonts w:hint="default" w:ascii="Times New Roman" w:hAnsi="Times New Roman" w:cs="Times New Roman"/>
                <w:color w:val="FF0000"/>
                <w:sz w:val="24"/>
              </w:rPr>
              <w:t>m</w:t>
            </w:r>
            <w:r>
              <w:rPr>
                <w:rFonts w:hint="eastAsia" w:ascii="Times New Roman" w:hAnsi="Times New Roman" w:cs="Times New Roman"/>
                <w:color w:val="FF0000"/>
                <w:sz w:val="24"/>
                <w:lang w:eastAsia="zh-CN"/>
              </w:rPr>
              <w:t>，</w:t>
            </w:r>
            <w:r>
              <w:rPr>
                <w:rFonts w:hint="default" w:ascii="Times New Roman" w:hAnsi="Times New Roman" w:cs="Times New Roman"/>
                <w:color w:val="FF0000"/>
                <w:kern w:val="0"/>
                <w:sz w:val="24"/>
              </w:rPr>
              <w:t>污染物最大落地浓度均满足</w:t>
            </w:r>
            <w:r>
              <w:rPr>
                <w:rFonts w:hint="default" w:ascii="Times New Roman" w:hAnsi="Times New Roman" w:cs="Times New Roman"/>
                <w:color w:val="FF0000"/>
                <w:sz w:val="24"/>
              </w:rPr>
              <w:t>《环境空气质量标准》（GB3095-2012）中二级标准</w:t>
            </w:r>
            <w:r>
              <w:rPr>
                <w:rFonts w:hint="default" w:ascii="Times New Roman" w:hAnsi="Times New Roman" w:cs="Times New Roman"/>
                <w:color w:val="FF0000"/>
                <w:kern w:val="0"/>
                <w:sz w:val="24"/>
              </w:rPr>
              <w:t>，对周围环境空气影响较小。</w:t>
            </w:r>
          </w:p>
          <w:p>
            <w:pPr>
              <w:snapToGrid w:val="0"/>
              <w:spacing w:line="480" w:lineRule="exact"/>
              <w:ind w:firstLine="480" w:firstLineChars="200"/>
              <w:contextualSpacing/>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（2）</w:t>
            </w:r>
            <w:r>
              <w:rPr>
                <w:rFonts w:hint="default" w:ascii="Times New Roman" w:hAnsi="Times New Roman" w:cs="Times New Roman"/>
                <w:bCs/>
                <w:color w:val="000000"/>
                <w:sz w:val="24"/>
                <w:szCs w:val="24"/>
              </w:rPr>
              <w:t>无组织粉尘环境影响分析</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本项目无组织排放源主要有</w:t>
            </w:r>
            <w:r>
              <w:rPr>
                <w:rFonts w:hint="default" w:ascii="Times New Roman" w:hAnsi="Times New Roman" w:cs="Times New Roman"/>
                <w:color w:val="000000"/>
                <w:spacing w:val="2"/>
                <w:sz w:val="24"/>
              </w:rPr>
              <w:t>原料储棚扬尘、物料装卸扬尘、搅拌过程扬尘、传送带扬尘、汽车运输扬尘及车辆尾气</w:t>
            </w:r>
            <w:r>
              <w:rPr>
                <w:rFonts w:hint="default" w:ascii="Times New Roman" w:hAnsi="Times New Roman" w:cs="Times New Roman"/>
                <w:color w:val="000000"/>
                <w:sz w:val="24"/>
                <w:szCs w:val="24"/>
              </w:rPr>
              <w:t>。</w:t>
            </w:r>
          </w:p>
          <w:p>
            <w:pPr>
              <w:spacing w:line="480" w:lineRule="atLeast"/>
              <w:ind w:firstLine="480" w:firstLineChars="200"/>
              <w:rPr>
                <w:rFonts w:hint="default" w:ascii="Times New Roman" w:hAnsi="Times New Roman" w:cs="Times New Roman"/>
                <w:sz w:val="24"/>
              </w:rPr>
            </w:pPr>
            <w:r>
              <w:rPr>
                <w:rFonts w:hint="default" w:ascii="Times New Roman" w:hAnsi="Times New Roman" w:cs="Times New Roman"/>
                <w:sz w:val="24"/>
              </w:rPr>
              <w:t>由于本项目在2016年5月已经开始运行，本次针对项目实际情况，对厂界设置了无组织监控点位对TSP进行监测。监测工况是在项目正常运行的情况下，卸料、投料、搅拌等设备正常运行，已采取的环保措施工况正常。监测点位图详见附图。监测结果如下表所示。</w:t>
            </w:r>
          </w:p>
          <w:p>
            <w:pPr>
              <w:spacing w:line="480" w:lineRule="atLeast"/>
              <w:jc w:val="center"/>
              <w:rPr>
                <w:rFonts w:hint="default" w:ascii="Times New Roman" w:hAnsi="Times New Roman" w:cs="Times New Roman"/>
                <w:b/>
                <w:sz w:val="24"/>
              </w:rPr>
            </w:pPr>
            <w:r>
              <w:rPr>
                <w:rFonts w:hint="default" w:ascii="Times New Roman" w:hAnsi="Times New Roman" w:cs="Times New Roman"/>
                <w:b/>
                <w:sz w:val="24"/>
              </w:rPr>
              <w:t>表2</w:t>
            </w:r>
            <w:r>
              <w:rPr>
                <w:rFonts w:hint="default" w:ascii="Times New Roman" w:hAnsi="Times New Roman" w:cs="Times New Roman"/>
                <w:b/>
                <w:sz w:val="24"/>
                <w:lang w:val="en-US" w:eastAsia="zh-CN"/>
              </w:rPr>
              <w:t>5</w:t>
            </w:r>
            <w:r>
              <w:rPr>
                <w:rFonts w:hint="default" w:ascii="Times New Roman" w:hAnsi="Times New Roman" w:cs="Times New Roman"/>
                <w:b/>
                <w:sz w:val="24"/>
              </w:rPr>
              <w:t xml:space="preserve">   无组织监测结果一览表   （mg/m</w:t>
            </w:r>
            <w:r>
              <w:rPr>
                <w:rFonts w:hint="default" w:ascii="Times New Roman" w:hAnsi="Times New Roman" w:cs="Times New Roman"/>
                <w:b/>
                <w:sz w:val="24"/>
                <w:vertAlign w:val="superscript"/>
              </w:rPr>
              <w:t>3</w:t>
            </w:r>
            <w:r>
              <w:rPr>
                <w:rFonts w:hint="default" w:ascii="Times New Roman" w:hAnsi="Times New Roman" w:cs="Times New Roman"/>
                <w:b/>
                <w:sz w:val="24"/>
              </w:rPr>
              <w:t>）</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267"/>
              <w:gridCol w:w="1985"/>
              <w:gridCol w:w="1560"/>
              <w:gridCol w:w="8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时间</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最大监测值</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达标情况</w:t>
                  </w:r>
                </w:p>
              </w:tc>
              <w:tc>
                <w:tcPr>
                  <w:tcW w:w="85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restart"/>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厂界东</w:t>
                  </w: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2017.12.20</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0.249</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restart"/>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continue"/>
                  <w:noWrap w:val="0"/>
                  <w:vAlign w:val="center"/>
                </w:tcPr>
                <w:p>
                  <w:pPr>
                    <w:spacing w:line="240" w:lineRule="exact"/>
                    <w:jc w:val="center"/>
                    <w:rPr>
                      <w:rFonts w:hint="default" w:ascii="Times New Roman" w:hAnsi="Times New Roman" w:cs="Times New Roman"/>
                      <w:szCs w:val="21"/>
                    </w:rPr>
                  </w:pP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2017.12.21</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0.250</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restart"/>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厂界南</w:t>
                  </w: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2017.12.20</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0.301</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continue"/>
                  <w:noWrap w:val="0"/>
                  <w:vAlign w:val="center"/>
                </w:tcPr>
                <w:p>
                  <w:pPr>
                    <w:spacing w:line="240" w:lineRule="exact"/>
                    <w:jc w:val="center"/>
                    <w:rPr>
                      <w:rFonts w:hint="default" w:ascii="Times New Roman" w:hAnsi="Times New Roman" w:cs="Times New Roman"/>
                      <w:szCs w:val="21"/>
                    </w:rPr>
                  </w:pP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2017.12.21</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0.302</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restart"/>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厂界西</w:t>
                  </w: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2017.12.20</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0.286</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continue"/>
                  <w:noWrap w:val="0"/>
                  <w:vAlign w:val="center"/>
                </w:tcPr>
                <w:p>
                  <w:pPr>
                    <w:spacing w:line="240" w:lineRule="exact"/>
                    <w:jc w:val="center"/>
                    <w:rPr>
                      <w:rFonts w:hint="default" w:ascii="Times New Roman" w:hAnsi="Times New Roman" w:cs="Times New Roman"/>
                      <w:szCs w:val="21"/>
                    </w:rPr>
                  </w:pP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2017.12.21</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0.308</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restart"/>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厂界北</w:t>
                  </w: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2017.12.20</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0.288</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dxa"/>
                <w:trHeight w:val="284" w:hRule="atLeast"/>
              </w:trPr>
              <w:tc>
                <w:tcPr>
                  <w:tcW w:w="2119" w:type="dxa"/>
                  <w:vMerge w:val="continue"/>
                  <w:noWrap w:val="0"/>
                  <w:vAlign w:val="center"/>
                </w:tcPr>
                <w:p>
                  <w:pPr>
                    <w:spacing w:line="240" w:lineRule="exact"/>
                    <w:jc w:val="center"/>
                    <w:rPr>
                      <w:rFonts w:hint="default" w:ascii="Times New Roman" w:hAnsi="Times New Roman" w:cs="Times New Roman"/>
                      <w:szCs w:val="21"/>
                    </w:rPr>
                  </w:pPr>
                </w:p>
              </w:tc>
              <w:tc>
                <w:tcPr>
                  <w:tcW w:w="2267"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2017.12.21</w:t>
                  </w:r>
                </w:p>
              </w:tc>
              <w:tc>
                <w:tcPr>
                  <w:tcW w:w="1985"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0.286</w:t>
                  </w:r>
                </w:p>
              </w:tc>
              <w:tc>
                <w:tcPr>
                  <w:tcW w:w="1560"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达标</w:t>
                  </w:r>
                </w:p>
              </w:tc>
              <w:tc>
                <w:tcPr>
                  <w:tcW w:w="850" w:type="dxa"/>
                  <w:vMerge w:val="continue"/>
                  <w:noWrap w:val="0"/>
                  <w:vAlign w:val="center"/>
                </w:tcPr>
                <w:p>
                  <w:pPr>
                    <w:spacing w:line="240" w:lineRule="exact"/>
                    <w:jc w:val="center"/>
                    <w:rPr>
                      <w:rFonts w:hint="default" w:ascii="Times New Roman" w:hAnsi="Times New Roman" w:cs="Times New Roman"/>
                      <w:szCs w:val="21"/>
                    </w:rPr>
                  </w:pPr>
                </w:p>
              </w:tc>
            </w:tr>
          </w:tbl>
          <w:p>
            <w:pPr>
              <w:spacing w:line="480" w:lineRule="atLeast"/>
              <w:ind w:firstLine="480" w:firstLineChars="200"/>
              <w:rPr>
                <w:rFonts w:hint="default" w:ascii="Times New Roman" w:hAnsi="Times New Roman" w:cs="Times New Roman"/>
                <w:color w:val="FF0000"/>
                <w:sz w:val="24"/>
              </w:rPr>
            </w:pPr>
            <w:r>
              <w:rPr>
                <w:rFonts w:hint="default" w:ascii="Times New Roman" w:hAnsi="Times New Roman" w:cs="Times New Roman"/>
                <w:color w:val="FF0000"/>
                <w:sz w:val="24"/>
              </w:rPr>
              <w:t>从上表可知，项目区域四周无组织监控点最大值均满足</w:t>
            </w:r>
            <w:r>
              <w:rPr>
                <w:rFonts w:hint="default" w:ascii="Times New Roman" w:hAnsi="Times New Roman" w:eastAsia="宋体" w:cs="Times New Roman"/>
                <w:color w:val="FF0000"/>
                <w:kern w:val="0"/>
                <w:sz w:val="24"/>
              </w:rPr>
              <w:t>《</w:t>
            </w:r>
            <w:r>
              <w:rPr>
                <w:rFonts w:hint="default" w:ascii="Times New Roman" w:hAnsi="Times New Roman" w:eastAsia="宋体" w:cs="Times New Roman"/>
                <w:color w:val="FF0000"/>
                <w:kern w:val="0"/>
                <w:sz w:val="24"/>
                <w:szCs w:val="22"/>
              </w:rPr>
              <w:t>砖瓦工业大气污染物排放标准</w:t>
            </w:r>
            <w:r>
              <w:rPr>
                <w:rFonts w:hint="default" w:ascii="Times New Roman" w:hAnsi="Times New Roman" w:eastAsia="宋体" w:cs="Times New Roman"/>
                <w:color w:val="FF0000"/>
                <w:kern w:val="0"/>
                <w:sz w:val="24"/>
              </w:rPr>
              <w:t>》（</w:t>
            </w:r>
            <w:r>
              <w:rPr>
                <w:rFonts w:hint="default" w:ascii="Times New Roman" w:hAnsi="Times New Roman" w:eastAsia="宋体" w:cs="Times New Roman"/>
                <w:color w:val="FF0000"/>
                <w:kern w:val="0"/>
                <w:sz w:val="24"/>
                <w:szCs w:val="22"/>
              </w:rPr>
              <w:t>GB29620-2013</w:t>
            </w:r>
            <w:r>
              <w:rPr>
                <w:rFonts w:hint="default" w:ascii="Times New Roman" w:hAnsi="Times New Roman" w:eastAsia="宋体" w:cs="Times New Roman"/>
                <w:color w:val="FF0000"/>
                <w:kern w:val="0"/>
                <w:sz w:val="24"/>
              </w:rPr>
              <w:t>）表</w:t>
            </w:r>
            <w:r>
              <w:rPr>
                <w:rFonts w:hint="default" w:ascii="Times New Roman" w:hAnsi="Times New Roman" w:eastAsia="宋体" w:cs="Times New Roman"/>
                <w:color w:val="FF0000"/>
                <w:kern w:val="0"/>
                <w:sz w:val="24"/>
                <w:lang w:val="en-US" w:eastAsia="zh-CN"/>
              </w:rPr>
              <w:t>3</w:t>
            </w:r>
            <w:r>
              <w:rPr>
                <w:rFonts w:hint="default" w:ascii="Times New Roman" w:hAnsi="Times New Roman" w:eastAsia="宋体" w:cs="Times New Roman"/>
                <w:color w:val="FF0000"/>
                <w:kern w:val="0"/>
                <w:sz w:val="24"/>
              </w:rPr>
              <w:t>中颗粒物排放浓度限值要求。</w:t>
            </w:r>
            <w:r>
              <w:rPr>
                <w:rFonts w:hint="default" w:ascii="Times New Roman" w:hAnsi="Times New Roman" w:cs="Times New Roman"/>
                <w:color w:val="FF0000"/>
                <w:sz w:val="24"/>
              </w:rPr>
              <w:t>说明项目在正常运行期间大气无组织排放对外界环境影响较小。</w:t>
            </w:r>
          </w:p>
          <w:p>
            <w:pPr>
              <w:spacing w:line="480" w:lineRule="exact"/>
              <w:ind w:firstLine="488" w:firstLineChars="200"/>
              <w:rPr>
                <w:rFonts w:hint="default" w:ascii="Times New Roman" w:hAnsi="Times New Roman" w:cs="Times New Roman"/>
                <w:color w:val="000000"/>
                <w:spacing w:val="2"/>
                <w:sz w:val="24"/>
              </w:rPr>
            </w:pPr>
            <w:r>
              <w:rPr>
                <w:rFonts w:hint="default" w:ascii="Times New Roman" w:hAnsi="Times New Roman" w:cs="Times New Roman"/>
                <w:color w:val="000000"/>
                <w:spacing w:val="2"/>
                <w:sz w:val="24"/>
              </w:rPr>
              <w:t>为了减少无组织粉尘对周围环境的影响，还应采取一下措施：</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kern w:val="0"/>
                <w:sz w:val="24"/>
              </w:rPr>
              <w:t>原料进入给料口后均采用输送带输送，输送带顶要求设置喷淋装置</w:t>
            </w:r>
            <w:r>
              <w:rPr>
                <w:rFonts w:hint="default" w:ascii="Times New Roman" w:hAnsi="Times New Roman" w:cs="Times New Roman"/>
                <w:color w:val="000000"/>
                <w:kern w:val="0"/>
                <w:sz w:val="24"/>
                <w:lang w:eastAsia="zh-CN"/>
              </w:rPr>
              <w:t>，</w:t>
            </w:r>
            <w:r>
              <w:rPr>
                <w:rFonts w:hint="default" w:ascii="Times New Roman" w:hAnsi="Times New Roman" w:eastAsia="宋体" w:cs="Times New Roman"/>
                <w:color w:val="auto"/>
                <w:spacing w:val="2"/>
                <w:sz w:val="24"/>
              </w:rPr>
              <w:t>搅拌过程加水湿拌，且搅拌为密闭搅拌</w:t>
            </w:r>
            <w:r>
              <w:rPr>
                <w:rFonts w:hint="default" w:ascii="Times New Roman" w:hAnsi="Times New Roman" w:cs="Times New Roman"/>
                <w:color w:val="000000"/>
                <w:kern w:val="0"/>
                <w:sz w:val="24"/>
              </w:rPr>
              <w:t>；</w:t>
            </w:r>
            <w:r>
              <w:rPr>
                <w:rFonts w:hint="default" w:ascii="Times New Roman" w:hAnsi="Times New Roman" w:cs="Times New Roman"/>
                <w:color w:val="000000"/>
                <w:spacing w:val="2"/>
                <w:sz w:val="24"/>
              </w:rPr>
              <w:t>运营后对</w:t>
            </w:r>
            <w:r>
              <w:rPr>
                <w:rFonts w:hint="default" w:ascii="Times New Roman" w:hAnsi="Times New Roman" w:cs="Times New Roman"/>
                <w:color w:val="000000"/>
                <w:sz w:val="24"/>
              </w:rPr>
              <w:t>厂区道路全部硬化，并定期清扫和洒水降尘；车辆尾气呈间歇性无组织排放，在大气环境中自然稀释扩散，对周围环境保护目标及大气环境影响较小。</w:t>
            </w:r>
            <w:r>
              <w:rPr>
                <w:rFonts w:hint="default" w:ascii="Times New Roman" w:hAnsi="Times New Roman" w:cs="Times New Roman"/>
                <w:color w:val="000000"/>
                <w:sz w:val="24"/>
                <w:szCs w:val="24"/>
              </w:rPr>
              <w:t>通过采取以上措施，同时在企业生产过程中加强管理，并对职工进行环境保护的教育，可使运营期间对大气环境的影响降到最低程度，对周边环境影响较小。</w:t>
            </w:r>
            <w:r>
              <w:rPr>
                <w:rFonts w:hint="default" w:ascii="Times New Roman" w:hAnsi="Times New Roman" w:cs="Times New Roman"/>
                <w:color w:val="000000"/>
                <w:sz w:val="24"/>
              </w:rPr>
              <w:t>产品从项目区经351乡道后运往各地，建</w:t>
            </w:r>
            <w:r>
              <w:rPr>
                <w:rFonts w:hint="default" w:ascii="Times New Roman" w:hAnsi="Times New Roman" w:cs="Times New Roman"/>
                <w:color w:val="000000"/>
                <w:sz w:val="24"/>
                <w:lang w:val="en-US" w:eastAsia="zh-CN"/>
              </w:rPr>
              <w:t>60</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lang w:val="en-US" w:eastAsia="zh-CN"/>
              </w:rPr>
              <w:t>2</w:t>
            </w:r>
            <w:r>
              <w:rPr>
                <w:rFonts w:hint="default" w:ascii="Times New Roman" w:hAnsi="Times New Roman" w:cs="Times New Roman"/>
                <w:color w:val="000000"/>
                <w:sz w:val="24"/>
              </w:rPr>
              <w:t>洗车</w:t>
            </w:r>
            <w:r>
              <w:rPr>
                <w:rFonts w:hint="default" w:ascii="Times New Roman" w:hAnsi="Times New Roman" w:cs="Times New Roman"/>
                <w:color w:val="000000"/>
                <w:sz w:val="24"/>
                <w:lang w:eastAsia="zh-CN"/>
              </w:rPr>
              <w:t>台</w:t>
            </w:r>
            <w:r>
              <w:rPr>
                <w:rFonts w:hint="default" w:ascii="Times New Roman" w:hAnsi="Times New Roman" w:cs="Times New Roman"/>
                <w:color w:val="000000"/>
                <w:sz w:val="24"/>
              </w:rPr>
              <w:t>，运输车辆出厂时必须经过洗车</w:t>
            </w:r>
            <w:r>
              <w:rPr>
                <w:rFonts w:hint="default" w:ascii="Times New Roman" w:hAnsi="Times New Roman" w:cs="Times New Roman"/>
                <w:color w:val="000000"/>
                <w:sz w:val="24"/>
                <w:lang w:eastAsia="zh-CN"/>
              </w:rPr>
              <w:t>台</w:t>
            </w:r>
            <w:r>
              <w:rPr>
                <w:rFonts w:hint="default" w:ascii="Times New Roman" w:hAnsi="Times New Roman" w:cs="Times New Roman"/>
                <w:color w:val="000000"/>
                <w:sz w:val="24"/>
              </w:rPr>
              <w:t>，严禁车辆带泥上路。另外环评要求产品运输过程中对于粉状物料采用密闭罐车运输，其它成品运输车厢上要加盖篷布防止物料洒落，严禁石料冒尖装载，车辆必须限速慢行。经采取以上措施后，产品外售运输过程中产生的粉尘量很少。</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sz w:val="24"/>
                <w:szCs w:val="24"/>
              </w:rPr>
              <w:t>由预测结果可知，</w:t>
            </w:r>
            <w:r>
              <w:rPr>
                <w:rFonts w:hint="default" w:ascii="Times New Roman" w:hAnsi="Times New Roman" w:eastAsia="宋体" w:cs="Times New Roman"/>
                <w:color w:val="auto"/>
                <w:sz w:val="24"/>
              </w:rPr>
              <w:t>有组织排放的废气最大落地浓度值为</w:t>
            </w:r>
            <w:r>
              <w:rPr>
                <w:rFonts w:hint="default" w:ascii="Times New Roman" w:hAnsi="Times New Roman" w:eastAsia="宋体" w:cs="Times New Roman"/>
                <w:color w:val="auto"/>
                <w:sz w:val="24"/>
                <w:lang w:val="en-US" w:eastAsia="zh-CN"/>
              </w:rPr>
              <w:t>25.31</w:t>
            </w:r>
            <w:r>
              <w:rPr>
                <w:rFonts w:hint="default" w:ascii="Times New Roman" w:hAnsi="Times New Roman" w:eastAsia="宋体" w:cs="Times New Roman"/>
                <w:color w:val="auto"/>
                <w:sz w:val="24"/>
              </w:rPr>
              <w:t>ug/m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，占标率为</w:t>
            </w:r>
            <w:r>
              <w:rPr>
                <w:rFonts w:hint="default" w:ascii="Times New Roman" w:hAnsi="Times New Roman" w:eastAsia="宋体" w:cs="Times New Roman"/>
                <w:color w:val="auto"/>
                <w:sz w:val="24"/>
                <w:lang w:val="en-US" w:eastAsia="zh-CN"/>
              </w:rPr>
              <w:t>5.62</w:t>
            </w:r>
            <w:r>
              <w:rPr>
                <w:rFonts w:hint="default" w:ascii="Times New Roman" w:hAnsi="Times New Roman" w:eastAsia="宋体" w:cs="Times New Roman"/>
                <w:color w:val="auto"/>
                <w:sz w:val="24"/>
              </w:rPr>
              <w:t>%，</w:t>
            </w:r>
            <w:r>
              <w:rPr>
                <w:rFonts w:hint="default" w:ascii="Times New Roman" w:hAnsi="Times New Roman" w:cs="Times New Roman"/>
                <w:sz w:val="24"/>
                <w:szCs w:val="24"/>
              </w:rPr>
              <w:t>对比《环境影响评价技术导则  大气环境》（HJ2.2-2018）表2评价等级判定表，1%＜本项目最大占标率＜10%，评价等级为二级。</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2、水环境影响分析</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（1）水环境影响分析</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项目区设化粪池，生活污水进入化粪池，定期清掏，外运至采摘园肥田。养护废水和托盘清洗废水，通过沉淀池沉淀后，循环使用，不外排。</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采取上述措施后，对周围环境影响不大。</w:t>
            </w:r>
          </w:p>
          <w:p>
            <w:pPr>
              <w:spacing w:line="440" w:lineRule="exact"/>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（2）唐家寨水库环境影响分析</w:t>
            </w:r>
          </w:p>
          <w:p>
            <w:pPr>
              <w:spacing w:line="440" w:lineRule="exact"/>
              <w:ind w:firstLine="480" w:firstLineChars="200"/>
              <w:rPr>
                <w:rFonts w:hint="default" w:ascii="Times New Roman" w:hAnsi="Times New Roman" w:cs="Times New Roman"/>
                <w:bCs/>
                <w:color w:val="auto"/>
                <w:sz w:val="24"/>
              </w:rPr>
            </w:pPr>
            <w:r>
              <w:rPr>
                <w:rFonts w:hint="default" w:ascii="Times New Roman" w:hAnsi="Times New Roman" w:cs="Times New Roman"/>
                <w:color w:val="auto"/>
                <w:sz w:val="24"/>
                <w:szCs w:val="24"/>
              </w:rPr>
              <w:t>唐家寨水库于上世纪七十年代初修建的，西安市在唐家寨水库上游设立了西安市固体废弃物处理场，由于一期工程没有防渗漏设施，导致水库受到污染，后期，</w:t>
            </w:r>
            <w:r>
              <w:rPr>
                <w:rFonts w:hint="default" w:ascii="Times New Roman" w:hAnsi="Times New Roman" w:cs="Times New Roman"/>
                <w:bCs/>
                <w:color w:val="auto"/>
                <w:sz w:val="24"/>
              </w:rPr>
              <w:t>西安市为了改善水库水质，已将水库水运往西安市各污水处理厂进行集中处理，唐家寨水库已处理完成，并对其做防渗处理，后期利用周边水井对其蓄水，主要功能为灌溉用水。</w:t>
            </w:r>
          </w:p>
          <w:p>
            <w:pPr>
              <w:spacing w:line="440" w:lineRule="exact"/>
              <w:ind w:firstLine="480" w:firstLineChars="200"/>
              <w:rPr>
                <w:rFonts w:hint="default" w:ascii="Times New Roman" w:hAnsi="Times New Roman" w:cs="Times New Roman"/>
                <w:color w:val="FF0000"/>
                <w:sz w:val="24"/>
                <w:szCs w:val="24"/>
              </w:rPr>
            </w:pPr>
            <w:r>
              <w:rPr>
                <w:rFonts w:hint="default" w:ascii="Times New Roman" w:hAnsi="Times New Roman" w:cs="Times New Roman"/>
                <w:bCs/>
                <w:color w:val="auto"/>
                <w:sz w:val="24"/>
              </w:rPr>
              <w:t>本项目生活污水进入化粪池，定期清掏用于采摘园肥田，生产废水循环利用，废水不外排，因此本项目建成对唐家寨水库影响不大。</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3、声环境影响分析</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（1）噪声源强及设备布置</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项目运营过程主要噪声源为设备运转时产生的设备噪声以及运输车辆，主要设备有破碎机、搅拌机、制砖机等，</w:t>
            </w:r>
            <w:r>
              <w:rPr>
                <w:rFonts w:hint="default" w:ascii="Times New Roman" w:hAnsi="Times New Roman" w:cs="Times New Roman"/>
                <w:color w:val="000000"/>
                <w:sz w:val="24"/>
              </w:rPr>
              <w:t>通过采取措施后，可将噪声减少15~20dB（A）</w:t>
            </w:r>
            <w:r>
              <w:rPr>
                <w:rFonts w:hint="default" w:ascii="Times New Roman" w:hAnsi="Times New Roman" w:cs="Times New Roman"/>
                <w:color w:val="000000"/>
                <w:kern w:val="10"/>
                <w:sz w:val="24"/>
                <w:szCs w:val="24"/>
              </w:rPr>
              <w:t>。</w:t>
            </w:r>
            <w:r>
              <w:rPr>
                <w:rFonts w:hint="default" w:ascii="Times New Roman" w:hAnsi="Times New Roman" w:cs="Times New Roman"/>
                <w:color w:val="000000"/>
                <w:sz w:val="24"/>
              </w:rPr>
              <w:t>项目噪声源到厂界距离见表2</w:t>
            </w:r>
            <w:r>
              <w:rPr>
                <w:rFonts w:hint="default" w:ascii="Times New Roman" w:hAnsi="Times New Roman" w:cs="Times New Roman"/>
                <w:color w:val="000000"/>
                <w:sz w:val="24"/>
                <w:lang w:val="en-US" w:eastAsia="zh-CN"/>
              </w:rPr>
              <w:t>6</w:t>
            </w:r>
            <w:r>
              <w:rPr>
                <w:rFonts w:hint="default" w:ascii="Times New Roman" w:hAnsi="Times New Roman" w:cs="Times New Roman"/>
                <w:color w:val="000000"/>
                <w:sz w:val="24"/>
              </w:rPr>
              <w:t>。</w:t>
            </w:r>
          </w:p>
          <w:p>
            <w:pPr>
              <w:pStyle w:val="11"/>
              <w:spacing w:after="0" w:line="460" w:lineRule="exact"/>
              <w:ind w:left="134" w:right="153"/>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表2</w:t>
            </w:r>
            <w:r>
              <w:rPr>
                <w:rFonts w:hint="default" w:ascii="Times New Roman" w:hAnsi="Times New Roman" w:cs="Times New Roman"/>
                <w:b/>
                <w:color w:val="000000"/>
                <w:sz w:val="24"/>
                <w:szCs w:val="24"/>
                <w:lang w:val="en-US" w:eastAsia="zh-CN"/>
              </w:rPr>
              <w:t>6</w:t>
            </w:r>
            <w:r>
              <w:rPr>
                <w:rFonts w:hint="default" w:ascii="Times New Roman" w:hAnsi="Times New Roman" w:cs="Times New Roman"/>
                <w:b/>
                <w:color w:val="000000"/>
                <w:sz w:val="24"/>
                <w:szCs w:val="24"/>
              </w:rPr>
              <w:t xml:space="preserve">   主要噪声源距预测点的距离  单位：m</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275"/>
              <w:gridCol w:w="1418"/>
              <w:gridCol w:w="1134"/>
              <w:gridCol w:w="1134"/>
              <w:gridCol w:w="1134"/>
              <w:gridCol w:w="8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 w:hRule="atLeast"/>
              </w:trPr>
              <w:tc>
                <w:tcPr>
                  <w:tcW w:w="1831"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设备名称</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数量（台）</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降噪后声压（dB）</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东厂界</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南厂界</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西厂界</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 w:hRule="atLeast"/>
              </w:trPr>
              <w:tc>
                <w:tcPr>
                  <w:tcW w:w="1831" w:type="dxa"/>
                  <w:noWrap w:val="0"/>
                  <w:vAlign w:val="center"/>
                </w:tcPr>
                <w:p>
                  <w:pPr>
                    <w:jc w:val="center"/>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颚</w:t>
                  </w:r>
                  <w:r>
                    <w:rPr>
                      <w:rFonts w:hint="default" w:ascii="Times New Roman" w:hAnsi="Times New Roman" w:cs="Times New Roman"/>
                      <w:color w:val="FF0000"/>
                      <w:szCs w:val="21"/>
                    </w:rPr>
                    <w:t>式破碎机</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80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22</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65</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 w:hRule="atLeast"/>
              </w:trPr>
              <w:tc>
                <w:tcPr>
                  <w:tcW w:w="1831"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反击式破碎机</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80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32</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65</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 w:hRule="atLeast"/>
              </w:trPr>
              <w:tc>
                <w:tcPr>
                  <w:tcW w:w="1831" w:type="dxa"/>
                  <w:noWrap w:val="0"/>
                  <w:vAlign w:val="center"/>
                </w:tcPr>
                <w:p>
                  <w:pPr>
                    <w:jc w:val="center"/>
                    <w:rPr>
                      <w:rFonts w:hint="default" w:ascii="Times New Roman" w:hAnsi="Times New Roman" w:cs="Times New Roman"/>
                      <w:color w:val="FF0000"/>
                      <w:spacing w:val="6"/>
                      <w:szCs w:val="21"/>
                    </w:rPr>
                  </w:pPr>
                  <w:r>
                    <w:rPr>
                      <w:rFonts w:hint="default" w:ascii="Times New Roman" w:hAnsi="Times New Roman" w:cs="Times New Roman"/>
                      <w:color w:val="FF0000"/>
                      <w:spacing w:val="6"/>
                      <w:szCs w:val="21"/>
                    </w:rPr>
                    <w:t>搅拌机</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75</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48</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45</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 w:hRule="atLeast"/>
              </w:trPr>
              <w:tc>
                <w:tcPr>
                  <w:tcW w:w="1831" w:type="dxa"/>
                  <w:noWrap w:val="0"/>
                  <w:vAlign w:val="center"/>
                </w:tcPr>
                <w:p>
                  <w:pPr>
                    <w:jc w:val="center"/>
                    <w:rPr>
                      <w:rFonts w:hint="default" w:ascii="Times New Roman" w:hAnsi="Times New Roman" w:cs="Times New Roman"/>
                      <w:color w:val="FF0000"/>
                      <w:spacing w:val="6"/>
                      <w:szCs w:val="21"/>
                    </w:rPr>
                  </w:pPr>
                  <w:r>
                    <w:rPr>
                      <w:rFonts w:hint="default" w:ascii="Times New Roman" w:hAnsi="Times New Roman" w:cs="Times New Roman"/>
                      <w:color w:val="FF0000"/>
                      <w:spacing w:val="6"/>
                      <w:szCs w:val="21"/>
                    </w:rPr>
                    <w:t>配料机</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60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52</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45</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trPr>
              <w:tc>
                <w:tcPr>
                  <w:tcW w:w="1831" w:type="dxa"/>
                  <w:noWrap w:val="0"/>
                  <w:vAlign w:val="center"/>
                </w:tcPr>
                <w:p>
                  <w:pPr>
                    <w:jc w:val="center"/>
                    <w:rPr>
                      <w:rFonts w:hint="default" w:ascii="Times New Roman" w:hAnsi="Times New Roman" w:cs="Times New Roman"/>
                      <w:color w:val="FF0000"/>
                      <w:spacing w:val="6"/>
                      <w:szCs w:val="21"/>
                    </w:rPr>
                  </w:pPr>
                  <w:r>
                    <w:rPr>
                      <w:rFonts w:hint="default" w:ascii="Times New Roman" w:hAnsi="Times New Roman" w:cs="Times New Roman"/>
                      <w:color w:val="FF0000"/>
                      <w:spacing w:val="6"/>
                      <w:szCs w:val="21"/>
                    </w:rPr>
                    <w:t>制砖机</w:t>
                  </w:r>
                </w:p>
              </w:tc>
              <w:tc>
                <w:tcPr>
                  <w:tcW w:w="12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w:t>
                  </w:r>
                </w:p>
              </w:tc>
              <w:tc>
                <w:tcPr>
                  <w:tcW w:w="1418"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80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60</w:t>
                  </w:r>
                </w:p>
              </w:tc>
              <w:tc>
                <w:tcPr>
                  <w:tcW w:w="1134"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45</w:t>
                  </w:r>
                </w:p>
              </w:tc>
              <w:tc>
                <w:tcPr>
                  <w:tcW w:w="875"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125</w:t>
                  </w:r>
                </w:p>
              </w:tc>
            </w:tr>
          </w:tbl>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（2）监测结果</w:t>
            </w:r>
          </w:p>
          <w:p>
            <w:pPr>
              <w:adjustRightInd w:val="0"/>
              <w:snapToGrid w:val="0"/>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sz w:val="24"/>
                <w:szCs w:val="24"/>
              </w:rPr>
              <w:t>根据环境现状监测报告：在正常运行工况下，本项目厂界均满足《声环境质量标准》（GB3096-2008）2类标准，说明本项目对外环境噪声影响较小。</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4、固废影响分析</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本项目生产过程中产生的收集粉尘回用于生产；产生的不合格产品在破碎后回用于生产；生活垃圾厂内统一收集，送至环卫部门指定地点，分拣过程中产生的废铁等金属外售，产生的木头等其它杂物运送到垃圾填埋场填埋</w:t>
            </w:r>
            <w:r>
              <w:rPr>
                <w:rFonts w:hint="default" w:ascii="Times New Roman" w:hAnsi="Times New Roman" w:cs="Times New Roman"/>
                <w:color w:val="000000"/>
                <w:kern w:val="10"/>
                <w:sz w:val="24"/>
                <w:szCs w:val="24"/>
                <w:lang w:eastAsia="zh-CN"/>
              </w:rPr>
              <w:t>，洗车池底泥用于道路铺设</w:t>
            </w:r>
            <w:r>
              <w:rPr>
                <w:rFonts w:hint="default" w:ascii="Times New Roman" w:hAnsi="Times New Roman" w:cs="Times New Roman"/>
                <w:color w:val="000000"/>
                <w:kern w:val="10"/>
                <w:sz w:val="24"/>
                <w:szCs w:val="24"/>
              </w:rPr>
              <w:t>。废润滑油</w:t>
            </w:r>
            <w:r>
              <w:rPr>
                <w:rFonts w:hint="default" w:ascii="Times New Roman" w:hAnsi="Times New Roman" w:cs="Times New Roman"/>
                <w:color w:val="000000"/>
                <w:kern w:val="10"/>
                <w:sz w:val="24"/>
                <w:szCs w:val="24"/>
                <w:lang w:eastAsia="zh-CN"/>
              </w:rPr>
              <w:t>暂存于</w:t>
            </w:r>
            <w:r>
              <w:rPr>
                <w:rFonts w:hint="default" w:ascii="Times New Roman" w:hAnsi="Times New Roman" w:cs="Times New Roman"/>
                <w:color w:val="000000"/>
                <w:kern w:val="10"/>
                <w:sz w:val="24"/>
                <w:szCs w:val="24"/>
              </w:rPr>
              <w:t>危险废物暂存间，经危废桶收集后，交给有资质的单位处理；建筑垃圾中的土料运往建筑垃圾填埋场。做到以上措施，项目固废均得到合理处置，不会造成二次污染。</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sz w:val="24"/>
              </w:rPr>
              <w:t>项目固废产生及处置方式见表2</w:t>
            </w:r>
            <w:r>
              <w:rPr>
                <w:rFonts w:hint="default" w:ascii="Times New Roman" w:hAnsi="Times New Roman" w:cs="Times New Roman"/>
                <w:color w:val="000000"/>
                <w:sz w:val="24"/>
                <w:lang w:val="en-US" w:eastAsia="zh-CN"/>
              </w:rPr>
              <w:t>7</w:t>
            </w:r>
            <w:r>
              <w:rPr>
                <w:rFonts w:hint="default" w:ascii="Times New Roman" w:hAnsi="Times New Roman" w:cs="Times New Roman"/>
                <w:color w:val="000000"/>
                <w:sz w:val="24"/>
              </w:rPr>
              <w:t>。</w:t>
            </w:r>
          </w:p>
          <w:p>
            <w:pPr>
              <w:pStyle w:val="137"/>
              <w:rPr>
                <w:rFonts w:hint="default" w:ascii="Times New Roman" w:hAnsi="Times New Roman" w:eastAsia="宋体" w:cs="Times New Roman"/>
                <w:b/>
                <w:color w:val="000000"/>
                <w:szCs w:val="24"/>
              </w:rPr>
            </w:pPr>
            <w:r>
              <w:rPr>
                <w:rFonts w:hint="default" w:ascii="Times New Roman" w:hAnsi="Times New Roman" w:eastAsia="宋体" w:cs="Times New Roman"/>
                <w:b/>
                <w:color w:val="000000"/>
                <w:szCs w:val="24"/>
              </w:rPr>
              <w:t>表2</w:t>
            </w:r>
            <w:r>
              <w:rPr>
                <w:rFonts w:hint="default" w:ascii="Times New Roman" w:hAnsi="Times New Roman" w:eastAsia="宋体" w:cs="Times New Roman"/>
                <w:b/>
                <w:color w:val="000000"/>
                <w:szCs w:val="24"/>
                <w:lang w:val="en-US" w:eastAsia="zh-CN"/>
              </w:rPr>
              <w:t>7</w:t>
            </w:r>
            <w:r>
              <w:rPr>
                <w:rFonts w:hint="default" w:ascii="Times New Roman" w:hAnsi="Times New Roman" w:eastAsia="宋体" w:cs="Times New Roman"/>
                <w:b/>
                <w:color w:val="000000"/>
                <w:szCs w:val="24"/>
              </w:rPr>
              <w:t xml:space="preserve">   项目固废汇总表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106"/>
              <w:gridCol w:w="1382"/>
              <w:gridCol w:w="1066"/>
              <w:gridCol w:w="1283"/>
              <w:gridCol w:w="2981"/>
              <w:gridCol w:w="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1" w:type="dxa"/>
                <w:cantSplit/>
                <w:trHeight w:val="443" w:hRule="atLeast"/>
                <w:jc w:val="center"/>
              </w:trPr>
              <w:tc>
                <w:tcPr>
                  <w:tcW w:w="79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1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产生位置</w:t>
                  </w: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名称</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产生量</w:t>
                  </w:r>
                </w:p>
              </w:tc>
              <w:tc>
                <w:tcPr>
                  <w:tcW w:w="128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固废属性</w:t>
                  </w:r>
                </w:p>
              </w:tc>
              <w:tc>
                <w:tcPr>
                  <w:tcW w:w="298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1" w:type="dxa"/>
                <w:cantSplit/>
                <w:trHeight w:val="443" w:hRule="atLeast"/>
                <w:jc w:val="center"/>
              </w:trPr>
              <w:tc>
                <w:tcPr>
                  <w:tcW w:w="79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1106"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生产车间</w:t>
                  </w: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收集粉尘</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39.96t/a</w:t>
                  </w:r>
                </w:p>
              </w:tc>
              <w:tc>
                <w:tcPr>
                  <w:tcW w:w="1283"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一般固废</w:t>
                  </w:r>
                </w:p>
              </w:tc>
              <w:tc>
                <w:tcPr>
                  <w:tcW w:w="2981"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1" w:type="dxa"/>
                <w:cantSplit/>
                <w:trHeight w:val="443" w:hRule="atLeast"/>
                <w:jc w:val="center"/>
              </w:trPr>
              <w:tc>
                <w:tcPr>
                  <w:tcW w:w="79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1106" w:type="dxa"/>
                  <w:vMerge w:val="continue"/>
                  <w:noWrap w:val="0"/>
                  <w:vAlign w:val="center"/>
                </w:tcPr>
                <w:p>
                  <w:pPr>
                    <w:jc w:val="center"/>
                    <w:rPr>
                      <w:rFonts w:hint="default" w:ascii="Times New Roman" w:hAnsi="Times New Roman" w:cs="Times New Roman"/>
                      <w:color w:val="000000"/>
                      <w:szCs w:val="21"/>
                    </w:rPr>
                  </w:pP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不合格产品</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13t/a</w:t>
                  </w:r>
                </w:p>
              </w:tc>
              <w:tc>
                <w:tcPr>
                  <w:tcW w:w="1283" w:type="dxa"/>
                  <w:vMerge w:val="continue"/>
                  <w:noWrap w:val="0"/>
                  <w:vAlign w:val="center"/>
                </w:tcPr>
                <w:p>
                  <w:pPr>
                    <w:jc w:val="center"/>
                    <w:rPr>
                      <w:rFonts w:hint="default" w:ascii="Times New Roman" w:hAnsi="Times New Roman" w:cs="Times New Roman"/>
                      <w:color w:val="000000"/>
                      <w:szCs w:val="21"/>
                    </w:rPr>
                  </w:pPr>
                </w:p>
              </w:tc>
              <w:tc>
                <w:tcPr>
                  <w:tcW w:w="2981" w:type="dxa"/>
                  <w:vMerge w:val="continue"/>
                  <w:noWrap w:val="0"/>
                  <w:vAlign w:val="center"/>
                </w:tcPr>
                <w:p>
                  <w:pPr>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jc w:val="center"/>
              </w:trPr>
              <w:tc>
                <w:tcPr>
                  <w:tcW w:w="79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w:t>
                  </w:r>
                </w:p>
              </w:tc>
              <w:tc>
                <w:tcPr>
                  <w:tcW w:w="1106" w:type="dxa"/>
                  <w:vMerge w:val="continue"/>
                  <w:noWrap w:val="0"/>
                  <w:vAlign w:val="center"/>
                </w:tcPr>
                <w:p>
                  <w:pPr>
                    <w:jc w:val="center"/>
                    <w:rPr>
                      <w:rFonts w:hint="default" w:ascii="Times New Roman" w:hAnsi="Times New Roman" w:cs="Times New Roman"/>
                      <w:color w:val="000000"/>
                      <w:szCs w:val="21"/>
                    </w:rPr>
                  </w:pP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杂质</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2.5万t/a</w:t>
                  </w:r>
                </w:p>
              </w:tc>
              <w:tc>
                <w:tcPr>
                  <w:tcW w:w="1283" w:type="dxa"/>
                  <w:vMerge w:val="continue"/>
                  <w:noWrap w:val="0"/>
                  <w:vAlign w:val="center"/>
                </w:tcPr>
                <w:p>
                  <w:pPr>
                    <w:jc w:val="center"/>
                    <w:rPr>
                      <w:rFonts w:hint="default" w:ascii="Times New Roman" w:hAnsi="Times New Roman" w:cs="Times New Roman"/>
                      <w:color w:val="000000"/>
                      <w:szCs w:val="21"/>
                    </w:rPr>
                  </w:pPr>
                </w:p>
              </w:tc>
              <w:tc>
                <w:tcPr>
                  <w:tcW w:w="3032" w:type="dxa"/>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集中收集，处理/出售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jc w:val="center"/>
              </w:trPr>
              <w:tc>
                <w:tcPr>
                  <w:tcW w:w="790"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w:t>
                  </w:r>
                </w:p>
              </w:tc>
              <w:tc>
                <w:tcPr>
                  <w:tcW w:w="1106" w:type="dxa"/>
                  <w:vMerge w:val="continue"/>
                  <w:noWrap w:val="0"/>
                  <w:vAlign w:val="center"/>
                </w:tcPr>
                <w:p>
                  <w:pPr>
                    <w:jc w:val="center"/>
                    <w:rPr>
                      <w:rFonts w:hint="default" w:ascii="Times New Roman" w:hAnsi="Times New Roman" w:cs="Times New Roman"/>
                      <w:color w:val="000000"/>
                      <w:szCs w:val="21"/>
                    </w:rPr>
                  </w:pP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土料</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2t/a</w:t>
                  </w:r>
                </w:p>
              </w:tc>
              <w:tc>
                <w:tcPr>
                  <w:tcW w:w="1283" w:type="dxa"/>
                  <w:vMerge w:val="continue"/>
                  <w:noWrap w:val="0"/>
                  <w:vAlign w:val="center"/>
                </w:tcPr>
                <w:p>
                  <w:pPr>
                    <w:jc w:val="center"/>
                    <w:rPr>
                      <w:rFonts w:hint="default" w:ascii="Times New Roman" w:hAnsi="Times New Roman" w:cs="Times New Roman"/>
                      <w:color w:val="000000"/>
                      <w:szCs w:val="21"/>
                    </w:rPr>
                  </w:pPr>
                </w:p>
              </w:tc>
              <w:tc>
                <w:tcPr>
                  <w:tcW w:w="3032" w:type="dxa"/>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运往建筑垃圾填埋场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jc w:val="center"/>
              </w:trPr>
              <w:tc>
                <w:tcPr>
                  <w:tcW w:w="790"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5</w:t>
                  </w:r>
                </w:p>
              </w:tc>
              <w:tc>
                <w:tcPr>
                  <w:tcW w:w="1106" w:type="dxa"/>
                  <w:vMerge w:val="continue"/>
                  <w:noWrap w:val="0"/>
                  <w:vAlign w:val="center"/>
                </w:tcPr>
                <w:p>
                  <w:pPr>
                    <w:jc w:val="center"/>
                    <w:rPr>
                      <w:rFonts w:hint="default" w:ascii="Times New Roman" w:hAnsi="Times New Roman" w:cs="Times New Roman"/>
                      <w:color w:val="000000"/>
                      <w:szCs w:val="21"/>
                    </w:rPr>
                  </w:pPr>
                </w:p>
              </w:tc>
              <w:tc>
                <w:tcPr>
                  <w:tcW w:w="1382"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洗车池底泥</w:t>
                  </w:r>
                </w:p>
              </w:tc>
              <w:tc>
                <w:tcPr>
                  <w:tcW w:w="1066"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0.5</w:t>
                  </w:r>
                  <w:r>
                    <w:rPr>
                      <w:rFonts w:hint="default" w:ascii="Times New Roman" w:hAnsi="Times New Roman" w:cs="Times New Roman"/>
                      <w:color w:val="000000"/>
                      <w:szCs w:val="21"/>
                    </w:rPr>
                    <w:t>t/a</w:t>
                  </w:r>
                </w:p>
              </w:tc>
              <w:tc>
                <w:tcPr>
                  <w:tcW w:w="1283" w:type="dxa"/>
                  <w:vMerge w:val="continue"/>
                  <w:noWrap w:val="0"/>
                  <w:vAlign w:val="center"/>
                </w:tcPr>
                <w:p>
                  <w:pPr>
                    <w:jc w:val="center"/>
                    <w:rPr>
                      <w:rFonts w:hint="default" w:ascii="Times New Roman" w:hAnsi="Times New Roman" w:cs="Times New Roman"/>
                      <w:color w:val="000000"/>
                      <w:szCs w:val="21"/>
                    </w:rPr>
                  </w:pPr>
                </w:p>
              </w:tc>
              <w:tc>
                <w:tcPr>
                  <w:tcW w:w="3032" w:type="dxa"/>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auto"/>
                      <w:szCs w:val="21"/>
                    </w:rPr>
                    <w:t>道路铺设</w:t>
                  </w:r>
                  <w:r>
                    <w:rPr>
                      <w:rFonts w:hint="default" w:ascii="Times New Roman" w:hAnsi="Times New Roman" w:cs="Times New Roman"/>
                      <w:color w:val="auto"/>
                      <w:szCs w:val="21"/>
                      <w:lang w:eastAsia="zh-CN"/>
                    </w:rPr>
                    <w:t>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1" w:type="dxa"/>
                <w:cantSplit/>
                <w:trHeight w:val="524" w:hRule="atLeast"/>
                <w:jc w:val="center"/>
              </w:trPr>
              <w:tc>
                <w:tcPr>
                  <w:tcW w:w="79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6</w:t>
                  </w:r>
                </w:p>
              </w:tc>
              <w:tc>
                <w:tcPr>
                  <w:tcW w:w="11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w:t>
                  </w: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生活垃圾</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5.3t/a</w:t>
                  </w:r>
                </w:p>
              </w:tc>
              <w:tc>
                <w:tcPr>
                  <w:tcW w:w="1283" w:type="dxa"/>
                  <w:vMerge w:val="continue"/>
                  <w:noWrap w:val="0"/>
                  <w:vAlign w:val="center"/>
                </w:tcPr>
                <w:p>
                  <w:pPr>
                    <w:jc w:val="center"/>
                    <w:rPr>
                      <w:rFonts w:hint="default" w:ascii="Times New Roman" w:hAnsi="Times New Roman" w:cs="Times New Roman"/>
                      <w:color w:val="000000"/>
                      <w:szCs w:val="21"/>
                    </w:rPr>
                  </w:pPr>
                </w:p>
              </w:tc>
              <w:tc>
                <w:tcPr>
                  <w:tcW w:w="298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运输至当地环卫部门指定的地点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1" w:type="dxa"/>
                <w:cantSplit/>
                <w:trHeight w:val="443" w:hRule="atLeast"/>
                <w:jc w:val="center"/>
              </w:trPr>
              <w:tc>
                <w:tcPr>
                  <w:tcW w:w="79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7</w:t>
                  </w:r>
                </w:p>
              </w:tc>
              <w:tc>
                <w:tcPr>
                  <w:tcW w:w="11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机械维修</w:t>
                  </w:r>
                </w:p>
              </w:tc>
              <w:tc>
                <w:tcPr>
                  <w:tcW w:w="138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废润滑油</w:t>
                  </w:r>
                </w:p>
              </w:tc>
              <w:tc>
                <w:tcPr>
                  <w:tcW w:w="106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0.2t/a</w:t>
                  </w:r>
                </w:p>
              </w:tc>
              <w:tc>
                <w:tcPr>
                  <w:tcW w:w="1283"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危险废物</w:t>
                  </w:r>
                </w:p>
              </w:tc>
              <w:tc>
                <w:tcPr>
                  <w:tcW w:w="2981"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交给有资质的单位处理</w:t>
                  </w:r>
                </w:p>
              </w:tc>
            </w:tr>
          </w:tbl>
          <w:p>
            <w:pPr>
              <w:spacing w:line="480" w:lineRule="exact"/>
              <w:ind w:firstLine="480"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rPr>
              <w:t>根据《国家危险废物名录》（2016版），机械维修产生的废润滑油属于HW08其他废物，代码为900-214-08。</w:t>
            </w:r>
          </w:p>
          <w:p>
            <w:pPr>
              <w:spacing w:line="36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一般固废物的贮存应按照《一般工业固体废物贮存、处置场污染控制标准》（GB18599-2001）</w:t>
            </w:r>
            <w:r>
              <w:rPr>
                <w:rFonts w:hint="default" w:ascii="Times New Roman" w:hAnsi="Times New Roman" w:eastAsia="宋体" w:cs="Times New Roman"/>
                <w:color w:val="auto"/>
                <w:kern w:val="0"/>
                <w:sz w:val="24"/>
              </w:rPr>
              <w:t>及</w:t>
            </w:r>
            <w:r>
              <w:rPr>
                <w:rFonts w:hint="default" w:ascii="Times New Roman" w:hAnsi="Times New Roman" w:eastAsia="宋体" w:cs="Times New Roman"/>
                <w:color w:val="auto"/>
                <w:sz w:val="24"/>
              </w:rPr>
              <w:t>其修改单的规定执行</w:t>
            </w:r>
            <w:r>
              <w:rPr>
                <w:rFonts w:hint="default" w:ascii="Times New Roman" w:hAnsi="Times New Roman" w:eastAsia="宋体" w:cs="Times New Roman"/>
                <w:color w:val="auto"/>
                <w:kern w:val="0"/>
                <w:sz w:val="24"/>
              </w:rPr>
              <w:t>，建设必要的固废分类收集和临时贮存设施，具体要求如下：</w:t>
            </w:r>
          </w:p>
          <w:p>
            <w:pPr>
              <w:autoSpaceDE w:val="0"/>
              <w:autoSpaceDN w:val="0"/>
              <w:spacing w:line="360" w:lineRule="auto"/>
              <w:ind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 xml:space="preserve">①一般工业固体废物应分类收集、储存，不能混存； </w:t>
            </w:r>
          </w:p>
          <w:p>
            <w:pPr>
              <w:autoSpaceDE w:val="0"/>
              <w:autoSpaceDN w:val="0"/>
              <w:spacing w:line="360" w:lineRule="auto"/>
              <w:ind w:firstLine="49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②一般工业固体废物临时储存地点必须建有天棚，不允许露天堆放，以防雨水冲刷，雨水通过场地四周导流渠流向雨水排放管；临时堆放场地为水泥铺设地面，以防渗漏</w:t>
            </w:r>
            <w:r>
              <w:rPr>
                <w:rFonts w:hint="default" w:ascii="Times New Roman" w:hAnsi="Times New Roman" w:eastAsia="宋体" w:cs="Times New Roman"/>
                <w:color w:val="auto"/>
                <w:sz w:val="24"/>
              </w:rPr>
              <w:t>。</w:t>
            </w:r>
            <w:r>
              <w:rPr>
                <w:rFonts w:hint="default" w:ascii="Times New Roman" w:hAnsi="Times New Roman" w:eastAsia="宋体" w:cs="Times New Roman"/>
                <w:color w:val="auto"/>
                <w:kern w:val="0"/>
                <w:sz w:val="24"/>
              </w:rPr>
              <w:t xml:space="preserve"> </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③储存场应加强监督管理，按《环境保护图形标志》（GB15562.2）设置环境保护图形标志，并建立出入档案，便于核查。</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④</w:t>
            </w:r>
            <w:r>
              <w:rPr>
                <w:rFonts w:hint="default" w:ascii="Times New Roman" w:hAnsi="Times New Roman" w:eastAsia="宋体" w:cs="Times New Roman"/>
                <w:color w:val="auto"/>
                <w:sz w:val="24"/>
              </w:rPr>
              <w:t>建立档案制度，将临时储存的一般工业固体废物的种类、数量和外运的一般工业固体废物的种类、数量详细记录在案，长期保存，供随时查阅。</w:t>
            </w:r>
          </w:p>
          <w:p>
            <w:pPr>
              <w:pStyle w:val="11"/>
              <w:keepNext/>
              <w:keepLines/>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根据建设单位提供资料，本项目危废主要为废润滑油，危险废物暂存间建筑面积10m</w:t>
            </w:r>
            <w:r>
              <w:rPr>
                <w:rFonts w:hint="default" w:ascii="Times New Roman" w:hAnsi="Times New Roman" w:eastAsia="宋体" w:cs="Times New Roman"/>
                <w:color w:val="auto"/>
                <w:sz w:val="24"/>
                <w:vertAlign w:val="superscript"/>
                <w:lang w:val="en-US" w:eastAsia="zh-CN"/>
              </w:rPr>
              <w:t>2</w:t>
            </w:r>
            <w:r>
              <w:rPr>
                <w:rFonts w:hint="default" w:ascii="Times New Roman" w:hAnsi="Times New Roman" w:eastAsia="宋体" w:cs="Times New Roman"/>
                <w:color w:val="auto"/>
                <w:sz w:val="24"/>
                <w:lang w:val="en-US" w:eastAsia="zh-CN"/>
              </w:rPr>
              <w:t>。环评要求，本项目危险废物贮存严格按照《危险废物贮存污染控制标准》（GB18597-2001）及其修改单中相关规定执行，危废暂存间要求如下：</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①不兼容的危险废物不能堆放在一起，各危险废物分别单独收集贮存。</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②贮存场所地面与裙脚要用坚固、防渗的材料，建筑材料必须与危险废物兼容。</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③贮存场所基础必须防渗，防渗层至少1m厚黏土层，渗透系数≤10</w:t>
            </w:r>
            <w:r>
              <w:rPr>
                <w:rFonts w:hint="default" w:ascii="Times New Roman" w:hAnsi="Times New Roman" w:eastAsia="宋体" w:cs="Times New Roman"/>
                <w:color w:val="auto"/>
                <w:sz w:val="24"/>
                <w:vertAlign w:val="superscript"/>
                <w:lang w:val="en-US" w:eastAsia="zh-CN"/>
              </w:rPr>
              <w:t>-7</w:t>
            </w:r>
            <w:r>
              <w:rPr>
                <w:rFonts w:hint="default" w:ascii="Times New Roman" w:hAnsi="Times New Roman" w:eastAsia="宋体" w:cs="Times New Roman"/>
                <w:color w:val="auto"/>
                <w:sz w:val="24"/>
                <w:lang w:val="en-US" w:eastAsia="zh-CN"/>
              </w:rPr>
              <w:t>，人工材料渗透系数≤10</w:t>
            </w:r>
            <w:r>
              <w:rPr>
                <w:rFonts w:hint="default" w:ascii="Times New Roman" w:hAnsi="Times New Roman" w:eastAsia="宋体" w:cs="Times New Roman"/>
                <w:color w:val="auto"/>
                <w:sz w:val="24"/>
                <w:vertAlign w:val="superscript"/>
                <w:lang w:val="en-US" w:eastAsia="zh-CN"/>
              </w:rPr>
              <w:t>-10</w:t>
            </w:r>
            <w:r>
              <w:rPr>
                <w:rFonts w:hint="default" w:ascii="Times New Roman" w:hAnsi="Times New Roman" w:eastAsia="宋体" w:cs="Times New Roman"/>
                <w:color w:val="auto"/>
                <w:sz w:val="24"/>
                <w:lang w:val="en-US" w:eastAsia="zh-CN"/>
              </w:rPr>
              <w:t>。</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④贮存场所必须有泄漏液体收集装置（脱盘、围堰等），必须有耐腐蚀的硬化地面，且表面无裂缝。</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⑤危险废物暂存间防风、防雨、防晒。</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⑥贮存场所内要有安全照明设施和观察窗口，并张贴了标识牌及相关警示标志。</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危险废物统一收集在贮存容器中，贮存容器的选择必须要做到防渗、防雨、防晒的要求：</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①应当使用符合标准的容器盛装危险废物。</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②装载危险废物的容器及材质要满足相应的强度要求。</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③装载危险废物的容器必须完好无损。</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④盛装危险废物的容器材质和衬里要与危险废物相容（不相互反应）。</w:t>
            </w:r>
          </w:p>
          <w:p>
            <w:pPr>
              <w:pStyle w:val="11"/>
              <w:keepNext/>
              <w:keepLines/>
              <w:adjustRightInd w:val="0"/>
              <w:snapToGrid w:val="0"/>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另外，建立执行危险废物转移电子联单制度，并实行双人双锁管理，保证危险废物得到安全合理处置。</w:t>
            </w:r>
          </w:p>
          <w:p>
            <w:pPr>
              <w:pStyle w:val="11"/>
              <w:keepNext/>
              <w:keepLines/>
              <w:spacing w:after="0" w:line="48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综上所述，本项目所产生的固废均得到合理处置，对周边环境基本无影响。</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5、土壤影响分析</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经检索《环境影响评价技术导则 土壤环境（试行）》 表A.1土壤环境影响评价项目类别表，本项目属于</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 4 \* ROMAN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IV</w:t>
            </w:r>
            <w:r>
              <w:rPr>
                <w:rFonts w:hint="default" w:ascii="Times New Roman" w:hAnsi="Times New Roman" w:cs="Times New Roman"/>
                <w:sz w:val="24"/>
                <w:szCs w:val="24"/>
              </w:rPr>
              <w:fldChar w:fldCharType="end"/>
            </w:r>
            <w:r>
              <w:rPr>
                <w:rFonts w:hint="default" w:ascii="Times New Roman" w:hAnsi="Times New Roman" w:cs="Times New Roman"/>
                <w:sz w:val="24"/>
                <w:szCs w:val="24"/>
              </w:rPr>
              <w:t>类项目，可不开展土壤环境影响评价工作。</w:t>
            </w:r>
          </w:p>
          <w:p>
            <w:pPr>
              <w:spacing w:line="48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w:t>
            </w:r>
            <w:r>
              <w:rPr>
                <w:rFonts w:hint="default" w:ascii="Times New Roman" w:hAnsi="Times New Roman" w:cs="Times New Roman"/>
                <w:color w:val="000000"/>
                <w:sz w:val="24"/>
              </w:rPr>
              <w:t>项目运营期间污染物主要为工作人员生活污水、生活垃圾，生产过程中主要产生粉尘及杂质，生产废水主要为免烧砖养护水，生产过程中不产生有毒有害物质。</w:t>
            </w:r>
            <w:r>
              <w:rPr>
                <w:rFonts w:hint="default" w:ascii="Times New Roman" w:hAnsi="Times New Roman" w:cs="Times New Roman"/>
                <w:sz w:val="24"/>
                <w:szCs w:val="24"/>
              </w:rPr>
              <w:t>对土壤的污染可能来自</w:t>
            </w:r>
            <w:r>
              <w:rPr>
                <w:rFonts w:hint="default" w:ascii="Times New Roman" w:hAnsi="Times New Roman" w:cs="Times New Roman"/>
                <w:sz w:val="24"/>
                <w:szCs w:val="24"/>
                <w:lang w:eastAsia="zh-CN"/>
              </w:rPr>
              <w:t>废润滑油</w:t>
            </w:r>
            <w:r>
              <w:rPr>
                <w:rFonts w:hint="default" w:ascii="Times New Roman" w:hAnsi="Times New Roman" w:cs="Times New Roman"/>
                <w:sz w:val="24"/>
                <w:szCs w:val="24"/>
              </w:rPr>
              <w:t>的漏渗。</w:t>
            </w:r>
            <w:r>
              <w:rPr>
                <w:rFonts w:hint="default" w:ascii="Times New Roman" w:hAnsi="Times New Roman" w:cs="Times New Roman"/>
                <w:sz w:val="24"/>
                <w:szCs w:val="24"/>
                <w:lang w:eastAsia="zh-CN"/>
              </w:rPr>
              <w:t>废润滑油放入专用收集桶，危废间做防渗处理</w:t>
            </w:r>
            <w:r>
              <w:rPr>
                <w:rFonts w:hint="default" w:ascii="Times New Roman" w:hAnsi="Times New Roman" w:cs="Times New Roman"/>
                <w:sz w:val="24"/>
                <w:szCs w:val="24"/>
              </w:rPr>
              <w:t>。采取以上措施，对土壤环境产生影响较小。</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lang w:val="en-US" w:eastAsia="zh-CN"/>
              </w:rPr>
              <w:t>6</w:t>
            </w:r>
            <w:r>
              <w:rPr>
                <w:rFonts w:hint="default" w:ascii="Times New Roman" w:hAnsi="Times New Roman" w:cs="Times New Roman"/>
                <w:b/>
                <w:color w:val="000000"/>
                <w:sz w:val="24"/>
                <w:szCs w:val="24"/>
              </w:rPr>
              <w:t>、环境管理</w:t>
            </w:r>
          </w:p>
          <w:p>
            <w:pPr>
              <w:autoSpaceDE w:val="0"/>
              <w:autoSpaceDN w:val="0"/>
              <w:adjustRightInd w:val="0"/>
              <w:spacing w:line="480" w:lineRule="atLeast"/>
              <w:ind w:firstLine="480" w:firstLineChars="200"/>
              <w:rPr>
                <w:rFonts w:hint="default" w:ascii="Times New Roman" w:hAnsi="Times New Roman" w:cs="Times New Roman"/>
                <w:kern w:val="0"/>
                <w:sz w:val="24"/>
                <w:szCs w:val="28"/>
              </w:rPr>
            </w:pPr>
            <w:r>
              <w:rPr>
                <w:rFonts w:hint="default" w:ascii="Times New Roman" w:hAnsi="Times New Roman" w:cs="Times New Roman"/>
                <w:kern w:val="0"/>
                <w:sz w:val="24"/>
                <w:szCs w:val="28"/>
              </w:rPr>
              <w:t>本项目的污染物排放水平与项目环境管理水平密切相关，因此在采取环境保护工程措施和生态保护措施的同时，必须加强环境管理。</w:t>
            </w:r>
            <w:r>
              <w:rPr>
                <w:rFonts w:hint="default" w:ascii="Times New Roman" w:hAnsi="Times New Roman" w:cs="Times New Roman"/>
                <w:sz w:val="24"/>
              </w:rPr>
              <w:t>本项目属于生产性项目，在生产过程中的环境管理内容包括以下几点：</w:t>
            </w:r>
          </w:p>
          <w:p>
            <w:pPr>
              <w:autoSpaceDE w:val="0"/>
              <w:autoSpaceDN w:val="0"/>
              <w:adjustRightInd w:val="0"/>
              <w:spacing w:line="480" w:lineRule="atLeast"/>
              <w:ind w:firstLine="480" w:firstLineChars="200"/>
              <w:rPr>
                <w:rFonts w:hint="default" w:ascii="Times New Roman" w:hAnsi="Times New Roman" w:cs="Times New Roman"/>
                <w:kern w:val="0"/>
                <w:sz w:val="24"/>
                <w:szCs w:val="28"/>
              </w:rPr>
            </w:pPr>
            <w:r>
              <w:rPr>
                <w:rFonts w:hint="default" w:ascii="Times New Roman" w:hAnsi="Times New Roman" w:cs="Times New Roman"/>
                <w:kern w:val="0"/>
                <w:sz w:val="24"/>
                <w:szCs w:val="28"/>
              </w:rPr>
              <w:t>①贯彻执行国家和地方各项环保方针、政策和法规，将环境指标纳入生产计划指标，建立企业内部的环境保护机构、制订与其相适应的管理规章制度及细则；</w:t>
            </w:r>
          </w:p>
          <w:p>
            <w:pPr>
              <w:autoSpaceDE w:val="0"/>
              <w:autoSpaceDN w:val="0"/>
              <w:adjustRightInd w:val="0"/>
              <w:spacing w:line="480" w:lineRule="atLeast"/>
              <w:ind w:firstLine="480" w:firstLineChars="200"/>
              <w:rPr>
                <w:rFonts w:hint="default" w:ascii="Times New Roman" w:hAnsi="Times New Roman" w:cs="Times New Roman"/>
                <w:kern w:val="0"/>
                <w:sz w:val="24"/>
                <w:szCs w:val="28"/>
              </w:rPr>
            </w:pPr>
            <w:r>
              <w:rPr>
                <w:rFonts w:hint="default" w:ascii="Times New Roman" w:hAnsi="Times New Roman" w:cs="Times New Roman"/>
                <w:kern w:val="0"/>
                <w:sz w:val="24"/>
                <w:szCs w:val="28"/>
              </w:rPr>
              <w:t>②加强对生产人员的环保教育，包括业务能力、操作技术、环保管理知识的教育，以增强他们的环保意识，提高管理水平；</w:t>
            </w:r>
          </w:p>
          <w:p>
            <w:pPr>
              <w:autoSpaceDE w:val="0"/>
              <w:autoSpaceDN w:val="0"/>
              <w:adjustRightInd w:val="0"/>
              <w:spacing w:line="480" w:lineRule="atLeast"/>
              <w:ind w:firstLine="480" w:firstLineChars="200"/>
              <w:rPr>
                <w:rFonts w:hint="default" w:ascii="Times New Roman" w:hAnsi="Times New Roman" w:cs="Times New Roman"/>
                <w:kern w:val="0"/>
                <w:sz w:val="24"/>
                <w:szCs w:val="28"/>
              </w:rPr>
            </w:pPr>
            <w:r>
              <w:rPr>
                <w:rFonts w:hint="default" w:ascii="Times New Roman" w:hAnsi="Times New Roman" w:cs="Times New Roman"/>
                <w:kern w:val="0"/>
                <w:sz w:val="24"/>
                <w:szCs w:val="28"/>
              </w:rPr>
              <w:t>③建立设备维护、维修制度，定期检查各设备运行情况，杜绝事故发生。</w:t>
            </w:r>
          </w:p>
          <w:p>
            <w:pPr>
              <w:autoSpaceDE w:val="0"/>
              <w:autoSpaceDN w:val="0"/>
              <w:adjustRightInd w:val="0"/>
              <w:spacing w:line="480" w:lineRule="atLeast"/>
              <w:ind w:firstLine="470" w:firstLineChars="196"/>
              <w:rPr>
                <w:rFonts w:hint="default" w:ascii="Times New Roman" w:hAnsi="Times New Roman" w:cs="Times New Roman"/>
                <w:sz w:val="24"/>
              </w:rPr>
            </w:pPr>
            <w:r>
              <w:rPr>
                <w:rFonts w:hint="default" w:ascii="Times New Roman" w:hAnsi="Times New Roman" w:cs="Times New Roman"/>
                <w:kern w:val="0"/>
                <w:sz w:val="24"/>
                <w:szCs w:val="28"/>
              </w:rPr>
              <w:t>④</w:t>
            </w:r>
            <w:r>
              <w:rPr>
                <w:rFonts w:hint="default" w:ascii="Times New Roman" w:hAnsi="Times New Roman" w:cs="Times New Roman"/>
                <w:sz w:val="24"/>
              </w:rPr>
              <w:t>除尘器如有发生突发事故，要及时向环保部门汇报，及时抢修，使除尘设施及时正常运行，确保污染降到最低程度。</w:t>
            </w:r>
          </w:p>
          <w:p>
            <w:pPr>
              <w:spacing w:line="480" w:lineRule="exact"/>
              <w:ind w:firstLine="480" w:firstLineChars="200"/>
              <w:rPr>
                <w:rFonts w:hint="default" w:ascii="Times New Roman" w:hAnsi="Times New Roman" w:cs="Times New Roman"/>
                <w:b/>
                <w:color w:val="000000"/>
                <w:sz w:val="24"/>
                <w:szCs w:val="24"/>
              </w:rPr>
            </w:pPr>
            <w:r>
              <w:rPr>
                <w:rFonts w:hint="default" w:ascii="Times New Roman" w:hAnsi="Times New Roman" w:cs="Times New Roman"/>
                <w:sz w:val="24"/>
              </w:rPr>
              <w:t>⑤加强生产期间各种环保措施的管理，务必使环保措施起到相应的作用。</w:t>
            </w:r>
          </w:p>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lang w:val="en-US" w:eastAsia="zh-CN"/>
              </w:rPr>
              <w:t>7</w:t>
            </w:r>
            <w:r>
              <w:rPr>
                <w:rFonts w:hint="default" w:ascii="Times New Roman" w:hAnsi="Times New Roman" w:cs="Times New Roman"/>
                <w:b/>
                <w:color w:val="000000"/>
                <w:sz w:val="24"/>
                <w:szCs w:val="24"/>
              </w:rPr>
              <w:t>、环境监测计划及环保设施清单</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（1）监测计划</w:t>
            </w:r>
          </w:p>
          <w:p>
            <w:pPr>
              <w:pStyle w:val="23"/>
              <w:spacing w:after="0" w:line="480" w:lineRule="exact"/>
              <w:rPr>
                <w:rFonts w:hint="default" w:ascii="Times New Roman" w:hAnsi="Times New Roman" w:cs="Times New Roman"/>
                <w:sz w:val="24"/>
                <w:szCs w:val="20"/>
              </w:rPr>
            </w:pPr>
            <w:r>
              <w:rPr>
                <w:rFonts w:hint="default" w:ascii="Times New Roman" w:hAnsi="Times New Roman" w:cs="Times New Roman"/>
                <w:sz w:val="24"/>
                <w:szCs w:val="20"/>
              </w:rPr>
              <w:t>项目监测计划应包括两部分：一为验收监测，二为营运期的常规监测计划。</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验收监测：本项目环保设施运行后，</w:t>
            </w:r>
            <w:r>
              <w:rPr>
                <w:rFonts w:hint="default" w:ascii="Times New Roman" w:hAnsi="Times New Roman" w:cs="Times New Roman"/>
                <w:color w:val="000000"/>
                <w:sz w:val="24"/>
              </w:rPr>
              <w:t>建设单位应按照相关要求进行环保设施竣工验收，并进行验收监测。</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营运期的常规监测：主要是对建设项目建成运营后的污染源的监测。各环保设施运行情况应进行定期监测。监测计划如下：</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（1）在所有环保设备经过试运转，并经检验合格后，方可正式运行。</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（2）运行期的环保问题由业主负责。</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（3）业主必须保证所有环保设备的正常运行，并保证各类污染物达到国家的排放标准和当地环保部门的管理要求。</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szCs w:val="24"/>
              </w:rPr>
              <w:t>（4）</w:t>
            </w:r>
            <w:r>
              <w:rPr>
                <w:rFonts w:hint="default" w:ascii="Times New Roman" w:hAnsi="Times New Roman" w:cs="Times New Roman"/>
                <w:sz w:val="24"/>
              </w:rPr>
              <w:t>对全部设施正常运转的情况下，最大的污染物排放量废气、主噪声设备向当地环保机构进行申报登记，交纳规费，领取排污许可证，并进行每年一次的年审。营运期的常规监测具体见表2</w:t>
            </w:r>
            <w:r>
              <w:rPr>
                <w:rFonts w:hint="default" w:ascii="Times New Roman" w:hAnsi="Times New Roman" w:cs="Times New Roman"/>
                <w:sz w:val="24"/>
                <w:lang w:val="en-US" w:eastAsia="zh-CN"/>
              </w:rPr>
              <w:t>8</w:t>
            </w:r>
            <w:r>
              <w:rPr>
                <w:rFonts w:hint="default" w:ascii="Times New Roman" w:hAnsi="Times New Roman" w:cs="Times New Roman"/>
                <w:sz w:val="24"/>
              </w:rPr>
              <w:t>。</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根据项目生产特点和主要污染物的排放情况，并结合《排污企业自行监测技术指南 总则》（HJ819-2017），制定营运期污染源监测计划一览表见表2</w:t>
            </w:r>
            <w:r>
              <w:rPr>
                <w:rFonts w:hint="default" w:ascii="Times New Roman" w:hAnsi="Times New Roman" w:cs="Times New Roman"/>
                <w:color w:val="000000"/>
                <w:sz w:val="24"/>
                <w:lang w:val="en-US" w:eastAsia="zh-CN"/>
              </w:rPr>
              <w:t>8</w:t>
            </w:r>
            <w:r>
              <w:rPr>
                <w:rFonts w:hint="default" w:ascii="Times New Roman" w:hAnsi="Times New Roman" w:cs="Times New Roman"/>
                <w:color w:val="000000"/>
                <w:sz w:val="24"/>
              </w:rPr>
              <w:t>。</w:t>
            </w:r>
          </w:p>
          <w:p>
            <w:pPr>
              <w:spacing w:line="348"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表2</w:t>
            </w:r>
            <w:r>
              <w:rPr>
                <w:rFonts w:hint="default" w:ascii="Times New Roman" w:hAnsi="Times New Roman" w:cs="Times New Roman"/>
                <w:b/>
                <w:color w:val="000000"/>
                <w:sz w:val="24"/>
                <w:szCs w:val="24"/>
                <w:lang w:val="en-US" w:eastAsia="zh-CN"/>
              </w:rPr>
              <w:t>8</w:t>
            </w:r>
            <w:r>
              <w:rPr>
                <w:rFonts w:hint="default" w:ascii="Times New Roman" w:hAnsi="Times New Roman" w:cs="Times New Roman"/>
                <w:b/>
                <w:color w:val="000000"/>
                <w:sz w:val="24"/>
                <w:szCs w:val="24"/>
              </w:rPr>
              <w:t xml:space="preserve">   营运期污染源监测计划一览表</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85"/>
              <w:gridCol w:w="946"/>
              <w:gridCol w:w="1706"/>
              <w:gridCol w:w="992"/>
              <w:gridCol w:w="1559"/>
              <w:gridCol w:w="27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trPr>
              <w:tc>
                <w:tcPr>
                  <w:tcW w:w="88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污染源名称</w:t>
                  </w:r>
                </w:p>
              </w:tc>
              <w:tc>
                <w:tcPr>
                  <w:tcW w:w="94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监测项目</w:t>
                  </w:r>
                </w:p>
              </w:tc>
              <w:tc>
                <w:tcPr>
                  <w:tcW w:w="17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监测点</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位置</w:t>
                  </w: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点数</w:t>
                  </w:r>
                </w:p>
              </w:tc>
              <w:tc>
                <w:tcPr>
                  <w:tcW w:w="1559"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监测频率</w:t>
                  </w:r>
                </w:p>
              </w:tc>
              <w:tc>
                <w:tcPr>
                  <w:tcW w:w="276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控制指标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trPr>
              <w:tc>
                <w:tcPr>
                  <w:tcW w:w="885"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废气</w:t>
                  </w:r>
                </w:p>
              </w:tc>
              <w:tc>
                <w:tcPr>
                  <w:tcW w:w="946" w:type="dxa"/>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bCs/>
                      <w:color w:val="000000"/>
                      <w:szCs w:val="21"/>
                    </w:rPr>
                    <w:t>颗粒物</w:t>
                  </w:r>
                </w:p>
              </w:tc>
              <w:tc>
                <w:tcPr>
                  <w:tcW w:w="17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bCs/>
                      <w:color w:val="000000"/>
                      <w:szCs w:val="21"/>
                    </w:rPr>
                    <w:t>水泥罐仓滤芯式除尘器排气筒</w:t>
                  </w: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个</w:t>
                  </w:r>
                </w:p>
              </w:tc>
              <w:tc>
                <w:tcPr>
                  <w:tcW w:w="1559"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bCs/>
                      <w:color w:val="000000"/>
                      <w:szCs w:val="21"/>
                    </w:rPr>
                    <w:t>1次/年</w:t>
                  </w:r>
                </w:p>
              </w:tc>
              <w:tc>
                <w:tcPr>
                  <w:tcW w:w="2765" w:type="dxa"/>
                  <w:noWrap w:val="0"/>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color w:val="auto"/>
                      <w:szCs w:val="21"/>
                    </w:rPr>
                    <w:t>DB61/941-201</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表</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中相关限值要求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trPr>
              <w:tc>
                <w:tcPr>
                  <w:tcW w:w="885" w:type="dxa"/>
                  <w:vMerge w:val="continue"/>
                  <w:noWrap w:val="0"/>
                  <w:vAlign w:val="center"/>
                </w:tcPr>
                <w:p>
                  <w:pPr>
                    <w:jc w:val="center"/>
                    <w:rPr>
                      <w:rFonts w:hint="default" w:ascii="Times New Roman" w:hAnsi="Times New Roman" w:cs="Times New Roman"/>
                      <w:color w:val="000000"/>
                      <w:szCs w:val="21"/>
                    </w:rPr>
                  </w:pPr>
                </w:p>
              </w:tc>
              <w:tc>
                <w:tcPr>
                  <w:tcW w:w="946" w:type="dxa"/>
                  <w:vMerge w:val="continue"/>
                  <w:noWrap w:val="0"/>
                  <w:vAlign w:val="center"/>
                </w:tcPr>
                <w:p>
                  <w:pPr>
                    <w:jc w:val="center"/>
                    <w:rPr>
                      <w:rFonts w:hint="default" w:ascii="Times New Roman" w:hAnsi="Times New Roman" w:cs="Times New Roman"/>
                      <w:bCs/>
                      <w:color w:val="000000"/>
                      <w:szCs w:val="21"/>
                    </w:rPr>
                  </w:pPr>
                </w:p>
              </w:tc>
              <w:tc>
                <w:tcPr>
                  <w:tcW w:w="1706"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布袋除尘器排气筒</w:t>
                  </w:r>
                </w:p>
              </w:tc>
              <w:tc>
                <w:tcPr>
                  <w:tcW w:w="992" w:type="dxa"/>
                  <w:noWrap w:val="0"/>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2</w:t>
                  </w:r>
                  <w:r>
                    <w:rPr>
                      <w:rFonts w:hint="default" w:ascii="Times New Roman" w:hAnsi="Times New Roman" w:cs="Times New Roman"/>
                      <w:color w:val="000000"/>
                      <w:szCs w:val="21"/>
                    </w:rPr>
                    <w:t>个</w:t>
                  </w:r>
                </w:p>
              </w:tc>
              <w:tc>
                <w:tcPr>
                  <w:tcW w:w="1559"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1次/年</w:t>
                  </w:r>
                </w:p>
              </w:tc>
              <w:tc>
                <w:tcPr>
                  <w:tcW w:w="2765"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eastAsia="宋体" w:cs="Times New Roman"/>
                      <w:color w:val="auto"/>
                      <w:szCs w:val="21"/>
                    </w:rPr>
                    <w:t>GB29620-2013表2相关限值要求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trPr>
              <w:tc>
                <w:tcPr>
                  <w:tcW w:w="885" w:type="dxa"/>
                  <w:vMerge w:val="continue"/>
                  <w:noWrap w:val="0"/>
                  <w:vAlign w:val="center"/>
                </w:tcPr>
                <w:p>
                  <w:pPr>
                    <w:jc w:val="center"/>
                    <w:rPr>
                      <w:rFonts w:hint="default" w:ascii="Times New Roman" w:hAnsi="Times New Roman" w:cs="Times New Roman"/>
                      <w:color w:val="000000"/>
                      <w:szCs w:val="21"/>
                    </w:rPr>
                  </w:pPr>
                </w:p>
              </w:tc>
              <w:tc>
                <w:tcPr>
                  <w:tcW w:w="946"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颗粒物</w:t>
                  </w:r>
                </w:p>
              </w:tc>
              <w:tc>
                <w:tcPr>
                  <w:tcW w:w="1706"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厂界上风向、下风向</w:t>
                  </w: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个</w:t>
                  </w:r>
                </w:p>
              </w:tc>
              <w:tc>
                <w:tcPr>
                  <w:tcW w:w="1559"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1次/年</w:t>
                  </w:r>
                </w:p>
              </w:tc>
              <w:tc>
                <w:tcPr>
                  <w:tcW w:w="2765" w:type="dxa"/>
                  <w:noWrap w:val="0"/>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（GB29620-2013）表3要求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trPr>
              <w:tc>
                <w:tcPr>
                  <w:tcW w:w="88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环境</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噪声</w:t>
                  </w:r>
                </w:p>
              </w:tc>
              <w:tc>
                <w:tcPr>
                  <w:tcW w:w="94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Leq</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(A)</w:t>
                  </w:r>
                </w:p>
              </w:tc>
              <w:tc>
                <w:tcPr>
                  <w:tcW w:w="1706"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厂区边界外1米</w:t>
                  </w:r>
                </w:p>
              </w:tc>
              <w:tc>
                <w:tcPr>
                  <w:tcW w:w="992"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4个</w:t>
                  </w:r>
                </w:p>
              </w:tc>
              <w:tc>
                <w:tcPr>
                  <w:tcW w:w="1559" w:type="dxa"/>
                  <w:noWrap w:val="0"/>
                  <w:vAlign w:val="center"/>
                </w:tcPr>
                <w:p>
                  <w:pPr>
                    <w:jc w:val="center"/>
                    <w:rPr>
                      <w:rFonts w:hint="default" w:ascii="Times New Roman" w:hAnsi="Times New Roman" w:cs="Times New Roman"/>
                      <w:color w:val="000000"/>
                      <w:spacing w:val="-4"/>
                      <w:szCs w:val="21"/>
                    </w:rPr>
                  </w:pPr>
                  <w:r>
                    <w:rPr>
                      <w:rFonts w:hint="default" w:ascii="Times New Roman" w:hAnsi="Times New Roman" w:cs="Times New Roman"/>
                      <w:color w:val="000000"/>
                      <w:spacing w:val="-4"/>
                      <w:szCs w:val="21"/>
                    </w:rPr>
                    <w:t>每季1次（昼、夜各1次）</w:t>
                  </w:r>
                </w:p>
              </w:tc>
              <w:tc>
                <w:tcPr>
                  <w:tcW w:w="2765" w:type="dxa"/>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GB12348-2008中的2类标准</w:t>
                  </w:r>
                </w:p>
              </w:tc>
            </w:tr>
          </w:tbl>
          <w:p>
            <w:pPr>
              <w:pStyle w:val="106"/>
              <w:spacing w:line="480" w:lineRule="exact"/>
              <w:ind w:firstLine="480"/>
              <w:rPr>
                <w:rFonts w:hint="default" w:ascii="Times New Roman" w:hAnsi="Times New Roman" w:cs="Times New Roman"/>
                <w:color w:val="000000"/>
                <w:szCs w:val="24"/>
              </w:rPr>
            </w:pPr>
            <w:r>
              <w:rPr>
                <w:rFonts w:hint="default" w:ascii="Times New Roman" w:hAnsi="Times New Roman" w:cs="Times New Roman"/>
                <w:color w:val="000000"/>
                <w:szCs w:val="24"/>
              </w:rPr>
              <w:t>（2）环境保护设施清单</w:t>
            </w:r>
          </w:p>
          <w:p>
            <w:pPr>
              <w:spacing w:line="480" w:lineRule="exact"/>
              <w:ind w:firstLine="496" w:firstLineChars="200"/>
              <w:rPr>
                <w:rFonts w:hint="default" w:ascii="Times New Roman" w:hAnsi="Times New Roman" w:cs="Times New Roman"/>
                <w:bCs/>
                <w:color w:val="000000"/>
                <w:spacing w:val="4"/>
                <w:sz w:val="24"/>
              </w:rPr>
            </w:pPr>
            <w:r>
              <w:rPr>
                <w:rFonts w:hint="default" w:ascii="Times New Roman" w:hAnsi="Times New Roman" w:cs="Times New Roman"/>
                <w:bCs/>
                <w:color w:val="000000"/>
                <w:spacing w:val="4"/>
                <w:sz w:val="24"/>
              </w:rPr>
              <w:t>污染物环保设施清单见表2</w:t>
            </w:r>
            <w:r>
              <w:rPr>
                <w:rFonts w:hint="default" w:ascii="Times New Roman" w:hAnsi="Times New Roman" w:cs="Times New Roman"/>
                <w:bCs/>
                <w:color w:val="000000"/>
                <w:spacing w:val="4"/>
                <w:sz w:val="24"/>
                <w:lang w:val="en-US" w:eastAsia="zh-CN"/>
              </w:rPr>
              <w:t>9</w:t>
            </w:r>
            <w:r>
              <w:rPr>
                <w:rFonts w:hint="default" w:ascii="Times New Roman" w:hAnsi="Times New Roman" w:cs="Times New Roman"/>
                <w:bCs/>
                <w:color w:val="000000"/>
                <w:spacing w:val="4"/>
                <w:sz w:val="24"/>
              </w:rPr>
              <w:t>。</w:t>
            </w:r>
          </w:p>
          <w:p>
            <w:pPr>
              <w:spacing w:line="348"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表2</w:t>
            </w:r>
            <w:r>
              <w:rPr>
                <w:rFonts w:hint="default" w:ascii="Times New Roman" w:hAnsi="Times New Roman" w:cs="Times New Roman"/>
                <w:b/>
                <w:color w:val="000000"/>
                <w:sz w:val="24"/>
                <w:szCs w:val="24"/>
                <w:lang w:val="en-US" w:eastAsia="zh-CN"/>
              </w:rPr>
              <w:t>9</w:t>
            </w:r>
            <w:r>
              <w:rPr>
                <w:rFonts w:hint="default" w:ascii="Times New Roman" w:hAnsi="Times New Roman" w:cs="Times New Roman"/>
                <w:b/>
                <w:color w:val="000000"/>
                <w:sz w:val="24"/>
                <w:szCs w:val="24"/>
              </w:rPr>
              <w:t xml:space="preserve">   </w:t>
            </w:r>
            <w:r>
              <w:rPr>
                <w:rFonts w:hint="default" w:ascii="Times New Roman" w:hAnsi="Times New Roman" w:cs="Times New Roman"/>
                <w:b/>
                <w:bCs/>
                <w:color w:val="000000"/>
                <w:spacing w:val="4"/>
                <w:sz w:val="24"/>
              </w:rPr>
              <w:t>污染物环保设施清单</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339"/>
              <w:gridCol w:w="2075"/>
              <w:gridCol w:w="708"/>
              <w:gridCol w:w="2835"/>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013" w:type="dxa"/>
                  <w:gridSpan w:val="2"/>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项目内容</w:t>
                  </w:r>
                </w:p>
              </w:tc>
              <w:tc>
                <w:tcPr>
                  <w:tcW w:w="2075"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处理措施</w:t>
                  </w:r>
                </w:p>
              </w:tc>
              <w:tc>
                <w:tcPr>
                  <w:tcW w:w="708"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数量</w:t>
                  </w:r>
                </w:p>
              </w:tc>
              <w:tc>
                <w:tcPr>
                  <w:tcW w:w="2835"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效果</w:t>
                  </w:r>
                </w:p>
              </w:tc>
              <w:tc>
                <w:tcPr>
                  <w:tcW w:w="1190" w:type="dxa"/>
                  <w:noWrap w:val="0"/>
                  <w:vAlign w:val="center"/>
                </w:tcPr>
                <w:p>
                  <w:pPr>
                    <w:adjustRightInd w:val="0"/>
                    <w:snapToGrid w:val="0"/>
                    <w:ind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4" w:type="dxa"/>
                  <w:vMerge w:val="restart"/>
                  <w:noWrap w:val="0"/>
                  <w:vAlign w:val="center"/>
                </w:tcPr>
                <w:p>
                  <w:pPr>
                    <w:adjustRightInd w:val="0"/>
                    <w:snapToGrid w:val="0"/>
                    <w:ind w:left="-50"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废气</w:t>
                  </w:r>
                </w:p>
              </w:tc>
              <w:tc>
                <w:tcPr>
                  <w:tcW w:w="1339"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水泥罐仓</w:t>
                  </w:r>
                </w:p>
              </w:tc>
              <w:tc>
                <w:tcPr>
                  <w:tcW w:w="2075"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滤芯除尘器</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2套</w:t>
                  </w:r>
                </w:p>
              </w:tc>
              <w:tc>
                <w:tcPr>
                  <w:tcW w:w="2835" w:type="dxa"/>
                  <w:noWrap w:val="0"/>
                  <w:vAlign w:val="center"/>
                </w:tcPr>
                <w:p>
                  <w:pPr>
                    <w:pStyle w:val="141"/>
                    <w:rPr>
                      <w:rFonts w:hint="default" w:ascii="Times New Roman" w:hAnsi="Times New Roman" w:cs="Times New Roman"/>
                      <w:color w:val="FF0000"/>
                      <w:szCs w:val="21"/>
                    </w:rPr>
                  </w:pPr>
                  <w:r>
                    <w:rPr>
                      <w:rFonts w:hint="default" w:ascii="Times New Roman" w:hAnsi="Times New Roman" w:eastAsia="宋体" w:cs="Times New Roman"/>
                      <w:color w:val="FF0000"/>
                      <w:szCs w:val="21"/>
                    </w:rPr>
                    <w:t>DB61/941-201</w:t>
                  </w:r>
                  <w:r>
                    <w:rPr>
                      <w:rFonts w:hint="default" w:ascii="Times New Roman" w:hAnsi="Times New Roman" w:eastAsia="宋体" w:cs="Times New Roman"/>
                      <w:color w:val="FF0000"/>
                      <w:szCs w:val="21"/>
                      <w:lang w:val="en-US" w:eastAsia="zh-CN"/>
                    </w:rPr>
                    <w:t>8</w:t>
                  </w:r>
                  <w:r>
                    <w:rPr>
                      <w:rFonts w:hint="default" w:ascii="Times New Roman" w:hAnsi="Times New Roman" w:eastAsia="宋体" w:cs="Times New Roman"/>
                      <w:color w:val="FF0000"/>
                      <w:szCs w:val="21"/>
                    </w:rPr>
                    <w:t>表</w:t>
                  </w:r>
                  <w:r>
                    <w:rPr>
                      <w:rFonts w:hint="default" w:ascii="Times New Roman" w:hAnsi="Times New Roman" w:eastAsia="宋体" w:cs="Times New Roman"/>
                      <w:color w:val="FF0000"/>
                      <w:szCs w:val="21"/>
                      <w:lang w:val="en-US" w:eastAsia="zh-CN"/>
                    </w:rPr>
                    <w:t>1</w:t>
                  </w:r>
                  <w:r>
                    <w:rPr>
                      <w:rFonts w:hint="default" w:ascii="Times New Roman" w:hAnsi="Times New Roman" w:eastAsia="宋体" w:cs="Times New Roman"/>
                      <w:color w:val="FF0000"/>
                      <w:szCs w:val="21"/>
                    </w:rPr>
                    <w:t>中相关限值要求</w:t>
                  </w:r>
                </w:p>
              </w:tc>
              <w:tc>
                <w:tcPr>
                  <w:tcW w:w="1190"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已有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210" w:leftChars="-100" w:right="-210" w:rightChars="-100"/>
                    <w:jc w:val="center"/>
                    <w:outlineLvl w:val="0"/>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eastAsia="zh-CN"/>
                    </w:rPr>
                    <w:t>颚式破碎粉尘</w:t>
                  </w:r>
                </w:p>
              </w:tc>
              <w:tc>
                <w:tcPr>
                  <w:tcW w:w="2075" w:type="dxa"/>
                  <w:noWrap w:val="0"/>
                  <w:vAlign w:val="center"/>
                </w:tcPr>
                <w:p>
                  <w:pPr>
                    <w:autoSpaceDE w:val="0"/>
                    <w:autoSpaceDN w:val="0"/>
                    <w:adjustRightInd w:val="0"/>
                    <w:jc w:val="center"/>
                    <w:rPr>
                      <w:rFonts w:hint="default" w:ascii="Times New Roman" w:hAnsi="Times New Roman" w:cs="Times New Roman"/>
                      <w:color w:val="FF0000"/>
                      <w:kern w:val="0"/>
                      <w:sz w:val="21"/>
                      <w:szCs w:val="21"/>
                      <w:lang w:val="en-US" w:eastAsia="zh-CN" w:bidi="ar-SA"/>
                    </w:rPr>
                  </w:pPr>
                  <w:r>
                    <w:rPr>
                      <w:rFonts w:hint="default" w:ascii="Times New Roman" w:hAnsi="Times New Roman" w:cs="Times New Roman"/>
                      <w:color w:val="FF0000"/>
                      <w:kern w:val="0"/>
                      <w:szCs w:val="21"/>
                    </w:rPr>
                    <w:t>布袋除尘器，15m排气筒</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 w:val="21"/>
                      <w:szCs w:val="21"/>
                      <w:lang w:val="en-US" w:eastAsia="zh-CN" w:bidi="ar-SA"/>
                    </w:rPr>
                  </w:pPr>
                  <w:r>
                    <w:rPr>
                      <w:rFonts w:hint="eastAsia" w:ascii="Times New Roman" w:hAnsi="Times New Roman" w:cs="Times New Roman"/>
                      <w:color w:val="FF0000"/>
                      <w:kern w:val="0"/>
                      <w:szCs w:val="21"/>
                      <w:lang w:val="en-US" w:eastAsia="zh-CN"/>
                    </w:rPr>
                    <w:t>1</w:t>
                  </w:r>
                  <w:r>
                    <w:rPr>
                      <w:rFonts w:hint="default" w:ascii="Times New Roman" w:hAnsi="Times New Roman" w:cs="Times New Roman"/>
                      <w:color w:val="FF0000"/>
                      <w:kern w:val="0"/>
                      <w:szCs w:val="21"/>
                    </w:rPr>
                    <w:t>套</w:t>
                  </w:r>
                </w:p>
              </w:tc>
              <w:tc>
                <w:tcPr>
                  <w:tcW w:w="2835" w:type="dxa"/>
                  <w:noWrap w:val="0"/>
                  <w:vAlign w:val="center"/>
                </w:tcPr>
                <w:p>
                  <w:pPr>
                    <w:snapToGrid w:val="0"/>
                    <w:jc w:val="center"/>
                    <w:rPr>
                      <w:rFonts w:hint="default" w:ascii="Times New Roman" w:hAnsi="Times New Roman" w:cs="Times New Roman"/>
                      <w:color w:val="FF0000"/>
                      <w:kern w:val="2"/>
                      <w:sz w:val="21"/>
                      <w:szCs w:val="21"/>
                      <w:lang w:val="en-US" w:eastAsia="zh-CN" w:bidi="ar-SA"/>
                    </w:rPr>
                  </w:pPr>
                  <w:r>
                    <w:rPr>
                      <w:rFonts w:hint="default" w:ascii="Times New Roman" w:hAnsi="Times New Roman" w:eastAsia="宋体" w:cs="Times New Roman"/>
                      <w:color w:val="FF0000"/>
                      <w:szCs w:val="21"/>
                    </w:rPr>
                    <w:t>GB29620-2013表2相关限值要求</w:t>
                  </w:r>
                </w:p>
              </w:tc>
              <w:tc>
                <w:tcPr>
                  <w:tcW w:w="1190" w:type="dxa"/>
                  <w:noWrap w:val="0"/>
                  <w:vAlign w:val="center"/>
                </w:tcPr>
                <w:p>
                  <w:pPr>
                    <w:snapToGrid w:val="0"/>
                    <w:jc w:val="center"/>
                    <w:rPr>
                      <w:rFonts w:hint="default" w:ascii="Times New Roman" w:hAnsi="Times New Roman" w:cs="Times New Roman"/>
                      <w:color w:val="FF0000"/>
                      <w:kern w:val="2"/>
                      <w:sz w:val="21"/>
                      <w:szCs w:val="21"/>
                      <w:lang w:val="en-US" w:eastAsia="zh-CN" w:bidi="ar-SA"/>
                    </w:rPr>
                  </w:pPr>
                  <w:r>
                    <w:rPr>
                      <w:rFonts w:hint="default" w:ascii="Times New Roman" w:hAnsi="Times New Roman" w:cs="Times New Roman"/>
                      <w:color w:val="FF000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锤式</w:t>
                  </w:r>
                  <w:r>
                    <w:rPr>
                      <w:rFonts w:hint="default" w:ascii="Times New Roman" w:hAnsi="Times New Roman" w:cs="Times New Roman"/>
                      <w:color w:val="FF0000"/>
                      <w:szCs w:val="21"/>
                    </w:rPr>
                    <w:t>破碎粉尘</w:t>
                  </w:r>
                </w:p>
              </w:tc>
              <w:tc>
                <w:tcPr>
                  <w:tcW w:w="2075"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布袋除尘器，15m排气筒</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eastAsia" w:ascii="Times New Roman" w:hAnsi="Times New Roman" w:cs="Times New Roman"/>
                      <w:color w:val="FF0000"/>
                      <w:kern w:val="0"/>
                      <w:szCs w:val="21"/>
                      <w:lang w:val="en-US" w:eastAsia="zh-CN"/>
                    </w:rPr>
                    <w:t>1</w:t>
                  </w:r>
                  <w:r>
                    <w:rPr>
                      <w:rFonts w:hint="default" w:ascii="Times New Roman" w:hAnsi="Times New Roman" w:cs="Times New Roman"/>
                      <w:color w:val="FF0000"/>
                      <w:kern w:val="0"/>
                      <w:szCs w:val="21"/>
                    </w:rPr>
                    <w:t>套</w:t>
                  </w:r>
                </w:p>
              </w:tc>
              <w:tc>
                <w:tcPr>
                  <w:tcW w:w="2835"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eastAsia="宋体" w:cs="Times New Roman"/>
                      <w:color w:val="FF0000"/>
                      <w:szCs w:val="21"/>
                    </w:rPr>
                    <w:t>GB29620-2013表2相关限值要求</w:t>
                  </w:r>
                </w:p>
              </w:tc>
              <w:tc>
                <w:tcPr>
                  <w:tcW w:w="1190"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传输带、</w:t>
                  </w:r>
                </w:p>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卸料</w:t>
                  </w:r>
                  <w:r>
                    <w:rPr>
                      <w:rFonts w:hint="default" w:ascii="Times New Roman" w:hAnsi="Times New Roman" w:cs="Times New Roman"/>
                      <w:color w:val="FF0000"/>
                      <w:szCs w:val="21"/>
                      <w:lang w:eastAsia="zh-CN"/>
                    </w:rPr>
                    <w:t>、搅拌</w:t>
                  </w:r>
                  <w:r>
                    <w:rPr>
                      <w:rFonts w:hint="default" w:ascii="Times New Roman" w:hAnsi="Times New Roman" w:cs="Times New Roman"/>
                      <w:color w:val="FF0000"/>
                      <w:szCs w:val="21"/>
                    </w:rPr>
                    <w:t>等</w:t>
                  </w:r>
                </w:p>
              </w:tc>
              <w:tc>
                <w:tcPr>
                  <w:tcW w:w="2075"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spacing w:val="-2"/>
                      <w:szCs w:val="21"/>
                    </w:rPr>
                    <w:t>洒水抑尘装置</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4套</w:t>
                  </w:r>
                </w:p>
              </w:tc>
              <w:tc>
                <w:tcPr>
                  <w:tcW w:w="2835"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eastAsia="宋体" w:cs="Times New Roman"/>
                      <w:color w:val="FF0000"/>
                      <w:szCs w:val="21"/>
                    </w:rPr>
                    <w:t>GB29620-2013表</w:t>
                  </w:r>
                  <w:r>
                    <w:rPr>
                      <w:rFonts w:hint="default" w:ascii="Times New Roman" w:hAnsi="Times New Roman" w:eastAsia="宋体" w:cs="Times New Roman"/>
                      <w:color w:val="FF0000"/>
                      <w:szCs w:val="21"/>
                      <w:lang w:val="en-US" w:eastAsia="zh-CN"/>
                    </w:rPr>
                    <w:t>3</w:t>
                  </w:r>
                  <w:r>
                    <w:rPr>
                      <w:rFonts w:hint="default" w:ascii="Times New Roman" w:hAnsi="Times New Roman" w:eastAsia="宋体" w:cs="Times New Roman"/>
                      <w:color w:val="FF0000"/>
                      <w:szCs w:val="21"/>
                    </w:rPr>
                    <w:t>相关限值要求</w:t>
                  </w:r>
                </w:p>
              </w:tc>
              <w:tc>
                <w:tcPr>
                  <w:tcW w:w="1190"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建筑垃圾、</w:t>
                  </w:r>
                </w:p>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骨料</w:t>
                  </w:r>
                </w:p>
              </w:tc>
              <w:tc>
                <w:tcPr>
                  <w:tcW w:w="2075"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储棚</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2处</w:t>
                  </w:r>
                </w:p>
              </w:tc>
              <w:tc>
                <w:tcPr>
                  <w:tcW w:w="2835"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措施到位</w:t>
                  </w:r>
                </w:p>
              </w:tc>
              <w:tc>
                <w:tcPr>
                  <w:tcW w:w="1190"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要求加强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车辆粉尘</w:t>
                  </w:r>
                </w:p>
              </w:tc>
              <w:tc>
                <w:tcPr>
                  <w:tcW w:w="2075"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洗车池</w:t>
                  </w:r>
                </w:p>
              </w:tc>
              <w:tc>
                <w:tcPr>
                  <w:tcW w:w="70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1处</w:t>
                  </w:r>
                </w:p>
              </w:tc>
              <w:tc>
                <w:tcPr>
                  <w:tcW w:w="2835"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措施到位</w:t>
                  </w:r>
                </w:p>
              </w:tc>
              <w:tc>
                <w:tcPr>
                  <w:tcW w:w="1190" w:type="dxa"/>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4" w:type="dxa"/>
                  <w:noWrap w:val="0"/>
                  <w:vAlign w:val="center"/>
                </w:tcPr>
                <w:p>
                  <w:pPr>
                    <w:adjustRightInd w:val="0"/>
                    <w:snapToGrid w:val="0"/>
                    <w:ind w:left="-50"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ab/>
                  </w:r>
                  <w:r>
                    <w:rPr>
                      <w:rFonts w:hint="default" w:ascii="Times New Roman" w:hAnsi="Times New Roman" w:cs="Times New Roman"/>
                      <w:color w:val="FF0000"/>
                      <w:szCs w:val="21"/>
                    </w:rPr>
                    <w:t>噪声</w:t>
                  </w:r>
                </w:p>
              </w:tc>
              <w:tc>
                <w:tcPr>
                  <w:tcW w:w="1339" w:type="dxa"/>
                  <w:noWrap w:val="0"/>
                  <w:vAlign w:val="center"/>
                </w:tcPr>
                <w:p>
                  <w:pPr>
                    <w:snapToGrid w:val="0"/>
                    <w:ind w:left="-105" w:leftChars="-50" w:right="-105" w:right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设备噪声</w:t>
                  </w:r>
                </w:p>
              </w:tc>
              <w:tc>
                <w:tcPr>
                  <w:tcW w:w="2075" w:type="dxa"/>
                  <w:noWrap w:val="0"/>
                  <w:vAlign w:val="center"/>
                </w:tcPr>
                <w:p>
                  <w:pPr>
                    <w:adjustRightInd w:val="0"/>
                    <w:snapToGrid w:val="0"/>
                    <w:ind w:left="-50"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高噪声设备采取减振、隔声及消声等措施</w:t>
                  </w:r>
                </w:p>
              </w:tc>
              <w:tc>
                <w:tcPr>
                  <w:tcW w:w="708" w:type="dxa"/>
                  <w:noWrap w:val="0"/>
                  <w:vAlign w:val="center"/>
                </w:tcPr>
                <w:p>
                  <w:pPr>
                    <w:snapToGrid w:val="0"/>
                    <w:ind w:left="-105" w:leftChars="-50" w:right="-105" w:right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若干</w:t>
                  </w:r>
                </w:p>
              </w:tc>
              <w:tc>
                <w:tcPr>
                  <w:tcW w:w="2835" w:type="dxa"/>
                  <w:noWrap w:val="0"/>
                  <w:vAlign w:val="center"/>
                </w:tcPr>
                <w:p>
                  <w:pPr>
                    <w:snapToGrid w:val="0"/>
                    <w:ind w:left="-105" w:leftChars="-50" w:right="-105" w:rightChars="-50"/>
                    <w:jc w:val="center"/>
                    <w:rPr>
                      <w:rFonts w:hint="default" w:ascii="Times New Roman" w:hAnsi="Times New Roman" w:cs="Times New Roman"/>
                      <w:color w:val="FF0000"/>
                      <w:sz w:val="24"/>
                    </w:rPr>
                  </w:pPr>
                  <w:r>
                    <w:rPr>
                      <w:rFonts w:hint="default" w:ascii="Times New Roman" w:hAnsi="Times New Roman" w:cs="Times New Roman"/>
                      <w:color w:val="FF0000"/>
                      <w:kern w:val="0"/>
                      <w:szCs w:val="21"/>
                    </w:rPr>
                    <w:t>达</w:t>
                  </w:r>
                  <w:r>
                    <w:rPr>
                      <w:rFonts w:hint="default" w:ascii="Times New Roman" w:hAnsi="Times New Roman" w:cs="Times New Roman"/>
                      <w:color w:val="FF0000"/>
                      <w:szCs w:val="21"/>
                    </w:rPr>
                    <w:t>到GB12348-2008中2类标准</w:t>
                  </w:r>
                </w:p>
              </w:tc>
              <w:tc>
                <w:tcPr>
                  <w:tcW w:w="1190" w:type="dxa"/>
                  <w:noWrap w:val="0"/>
                  <w:vAlign w:val="center"/>
                </w:tcPr>
                <w:p>
                  <w:pPr>
                    <w:snapToGrid w:val="0"/>
                    <w:ind w:left="-105" w:leftChars="-50" w:right="-105" w:rightChars="-50"/>
                    <w:jc w:val="center"/>
                    <w:rPr>
                      <w:rFonts w:hint="default" w:ascii="Times New Roman" w:hAnsi="Times New Roman" w:cs="Times New Roman"/>
                      <w:color w:val="FF0000"/>
                      <w:sz w:val="24"/>
                    </w:rPr>
                  </w:pPr>
                  <w:r>
                    <w:rPr>
                      <w:rFonts w:hint="default" w:ascii="Times New Roman" w:hAnsi="Times New Roman" w:cs="Times New Roman"/>
                      <w:color w:val="FF0000"/>
                      <w:sz w:val="24"/>
                    </w:rPr>
                    <w:t>已有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noWrap w:val="0"/>
                  <w:vAlign w:val="center"/>
                </w:tcPr>
                <w:p>
                  <w:pPr>
                    <w:adjustRightInd w:val="0"/>
                    <w:snapToGrid w:val="0"/>
                    <w:ind w:left="-50"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废水</w:t>
                  </w:r>
                </w:p>
              </w:tc>
              <w:tc>
                <w:tcPr>
                  <w:tcW w:w="1339" w:type="dxa"/>
                  <w:noWrap w:val="0"/>
                  <w:vAlign w:val="center"/>
                </w:tcPr>
                <w:p>
                  <w:pPr>
                    <w:snapToGrid w:val="0"/>
                    <w:ind w:left="-105" w:leftChars="-50" w:right="-105" w:right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SS</w:t>
                  </w:r>
                </w:p>
              </w:tc>
              <w:tc>
                <w:tcPr>
                  <w:tcW w:w="2075"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沉淀池</w:t>
                  </w:r>
                </w:p>
              </w:tc>
              <w:tc>
                <w:tcPr>
                  <w:tcW w:w="708"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2835" w:type="dxa"/>
                  <w:vMerge w:val="restart"/>
                  <w:noWrap w:val="0"/>
                  <w:vAlign w:val="center"/>
                </w:tcPr>
                <w:p>
                  <w:pPr>
                    <w:pStyle w:val="11"/>
                    <w:snapToGrid w:val="0"/>
                    <w:spacing w:after="0"/>
                    <w:jc w:val="center"/>
                    <w:rPr>
                      <w:rFonts w:hint="default" w:ascii="Times New Roman" w:hAnsi="Times New Roman" w:cs="Times New Roman"/>
                      <w:bCs/>
                      <w:color w:val="FF0000"/>
                      <w:szCs w:val="21"/>
                    </w:rPr>
                  </w:pPr>
                  <w:r>
                    <w:rPr>
                      <w:rFonts w:hint="default" w:ascii="Times New Roman" w:hAnsi="Times New Roman" w:cs="Times New Roman"/>
                      <w:color w:val="FF0000"/>
                      <w:szCs w:val="21"/>
                    </w:rPr>
                    <w:t>措施到位</w:t>
                  </w:r>
                </w:p>
              </w:tc>
              <w:tc>
                <w:tcPr>
                  <w:tcW w:w="1190" w:type="dxa"/>
                  <w:vMerge w:val="restart"/>
                  <w:noWrap w:val="0"/>
                  <w:vAlign w:val="center"/>
                </w:tcPr>
                <w:p>
                  <w:pPr>
                    <w:pStyle w:val="11"/>
                    <w:snapToGrid w:val="0"/>
                    <w:spacing w:after="0"/>
                    <w:jc w:val="center"/>
                    <w:rPr>
                      <w:rFonts w:hint="default" w:ascii="Times New Roman" w:hAnsi="Times New Roman" w:cs="Times New Roman"/>
                      <w:bCs/>
                      <w:color w:val="FF0000"/>
                      <w:szCs w:val="21"/>
                    </w:rPr>
                  </w:pPr>
                  <w:r>
                    <w:rPr>
                      <w:rFonts w:hint="default" w:ascii="Times New Roman" w:hAnsi="Times New Roman" w:cs="Times New Roman"/>
                      <w:bCs/>
                      <w:color w:val="FF000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snapToGrid w:val="0"/>
                    <w:ind w:left="-105" w:leftChars="-50" w:right="-105" w:right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生活污水</w:t>
                  </w:r>
                </w:p>
              </w:tc>
              <w:tc>
                <w:tcPr>
                  <w:tcW w:w="2075"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化粪池</w:t>
                  </w:r>
                </w:p>
              </w:tc>
              <w:tc>
                <w:tcPr>
                  <w:tcW w:w="708"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2835" w:type="dxa"/>
                  <w:vMerge w:val="continue"/>
                  <w:noWrap w:val="0"/>
                  <w:vAlign w:val="center"/>
                </w:tcPr>
                <w:p>
                  <w:pPr>
                    <w:pStyle w:val="11"/>
                    <w:snapToGrid w:val="0"/>
                    <w:spacing w:after="0"/>
                    <w:jc w:val="center"/>
                    <w:rPr>
                      <w:rFonts w:hint="default" w:ascii="Times New Roman" w:hAnsi="Times New Roman" w:cs="Times New Roman"/>
                      <w:color w:val="FF0000"/>
                      <w:szCs w:val="21"/>
                    </w:rPr>
                  </w:pPr>
                </w:p>
              </w:tc>
              <w:tc>
                <w:tcPr>
                  <w:tcW w:w="1190" w:type="dxa"/>
                  <w:vMerge w:val="continue"/>
                  <w:noWrap w:val="0"/>
                  <w:vAlign w:val="center"/>
                </w:tcPr>
                <w:p>
                  <w:pPr>
                    <w:pStyle w:val="11"/>
                    <w:snapToGrid w:val="0"/>
                    <w:spacing w:after="0"/>
                    <w:jc w:val="center"/>
                    <w:rPr>
                      <w:rFonts w:hint="default" w:ascii="Times New Roman" w:hAnsi="Times New Roman" w:cs="Times New Roman"/>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snapToGrid w:val="0"/>
                    <w:ind w:left="-105" w:leftChars="-50" w:right="-105" w:rightChars="-50"/>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SS</w:t>
                  </w:r>
                </w:p>
              </w:tc>
              <w:tc>
                <w:tcPr>
                  <w:tcW w:w="2075" w:type="dxa"/>
                  <w:noWrap w:val="0"/>
                  <w:vAlign w:val="center"/>
                </w:tcPr>
                <w:p>
                  <w:pPr>
                    <w:adjustRightInd w:val="0"/>
                    <w:snapToGrid w:val="0"/>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洗车池</w:t>
                  </w:r>
                </w:p>
              </w:tc>
              <w:tc>
                <w:tcPr>
                  <w:tcW w:w="708"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2835" w:type="dxa"/>
                  <w:vMerge w:val="continue"/>
                  <w:noWrap w:val="0"/>
                  <w:vAlign w:val="center"/>
                </w:tcPr>
                <w:p>
                  <w:pPr>
                    <w:pStyle w:val="11"/>
                    <w:snapToGrid w:val="0"/>
                    <w:spacing w:after="0"/>
                    <w:jc w:val="center"/>
                    <w:rPr>
                      <w:rFonts w:hint="default" w:ascii="Times New Roman" w:hAnsi="Times New Roman" w:cs="Times New Roman"/>
                      <w:color w:val="FF0000"/>
                      <w:szCs w:val="21"/>
                    </w:rPr>
                  </w:pPr>
                </w:p>
              </w:tc>
              <w:tc>
                <w:tcPr>
                  <w:tcW w:w="1190" w:type="dxa"/>
                  <w:vMerge w:val="continue"/>
                  <w:noWrap w:val="0"/>
                  <w:vAlign w:val="center"/>
                </w:tcPr>
                <w:p>
                  <w:pPr>
                    <w:pStyle w:val="11"/>
                    <w:snapToGrid w:val="0"/>
                    <w:spacing w:after="0"/>
                    <w:jc w:val="center"/>
                    <w:rPr>
                      <w:rFonts w:hint="default" w:ascii="Times New Roman" w:hAnsi="Times New Roman" w:cs="Times New Roman"/>
                      <w:color w:val="FF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4" w:type="dxa"/>
                  <w:vMerge w:val="restart"/>
                  <w:noWrap w:val="0"/>
                  <w:vAlign w:val="center"/>
                </w:tcPr>
                <w:p>
                  <w:pPr>
                    <w:adjustRightInd w:val="0"/>
                    <w:snapToGrid w:val="0"/>
                    <w:ind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固体废物</w:t>
                  </w:r>
                </w:p>
              </w:tc>
              <w:tc>
                <w:tcPr>
                  <w:tcW w:w="1339" w:type="dxa"/>
                  <w:noWrap w:val="0"/>
                  <w:vAlign w:val="center"/>
                </w:tcPr>
                <w:p>
                  <w:pPr>
                    <w:snapToGrid w:val="0"/>
                    <w:ind w:left="-105" w:leftChars="-50" w:right="-105" w:right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生活垃圾</w:t>
                  </w:r>
                </w:p>
              </w:tc>
              <w:tc>
                <w:tcPr>
                  <w:tcW w:w="2075"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环卫部门清运</w:t>
                  </w:r>
                </w:p>
              </w:tc>
              <w:tc>
                <w:tcPr>
                  <w:tcW w:w="708" w:type="dxa"/>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835" w:type="dxa"/>
                  <w:noWrap w:val="0"/>
                  <w:vAlign w:val="center"/>
                </w:tcPr>
                <w:p>
                  <w:pPr>
                    <w:pStyle w:val="11"/>
                    <w:snapToGrid w:val="0"/>
                    <w:spacing w:after="0"/>
                    <w:jc w:val="center"/>
                    <w:rPr>
                      <w:rFonts w:hint="default" w:ascii="Times New Roman" w:hAnsi="Times New Roman" w:cs="Times New Roman"/>
                      <w:color w:val="FF0000"/>
                      <w:szCs w:val="21"/>
                    </w:rPr>
                  </w:pPr>
                  <w:r>
                    <w:rPr>
                      <w:rFonts w:hint="default" w:ascii="Times New Roman" w:hAnsi="Times New Roman" w:cs="Times New Roman"/>
                      <w:color w:val="FF0000"/>
                      <w:szCs w:val="21"/>
                    </w:rPr>
                    <w:t>处置率100%</w:t>
                  </w:r>
                </w:p>
              </w:tc>
              <w:tc>
                <w:tcPr>
                  <w:tcW w:w="1190" w:type="dxa"/>
                  <w:noWrap w:val="0"/>
                  <w:vAlign w:val="center"/>
                </w:tcPr>
                <w:p>
                  <w:pPr>
                    <w:pStyle w:val="11"/>
                    <w:snapToGrid w:val="0"/>
                    <w:spacing w:after="0"/>
                    <w:jc w:val="center"/>
                    <w:rPr>
                      <w:rFonts w:hint="default" w:ascii="Times New Roman" w:hAnsi="Times New Roman" w:cs="Times New Roman"/>
                      <w:color w:val="FF0000"/>
                      <w:szCs w:val="21"/>
                    </w:rPr>
                  </w:pPr>
                  <w:r>
                    <w:rPr>
                      <w:rFonts w:hint="default" w:ascii="Times New Roman" w:hAnsi="Times New Roman" w:cs="Times New Roman"/>
                      <w:color w:val="FF0000"/>
                      <w:szCs w:val="21"/>
                    </w:rPr>
                    <w:t>已有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105" w:leftChars="-50" w:right="-105" w:rightChars="-50"/>
                    <w:jc w:val="center"/>
                    <w:outlineLvl w:val="0"/>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rPr>
                    <w:t>生产</w:t>
                  </w:r>
                  <w:r>
                    <w:rPr>
                      <w:rFonts w:hint="default" w:ascii="Times New Roman" w:hAnsi="Times New Roman" w:cs="Times New Roman"/>
                      <w:color w:val="FF0000"/>
                      <w:szCs w:val="21"/>
                      <w:lang w:eastAsia="zh-CN"/>
                    </w:rPr>
                    <w:t>固废</w:t>
                  </w:r>
                </w:p>
              </w:tc>
              <w:tc>
                <w:tcPr>
                  <w:tcW w:w="2075" w:type="dxa"/>
                  <w:noWrap w:val="0"/>
                  <w:vAlign w:val="center"/>
                </w:tcPr>
                <w:p>
                  <w:pPr>
                    <w:snapToGrid w:val="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杂物收集点</w:t>
                  </w:r>
                </w:p>
              </w:tc>
              <w:tc>
                <w:tcPr>
                  <w:tcW w:w="708" w:type="dxa"/>
                  <w:noWrap w:val="0"/>
                  <w:vAlign w:val="center"/>
                </w:tcPr>
                <w:p>
                  <w:pPr>
                    <w:snapToGrid w:val="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2处</w:t>
                  </w:r>
                </w:p>
              </w:tc>
              <w:tc>
                <w:tcPr>
                  <w:tcW w:w="2835" w:type="dxa"/>
                  <w:noWrap w:val="0"/>
                  <w:vAlign w:val="center"/>
                </w:tcPr>
                <w:p>
                  <w:pPr>
                    <w:pStyle w:val="11"/>
                    <w:snapToGrid w:val="0"/>
                    <w:spacing w:after="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处理率100%</w:t>
                  </w:r>
                </w:p>
              </w:tc>
              <w:tc>
                <w:tcPr>
                  <w:tcW w:w="1190" w:type="dxa"/>
                  <w:noWrap w:val="0"/>
                  <w:vAlign w:val="center"/>
                </w:tcPr>
                <w:p>
                  <w:pPr>
                    <w:pStyle w:val="11"/>
                    <w:snapToGrid w:val="0"/>
                    <w:spacing w:after="0"/>
                    <w:ind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已有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noWrap w:val="0"/>
                  <w:vAlign w:val="center"/>
                </w:tcPr>
                <w:p>
                  <w:pPr>
                    <w:adjustRightInd w:val="0"/>
                    <w:snapToGrid w:val="0"/>
                    <w:ind w:left="-50" w:right="-50"/>
                    <w:jc w:val="center"/>
                    <w:rPr>
                      <w:rFonts w:hint="default" w:ascii="Times New Roman" w:hAnsi="Times New Roman" w:cs="Times New Roman"/>
                      <w:color w:val="FF0000"/>
                      <w:szCs w:val="21"/>
                    </w:rPr>
                  </w:pPr>
                </w:p>
              </w:tc>
              <w:tc>
                <w:tcPr>
                  <w:tcW w:w="1339" w:type="dxa"/>
                  <w:noWrap w:val="0"/>
                  <w:vAlign w:val="center"/>
                </w:tcPr>
                <w:p>
                  <w:pPr>
                    <w:adjustRightInd w:val="0"/>
                    <w:snapToGrid w:val="0"/>
                    <w:ind w:left="-105" w:leftChars="-50" w:right="-105" w:rightChars="-5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危险废物</w:t>
                  </w:r>
                </w:p>
              </w:tc>
              <w:tc>
                <w:tcPr>
                  <w:tcW w:w="2075" w:type="dxa"/>
                  <w:noWrap w:val="0"/>
                  <w:vAlign w:val="center"/>
                </w:tcPr>
                <w:p>
                  <w:pPr>
                    <w:snapToGrid w:val="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存储桶、暂存间</w:t>
                  </w:r>
                </w:p>
              </w:tc>
              <w:tc>
                <w:tcPr>
                  <w:tcW w:w="708" w:type="dxa"/>
                  <w:noWrap w:val="0"/>
                  <w:vAlign w:val="center"/>
                </w:tcPr>
                <w:p>
                  <w:pPr>
                    <w:snapToGrid w:val="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1个</w:t>
                  </w:r>
                </w:p>
              </w:tc>
              <w:tc>
                <w:tcPr>
                  <w:tcW w:w="2835" w:type="dxa"/>
                  <w:noWrap w:val="0"/>
                  <w:vAlign w:val="center"/>
                </w:tcPr>
                <w:p>
                  <w:pPr>
                    <w:pStyle w:val="11"/>
                    <w:snapToGrid w:val="0"/>
                    <w:spacing w:after="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处理率100%</w:t>
                  </w:r>
                </w:p>
              </w:tc>
              <w:tc>
                <w:tcPr>
                  <w:tcW w:w="1190" w:type="dxa"/>
                  <w:noWrap w:val="0"/>
                  <w:vAlign w:val="center"/>
                </w:tcPr>
                <w:p>
                  <w:pPr>
                    <w:pStyle w:val="11"/>
                    <w:snapToGrid w:val="0"/>
                    <w:spacing w:after="0"/>
                    <w:ind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noWrap w:val="0"/>
                  <w:vAlign w:val="center"/>
                </w:tcPr>
                <w:p>
                  <w:pPr>
                    <w:adjustRightInd w:val="0"/>
                    <w:snapToGrid w:val="0"/>
                    <w:ind w:left="-50" w:right="-50"/>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生态环境</w:t>
                  </w:r>
                </w:p>
              </w:tc>
              <w:tc>
                <w:tcPr>
                  <w:tcW w:w="4122" w:type="dxa"/>
                  <w:gridSpan w:val="3"/>
                  <w:noWrap w:val="0"/>
                  <w:vAlign w:val="center"/>
                </w:tcPr>
                <w:p>
                  <w:pPr>
                    <w:snapToGrid w:val="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szCs w:val="21"/>
                    </w:rPr>
                    <w:t>厂区空地绿化面积2500m</w:t>
                  </w:r>
                  <w:r>
                    <w:rPr>
                      <w:rFonts w:hint="default" w:ascii="Times New Roman" w:hAnsi="Times New Roman" w:cs="Times New Roman"/>
                      <w:color w:val="FF0000"/>
                      <w:szCs w:val="21"/>
                      <w:vertAlign w:val="superscript"/>
                    </w:rPr>
                    <w:t>2</w:t>
                  </w:r>
                  <w:r>
                    <w:rPr>
                      <w:rFonts w:hint="default" w:ascii="Times New Roman" w:hAnsi="Times New Roman" w:cs="Times New Roman"/>
                      <w:color w:val="FF0000"/>
                      <w:szCs w:val="21"/>
                    </w:rPr>
                    <w:t>，绿化率≥10%</w:t>
                  </w:r>
                </w:p>
              </w:tc>
              <w:tc>
                <w:tcPr>
                  <w:tcW w:w="2835" w:type="dxa"/>
                  <w:noWrap w:val="0"/>
                  <w:vAlign w:val="center"/>
                </w:tcPr>
                <w:p>
                  <w:pPr>
                    <w:pStyle w:val="11"/>
                    <w:snapToGrid w:val="0"/>
                    <w:spacing w:after="0"/>
                    <w:ind w:left="-105" w:leftChars="-50"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措施到位</w:t>
                  </w:r>
                </w:p>
              </w:tc>
              <w:tc>
                <w:tcPr>
                  <w:tcW w:w="1190" w:type="dxa"/>
                  <w:noWrap w:val="0"/>
                  <w:vAlign w:val="center"/>
                </w:tcPr>
                <w:p>
                  <w:pPr>
                    <w:pStyle w:val="11"/>
                    <w:snapToGrid w:val="0"/>
                    <w:spacing w:after="0"/>
                    <w:ind w:right="-105" w:rightChars="-5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要求强化</w:t>
                  </w:r>
                </w:p>
              </w:tc>
            </w:tr>
          </w:tbl>
          <w:p>
            <w:pPr>
              <w:spacing w:line="48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9、环保投资</w:t>
            </w:r>
          </w:p>
          <w:p>
            <w:pPr>
              <w:autoSpaceDE w:val="0"/>
              <w:autoSpaceDN w:val="0"/>
              <w:adjustRightInd w:val="0"/>
              <w:spacing w:line="480" w:lineRule="exact"/>
              <w:ind w:firstLine="480" w:firstLineChars="200"/>
              <w:jc w:val="left"/>
              <w:rPr>
                <w:rFonts w:hint="default" w:ascii="Times New Roman" w:hAnsi="Times New Roman" w:cs="Times New Roman"/>
                <w:color w:val="FF0000"/>
                <w:kern w:val="0"/>
                <w:sz w:val="24"/>
              </w:rPr>
            </w:pPr>
            <w:r>
              <w:rPr>
                <w:rFonts w:hint="default" w:ascii="Times New Roman" w:hAnsi="Times New Roman" w:cs="Times New Roman"/>
                <w:color w:val="FF0000"/>
                <w:kern w:val="0"/>
                <w:sz w:val="24"/>
              </w:rPr>
              <w:t>本项目总投资2600万元，</w:t>
            </w:r>
            <w:r>
              <w:rPr>
                <w:rFonts w:hint="default" w:ascii="Times New Roman" w:hAnsi="Times New Roman" w:cs="Times New Roman"/>
                <w:bCs/>
                <w:color w:val="FF0000"/>
                <w:kern w:val="0"/>
                <w:sz w:val="24"/>
              </w:rPr>
              <w:t>其中环保投资为36.7万元，占总投资的比例为1.4%，环保投资估算见表</w:t>
            </w:r>
            <w:r>
              <w:rPr>
                <w:rFonts w:hint="default" w:ascii="Times New Roman" w:hAnsi="Times New Roman" w:cs="Times New Roman"/>
                <w:bCs/>
                <w:color w:val="FF0000"/>
                <w:kern w:val="0"/>
                <w:sz w:val="24"/>
                <w:lang w:val="en-US" w:eastAsia="zh-CN"/>
              </w:rPr>
              <w:t>3</w:t>
            </w:r>
            <w:r>
              <w:rPr>
                <w:rFonts w:hint="default" w:ascii="Times New Roman" w:hAnsi="Times New Roman" w:cs="Times New Roman"/>
                <w:bCs/>
                <w:color w:val="FF0000"/>
                <w:kern w:val="0"/>
                <w:sz w:val="24"/>
                <w:lang w:val="en-US" w:eastAsia="zh-CN"/>
              </w:rPr>
              <w:t>0</w:t>
            </w:r>
            <w:r>
              <w:rPr>
                <w:rFonts w:hint="default" w:ascii="Times New Roman" w:hAnsi="Times New Roman" w:cs="Times New Roman"/>
                <w:bCs/>
                <w:color w:val="FF0000"/>
                <w:kern w:val="0"/>
                <w:sz w:val="24"/>
              </w:rPr>
              <w:t>。</w:t>
            </w:r>
          </w:p>
          <w:p>
            <w:pPr>
              <w:spacing w:line="480" w:lineRule="exact"/>
              <w:ind w:firstLine="482" w:firstLineChars="200"/>
              <w:jc w:val="center"/>
              <w:rPr>
                <w:rFonts w:hint="default" w:ascii="Times New Roman" w:hAnsi="Times New Roman" w:cs="Times New Roman"/>
                <w:b/>
                <w:color w:val="FF0000"/>
                <w:sz w:val="24"/>
                <w:szCs w:val="24"/>
              </w:rPr>
            </w:pPr>
            <w:r>
              <w:rPr>
                <w:rFonts w:hint="default" w:ascii="Times New Roman" w:hAnsi="Times New Roman" w:cs="Times New Roman"/>
                <w:b/>
                <w:color w:val="FF0000"/>
                <w:sz w:val="24"/>
                <w:szCs w:val="24"/>
              </w:rPr>
              <w:t>表</w:t>
            </w:r>
            <w:r>
              <w:rPr>
                <w:rFonts w:hint="default" w:ascii="Times New Roman" w:hAnsi="Times New Roman" w:cs="Times New Roman"/>
                <w:b/>
                <w:color w:val="FF0000"/>
                <w:sz w:val="24"/>
                <w:szCs w:val="24"/>
                <w:lang w:val="en-US" w:eastAsia="zh-CN"/>
              </w:rPr>
              <w:t>3</w:t>
            </w:r>
            <w:r>
              <w:rPr>
                <w:rFonts w:hint="default" w:ascii="Times New Roman" w:hAnsi="Times New Roman" w:cs="Times New Roman"/>
                <w:b/>
                <w:color w:val="FF0000"/>
                <w:sz w:val="24"/>
                <w:szCs w:val="24"/>
                <w:lang w:val="en-US" w:eastAsia="zh-CN"/>
              </w:rPr>
              <w:t>0</w:t>
            </w:r>
            <w:r>
              <w:rPr>
                <w:rFonts w:hint="default" w:ascii="Times New Roman" w:hAnsi="Times New Roman" w:cs="Times New Roman"/>
                <w:b/>
                <w:color w:val="FF0000"/>
                <w:sz w:val="24"/>
                <w:szCs w:val="24"/>
              </w:rPr>
              <w:t xml:space="preserve">   项目环保投资一览表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276"/>
              <w:gridCol w:w="2268"/>
              <w:gridCol w:w="992"/>
              <w:gridCol w:w="1843"/>
              <w:gridCol w:w="1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类别</w:t>
                  </w: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污染物名称</w:t>
                  </w:r>
                </w:p>
              </w:tc>
              <w:tc>
                <w:tcPr>
                  <w:tcW w:w="226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污染防治设施名称</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数量</w:t>
                  </w:r>
                </w:p>
              </w:tc>
              <w:tc>
                <w:tcPr>
                  <w:tcW w:w="1843" w:type="dxa"/>
                  <w:tcBorders>
                    <w:bottom w:val="single" w:color="auto" w:sz="4" w:space="0"/>
                  </w:tcBorders>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规格</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投资额</w:t>
                  </w:r>
                </w:p>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restart"/>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废气</w:t>
                  </w: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水泥罐仓</w:t>
                  </w:r>
                </w:p>
              </w:tc>
              <w:tc>
                <w:tcPr>
                  <w:tcW w:w="226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滤芯除尘器</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2套</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回收效率99.9%</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设备自带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p>
              </w:tc>
              <w:tc>
                <w:tcPr>
                  <w:tcW w:w="1276" w:type="dxa"/>
                  <w:noWrap w:val="0"/>
                  <w:vAlign w:val="center"/>
                </w:tcPr>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传输带、</w:t>
                  </w:r>
                </w:p>
                <w:p>
                  <w:pPr>
                    <w:adjustRightInd w:val="0"/>
                    <w:snapToGrid w:val="0"/>
                    <w:ind w:left="-210" w:leftChars="-100" w:right="-210" w:rightChars="-100"/>
                    <w:jc w:val="center"/>
                    <w:outlineLvl w:val="0"/>
                    <w:rPr>
                      <w:rFonts w:hint="default" w:ascii="Times New Roman" w:hAnsi="Times New Roman" w:cs="Times New Roman"/>
                      <w:color w:val="FF0000"/>
                      <w:szCs w:val="21"/>
                    </w:rPr>
                  </w:pPr>
                  <w:r>
                    <w:rPr>
                      <w:rFonts w:hint="default" w:ascii="Times New Roman" w:hAnsi="Times New Roman" w:cs="Times New Roman"/>
                      <w:color w:val="FF0000"/>
                      <w:szCs w:val="21"/>
                    </w:rPr>
                    <w:t>卸料</w:t>
                  </w:r>
                  <w:r>
                    <w:rPr>
                      <w:rFonts w:hint="default" w:ascii="Times New Roman" w:hAnsi="Times New Roman" w:cs="Times New Roman"/>
                      <w:color w:val="FF0000"/>
                      <w:szCs w:val="21"/>
                      <w:lang w:eastAsia="zh-CN"/>
                    </w:rPr>
                    <w:t>、搅拌</w:t>
                  </w:r>
                  <w:r>
                    <w:rPr>
                      <w:rFonts w:hint="default" w:ascii="Times New Roman" w:hAnsi="Times New Roman" w:cs="Times New Roman"/>
                      <w:color w:val="FF0000"/>
                      <w:szCs w:val="21"/>
                    </w:rPr>
                    <w:t>等</w:t>
                  </w:r>
                </w:p>
              </w:tc>
              <w:tc>
                <w:tcPr>
                  <w:tcW w:w="226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spacing w:val="-2"/>
                      <w:szCs w:val="21"/>
                    </w:rPr>
                    <w:t>洒水抑尘装置</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4套</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w:t>
                  </w:r>
                </w:p>
              </w:tc>
              <w:tc>
                <w:tcPr>
                  <w:tcW w:w="1494" w:type="dxa"/>
                  <w:tcBorders>
                    <w:bottom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FF0000"/>
                      <w:kern w:val="0"/>
                      <w:szCs w:val="21"/>
                      <w:lang w:eastAsia="zh-CN"/>
                    </w:rPr>
                  </w:pPr>
                  <w:r>
                    <w:rPr>
                      <w:rFonts w:hint="eastAsia" w:ascii="Times New Roman" w:hAnsi="Times New Roman" w:cs="Times New Roman"/>
                      <w:color w:val="FF0000"/>
                      <w:kern w:val="0"/>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eastAsia" w:ascii="Times New Roman" w:hAnsi="Times New Roman" w:cs="Times New Roman"/>
                      <w:color w:val="FF0000"/>
                      <w:kern w:val="0"/>
                      <w:szCs w:val="21"/>
                      <w:lang w:eastAsia="zh-CN"/>
                    </w:rPr>
                    <w:t>颚式</w:t>
                  </w:r>
                  <w:r>
                    <w:rPr>
                      <w:rFonts w:hint="default" w:ascii="Times New Roman" w:hAnsi="Times New Roman" w:cs="Times New Roman"/>
                      <w:color w:val="FF0000"/>
                      <w:kern w:val="0"/>
                      <w:szCs w:val="21"/>
                    </w:rPr>
                    <w:t>破碎粉尘</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布袋除尘器</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lang w:val="en-US" w:eastAsia="zh-CN"/>
                    </w:rPr>
                    <w:t>1</w:t>
                  </w:r>
                  <w:r>
                    <w:rPr>
                      <w:rFonts w:hint="default" w:ascii="Times New Roman" w:hAnsi="Times New Roman" w:cs="Times New Roman"/>
                      <w:color w:val="FF0000"/>
                      <w:kern w:val="0"/>
                      <w:szCs w:val="21"/>
                    </w:rPr>
                    <w:t>套</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效率99%</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Cs w:val="21"/>
                      <w:lang w:eastAsia="zh-CN"/>
                    </w:rPr>
                  </w:pPr>
                  <w:r>
                    <w:rPr>
                      <w:rFonts w:hint="eastAsia" w:ascii="Times New Roman" w:hAnsi="Times New Roman" w:cs="Times New Roman"/>
                      <w:color w:val="FF0000"/>
                      <w:kern w:val="0"/>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eastAsia" w:ascii="Times New Roman" w:hAnsi="Times New Roman" w:cs="Times New Roman"/>
                      <w:color w:val="FF0000"/>
                      <w:kern w:val="0"/>
                      <w:szCs w:val="21"/>
                      <w:lang w:eastAsia="zh-CN"/>
                    </w:rPr>
                    <w:t>锤式</w:t>
                  </w:r>
                  <w:r>
                    <w:rPr>
                      <w:rFonts w:hint="default" w:ascii="Times New Roman" w:hAnsi="Times New Roman" w:cs="Times New Roman"/>
                      <w:color w:val="FF0000"/>
                      <w:kern w:val="0"/>
                      <w:szCs w:val="21"/>
                    </w:rPr>
                    <w:t>破碎粉尘</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kern w:val="2"/>
                      <w:sz w:val="21"/>
                      <w:szCs w:val="21"/>
                      <w:lang w:val="en-US" w:eastAsia="zh-CN" w:bidi="ar-SA"/>
                    </w:rPr>
                  </w:pPr>
                  <w:r>
                    <w:rPr>
                      <w:rFonts w:hint="default" w:ascii="Times New Roman" w:hAnsi="Times New Roman" w:cs="Times New Roman"/>
                      <w:color w:val="FF0000"/>
                      <w:spacing w:val="-2"/>
                      <w:szCs w:val="21"/>
                    </w:rPr>
                    <w:t>布袋除尘器</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 w:val="21"/>
                      <w:szCs w:val="21"/>
                      <w:lang w:val="en-US" w:eastAsia="zh-CN" w:bidi="ar-SA"/>
                    </w:rPr>
                  </w:pPr>
                  <w:r>
                    <w:rPr>
                      <w:rFonts w:hint="default" w:ascii="Times New Roman" w:hAnsi="Times New Roman" w:cs="Times New Roman"/>
                      <w:color w:val="FF0000"/>
                      <w:kern w:val="0"/>
                      <w:szCs w:val="21"/>
                      <w:lang w:val="en-US" w:eastAsia="zh-CN"/>
                    </w:rPr>
                    <w:t>1</w:t>
                  </w:r>
                  <w:r>
                    <w:rPr>
                      <w:rFonts w:hint="default" w:ascii="Times New Roman" w:hAnsi="Times New Roman" w:cs="Times New Roman"/>
                      <w:color w:val="FF0000"/>
                      <w:kern w:val="0"/>
                      <w:szCs w:val="21"/>
                    </w:rPr>
                    <w:t>套</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 w:val="21"/>
                      <w:szCs w:val="21"/>
                      <w:lang w:val="en-US" w:eastAsia="zh-CN" w:bidi="ar-SA"/>
                    </w:rPr>
                  </w:pPr>
                  <w:r>
                    <w:rPr>
                      <w:rFonts w:hint="default" w:ascii="Times New Roman" w:hAnsi="Times New Roman" w:cs="Times New Roman"/>
                      <w:color w:val="FF0000"/>
                      <w:kern w:val="0"/>
                      <w:szCs w:val="21"/>
                    </w:rPr>
                    <w:t>效率99%</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 w:val="21"/>
                      <w:szCs w:val="21"/>
                      <w:lang w:val="en-US" w:eastAsia="zh-CN" w:bidi="ar-SA"/>
                    </w:rPr>
                  </w:pPr>
                  <w:r>
                    <w:rPr>
                      <w:rFonts w:hint="eastAsia" w:ascii="Times New Roman" w:hAnsi="Times New Roman" w:cs="Times New Roman"/>
                      <w:color w:val="FF0000"/>
                      <w:kern w:val="0"/>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建筑垃圾、骨料扬尘</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储棚</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2处</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车辆粉尘</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洗车池</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1处</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vertAlign w:val="superscript"/>
                    </w:rPr>
                  </w:pPr>
                  <w:r>
                    <w:rPr>
                      <w:rFonts w:hint="default" w:ascii="Times New Roman" w:hAnsi="Times New Roman" w:cs="Times New Roman"/>
                      <w:color w:val="FF0000"/>
                      <w:kern w:val="0"/>
                      <w:szCs w:val="21"/>
                      <w:lang w:val="en-US" w:eastAsia="zh-CN"/>
                    </w:rPr>
                    <w:t>5</w:t>
                  </w:r>
                  <w:r>
                    <w:rPr>
                      <w:rFonts w:hint="default" w:ascii="Times New Roman" w:hAnsi="Times New Roman" w:cs="Times New Roman"/>
                      <w:color w:val="FF0000"/>
                      <w:kern w:val="0"/>
                      <w:szCs w:val="21"/>
                    </w:rPr>
                    <w:t>m</w:t>
                  </w:r>
                  <w:r>
                    <w:rPr>
                      <w:rFonts w:hint="default" w:ascii="Times New Roman" w:hAnsi="Times New Roman" w:cs="Times New Roman"/>
                      <w:color w:val="FF0000"/>
                      <w:kern w:val="0"/>
                      <w:szCs w:val="21"/>
                      <w:vertAlign w:val="superscript"/>
                    </w:rPr>
                    <w:t>3</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Cs w:val="21"/>
                      <w:lang w:eastAsia="zh-CN"/>
                    </w:rPr>
                  </w:pPr>
                  <w:r>
                    <w:rPr>
                      <w:rFonts w:hint="default" w:ascii="Times New Roman" w:hAnsi="Times New Roman" w:cs="Times New Roman"/>
                      <w:color w:val="FF0000"/>
                      <w:kern w:val="0"/>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restart"/>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废水</w:t>
                  </w: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SS</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沉淀池</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1座</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10m</w:t>
                  </w:r>
                  <w:r>
                    <w:rPr>
                      <w:rFonts w:hint="default" w:ascii="Times New Roman" w:hAnsi="Times New Roman" w:cs="Times New Roman"/>
                      <w:color w:val="FF0000"/>
                      <w:kern w:val="0"/>
                      <w:szCs w:val="21"/>
                      <w:vertAlign w:val="superscript"/>
                    </w:rPr>
                    <w:t>3</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Cs w:val="21"/>
                      <w:lang w:val="en-US" w:eastAsia="zh-CN"/>
                    </w:rPr>
                  </w:pPr>
                  <w:r>
                    <w:rPr>
                      <w:rFonts w:hint="eastAsia" w:ascii="Times New Roman" w:hAnsi="Times New Roman" w:cs="Times New Roman"/>
                      <w:color w:val="FF0000"/>
                      <w:kern w:val="0"/>
                      <w:szCs w:val="21"/>
                      <w:lang w:val="en-US" w:eastAsia="zh-CN"/>
                    </w:rPr>
                    <w:t>2</w:t>
                  </w:r>
                  <w:r>
                    <w:rPr>
                      <w:rFonts w:hint="default" w:ascii="Times New Roman" w:hAnsi="Times New Roman" w:cs="Times New Roman"/>
                      <w:color w:val="FF0000"/>
                      <w:kern w:val="0"/>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生活污水</w:t>
                  </w:r>
                </w:p>
              </w:tc>
              <w:tc>
                <w:tcPr>
                  <w:tcW w:w="2268" w:type="dxa"/>
                  <w:noWrap w:val="0"/>
                  <w:vAlign w:val="center"/>
                </w:tcPr>
                <w:p>
                  <w:pPr>
                    <w:autoSpaceDE w:val="0"/>
                    <w:autoSpaceDN w:val="0"/>
                    <w:adjustRightInd w:val="0"/>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化粪池</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1座</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5 m</w:t>
                  </w:r>
                  <w:r>
                    <w:rPr>
                      <w:rFonts w:hint="default" w:ascii="Times New Roman" w:hAnsi="Times New Roman" w:cs="Times New Roman"/>
                      <w:color w:val="FF0000"/>
                      <w:kern w:val="0"/>
                      <w:szCs w:val="21"/>
                      <w:vertAlign w:val="superscript"/>
                    </w:rPr>
                    <w:t>3</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SS</w:t>
                  </w:r>
                </w:p>
              </w:tc>
              <w:tc>
                <w:tcPr>
                  <w:tcW w:w="2268" w:type="dxa"/>
                  <w:noWrap w:val="0"/>
                  <w:vAlign w:val="center"/>
                </w:tcPr>
                <w:p>
                  <w:pPr>
                    <w:autoSpaceDE w:val="0"/>
                    <w:autoSpaceDN w:val="0"/>
                    <w:adjustRightInd w:val="0"/>
                    <w:jc w:val="center"/>
                    <w:rPr>
                      <w:rFonts w:hint="default" w:ascii="Times New Roman" w:hAnsi="Times New Roman" w:eastAsia="宋体" w:cs="Times New Roman"/>
                      <w:color w:val="FF0000"/>
                      <w:spacing w:val="-2"/>
                      <w:szCs w:val="21"/>
                      <w:lang w:eastAsia="zh-CN"/>
                    </w:rPr>
                  </w:pPr>
                  <w:r>
                    <w:rPr>
                      <w:rFonts w:hint="default" w:ascii="Times New Roman" w:hAnsi="Times New Roman" w:cs="Times New Roman"/>
                      <w:color w:val="FF0000"/>
                      <w:spacing w:val="-2"/>
                      <w:szCs w:val="21"/>
                      <w:lang w:eastAsia="zh-CN"/>
                    </w:rPr>
                    <w:t>洗车池</w:t>
                  </w:r>
                </w:p>
              </w:tc>
              <w:tc>
                <w:tcPr>
                  <w:tcW w:w="992"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1座</w:t>
                  </w:r>
                </w:p>
              </w:tc>
              <w:tc>
                <w:tcPr>
                  <w:tcW w:w="1843"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5 m</w:t>
                  </w:r>
                  <w:r>
                    <w:rPr>
                      <w:rFonts w:hint="default" w:ascii="Times New Roman" w:hAnsi="Times New Roman" w:cs="Times New Roman"/>
                      <w:color w:val="FF0000"/>
                      <w:kern w:val="0"/>
                      <w:szCs w:val="21"/>
                      <w:vertAlign w:val="superscript"/>
                    </w:rPr>
                    <w:t>3</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噪声</w:t>
                  </w: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设备噪声</w:t>
                  </w:r>
                </w:p>
              </w:tc>
              <w:tc>
                <w:tcPr>
                  <w:tcW w:w="226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基础减振、建筑隔声等</w:t>
                  </w:r>
                </w:p>
              </w:tc>
              <w:tc>
                <w:tcPr>
                  <w:tcW w:w="992"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若干</w:t>
                  </w:r>
                </w:p>
              </w:tc>
              <w:tc>
                <w:tcPr>
                  <w:tcW w:w="1843" w:type="dxa"/>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w:t>
                  </w:r>
                </w:p>
              </w:tc>
              <w:tc>
                <w:tcPr>
                  <w:tcW w:w="1494" w:type="dxa"/>
                  <w:tcBorders>
                    <w:bottom w:val="single" w:color="auto" w:sz="4" w:space="0"/>
                  </w:tcBorders>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restart"/>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固废</w:t>
                  </w: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生活垃圾</w:t>
                  </w:r>
                </w:p>
              </w:tc>
              <w:tc>
                <w:tcPr>
                  <w:tcW w:w="2268" w:type="dxa"/>
                  <w:noWrap w:val="0"/>
                  <w:vAlign w:val="center"/>
                </w:tcPr>
                <w:p>
                  <w:pPr>
                    <w:autoSpaceDE w:val="0"/>
                    <w:autoSpaceDN w:val="0"/>
                    <w:adjustRightInd w:val="0"/>
                    <w:ind w:firstLine="420" w:firstLineChars="200"/>
                    <w:jc w:val="left"/>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垃圾收集桶</w:t>
                  </w:r>
                </w:p>
              </w:tc>
              <w:tc>
                <w:tcPr>
                  <w:tcW w:w="992"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4个</w:t>
                  </w:r>
                </w:p>
              </w:tc>
              <w:tc>
                <w:tcPr>
                  <w:tcW w:w="1843" w:type="dxa"/>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w:t>
                  </w:r>
                </w:p>
              </w:tc>
              <w:tc>
                <w:tcPr>
                  <w:tcW w:w="1494"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生产垃圾</w:t>
                  </w:r>
                </w:p>
              </w:tc>
              <w:tc>
                <w:tcPr>
                  <w:tcW w:w="2268" w:type="dxa"/>
                  <w:noWrap w:val="0"/>
                  <w:vAlign w:val="center"/>
                </w:tcPr>
                <w:p>
                  <w:pPr>
                    <w:autoSpaceDE w:val="0"/>
                    <w:autoSpaceDN w:val="0"/>
                    <w:adjustRightInd w:val="0"/>
                    <w:ind w:firstLine="420" w:firstLineChars="200"/>
                    <w:jc w:val="left"/>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杂物收集点</w:t>
                  </w:r>
                </w:p>
              </w:tc>
              <w:tc>
                <w:tcPr>
                  <w:tcW w:w="992"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2处</w:t>
                  </w:r>
                </w:p>
              </w:tc>
              <w:tc>
                <w:tcPr>
                  <w:tcW w:w="1843" w:type="dxa"/>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w:t>
                  </w:r>
                </w:p>
              </w:tc>
              <w:tc>
                <w:tcPr>
                  <w:tcW w:w="1494"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0" w:type="dxa"/>
                  <w:vMerge w:val="continue"/>
                  <w:noWrap w:val="0"/>
                  <w:vAlign w:val="center"/>
                </w:tcPr>
                <w:p>
                  <w:pPr>
                    <w:autoSpaceDE w:val="0"/>
                    <w:autoSpaceDN w:val="0"/>
                    <w:adjustRightInd w:val="0"/>
                    <w:jc w:val="center"/>
                    <w:rPr>
                      <w:rFonts w:hint="default" w:ascii="Times New Roman" w:hAnsi="Times New Roman" w:cs="Times New Roman"/>
                      <w:color w:val="FF0000"/>
                      <w:kern w:val="0"/>
                      <w:szCs w:val="21"/>
                    </w:rPr>
                  </w:pPr>
                </w:p>
              </w:tc>
              <w:tc>
                <w:tcPr>
                  <w:tcW w:w="1276"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危险废物</w:t>
                  </w:r>
                </w:p>
              </w:tc>
              <w:tc>
                <w:tcPr>
                  <w:tcW w:w="2268"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存储桶、暂存间</w:t>
                  </w:r>
                </w:p>
              </w:tc>
              <w:tc>
                <w:tcPr>
                  <w:tcW w:w="992"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1处</w:t>
                  </w:r>
                </w:p>
              </w:tc>
              <w:tc>
                <w:tcPr>
                  <w:tcW w:w="1843" w:type="dxa"/>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配套</w:t>
                  </w:r>
                </w:p>
              </w:tc>
              <w:tc>
                <w:tcPr>
                  <w:tcW w:w="1494" w:type="dxa"/>
                  <w:noWrap w:val="0"/>
                  <w:vAlign w:val="center"/>
                </w:tcPr>
                <w:p>
                  <w:pPr>
                    <w:autoSpaceDE w:val="0"/>
                    <w:autoSpaceDN w:val="0"/>
                    <w:adjustRightInd w:val="0"/>
                    <w:jc w:val="center"/>
                    <w:rPr>
                      <w:rFonts w:hint="default" w:ascii="Times New Roman" w:hAnsi="Times New Roman" w:eastAsia="宋体" w:cs="Times New Roman"/>
                      <w:color w:val="FF0000"/>
                      <w:kern w:val="0"/>
                      <w:szCs w:val="21"/>
                      <w:lang w:eastAsia="zh-CN"/>
                    </w:rPr>
                  </w:pPr>
                  <w:r>
                    <w:rPr>
                      <w:rFonts w:hint="default" w:ascii="Times New Roman" w:hAnsi="Times New Roman" w:cs="Times New Roman"/>
                      <w:color w:val="FF0000"/>
                      <w:kern w:val="0"/>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16" w:type="dxa"/>
                  <w:gridSpan w:val="4"/>
                  <w:noWrap w:val="0"/>
                  <w:vAlign w:val="center"/>
                </w:tcPr>
                <w:p>
                  <w:pPr>
                    <w:autoSpaceDE w:val="0"/>
                    <w:autoSpaceDN w:val="0"/>
                    <w:adjustRightInd w:val="0"/>
                    <w:ind w:firstLine="420" w:firstLineChars="200"/>
                    <w:jc w:val="left"/>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绿化</w:t>
                  </w:r>
                </w:p>
              </w:tc>
              <w:tc>
                <w:tcPr>
                  <w:tcW w:w="1843" w:type="dxa"/>
                  <w:noWrap w:val="0"/>
                  <w:vAlign w:val="center"/>
                </w:tcPr>
                <w:p>
                  <w:pPr>
                    <w:autoSpaceDE w:val="0"/>
                    <w:autoSpaceDN w:val="0"/>
                    <w:adjustRightInd w:val="0"/>
                    <w:ind w:firstLine="420" w:firstLineChars="20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2500m</w:t>
                  </w:r>
                  <w:r>
                    <w:rPr>
                      <w:rFonts w:hint="default" w:ascii="Times New Roman" w:hAnsi="Times New Roman" w:cs="Times New Roman"/>
                      <w:color w:val="FF0000"/>
                      <w:kern w:val="0"/>
                      <w:szCs w:val="21"/>
                      <w:vertAlign w:val="superscript"/>
                    </w:rPr>
                    <w:t>2</w:t>
                  </w:r>
                </w:p>
              </w:tc>
              <w:tc>
                <w:tcPr>
                  <w:tcW w:w="1494" w:type="dxa"/>
                  <w:noWrap w:val="0"/>
                  <w:vAlign w:val="center"/>
                </w:tcPr>
                <w:p>
                  <w:pPr>
                    <w:autoSpaceDE w:val="0"/>
                    <w:autoSpaceDN w:val="0"/>
                    <w:adjustRightInd w:val="0"/>
                    <w:jc w:val="center"/>
                    <w:rPr>
                      <w:rFonts w:hint="default" w:ascii="Times New Roman" w:hAnsi="Times New Roman" w:eastAsia="宋体" w:cs="Times New Roman"/>
                      <w:color w:val="FF0000"/>
                      <w:kern w:val="0"/>
                      <w:szCs w:val="21"/>
                      <w:lang w:eastAsia="zh-CN"/>
                    </w:rPr>
                  </w:pPr>
                  <w:r>
                    <w:rPr>
                      <w:rFonts w:hint="default" w:ascii="Times New Roman" w:hAnsi="Times New Roman" w:cs="Times New Roman"/>
                      <w:color w:val="FF0000"/>
                      <w:kern w:val="0"/>
                      <w:szCs w:val="21"/>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59" w:type="dxa"/>
                  <w:gridSpan w:val="5"/>
                  <w:noWrap w:val="0"/>
                  <w:vAlign w:val="center"/>
                </w:tcPr>
                <w:p>
                  <w:pPr>
                    <w:autoSpaceDE w:val="0"/>
                    <w:autoSpaceDN w:val="0"/>
                    <w:adjustRightInd w:val="0"/>
                    <w:ind w:firstLine="420" w:firstLineChars="200"/>
                    <w:jc w:val="left"/>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合计</w:t>
                  </w:r>
                </w:p>
              </w:tc>
              <w:tc>
                <w:tcPr>
                  <w:tcW w:w="1494" w:type="dxa"/>
                  <w:noWrap w:val="0"/>
                  <w:vAlign w:val="center"/>
                </w:tcPr>
                <w:p>
                  <w:pPr>
                    <w:autoSpaceDE w:val="0"/>
                    <w:autoSpaceDN w:val="0"/>
                    <w:adjustRightInd w:val="0"/>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36.7</w:t>
                  </w:r>
                </w:p>
              </w:tc>
            </w:tr>
          </w:tbl>
          <w:p>
            <w:pPr>
              <w:pStyle w:val="106"/>
              <w:ind w:firstLine="0" w:firstLineChars="0"/>
              <w:rPr>
                <w:rFonts w:hint="default" w:ascii="Times New Roman" w:hAnsi="Times New Roman" w:cs="Times New Roman"/>
                <w:color w:val="000000"/>
                <w:szCs w:val="24"/>
              </w:rPr>
            </w:pPr>
          </w:p>
          <w:p>
            <w:pPr>
              <w:pStyle w:val="106"/>
              <w:ind w:firstLine="0" w:firstLineChars="0"/>
              <w:rPr>
                <w:rFonts w:hint="default" w:ascii="Times New Roman" w:hAnsi="Times New Roman" w:cs="Times New Roman"/>
                <w:color w:val="000000"/>
                <w:szCs w:val="24"/>
              </w:rPr>
            </w:pPr>
          </w:p>
          <w:p>
            <w:pPr>
              <w:pStyle w:val="106"/>
              <w:ind w:firstLine="0" w:firstLineChars="0"/>
              <w:rPr>
                <w:rFonts w:hint="default" w:ascii="Times New Roman" w:hAnsi="Times New Roman" w:cs="Times New Roman"/>
                <w:color w:val="000000"/>
                <w:szCs w:val="24"/>
              </w:rPr>
            </w:pPr>
          </w:p>
          <w:p>
            <w:pPr>
              <w:pStyle w:val="106"/>
              <w:ind w:firstLine="0" w:firstLineChars="0"/>
              <w:rPr>
                <w:rFonts w:hint="default" w:ascii="Times New Roman" w:hAnsi="Times New Roman" w:cs="Times New Roman"/>
                <w:color w:val="000000"/>
                <w:szCs w:val="24"/>
              </w:rPr>
            </w:pPr>
          </w:p>
        </w:tc>
      </w:tr>
    </w:tbl>
    <w:p>
      <w:pPr>
        <w:pStyle w:val="2"/>
        <w:spacing w:before="0" w:after="0" w:line="240" w:lineRule="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color w:val="000000"/>
          <w:sz w:val="32"/>
          <w:szCs w:val="32"/>
        </w:rPr>
        <w:t>建设项目拟采取的防治措施及预期治理效果</w:t>
      </w:r>
    </w:p>
    <w:tbl>
      <w:tblPr>
        <w:tblStyle w:val="30"/>
        <w:tblW w:w="90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054"/>
        <w:gridCol w:w="1134"/>
        <w:gridCol w:w="1418"/>
        <w:gridCol w:w="2268"/>
        <w:gridCol w:w="31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543" w:hRule="exact"/>
          <w:jc w:val="center"/>
        </w:trPr>
        <w:tc>
          <w:tcPr>
            <w:tcW w:w="1054" w:type="dxa"/>
            <w:tcBorders>
              <w:top w:val="single" w:color="auto" w:sz="12" w:space="0"/>
              <w:left w:val="single" w:color="auto" w:sz="12" w:space="0"/>
              <w:bottom w:val="single" w:color="auto" w:sz="4" w:space="0"/>
              <w:right w:val="single" w:color="auto" w:sz="4" w:space="0"/>
              <w:tl2br w:val="single" w:color="auto" w:sz="4" w:space="0"/>
            </w:tcBorders>
            <w:noWrap w:val="0"/>
            <w:vAlign w:val="center"/>
          </w:tcPr>
          <w:p>
            <w:pPr>
              <w:adjustRightInd w:val="0"/>
              <w:snapToGrid w:val="0"/>
              <w:jc w:val="center"/>
              <w:rPr>
                <w:rFonts w:hint="default" w:ascii="Times New Roman" w:hAnsi="Times New Roman" w:cs="Times New Roman"/>
                <w:color w:val="FF0000"/>
              </w:rPr>
            </w:pPr>
            <w:r>
              <w:rPr>
                <w:rFonts w:hint="default" w:ascii="Times New Roman" w:hAnsi="Times New Roman" w:cs="Times New Roman"/>
                <w:color w:val="FF0000"/>
              </w:rPr>
              <w:t xml:space="preserve">     内容</w:t>
            </w:r>
          </w:p>
          <w:p>
            <w:pPr>
              <w:adjustRightInd w:val="0"/>
              <w:snapToGrid w:val="0"/>
              <w:rPr>
                <w:rFonts w:hint="default" w:ascii="Times New Roman" w:hAnsi="Times New Roman" w:cs="Times New Roman"/>
                <w:color w:val="FF0000"/>
              </w:rPr>
            </w:pPr>
            <w:r>
              <w:rPr>
                <w:rFonts w:hint="default" w:ascii="Times New Roman" w:hAnsi="Times New Roman" w:cs="Times New Roman"/>
                <w:color w:val="FF0000"/>
              </w:rPr>
              <w:t>类型</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FF0000"/>
              </w:rPr>
            </w:pPr>
            <w:r>
              <w:rPr>
                <w:rFonts w:hint="default" w:ascii="Times New Roman" w:hAnsi="Times New Roman" w:cs="Times New Roman"/>
                <w:color w:val="FF0000"/>
              </w:rPr>
              <w:t>排放源</w:t>
            </w:r>
          </w:p>
        </w:tc>
        <w:tc>
          <w:tcPr>
            <w:tcW w:w="1418"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FF0000"/>
              </w:rPr>
            </w:pPr>
            <w:r>
              <w:rPr>
                <w:rFonts w:hint="default" w:ascii="Times New Roman" w:hAnsi="Times New Roman" w:cs="Times New Roman"/>
                <w:color w:val="FF0000"/>
              </w:rPr>
              <w:t>污染物名称</w:t>
            </w:r>
          </w:p>
        </w:tc>
        <w:tc>
          <w:tcPr>
            <w:tcW w:w="2268"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FF0000"/>
              </w:rPr>
            </w:pPr>
            <w:r>
              <w:rPr>
                <w:rFonts w:hint="default" w:ascii="Times New Roman" w:hAnsi="Times New Roman" w:cs="Times New Roman"/>
                <w:color w:val="FF0000"/>
              </w:rPr>
              <w:t>防治措施</w:t>
            </w:r>
          </w:p>
        </w:tc>
        <w:tc>
          <w:tcPr>
            <w:tcW w:w="3128"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jc w:val="center"/>
              <w:rPr>
                <w:rFonts w:hint="default" w:ascii="Times New Roman" w:hAnsi="Times New Roman" w:cs="Times New Roman"/>
                <w:color w:val="FF0000"/>
              </w:rPr>
            </w:pPr>
            <w:r>
              <w:rPr>
                <w:rFonts w:hint="default" w:ascii="Times New Roman" w:hAnsi="Times New Roman" w:cs="Times New Roman"/>
                <w:color w:val="FF0000"/>
              </w:rPr>
              <w:t>预期治理效果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13" w:hRule="atLeast"/>
          <w:jc w:val="center"/>
        </w:trPr>
        <w:tc>
          <w:tcPr>
            <w:tcW w:w="1054" w:type="dxa"/>
            <w:vMerge w:val="restart"/>
            <w:tcBorders>
              <w:left w:val="single" w:color="auto" w:sz="12" w:space="0"/>
              <w:right w:val="single" w:color="auto" w:sz="4" w:space="0"/>
            </w:tcBorders>
            <w:noWrap w:val="0"/>
            <w:vAlign w:val="center"/>
          </w:tcPr>
          <w:p>
            <w:pPr>
              <w:adjustRightInd w:val="0"/>
              <w:snapToGrid w:val="0"/>
              <w:jc w:val="center"/>
              <w:rPr>
                <w:rFonts w:hint="default" w:ascii="Times New Roman" w:hAnsi="Times New Roman" w:cs="Times New Roman"/>
                <w:color w:val="FF0000"/>
                <w:spacing w:val="-20"/>
              </w:rPr>
            </w:pPr>
            <w:r>
              <w:rPr>
                <w:rFonts w:hint="default" w:ascii="Times New Roman" w:hAnsi="Times New Roman" w:cs="Times New Roman"/>
                <w:color w:val="FF0000"/>
              </w:rPr>
              <w:t>大气污染物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水泥罐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自带滤芯式除尘器</w:t>
            </w:r>
          </w:p>
        </w:tc>
        <w:tc>
          <w:tcPr>
            <w:tcW w:w="3128" w:type="dxa"/>
            <w:tcBorders>
              <w:left w:val="single" w:color="auto" w:sz="4" w:space="0"/>
              <w:bottom w:val="single" w:color="auto" w:sz="4" w:space="0"/>
              <w:right w:val="single" w:color="auto" w:sz="12" w:space="0"/>
            </w:tcBorders>
            <w:noWrap w:val="0"/>
            <w:vAlign w:val="center"/>
          </w:tcPr>
          <w:p>
            <w:pPr>
              <w:pStyle w:val="141"/>
              <w:rPr>
                <w:rFonts w:hint="default" w:ascii="Times New Roman" w:hAnsi="Times New Roman" w:cs="Times New Roman"/>
                <w:color w:val="FF0000"/>
                <w:spacing w:val="-4"/>
              </w:rPr>
            </w:pPr>
            <w:r>
              <w:rPr>
                <w:rFonts w:hint="default" w:ascii="Times New Roman" w:hAnsi="Times New Roman" w:eastAsia="宋体" w:cs="Times New Roman"/>
                <w:color w:val="FF0000"/>
                <w:szCs w:val="21"/>
              </w:rPr>
              <w:t>DB61/941-201</w:t>
            </w:r>
            <w:r>
              <w:rPr>
                <w:rFonts w:hint="default" w:ascii="Times New Roman" w:hAnsi="Times New Roman" w:eastAsia="宋体" w:cs="Times New Roman"/>
                <w:color w:val="FF0000"/>
                <w:szCs w:val="21"/>
                <w:lang w:val="en-US" w:eastAsia="zh-CN"/>
              </w:rPr>
              <w:t>8</w:t>
            </w:r>
            <w:r>
              <w:rPr>
                <w:rFonts w:hint="default" w:ascii="Times New Roman" w:hAnsi="Times New Roman" w:eastAsia="宋体" w:cs="Times New Roman"/>
                <w:color w:val="FF0000"/>
                <w:szCs w:val="21"/>
              </w:rPr>
              <w:t>表</w:t>
            </w:r>
            <w:r>
              <w:rPr>
                <w:rFonts w:hint="default" w:ascii="Times New Roman" w:hAnsi="Times New Roman" w:eastAsia="宋体" w:cs="Times New Roman"/>
                <w:color w:val="FF0000"/>
                <w:szCs w:val="21"/>
                <w:lang w:val="en-US" w:eastAsia="zh-CN"/>
              </w:rPr>
              <w:t>1</w:t>
            </w:r>
            <w:r>
              <w:rPr>
                <w:rFonts w:hint="default" w:ascii="Times New Roman" w:hAnsi="Times New Roman" w:eastAsia="宋体" w:cs="Times New Roman"/>
                <w:color w:val="FF0000"/>
                <w:szCs w:val="21"/>
              </w:rPr>
              <w:t>中相关限值要求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13"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颚式</w:t>
            </w:r>
            <w:r>
              <w:rPr>
                <w:rFonts w:hint="default" w:ascii="Times New Roman" w:hAnsi="Times New Roman" w:cs="Times New Roman"/>
                <w:color w:val="FF0000"/>
                <w:szCs w:val="21"/>
              </w:rPr>
              <w:t>破碎</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套布袋除尘器</w:t>
            </w:r>
          </w:p>
        </w:tc>
        <w:tc>
          <w:tcPr>
            <w:tcW w:w="3128" w:type="dxa"/>
            <w:vMerge w:val="restart"/>
            <w:tcBorders>
              <w:left w:val="single" w:color="auto" w:sz="4" w:space="0"/>
              <w:right w:val="single" w:color="auto" w:sz="12" w:space="0"/>
            </w:tcBorders>
            <w:noWrap w:val="0"/>
            <w:vAlign w:val="center"/>
          </w:tcPr>
          <w:p>
            <w:pPr>
              <w:pStyle w:val="141"/>
              <w:rPr>
                <w:rFonts w:hint="default" w:ascii="Times New Roman" w:hAnsi="Times New Roman" w:cs="Times New Roman"/>
                <w:bCs/>
                <w:color w:val="FF0000"/>
                <w:szCs w:val="21"/>
              </w:rPr>
            </w:pPr>
            <w:r>
              <w:rPr>
                <w:rFonts w:hint="default" w:ascii="Times New Roman" w:hAnsi="Times New Roman" w:eastAsia="宋体" w:cs="Times New Roman"/>
                <w:color w:val="FF0000"/>
                <w:szCs w:val="21"/>
              </w:rPr>
              <w:t>GB29620-2013表2相关限值要求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13"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锤式破碎</w:t>
            </w:r>
            <w:r>
              <w:rPr>
                <w:rFonts w:hint="default" w:ascii="Times New Roman" w:hAnsi="Times New Roman" w:cs="Times New Roman"/>
                <w:color w:val="FF0000"/>
                <w:szCs w:val="21"/>
              </w:rPr>
              <w:t>车间</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lang w:val="en-US" w:eastAsia="zh-CN"/>
              </w:rPr>
            </w:pP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套布袋除尘器</w:t>
            </w:r>
          </w:p>
        </w:tc>
        <w:tc>
          <w:tcPr>
            <w:tcW w:w="3128" w:type="dxa"/>
            <w:vMerge w:val="continue"/>
            <w:tcBorders>
              <w:left w:val="single" w:color="auto" w:sz="4" w:space="0"/>
              <w:bottom w:val="single" w:color="auto" w:sz="4" w:space="0"/>
              <w:right w:val="single" w:color="auto" w:sz="12" w:space="0"/>
            </w:tcBorders>
            <w:noWrap w:val="0"/>
            <w:vAlign w:val="center"/>
          </w:tcPr>
          <w:p>
            <w:pPr>
              <w:pStyle w:val="141"/>
              <w:rPr>
                <w:rFonts w:hint="default"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81"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原料储棚</w:t>
            </w:r>
          </w:p>
        </w:tc>
        <w:tc>
          <w:tcPr>
            <w:tcW w:w="141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pacing w:val="-2"/>
                <w:szCs w:val="21"/>
              </w:rPr>
              <w:t>洒水抑尘装置</w:t>
            </w:r>
          </w:p>
        </w:tc>
        <w:tc>
          <w:tcPr>
            <w:tcW w:w="3128" w:type="dxa"/>
            <w:vMerge w:val="restart"/>
            <w:tcBorders>
              <w:top w:val="single" w:color="auto" w:sz="4" w:space="0"/>
              <w:left w:val="single" w:color="auto" w:sz="4" w:space="0"/>
              <w:right w:val="single" w:color="auto" w:sz="12" w:space="0"/>
            </w:tcBorders>
            <w:noWrap w:val="0"/>
            <w:vAlign w:val="center"/>
          </w:tcPr>
          <w:p>
            <w:pPr>
              <w:jc w:val="center"/>
              <w:rPr>
                <w:rFonts w:hint="default" w:ascii="Times New Roman" w:hAnsi="Times New Roman" w:cs="Times New Roman"/>
                <w:color w:val="FF0000"/>
                <w:spacing w:val="-4"/>
              </w:rPr>
            </w:pPr>
            <w:r>
              <w:rPr>
                <w:rFonts w:hint="default" w:ascii="Times New Roman" w:hAnsi="Times New Roman" w:eastAsia="宋体" w:cs="Times New Roman"/>
                <w:color w:val="FF0000"/>
                <w:szCs w:val="21"/>
              </w:rPr>
              <w:t>GB29620-2013表</w:t>
            </w:r>
            <w:r>
              <w:rPr>
                <w:rFonts w:hint="default" w:ascii="Times New Roman" w:hAnsi="Times New Roman" w:eastAsia="宋体" w:cs="Times New Roman"/>
                <w:color w:val="FF0000"/>
                <w:szCs w:val="21"/>
                <w:lang w:val="en-US" w:eastAsia="zh-CN"/>
              </w:rPr>
              <w:t>3</w:t>
            </w:r>
            <w:r>
              <w:rPr>
                <w:rFonts w:hint="default" w:ascii="Times New Roman" w:hAnsi="Times New Roman" w:eastAsia="宋体" w:cs="Times New Roman"/>
                <w:color w:val="FF0000"/>
                <w:szCs w:val="21"/>
              </w:rPr>
              <w:t>相关限值要求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550"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装卸</w:t>
            </w:r>
          </w:p>
        </w:tc>
        <w:tc>
          <w:tcPr>
            <w:tcW w:w="141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pacing w:val="-2"/>
                <w:szCs w:val="21"/>
              </w:rPr>
              <w:t>洒水抑尘装置</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550"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搅拌</w:t>
            </w:r>
          </w:p>
        </w:tc>
        <w:tc>
          <w:tcPr>
            <w:tcW w:w="141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pacing w:val="-2"/>
                <w:szCs w:val="21"/>
              </w:rPr>
            </w:pPr>
            <w:r>
              <w:rPr>
                <w:rFonts w:hint="default" w:ascii="Times New Roman" w:hAnsi="Times New Roman" w:cs="Times New Roman"/>
                <w:color w:val="FF0000"/>
                <w:spacing w:val="-2"/>
                <w:szCs w:val="21"/>
              </w:rPr>
              <w:t>洒水抑尘装置</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79"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汽车运输</w:t>
            </w:r>
          </w:p>
        </w:tc>
        <w:tc>
          <w:tcPr>
            <w:tcW w:w="141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扬尘</w:t>
            </w:r>
          </w:p>
        </w:tc>
        <w:tc>
          <w:tcPr>
            <w:tcW w:w="226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洒水抑尘</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79"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车辆</w:t>
            </w:r>
          </w:p>
        </w:tc>
        <w:tc>
          <w:tcPr>
            <w:tcW w:w="141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尾气</w:t>
            </w:r>
          </w:p>
        </w:tc>
        <w:tc>
          <w:tcPr>
            <w:tcW w:w="226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3128" w:type="dxa"/>
            <w:vMerge w:val="restart"/>
            <w:tcBorders>
              <w:top w:val="single" w:color="auto" w:sz="4" w:space="0"/>
              <w:left w:val="single" w:color="auto" w:sz="4" w:space="0"/>
              <w:right w:val="single" w:color="auto" w:sz="12"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对外环境影响小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79" w:hRule="atLeast"/>
          <w:jc w:val="center"/>
        </w:trPr>
        <w:tc>
          <w:tcPr>
            <w:tcW w:w="1054" w:type="dxa"/>
            <w:vMerge w:val="continue"/>
            <w:tcBorders>
              <w:left w:val="single" w:color="auto" w:sz="12" w:space="0"/>
              <w:right w:val="single" w:color="auto" w:sz="4" w:space="0"/>
            </w:tcBorders>
            <w:noWrap w:val="0"/>
            <w:textDirection w:val="tbRlV"/>
            <w:vAlign w:val="center"/>
          </w:tcPr>
          <w:p>
            <w:pPr>
              <w:adjustRightInd w:val="0"/>
              <w:snapToGrid w:val="0"/>
              <w:jc w:val="center"/>
              <w:rPr>
                <w:rFonts w:hint="default" w:ascii="Times New Roman" w:hAnsi="Times New Roman" w:cs="Times New Roman"/>
                <w:color w:val="FF0000"/>
              </w:rPr>
            </w:pPr>
          </w:p>
        </w:tc>
        <w:tc>
          <w:tcPr>
            <w:tcW w:w="1134"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传送带</w:t>
            </w:r>
          </w:p>
        </w:tc>
        <w:tc>
          <w:tcPr>
            <w:tcW w:w="141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粉尘</w:t>
            </w:r>
          </w:p>
        </w:tc>
        <w:tc>
          <w:tcPr>
            <w:tcW w:w="2268" w:type="dxa"/>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顶端喷水</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543" w:hRule="atLeast"/>
          <w:jc w:val="center"/>
        </w:trPr>
        <w:tc>
          <w:tcPr>
            <w:tcW w:w="1054" w:type="dxa"/>
            <w:vMerge w:val="restart"/>
            <w:tcBorders>
              <w:top w:val="single" w:color="auto" w:sz="4" w:space="0"/>
              <w:left w:val="single" w:color="auto" w:sz="12"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水污染物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生活区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szCs w:val="21"/>
              </w:rPr>
              <w:t>生活污水</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5m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rPr>
              <w:t>化粪池</w:t>
            </w:r>
          </w:p>
        </w:tc>
        <w:tc>
          <w:tcPr>
            <w:tcW w:w="3128" w:type="dxa"/>
            <w:tcBorders>
              <w:top w:val="single" w:color="auto" w:sz="4" w:space="0"/>
              <w:left w:val="single" w:color="auto" w:sz="4" w:space="0"/>
              <w:right w:val="single" w:color="auto" w:sz="12"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szCs w:val="21"/>
              </w:rPr>
              <w:t>蒸发耗散，不外排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22"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生产区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循环水</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10m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rPr>
              <w:t>沉淀池</w:t>
            </w:r>
          </w:p>
        </w:tc>
        <w:tc>
          <w:tcPr>
            <w:tcW w:w="3128" w:type="dxa"/>
            <w:tcBorders>
              <w:top w:val="single" w:color="auto" w:sz="4" w:space="0"/>
              <w:left w:val="single" w:color="auto" w:sz="4" w:space="0"/>
              <w:bottom w:val="single" w:color="000000" w:sz="8" w:space="0"/>
              <w:right w:val="single" w:color="auto" w:sz="12"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循环利用，不外排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22"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洗车台废水</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5m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lang w:eastAsia="zh-CN"/>
              </w:rPr>
              <w:t>洗车</w:t>
            </w:r>
            <w:r>
              <w:rPr>
                <w:rFonts w:hint="default" w:ascii="Times New Roman" w:hAnsi="Times New Roman" w:cs="Times New Roman"/>
                <w:color w:val="FF0000"/>
                <w:szCs w:val="21"/>
              </w:rPr>
              <w:t>池</w:t>
            </w:r>
          </w:p>
        </w:tc>
        <w:tc>
          <w:tcPr>
            <w:tcW w:w="3128" w:type="dxa"/>
            <w:tcBorders>
              <w:top w:val="single" w:color="auto" w:sz="4" w:space="0"/>
              <w:left w:val="single" w:color="auto" w:sz="4" w:space="0"/>
              <w:bottom w:val="single" w:color="000000" w:sz="8" w:space="0"/>
              <w:right w:val="single" w:color="auto" w:sz="12"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循环利用，不外排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631" w:hRule="exact"/>
          <w:jc w:val="center"/>
        </w:trPr>
        <w:tc>
          <w:tcPr>
            <w:tcW w:w="1054" w:type="dxa"/>
            <w:vMerge w:val="restart"/>
            <w:tcBorders>
              <w:top w:val="single" w:color="auto" w:sz="4" w:space="0"/>
              <w:left w:val="single" w:color="auto" w:sz="12"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固体废物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生活区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生活垃圾</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送环卫部门指定地点</w:t>
            </w:r>
          </w:p>
        </w:tc>
        <w:tc>
          <w:tcPr>
            <w:tcW w:w="3128" w:type="dxa"/>
            <w:vMerge w:val="restart"/>
            <w:tcBorders>
              <w:top w:val="single" w:color="000000" w:sz="8" w:space="0"/>
              <w:left w:val="single" w:color="auto" w:sz="4" w:space="0"/>
              <w:right w:val="single" w:color="auto" w:sz="12"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pacing w:val="6"/>
              </w:rPr>
              <w:t>处置率100%，不造成二次污染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500" w:hRule="exac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生产区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不合格产品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破碎后回用于生产</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45"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p>
        </w:tc>
        <w:tc>
          <w:tcPr>
            <w:tcW w:w="141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收集粉尘</w:t>
            </w:r>
          </w:p>
        </w:tc>
        <w:tc>
          <w:tcPr>
            <w:tcW w:w="226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pacing w:val="6"/>
              </w:rPr>
              <w:t>回用于生产，不外排</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45"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p>
        </w:tc>
        <w:tc>
          <w:tcPr>
            <w:tcW w:w="141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分拣杂物</w:t>
            </w:r>
          </w:p>
        </w:tc>
        <w:tc>
          <w:tcPr>
            <w:tcW w:w="226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金属物质外售，木头等杂质运往垃圾填埋场</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45"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p>
        </w:tc>
        <w:tc>
          <w:tcPr>
            <w:tcW w:w="141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color w:val="FF0000"/>
                <w:spacing w:val="6"/>
                <w:lang w:eastAsia="zh-CN"/>
              </w:rPr>
            </w:pPr>
            <w:r>
              <w:rPr>
                <w:rFonts w:hint="default" w:ascii="Times New Roman" w:hAnsi="Times New Roman" w:cs="Times New Roman"/>
                <w:color w:val="FF0000"/>
                <w:spacing w:val="6"/>
                <w:lang w:eastAsia="zh-CN"/>
              </w:rPr>
              <w:t>洗车池沉淀污泥</w:t>
            </w:r>
          </w:p>
        </w:tc>
        <w:tc>
          <w:tcPr>
            <w:tcW w:w="226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zCs w:val="21"/>
              </w:rPr>
              <w:t>道路铺设</w:t>
            </w:r>
            <w:r>
              <w:rPr>
                <w:rFonts w:hint="default" w:ascii="Times New Roman" w:hAnsi="Times New Roman" w:cs="Times New Roman"/>
                <w:color w:val="FF0000"/>
                <w:szCs w:val="21"/>
                <w:lang w:eastAsia="zh-CN"/>
              </w:rPr>
              <w:t>使用</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cantSplit/>
          <w:trHeight w:val="445" w:hRule="atLeast"/>
          <w:jc w:val="center"/>
        </w:trPr>
        <w:tc>
          <w:tcPr>
            <w:tcW w:w="1054" w:type="dxa"/>
            <w:vMerge w:val="continue"/>
            <w:tcBorders>
              <w:left w:val="single" w:color="auto" w:sz="12" w:space="0"/>
              <w:right w:val="single" w:color="auto" w:sz="4" w:space="0"/>
            </w:tcBorders>
            <w:noWrap w:val="0"/>
            <w:textDirection w:val="tbRlV"/>
            <w:vAlign w:val="center"/>
          </w:tcPr>
          <w:p>
            <w:pPr>
              <w:jc w:val="center"/>
              <w:rPr>
                <w:rFonts w:hint="default" w:ascii="Times New Roman" w:hAnsi="Times New Roman" w:cs="Times New Roman"/>
                <w:color w:val="FF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维修间</w:t>
            </w:r>
          </w:p>
        </w:tc>
        <w:tc>
          <w:tcPr>
            <w:tcW w:w="141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废润滑油</w:t>
            </w:r>
          </w:p>
        </w:tc>
        <w:tc>
          <w:tcPr>
            <w:tcW w:w="2268"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color w:val="FF0000"/>
                <w:spacing w:val="6"/>
              </w:rPr>
            </w:pPr>
            <w:r>
              <w:rPr>
                <w:rFonts w:hint="default" w:ascii="Times New Roman" w:hAnsi="Times New Roman" w:cs="Times New Roman"/>
                <w:color w:val="FF0000"/>
                <w:spacing w:val="6"/>
              </w:rPr>
              <w:t>交给有资质的单位</w:t>
            </w:r>
          </w:p>
        </w:tc>
        <w:tc>
          <w:tcPr>
            <w:tcW w:w="3128" w:type="dxa"/>
            <w:vMerge w:val="continue"/>
            <w:tcBorders>
              <w:left w:val="single" w:color="auto" w:sz="4" w:space="0"/>
              <w:right w:val="single" w:color="auto" w:sz="12" w:space="0"/>
            </w:tcBorders>
            <w:noWrap w:val="0"/>
            <w:vAlign w:val="center"/>
          </w:tcPr>
          <w:p>
            <w:pPr>
              <w:jc w:val="center"/>
              <w:rPr>
                <w:rFonts w:hint="default"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66" w:hRule="exact"/>
          <w:jc w:val="center"/>
        </w:trPr>
        <w:tc>
          <w:tcPr>
            <w:tcW w:w="1054" w:type="dxa"/>
            <w:vMerge w:val="restart"/>
            <w:tcBorders>
              <w:top w:val="single" w:color="auto" w:sz="4" w:space="0"/>
              <w:left w:val="single" w:color="auto" w:sz="12" w:space="0"/>
              <w:right w:val="single" w:color="auto" w:sz="4" w:space="0"/>
            </w:tcBorders>
            <w:noWrap w:val="0"/>
            <w:vAlign w:val="center"/>
          </w:tcPr>
          <w:p>
            <w:pPr>
              <w:jc w:val="center"/>
              <w:rPr>
                <w:rFonts w:hint="default" w:ascii="Times New Roman" w:hAnsi="Times New Roman" w:cs="Times New Roman"/>
                <w:color w:val="FF0000"/>
              </w:rPr>
            </w:pPr>
            <w:r>
              <w:rPr>
                <w:rFonts w:hint="default" w:ascii="Times New Roman" w:hAnsi="Times New Roman" w:cs="Times New Roman"/>
                <w:color w:val="FF0000"/>
              </w:rPr>
              <w:t>噪声</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pStyle w:val="141"/>
              <w:spacing w:line="240" w:lineRule="auto"/>
              <w:ind w:firstLine="105" w:firstLineChars="50"/>
              <w:rPr>
                <w:rFonts w:hint="default" w:ascii="Times New Roman" w:hAnsi="Times New Roman" w:cs="Times New Roman"/>
                <w:color w:val="FF0000"/>
                <w:szCs w:val="21"/>
              </w:rPr>
            </w:pPr>
            <w:r>
              <w:rPr>
                <w:rFonts w:hint="default" w:ascii="Times New Roman" w:hAnsi="Times New Roman" w:cs="Times New Roman"/>
                <w:color w:val="FF0000"/>
              </w:rPr>
              <w:t>生产设备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2"/>
              <w:ind w:left="0" w:leftChars="0"/>
              <w:jc w:val="center"/>
              <w:rPr>
                <w:rFonts w:hint="default" w:ascii="Times New Roman" w:hAnsi="Times New Roman" w:cs="Times New Roman"/>
                <w:color w:val="FF0000"/>
              </w:rPr>
            </w:pPr>
            <w:r>
              <w:rPr>
                <w:rFonts w:hint="default" w:ascii="Times New Roman" w:hAnsi="Times New Roman" w:cs="Times New Roman"/>
                <w:color w:val="FF0000"/>
                <w:szCs w:val="21"/>
              </w:rPr>
              <w:t>基础减振、车间隔声</w:t>
            </w:r>
          </w:p>
        </w:tc>
        <w:tc>
          <w:tcPr>
            <w:tcW w:w="3128" w:type="dxa"/>
            <w:vMerge w:val="restart"/>
            <w:tcBorders>
              <w:top w:val="single" w:color="auto" w:sz="4" w:space="0"/>
              <w:left w:val="single" w:color="auto" w:sz="4" w:space="0"/>
              <w:right w:val="single" w:color="auto" w:sz="12" w:space="0"/>
            </w:tcBorders>
            <w:noWrap w:val="0"/>
            <w:vAlign w:val="center"/>
          </w:tcPr>
          <w:p>
            <w:pPr>
              <w:pStyle w:val="12"/>
              <w:ind w:left="0" w:leftChars="0"/>
              <w:jc w:val="center"/>
              <w:rPr>
                <w:rFonts w:hint="default" w:ascii="Times New Roman" w:hAnsi="Times New Roman" w:cs="Times New Roman"/>
                <w:color w:val="FF0000"/>
              </w:rPr>
            </w:pPr>
            <w:r>
              <w:rPr>
                <w:rFonts w:hint="default" w:ascii="Times New Roman" w:hAnsi="Times New Roman" w:cs="Times New Roman"/>
                <w:color w:val="FF0000"/>
                <w:szCs w:val="21"/>
              </w:rPr>
              <w:t>达到《工业企业厂界环境噪声排放标准》2类标准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31" w:hRule="exact"/>
          <w:jc w:val="center"/>
        </w:trPr>
        <w:tc>
          <w:tcPr>
            <w:tcW w:w="1054" w:type="dxa"/>
            <w:vMerge w:val="continue"/>
            <w:tcBorders>
              <w:left w:val="single" w:color="auto" w:sz="12" w:space="0"/>
              <w:bottom w:val="single" w:color="auto" w:sz="4" w:space="0"/>
              <w:right w:val="single" w:color="auto" w:sz="4" w:space="0"/>
            </w:tcBorders>
            <w:noWrap w:val="0"/>
            <w:vAlign w:val="center"/>
          </w:tcPr>
          <w:p>
            <w:pPr>
              <w:jc w:val="center"/>
              <w:rPr>
                <w:rFonts w:hint="default" w:ascii="Times New Roman" w:hAnsi="Times New Roman" w:cs="Times New Roman"/>
                <w:color w:val="FF0000"/>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tLeast"/>
              <w:ind w:firstLine="105" w:firstLineChars="50"/>
              <w:jc w:val="center"/>
              <w:rPr>
                <w:rFonts w:hint="default" w:ascii="Times New Roman" w:hAnsi="Times New Roman" w:cs="Times New Roman"/>
                <w:color w:val="FF0000"/>
                <w:szCs w:val="21"/>
              </w:rPr>
            </w:pPr>
            <w:r>
              <w:rPr>
                <w:rFonts w:hint="default" w:ascii="Times New Roman" w:hAnsi="Times New Roman" w:cs="Times New Roman"/>
                <w:color w:val="FF0000"/>
                <w:szCs w:val="21"/>
              </w:rPr>
              <w:t>运输噪声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慢行、禁止鸣笛等</w:t>
            </w:r>
          </w:p>
        </w:tc>
        <w:tc>
          <w:tcPr>
            <w:tcW w:w="3128" w:type="dxa"/>
            <w:vMerge w:val="continue"/>
            <w:tcBorders>
              <w:left w:val="single" w:color="auto" w:sz="4" w:space="0"/>
              <w:bottom w:val="single" w:color="auto" w:sz="4" w:space="0"/>
              <w:right w:val="single" w:color="auto" w:sz="12" w:space="0"/>
            </w:tcBorders>
            <w:noWrap w:val="0"/>
            <w:vAlign w:val="center"/>
          </w:tcPr>
          <w:p>
            <w:pPr>
              <w:adjustRightInd w:val="0"/>
              <w:snapToGrid w:val="0"/>
              <w:spacing w:line="300" w:lineRule="atLeast"/>
              <w:ind w:left="-105" w:leftChars="-50" w:right="-105" w:rightChars="-50"/>
              <w:jc w:val="center"/>
              <w:rPr>
                <w:rFonts w:hint="default" w:ascii="Times New Roman" w:hAnsi="Times New Roman" w:cs="Times New Roman"/>
                <w:color w:val="FF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2192" w:hRule="exact"/>
          <w:jc w:val="center"/>
        </w:trPr>
        <w:tc>
          <w:tcPr>
            <w:tcW w:w="9002" w:type="dxa"/>
            <w:gridSpan w:val="5"/>
            <w:tcBorders>
              <w:top w:val="single" w:color="auto" w:sz="4" w:space="0"/>
              <w:left w:val="single" w:color="auto" w:sz="12" w:space="0"/>
              <w:bottom w:val="single" w:color="auto" w:sz="12" w:space="0"/>
              <w:right w:val="single" w:color="auto" w:sz="12" w:space="0"/>
            </w:tcBorders>
            <w:noWrap w:val="0"/>
            <w:vAlign w:val="top"/>
          </w:tcPr>
          <w:p>
            <w:pPr>
              <w:spacing w:line="480" w:lineRule="exact"/>
              <w:rPr>
                <w:rFonts w:hint="default" w:ascii="Times New Roman" w:hAnsi="Times New Roman" w:cs="Times New Roman"/>
                <w:b/>
                <w:color w:val="FF0000"/>
                <w:sz w:val="24"/>
                <w:szCs w:val="24"/>
              </w:rPr>
            </w:pPr>
            <w:r>
              <w:rPr>
                <w:rFonts w:hint="default" w:ascii="Times New Roman" w:hAnsi="Times New Roman" w:cs="Times New Roman"/>
                <w:b/>
                <w:color w:val="FF0000"/>
                <w:sz w:val="24"/>
                <w:szCs w:val="24"/>
              </w:rPr>
              <w:t>生态保护措施及预期效果</w:t>
            </w:r>
          </w:p>
          <w:p>
            <w:pPr>
              <w:spacing w:line="480" w:lineRule="exact"/>
              <w:ind w:firstLine="480" w:firstLineChars="200"/>
              <w:rPr>
                <w:rFonts w:hint="default" w:ascii="Times New Roman" w:hAnsi="Times New Roman" w:cs="Times New Roman"/>
                <w:color w:val="FF0000"/>
                <w:kern w:val="10"/>
                <w:sz w:val="24"/>
                <w:szCs w:val="24"/>
              </w:rPr>
            </w:pPr>
            <w:r>
              <w:rPr>
                <w:rFonts w:hint="default" w:ascii="Times New Roman" w:hAnsi="Times New Roman" w:cs="Times New Roman"/>
                <w:color w:val="FF0000"/>
                <w:kern w:val="10"/>
                <w:sz w:val="24"/>
                <w:szCs w:val="24"/>
              </w:rPr>
              <w:t>项目周围无自然保护区及文物古迹等特殊保护对象。项目</w:t>
            </w:r>
            <w:r>
              <w:rPr>
                <w:rFonts w:hint="eastAsia" w:ascii="Times New Roman" w:hAnsi="Times New Roman" w:cs="Times New Roman"/>
                <w:color w:val="FF0000"/>
                <w:kern w:val="10"/>
                <w:sz w:val="24"/>
                <w:szCs w:val="24"/>
                <w:lang w:eastAsia="zh-CN"/>
              </w:rPr>
              <w:t>已建成并投产运行，占地面积小，</w:t>
            </w:r>
            <w:r>
              <w:rPr>
                <w:rFonts w:hint="default" w:ascii="Times New Roman" w:hAnsi="Times New Roman" w:cs="Times New Roman"/>
                <w:color w:val="FF0000"/>
                <w:kern w:val="10"/>
                <w:sz w:val="24"/>
                <w:szCs w:val="24"/>
              </w:rPr>
              <w:t>对周围生态环境影响较小。</w:t>
            </w:r>
          </w:p>
          <w:p>
            <w:pPr>
              <w:spacing w:line="520" w:lineRule="exact"/>
              <w:rPr>
                <w:rFonts w:hint="default" w:ascii="Times New Roman" w:hAnsi="Times New Roman" w:cs="Times New Roman"/>
                <w:color w:val="FF0000"/>
                <w:spacing w:val="20"/>
                <w:szCs w:val="22"/>
              </w:rPr>
            </w:pPr>
          </w:p>
        </w:tc>
      </w:tr>
    </w:tbl>
    <w:p>
      <w:pPr>
        <w:rPr>
          <w:rFonts w:hint="default" w:ascii="Times New Roman" w:hAnsi="Times New Roman" w:eastAsia="黑体" w:cs="Times New Roman"/>
          <w:b/>
          <w:color w:val="000000"/>
          <w:sz w:val="32"/>
          <w:szCs w:val="32"/>
        </w:rPr>
        <w:sectPr>
          <w:headerReference r:id="rId7" w:type="first"/>
          <w:footerReference r:id="rId8" w:type="first"/>
          <w:pgSz w:w="11906" w:h="16838"/>
          <w:pgMar w:top="1418" w:right="1797" w:bottom="1560" w:left="1797"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snapToGrid w:val="0"/>
        <w:spacing w:line="480" w:lineRule="exact"/>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表3</w:t>
      </w:r>
      <w:r>
        <w:rPr>
          <w:rFonts w:hint="default" w:ascii="Times New Roman" w:hAnsi="Times New Roman" w:cs="Times New Roman"/>
          <w:b/>
          <w:bCs/>
          <w:color w:val="000000"/>
          <w:sz w:val="24"/>
          <w:lang w:val="en-US" w:eastAsia="zh-CN"/>
        </w:rPr>
        <w:t>1</w:t>
      </w:r>
      <w:r>
        <w:rPr>
          <w:rFonts w:hint="default" w:ascii="Times New Roman" w:hAnsi="Times New Roman" w:cs="Times New Roman"/>
          <w:b/>
          <w:bCs/>
          <w:color w:val="000000"/>
          <w:sz w:val="24"/>
        </w:rPr>
        <w:t xml:space="preserve">   污染物排放清单</w:t>
      </w:r>
      <w:r>
        <w:rPr>
          <w:rFonts w:hint="default" w:ascii="Times New Roman" w:hAnsi="Times New Roman" w:cs="Times New Roman"/>
          <w:b/>
          <w:color w:val="000000"/>
          <w:sz w:val="24"/>
        </w:rPr>
        <w:t>一览表</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423"/>
        <w:gridCol w:w="1390"/>
        <w:gridCol w:w="1272"/>
        <w:gridCol w:w="2740"/>
        <w:gridCol w:w="2150"/>
        <w:gridCol w:w="1062"/>
        <w:gridCol w:w="3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6" w:hRule="atLeast"/>
        </w:trPr>
        <w:tc>
          <w:tcPr>
            <w:tcW w:w="812"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环境因素</w:t>
            </w:r>
          </w:p>
        </w:tc>
        <w:tc>
          <w:tcPr>
            <w:tcW w:w="1423"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污染源</w:t>
            </w:r>
          </w:p>
        </w:tc>
        <w:tc>
          <w:tcPr>
            <w:tcW w:w="2662" w:type="dxa"/>
            <w:gridSpan w:val="2"/>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污染物排放清单</w:t>
            </w:r>
          </w:p>
        </w:tc>
        <w:tc>
          <w:tcPr>
            <w:tcW w:w="2740"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拟采取的环境保护措施及主要运行参数</w:t>
            </w:r>
          </w:p>
        </w:tc>
        <w:tc>
          <w:tcPr>
            <w:tcW w:w="2150"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排污口/验收位置</w:t>
            </w:r>
          </w:p>
        </w:tc>
        <w:tc>
          <w:tcPr>
            <w:tcW w:w="1062"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数量</w:t>
            </w:r>
          </w:p>
        </w:tc>
        <w:tc>
          <w:tcPr>
            <w:tcW w:w="3151"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执行的环境标准及污染物排放管理要求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50"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污染物种类</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排放量</w:t>
            </w:r>
          </w:p>
        </w:tc>
        <w:tc>
          <w:tcPr>
            <w:tcW w:w="2740" w:type="dxa"/>
            <w:vMerge w:val="continue"/>
            <w:noWrap w:val="0"/>
            <w:vAlign w:val="center"/>
          </w:tcPr>
          <w:p>
            <w:pPr>
              <w:jc w:val="center"/>
              <w:rPr>
                <w:rFonts w:hint="default" w:ascii="Times New Roman" w:hAnsi="Times New Roman" w:cs="Times New Roman"/>
                <w:color w:val="FF0000"/>
                <w:szCs w:val="21"/>
              </w:rPr>
            </w:pPr>
          </w:p>
        </w:tc>
        <w:tc>
          <w:tcPr>
            <w:tcW w:w="2150" w:type="dxa"/>
            <w:vMerge w:val="continue"/>
            <w:noWrap w:val="0"/>
            <w:vAlign w:val="center"/>
          </w:tcPr>
          <w:p>
            <w:pPr>
              <w:jc w:val="center"/>
              <w:rPr>
                <w:rFonts w:hint="default" w:ascii="Times New Roman" w:hAnsi="Times New Roman" w:cs="Times New Roman"/>
                <w:color w:val="FF0000"/>
                <w:szCs w:val="21"/>
              </w:rPr>
            </w:pPr>
          </w:p>
        </w:tc>
        <w:tc>
          <w:tcPr>
            <w:tcW w:w="1062" w:type="dxa"/>
            <w:vMerge w:val="continue"/>
            <w:noWrap w:val="0"/>
            <w:vAlign w:val="center"/>
          </w:tcPr>
          <w:p>
            <w:pPr>
              <w:jc w:val="center"/>
              <w:rPr>
                <w:rFonts w:hint="default" w:ascii="Times New Roman" w:hAnsi="Times New Roman" w:cs="Times New Roman"/>
                <w:color w:val="FF0000"/>
                <w:szCs w:val="21"/>
              </w:rPr>
            </w:pP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54" w:hRule="atLeast"/>
        </w:trPr>
        <w:tc>
          <w:tcPr>
            <w:tcW w:w="812"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废气</w:t>
            </w:r>
          </w:p>
        </w:tc>
        <w:tc>
          <w:tcPr>
            <w:tcW w:w="1423" w:type="dxa"/>
            <w:noWrap w:val="0"/>
            <w:vAlign w:val="center"/>
          </w:tcPr>
          <w:p>
            <w:pPr>
              <w:jc w:val="center"/>
              <w:rPr>
                <w:rFonts w:hint="default" w:ascii="Times New Roman" w:hAnsi="Times New Roman" w:cs="Times New Roman"/>
                <w:color w:val="FF0000"/>
                <w:szCs w:val="21"/>
              </w:rPr>
            </w:pPr>
            <w:r>
              <w:rPr>
                <w:rFonts w:hint="eastAsia" w:ascii="Times New Roman" w:hAnsi="Times New Roman" w:cs="Times New Roman"/>
                <w:color w:val="FF0000"/>
                <w:szCs w:val="21"/>
                <w:lang w:val="en-US" w:eastAsia="zh-CN"/>
              </w:rPr>
              <w:t>颚式</w:t>
            </w:r>
            <w:r>
              <w:rPr>
                <w:rFonts w:hint="default" w:ascii="Times New Roman" w:hAnsi="Times New Roman" w:cs="Times New Roman"/>
                <w:color w:val="FF0000"/>
                <w:szCs w:val="21"/>
              </w:rPr>
              <w:t>破碎</w:t>
            </w:r>
          </w:p>
        </w:tc>
        <w:tc>
          <w:tcPr>
            <w:tcW w:w="1390"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szCs w:val="21"/>
              </w:rPr>
            </w:pPr>
            <w:r>
              <w:rPr>
                <w:rFonts w:hint="default" w:ascii="Times New Roman" w:hAnsi="Times New Roman" w:cs="Times New Roman"/>
                <w:color w:val="FF0000"/>
                <w:szCs w:val="21"/>
              </w:rPr>
              <w:t>有组织扬尘</w:t>
            </w:r>
          </w:p>
        </w:tc>
        <w:tc>
          <w:tcPr>
            <w:tcW w:w="1272" w:type="dxa"/>
            <w:noWrap w:val="0"/>
            <w:vAlign w:val="center"/>
          </w:tcPr>
          <w:p>
            <w:pPr>
              <w:jc w:val="center"/>
              <w:rPr>
                <w:rFonts w:hint="default" w:ascii="Times New Roman" w:hAnsi="Times New Roman" w:cs="Times New Roman"/>
                <w:color w:val="FF0000"/>
                <w:szCs w:val="21"/>
                <w:vertAlign w:val="superscript"/>
              </w:rPr>
            </w:pPr>
            <w:r>
              <w:rPr>
                <w:rFonts w:hint="default" w:ascii="Times New Roman" w:hAnsi="Times New Roman" w:cs="Times New Roman"/>
                <w:color w:val="FF0000"/>
                <w:szCs w:val="21"/>
              </w:rPr>
              <w:t>0.</w:t>
            </w:r>
            <w:r>
              <w:rPr>
                <w:rFonts w:hint="eastAsia" w:ascii="Times New Roman" w:hAnsi="Times New Roman" w:cs="Times New Roman"/>
                <w:color w:val="FF0000"/>
                <w:szCs w:val="21"/>
                <w:lang w:val="en-US" w:eastAsia="zh-CN"/>
              </w:rPr>
              <w:t>09</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套布袋除尘器</w:t>
            </w:r>
          </w:p>
        </w:tc>
        <w:tc>
          <w:tcPr>
            <w:tcW w:w="2150" w:type="dxa"/>
            <w:noWrap w:val="0"/>
            <w:vAlign w:val="center"/>
          </w:tcPr>
          <w:p>
            <w:pPr>
              <w:jc w:val="center"/>
              <w:rPr>
                <w:rFonts w:hint="default" w:ascii="Times New Roman" w:hAnsi="Times New Roman" w:cs="Times New Roman"/>
                <w:color w:val="FF0000"/>
                <w:szCs w:val="21"/>
              </w:rPr>
            </w:pPr>
            <w:r>
              <w:rPr>
                <w:rFonts w:hint="eastAsia" w:ascii="Times New Roman" w:hAnsi="Times New Roman" w:cs="Times New Roman"/>
                <w:color w:val="FF0000"/>
                <w:szCs w:val="21"/>
                <w:lang w:eastAsia="zh-CN"/>
              </w:rPr>
              <w:t>颚式</w:t>
            </w:r>
            <w:r>
              <w:rPr>
                <w:rFonts w:hint="default" w:ascii="Times New Roman" w:hAnsi="Times New Roman" w:cs="Times New Roman"/>
                <w:color w:val="FF0000"/>
                <w:szCs w:val="21"/>
              </w:rPr>
              <w:t>破碎间</w:t>
            </w:r>
          </w:p>
        </w:tc>
        <w:tc>
          <w:tcPr>
            <w:tcW w:w="1062" w:type="dxa"/>
            <w:noWrap w:val="0"/>
            <w:vAlign w:val="center"/>
          </w:tcPr>
          <w:p>
            <w:pPr>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val="en-US" w:eastAsia="zh-CN"/>
              </w:rPr>
              <w:t>1</w:t>
            </w:r>
          </w:p>
        </w:tc>
        <w:tc>
          <w:tcPr>
            <w:tcW w:w="3151"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bCs/>
                <w:color w:val="FF0000"/>
                <w:szCs w:val="21"/>
              </w:rPr>
              <w:t>（GB29620-2013）表</w:t>
            </w:r>
            <w:r>
              <w:rPr>
                <w:rFonts w:hint="default" w:ascii="Times New Roman" w:hAnsi="Times New Roman" w:cs="Times New Roman"/>
                <w:bCs/>
                <w:color w:val="FF0000"/>
                <w:szCs w:val="21"/>
                <w:lang w:val="en-US" w:eastAsia="zh-CN"/>
              </w:rPr>
              <w:t>2</w:t>
            </w:r>
            <w:r>
              <w:rPr>
                <w:rFonts w:hint="default" w:ascii="Times New Roman" w:hAnsi="Times New Roman" w:cs="Times New Roman"/>
                <w:bCs/>
                <w:color w:val="FF0000"/>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54"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eastAsia" w:ascii="Times New Roman" w:hAnsi="Times New Roman" w:eastAsia="宋体" w:cs="Times New Roman"/>
                <w:color w:val="FF0000"/>
                <w:szCs w:val="21"/>
                <w:lang w:eastAsia="zh-CN"/>
              </w:rPr>
            </w:pPr>
            <w:r>
              <w:rPr>
                <w:rFonts w:hint="eastAsia" w:ascii="Times New Roman" w:hAnsi="Times New Roman" w:cs="Times New Roman"/>
                <w:color w:val="FF0000"/>
                <w:szCs w:val="21"/>
                <w:lang w:eastAsia="zh-CN"/>
              </w:rPr>
              <w:t>锤式</w:t>
            </w:r>
            <w:r>
              <w:rPr>
                <w:rFonts w:hint="default" w:ascii="Times New Roman" w:hAnsi="Times New Roman" w:cs="Times New Roman"/>
                <w:color w:val="FF0000"/>
                <w:szCs w:val="21"/>
              </w:rPr>
              <w:t>破碎</w:t>
            </w:r>
          </w:p>
        </w:tc>
        <w:tc>
          <w:tcPr>
            <w:tcW w:w="1390"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szCs w:val="21"/>
              </w:rPr>
            </w:pPr>
            <w:r>
              <w:rPr>
                <w:rFonts w:hint="default" w:ascii="Times New Roman" w:hAnsi="Times New Roman" w:cs="Times New Roman"/>
                <w:color w:val="FF0000"/>
                <w:szCs w:val="21"/>
              </w:rPr>
              <w:t>有组织扬尘</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0.</w:t>
            </w:r>
            <w:r>
              <w:rPr>
                <w:rFonts w:hint="eastAsia" w:ascii="Times New Roman" w:hAnsi="Times New Roman" w:cs="Times New Roman"/>
                <w:color w:val="FF0000"/>
                <w:szCs w:val="21"/>
                <w:lang w:val="en-US" w:eastAsia="zh-CN"/>
              </w:rPr>
              <w:t>06</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lang w:val="en-US" w:eastAsia="zh-CN"/>
              </w:rPr>
            </w:pP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套布袋除尘器</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破碎</w:t>
            </w:r>
            <w:r>
              <w:rPr>
                <w:rFonts w:hint="eastAsia" w:ascii="Times New Roman" w:hAnsi="Times New Roman" w:cs="Times New Roman"/>
                <w:color w:val="FF0000"/>
                <w:szCs w:val="21"/>
                <w:lang w:eastAsia="zh-CN"/>
              </w:rPr>
              <w:t>车</w:t>
            </w:r>
            <w:r>
              <w:rPr>
                <w:rFonts w:hint="default" w:ascii="Times New Roman" w:hAnsi="Times New Roman" w:cs="Times New Roman"/>
                <w:color w:val="FF0000"/>
                <w:szCs w:val="21"/>
              </w:rPr>
              <w:t>间</w:t>
            </w:r>
          </w:p>
        </w:tc>
        <w:tc>
          <w:tcPr>
            <w:tcW w:w="1062" w:type="dxa"/>
            <w:noWrap w:val="0"/>
            <w:vAlign w:val="center"/>
          </w:tcPr>
          <w:p>
            <w:pPr>
              <w:jc w:val="center"/>
              <w:rPr>
                <w:rFonts w:hint="eastAsia" w:ascii="Times New Roman" w:hAnsi="Times New Roman" w:eastAsia="宋体" w:cs="Times New Roman"/>
                <w:color w:val="FF0000"/>
                <w:szCs w:val="21"/>
                <w:lang w:val="en-US" w:eastAsia="zh-CN"/>
              </w:rPr>
            </w:pPr>
            <w:r>
              <w:rPr>
                <w:rFonts w:hint="eastAsia" w:ascii="Times New Roman" w:hAnsi="Times New Roman" w:cs="Times New Roman"/>
                <w:color w:val="FF0000"/>
                <w:szCs w:val="21"/>
                <w:lang w:val="en-US" w:eastAsia="zh-CN"/>
              </w:rPr>
              <w:t>1</w:t>
            </w:r>
          </w:p>
        </w:tc>
        <w:tc>
          <w:tcPr>
            <w:tcW w:w="3151" w:type="dxa"/>
            <w:vMerge w:val="continue"/>
            <w:noWrap w:val="0"/>
            <w:vAlign w:val="center"/>
          </w:tcPr>
          <w:p>
            <w:pPr>
              <w:jc w:val="center"/>
              <w:rPr>
                <w:rFonts w:hint="default" w:ascii="Times New Roman" w:hAnsi="Times New Roman" w:cs="Times New Roman"/>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原料储棚</w:t>
            </w:r>
          </w:p>
        </w:tc>
        <w:tc>
          <w:tcPr>
            <w:tcW w:w="1390"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szCs w:val="21"/>
              </w:rPr>
            </w:pPr>
            <w:r>
              <w:rPr>
                <w:rFonts w:hint="default" w:ascii="Times New Roman" w:hAnsi="Times New Roman" w:cs="Times New Roman"/>
                <w:color w:val="FF0000"/>
              </w:rPr>
              <w:t>0.02t/a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密闭车间、喷淋装置</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原料储棚</w:t>
            </w:r>
          </w:p>
        </w:tc>
        <w:tc>
          <w:tcPr>
            <w:tcW w:w="1062" w:type="dxa"/>
            <w:tcBorders>
              <w:top w:val="single" w:color="auto" w:sz="4" w:space="0"/>
            </w:tcBorders>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3151" w:type="dxa"/>
            <w:vMerge w:val="restart"/>
            <w:tcBorders>
              <w:top w:val="single" w:color="auto" w:sz="4" w:space="0"/>
            </w:tcBorders>
            <w:noWrap w:val="0"/>
            <w:vAlign w:val="center"/>
          </w:tcPr>
          <w:p>
            <w:pPr>
              <w:jc w:val="center"/>
              <w:rPr>
                <w:rFonts w:hint="default" w:ascii="Times New Roman" w:hAnsi="Times New Roman" w:cs="Times New Roman"/>
                <w:color w:val="FF0000"/>
                <w:kern w:val="24"/>
                <w:szCs w:val="21"/>
              </w:rPr>
            </w:pPr>
            <w:r>
              <w:rPr>
                <w:rFonts w:hint="default" w:ascii="Times New Roman" w:hAnsi="Times New Roman" w:cs="Times New Roman"/>
                <w:bCs/>
                <w:color w:val="FF0000"/>
                <w:szCs w:val="21"/>
              </w:rPr>
              <w:t>（GB29620-2013）表</w:t>
            </w:r>
            <w:r>
              <w:rPr>
                <w:rFonts w:hint="default" w:ascii="Times New Roman" w:hAnsi="Times New Roman" w:cs="Times New Roman"/>
                <w:bCs/>
                <w:color w:val="FF0000"/>
                <w:szCs w:val="21"/>
                <w:lang w:val="en-US" w:eastAsia="zh-CN"/>
              </w:rPr>
              <w:t>3</w:t>
            </w:r>
            <w:r>
              <w:rPr>
                <w:rFonts w:hint="default" w:ascii="Times New Roman" w:hAnsi="Times New Roman" w:cs="Times New Roman"/>
                <w:bCs/>
                <w:color w:val="FF0000"/>
                <w:szCs w:val="21"/>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2"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装卸</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rPr>
            </w:pPr>
            <w:r>
              <w:rPr>
                <w:rFonts w:hint="default" w:ascii="Times New Roman" w:hAnsi="Times New Roman" w:cs="Times New Roman"/>
                <w:color w:val="FF0000"/>
                <w:kern w:val="0"/>
                <w:szCs w:val="21"/>
              </w:rPr>
              <w:t>0.03</w:t>
            </w:r>
            <w:r>
              <w:rPr>
                <w:rFonts w:hint="default" w:ascii="Times New Roman" w:hAnsi="Times New Roman" w:cs="Times New Roman"/>
                <w:color w:val="FF0000"/>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喷淋装置</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原料储棚</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3151" w:type="dxa"/>
            <w:vMerge w:val="continue"/>
            <w:noWrap w:val="0"/>
            <w:vAlign w:val="center"/>
          </w:tcPr>
          <w:p>
            <w:pPr>
              <w:jc w:val="center"/>
              <w:rPr>
                <w:rFonts w:hint="default" w:ascii="Times New Roman" w:hAnsi="Times New Roman" w:cs="Times New Roman"/>
                <w:color w:val="FF0000"/>
                <w:kern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2"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搅拌</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1</w:t>
            </w:r>
            <w:r>
              <w:rPr>
                <w:rFonts w:hint="default" w:ascii="Times New Roman" w:hAnsi="Times New Roman" w:cs="Times New Roman"/>
                <w:color w:val="FF0000"/>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喷淋装置</w:t>
            </w:r>
          </w:p>
        </w:tc>
        <w:tc>
          <w:tcPr>
            <w:tcW w:w="2150"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生产车间</w:t>
            </w:r>
          </w:p>
        </w:tc>
        <w:tc>
          <w:tcPr>
            <w:tcW w:w="1062" w:type="dxa"/>
            <w:noWrap w:val="0"/>
            <w:vAlign w:val="center"/>
          </w:tcPr>
          <w:p>
            <w:pPr>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1</w:t>
            </w:r>
          </w:p>
        </w:tc>
        <w:tc>
          <w:tcPr>
            <w:tcW w:w="3151" w:type="dxa"/>
            <w:vMerge w:val="continue"/>
            <w:noWrap w:val="0"/>
            <w:vAlign w:val="center"/>
          </w:tcPr>
          <w:p>
            <w:pPr>
              <w:jc w:val="center"/>
              <w:rPr>
                <w:rFonts w:hint="default" w:ascii="Times New Roman" w:hAnsi="Times New Roman" w:cs="Times New Roman"/>
                <w:color w:val="FF0000"/>
                <w:kern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0"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汽车运输</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rPr>
            </w:pPr>
            <w:r>
              <w:rPr>
                <w:rFonts w:hint="default" w:ascii="Times New Roman" w:hAnsi="Times New Roman" w:cs="Times New Roman"/>
                <w:color w:val="FF0000"/>
                <w:kern w:val="0"/>
                <w:szCs w:val="21"/>
              </w:rPr>
              <w:t>0.6</w:t>
            </w:r>
            <w:r>
              <w:rPr>
                <w:rFonts w:hint="default" w:ascii="Times New Roman" w:hAnsi="Times New Roman" w:cs="Times New Roman"/>
                <w:color w:val="FF0000"/>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洒水抑尘</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场区</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3151" w:type="dxa"/>
            <w:vMerge w:val="continue"/>
            <w:noWrap w:val="0"/>
            <w:vAlign w:val="center"/>
          </w:tcPr>
          <w:p>
            <w:pPr>
              <w:jc w:val="center"/>
              <w:rPr>
                <w:rFonts w:hint="default" w:ascii="Times New Roman" w:hAnsi="Times New Roman" w:cs="Times New Roman"/>
                <w:color w:val="FF0000"/>
                <w:kern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传输带</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无组织扬尘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rPr>
            </w:pPr>
            <w:r>
              <w:rPr>
                <w:rFonts w:hint="default" w:ascii="Times New Roman" w:hAnsi="Times New Roman" w:cs="Times New Roman"/>
                <w:color w:val="FF0000"/>
                <w:kern w:val="0"/>
                <w:szCs w:val="21"/>
              </w:rPr>
              <w:t>少量</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密闭装置</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传送带</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3151" w:type="dxa"/>
            <w:vMerge w:val="continue"/>
            <w:noWrap w:val="0"/>
            <w:vAlign w:val="center"/>
          </w:tcPr>
          <w:p>
            <w:pPr>
              <w:jc w:val="center"/>
              <w:rPr>
                <w:rFonts w:hint="default" w:ascii="Times New Roman" w:hAnsi="Times New Roman" w:cs="Times New Roman"/>
                <w:color w:val="FF0000"/>
                <w:kern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水泥入罐</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有组织扬尘</w:t>
            </w:r>
          </w:p>
        </w:tc>
        <w:tc>
          <w:tcPr>
            <w:tcW w:w="1272" w:type="dxa"/>
            <w:noWrap w:val="0"/>
            <w:vAlign w:val="center"/>
          </w:tcPr>
          <w:p>
            <w:pPr>
              <w:tabs>
                <w:tab w:val="left" w:pos="3808"/>
              </w:tabs>
              <w:adjustRightInd w:val="0"/>
              <w:snapToGrid w:val="0"/>
              <w:spacing w:line="280" w:lineRule="exact"/>
              <w:jc w:val="center"/>
              <w:rPr>
                <w:rFonts w:hint="default" w:ascii="Times New Roman" w:hAnsi="Times New Roman" w:cs="Times New Roman"/>
                <w:color w:val="FF0000"/>
                <w:kern w:val="0"/>
                <w:szCs w:val="21"/>
              </w:rPr>
            </w:pPr>
            <w:r>
              <w:rPr>
                <w:rFonts w:hint="default" w:ascii="Times New Roman" w:hAnsi="Times New Roman" w:cs="Times New Roman"/>
                <w:bCs/>
                <w:color w:val="FF0000"/>
                <w:szCs w:val="21"/>
              </w:rPr>
              <w:t>0.022</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滤芯式除尘器</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场区</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w:t>
            </w:r>
          </w:p>
        </w:tc>
        <w:tc>
          <w:tcPr>
            <w:tcW w:w="3151" w:type="dxa"/>
            <w:noWrap w:val="0"/>
            <w:vAlign w:val="center"/>
          </w:tcPr>
          <w:p>
            <w:pPr>
              <w:jc w:val="center"/>
              <w:rPr>
                <w:rFonts w:hint="default" w:ascii="Times New Roman" w:hAnsi="Times New Roman" w:cs="Times New Roman"/>
                <w:color w:val="FF0000"/>
                <w:kern w:val="24"/>
                <w:szCs w:val="21"/>
              </w:rPr>
            </w:pPr>
            <w:r>
              <w:rPr>
                <w:rFonts w:hint="default" w:ascii="Times New Roman" w:hAnsi="Times New Roman" w:eastAsia="宋体" w:cs="Times New Roman"/>
                <w:color w:val="FF0000"/>
                <w:szCs w:val="21"/>
              </w:rPr>
              <w:t>DB61/941-201</w:t>
            </w:r>
            <w:r>
              <w:rPr>
                <w:rFonts w:hint="default" w:ascii="Times New Roman" w:hAnsi="Times New Roman" w:eastAsia="宋体" w:cs="Times New Roman"/>
                <w:color w:val="FF0000"/>
                <w:szCs w:val="21"/>
                <w:lang w:val="en-US" w:eastAsia="zh-CN"/>
              </w:rPr>
              <w:t>8</w:t>
            </w:r>
            <w:r>
              <w:rPr>
                <w:rFonts w:hint="default" w:ascii="Times New Roman" w:hAnsi="Times New Roman" w:eastAsia="宋体" w:cs="Times New Roman"/>
                <w:color w:val="FF0000"/>
                <w:szCs w:val="21"/>
              </w:rPr>
              <w:t>表</w:t>
            </w:r>
            <w:r>
              <w:rPr>
                <w:rFonts w:hint="default" w:ascii="Times New Roman" w:hAnsi="Times New Roman" w:eastAsia="宋体" w:cs="Times New Roman"/>
                <w:color w:val="FF0000"/>
                <w:szCs w:val="21"/>
                <w:lang w:val="en-US" w:eastAsia="zh-CN"/>
              </w:rPr>
              <w:t>1</w:t>
            </w:r>
            <w:r>
              <w:rPr>
                <w:rFonts w:hint="default" w:ascii="Times New Roman" w:hAnsi="Times New Roman" w:eastAsia="宋体" w:cs="Times New Roman"/>
                <w:color w:val="FF0000"/>
                <w:szCs w:val="21"/>
              </w:rPr>
              <w:t>中相关限值要求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47" w:hRule="atLeast"/>
        </w:trPr>
        <w:tc>
          <w:tcPr>
            <w:tcW w:w="812"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废水</w:t>
            </w: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生活污水</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COD、BOD</w:t>
            </w:r>
            <w:r>
              <w:rPr>
                <w:rFonts w:hint="default" w:ascii="Times New Roman" w:hAnsi="Times New Roman" w:cs="Times New Roman"/>
                <w:color w:val="FF0000"/>
                <w:szCs w:val="21"/>
                <w:vertAlign w:val="subscript"/>
              </w:rPr>
              <w:t>5</w:t>
            </w:r>
          </w:p>
          <w:p>
            <w:pPr>
              <w:rPr>
                <w:rFonts w:hint="default" w:ascii="Times New Roman" w:hAnsi="Times New Roman" w:cs="Times New Roman"/>
                <w:color w:val="FF0000"/>
                <w:szCs w:val="21"/>
              </w:rPr>
            </w:pPr>
            <w:r>
              <w:rPr>
                <w:rFonts w:hint="default" w:ascii="Times New Roman" w:hAnsi="Times New Roman" w:cs="Times New Roman"/>
                <w:color w:val="FF0000"/>
                <w:szCs w:val="21"/>
              </w:rPr>
              <w:t>、NH</w:t>
            </w:r>
            <w:r>
              <w:rPr>
                <w:rFonts w:hint="default" w:ascii="Times New Roman" w:hAnsi="Times New Roman" w:cs="Times New Roman"/>
                <w:color w:val="FF0000"/>
                <w:szCs w:val="21"/>
                <w:vertAlign w:val="subscript"/>
              </w:rPr>
              <w:t>3</w:t>
            </w:r>
            <w:r>
              <w:rPr>
                <w:rFonts w:hint="default" w:ascii="Times New Roman" w:hAnsi="Times New Roman" w:cs="Times New Roman"/>
                <w:color w:val="FF0000"/>
                <w:szCs w:val="21"/>
              </w:rPr>
              <w:t>-N、SS</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5m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rPr>
              <w:t>化粪池</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厂区内</w:t>
            </w:r>
          </w:p>
        </w:tc>
        <w:tc>
          <w:tcPr>
            <w:tcW w:w="1062" w:type="dxa"/>
            <w:noWrap w:val="0"/>
            <w:vAlign w:val="center"/>
          </w:tcPr>
          <w:p>
            <w:pPr>
              <w:jc w:val="center"/>
              <w:rPr>
                <w:rFonts w:hint="default" w:ascii="Times New Roman" w:hAnsi="Times New Roman" w:cs="Times New Roman"/>
                <w:color w:val="FF0000"/>
                <w:szCs w:val="21"/>
                <w:vertAlign w:val="superscript"/>
              </w:rPr>
            </w:pPr>
            <w:r>
              <w:rPr>
                <w:rFonts w:hint="default" w:ascii="Times New Roman" w:hAnsi="Times New Roman" w:cs="Times New Roman"/>
                <w:color w:val="FF0000"/>
                <w:szCs w:val="21"/>
              </w:rPr>
              <w:t>1座</w:t>
            </w:r>
          </w:p>
        </w:tc>
        <w:tc>
          <w:tcPr>
            <w:tcW w:w="3151"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bCs/>
                <w:color w:val="FF0000"/>
                <w:szCs w:val="21"/>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71"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循环水</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SS</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10m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rPr>
              <w:t>沉淀池</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场区</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3151" w:type="dxa"/>
            <w:vMerge w:val="continue"/>
            <w:noWrap w:val="0"/>
            <w:vAlign w:val="center"/>
          </w:tcPr>
          <w:p>
            <w:pPr>
              <w:jc w:val="center"/>
              <w:rPr>
                <w:rFonts w:hint="default" w:ascii="Times New Roman" w:hAnsi="Times New Roman" w:cs="Times New Roman"/>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71"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洗车台废水</w:t>
            </w:r>
          </w:p>
        </w:tc>
        <w:tc>
          <w:tcPr>
            <w:tcW w:w="1390" w:type="dxa"/>
            <w:noWrap w:val="0"/>
            <w:vAlign w:val="center"/>
          </w:tcPr>
          <w:p>
            <w:pPr>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SS</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740"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rPr>
              <w:t>5m</w:t>
            </w:r>
            <w:r>
              <w:rPr>
                <w:rFonts w:hint="default" w:ascii="Times New Roman" w:hAnsi="Times New Roman" w:cs="Times New Roman"/>
                <w:color w:val="FF0000"/>
                <w:szCs w:val="21"/>
                <w:vertAlign w:val="superscript"/>
              </w:rPr>
              <w:t>3</w:t>
            </w:r>
            <w:r>
              <w:rPr>
                <w:rFonts w:hint="default" w:ascii="Times New Roman" w:hAnsi="Times New Roman" w:cs="Times New Roman"/>
                <w:color w:val="FF0000"/>
                <w:szCs w:val="21"/>
                <w:vertAlign w:val="baseline"/>
                <w:lang w:eastAsia="zh-CN"/>
              </w:rPr>
              <w:t>洗车池</w:t>
            </w:r>
          </w:p>
        </w:tc>
        <w:tc>
          <w:tcPr>
            <w:tcW w:w="2150"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洗车台</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3151" w:type="dxa"/>
            <w:vMerge w:val="continue"/>
            <w:noWrap w:val="0"/>
            <w:vAlign w:val="center"/>
          </w:tcPr>
          <w:p>
            <w:pPr>
              <w:jc w:val="center"/>
              <w:rPr>
                <w:rFonts w:hint="default" w:ascii="Times New Roman" w:hAnsi="Times New Roman" w:cs="Times New Roman"/>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噪声</w:t>
            </w: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搅拌机、破碎机、制砖机等</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机械设备</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减振、隔声等</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四周厂界</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配套</w:t>
            </w:r>
          </w:p>
        </w:tc>
        <w:tc>
          <w:tcPr>
            <w:tcW w:w="3151"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GB12348-2008中的2类标准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固废</w:t>
            </w:r>
          </w:p>
        </w:tc>
        <w:tc>
          <w:tcPr>
            <w:tcW w:w="1423"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日常生活</w:t>
            </w:r>
          </w:p>
        </w:tc>
        <w:tc>
          <w:tcPr>
            <w:tcW w:w="139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生活垃圾</w:t>
            </w:r>
          </w:p>
        </w:tc>
        <w:tc>
          <w:tcPr>
            <w:tcW w:w="127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5.3t/a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定点收集，由环卫部门统一处理</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垃圾桶</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若干</w:t>
            </w:r>
          </w:p>
        </w:tc>
        <w:tc>
          <w:tcPr>
            <w:tcW w:w="3151"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restart"/>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生产</w:t>
            </w:r>
          </w:p>
        </w:tc>
        <w:tc>
          <w:tcPr>
            <w:tcW w:w="1390"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回收粉尘</w:t>
            </w:r>
          </w:p>
        </w:tc>
        <w:tc>
          <w:tcPr>
            <w:tcW w:w="1272"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36.96t/a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回收，制砖</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1座</w:t>
            </w: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不合格产品</w:t>
            </w:r>
          </w:p>
        </w:tc>
        <w:tc>
          <w:tcPr>
            <w:tcW w:w="1272"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kern w:val="0"/>
                <w:szCs w:val="21"/>
              </w:rPr>
              <w:t>13</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收集，回收利用</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1处</w:t>
            </w: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杂质</w:t>
            </w:r>
          </w:p>
        </w:tc>
        <w:tc>
          <w:tcPr>
            <w:tcW w:w="1272" w:type="dxa"/>
            <w:noWrap w:val="0"/>
            <w:vAlign w:val="center"/>
          </w:tcPr>
          <w:p>
            <w:pPr>
              <w:spacing w:line="240" w:lineRule="atLeast"/>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2.5万</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收集，外售利用或者填埋</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储存点</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2处</w:t>
            </w: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90" w:hRule="atLeast"/>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土料</w:t>
            </w:r>
          </w:p>
        </w:tc>
        <w:tc>
          <w:tcPr>
            <w:tcW w:w="1272" w:type="dxa"/>
            <w:noWrap w:val="0"/>
            <w:vAlign w:val="center"/>
          </w:tcPr>
          <w:p>
            <w:pPr>
              <w:spacing w:line="240" w:lineRule="atLeast"/>
              <w:jc w:val="center"/>
              <w:rPr>
                <w:rFonts w:hint="default" w:ascii="Times New Roman" w:hAnsi="Times New Roman" w:cs="Times New Roman"/>
                <w:color w:val="FF0000"/>
                <w:kern w:val="0"/>
                <w:szCs w:val="21"/>
              </w:rPr>
            </w:pPr>
            <w:r>
              <w:rPr>
                <w:rFonts w:hint="eastAsia" w:ascii="Times New Roman" w:hAnsi="Times New Roman" w:cs="Times New Roman"/>
                <w:color w:val="FF0000"/>
                <w:kern w:val="0"/>
                <w:szCs w:val="21"/>
                <w:lang w:val="en-US" w:eastAsia="zh-CN"/>
              </w:rPr>
              <w:t>1</w:t>
            </w:r>
            <w:r>
              <w:rPr>
                <w:rFonts w:hint="default" w:ascii="Times New Roman" w:hAnsi="Times New Roman" w:cs="Times New Roman"/>
                <w:color w:val="FF0000"/>
                <w:kern w:val="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运往建筑垃圾填埋场</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堆放处</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1处</w:t>
            </w: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spacing w:line="240" w:lineRule="atLeast"/>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洗车池底泥</w:t>
            </w:r>
          </w:p>
        </w:tc>
        <w:tc>
          <w:tcPr>
            <w:tcW w:w="1272" w:type="dxa"/>
            <w:noWrap w:val="0"/>
            <w:vAlign w:val="center"/>
          </w:tcPr>
          <w:p>
            <w:pPr>
              <w:spacing w:line="240" w:lineRule="atLeast"/>
              <w:jc w:val="center"/>
              <w:rPr>
                <w:rFonts w:hint="default" w:ascii="Times New Roman" w:hAnsi="Times New Roman" w:eastAsia="宋体" w:cs="Times New Roman"/>
                <w:color w:val="FF0000"/>
                <w:kern w:val="0"/>
                <w:szCs w:val="21"/>
                <w:lang w:val="en-US" w:eastAsia="zh-CN"/>
              </w:rPr>
            </w:pPr>
            <w:r>
              <w:rPr>
                <w:rFonts w:hint="default" w:ascii="Times New Roman" w:hAnsi="Times New Roman" w:cs="Times New Roman"/>
                <w:color w:val="FF0000"/>
                <w:kern w:val="0"/>
                <w:szCs w:val="21"/>
                <w:lang w:val="en-US" w:eastAsia="zh-CN"/>
              </w:rPr>
              <w:t>0.5</w:t>
            </w:r>
            <w:r>
              <w:rPr>
                <w:rFonts w:hint="default" w:ascii="Times New Roman" w:hAnsi="Times New Roman" w:cs="Times New Roman"/>
                <w:color w:val="FF0000"/>
                <w:kern w:val="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道路铺设</w:t>
            </w:r>
            <w:r>
              <w:rPr>
                <w:rFonts w:hint="default" w:ascii="Times New Roman" w:hAnsi="Times New Roman" w:cs="Times New Roman"/>
                <w:color w:val="FF0000"/>
                <w:szCs w:val="21"/>
                <w:lang w:eastAsia="zh-CN"/>
              </w:rPr>
              <w:t>使用</w:t>
            </w:r>
          </w:p>
        </w:tc>
        <w:tc>
          <w:tcPr>
            <w:tcW w:w="2150" w:type="dxa"/>
            <w:noWrap w:val="0"/>
            <w:vAlign w:val="center"/>
          </w:tcPr>
          <w:p>
            <w:pPr>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洗车台</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1处</w:t>
            </w:r>
          </w:p>
        </w:tc>
        <w:tc>
          <w:tcPr>
            <w:tcW w:w="3151" w:type="dxa"/>
            <w:vMerge w:val="continue"/>
            <w:noWrap w:val="0"/>
            <w:vAlign w:val="center"/>
          </w:tcPr>
          <w:p>
            <w:pPr>
              <w:jc w:val="center"/>
              <w:rPr>
                <w:rFonts w:hint="default" w:ascii="Times New Roman" w:hAnsi="Times New Roman" w:cs="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812" w:type="dxa"/>
            <w:vMerge w:val="continue"/>
            <w:noWrap w:val="0"/>
            <w:vAlign w:val="center"/>
          </w:tcPr>
          <w:p>
            <w:pPr>
              <w:jc w:val="center"/>
              <w:rPr>
                <w:rFonts w:hint="default" w:ascii="Times New Roman" w:hAnsi="Times New Roman" w:cs="Times New Roman"/>
                <w:color w:val="FF0000"/>
                <w:szCs w:val="21"/>
              </w:rPr>
            </w:pPr>
          </w:p>
        </w:tc>
        <w:tc>
          <w:tcPr>
            <w:tcW w:w="1423" w:type="dxa"/>
            <w:vMerge w:val="continue"/>
            <w:noWrap w:val="0"/>
            <w:vAlign w:val="center"/>
          </w:tcPr>
          <w:p>
            <w:pPr>
              <w:jc w:val="center"/>
              <w:rPr>
                <w:rFonts w:hint="default" w:ascii="Times New Roman" w:hAnsi="Times New Roman" w:cs="Times New Roman"/>
                <w:color w:val="FF0000"/>
                <w:szCs w:val="21"/>
              </w:rPr>
            </w:pPr>
          </w:p>
        </w:tc>
        <w:tc>
          <w:tcPr>
            <w:tcW w:w="1390" w:type="dxa"/>
            <w:noWrap w:val="0"/>
            <w:vAlign w:val="center"/>
          </w:tcPr>
          <w:p>
            <w:pPr>
              <w:spacing w:line="240" w:lineRule="atLeast"/>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废润滑油</w:t>
            </w:r>
          </w:p>
        </w:tc>
        <w:tc>
          <w:tcPr>
            <w:tcW w:w="1272" w:type="dxa"/>
            <w:noWrap w:val="0"/>
            <w:vAlign w:val="center"/>
          </w:tcPr>
          <w:p>
            <w:pPr>
              <w:spacing w:line="240" w:lineRule="atLeast"/>
              <w:jc w:val="center"/>
              <w:rPr>
                <w:rFonts w:hint="default" w:ascii="Times New Roman" w:hAnsi="Times New Roman" w:cs="Times New Roman"/>
                <w:color w:val="FF0000"/>
                <w:kern w:val="0"/>
                <w:szCs w:val="21"/>
              </w:rPr>
            </w:pPr>
            <w:r>
              <w:rPr>
                <w:rFonts w:hint="default" w:ascii="Times New Roman" w:hAnsi="Times New Roman" w:cs="Times New Roman"/>
                <w:color w:val="FF0000"/>
                <w:kern w:val="0"/>
                <w:szCs w:val="21"/>
              </w:rPr>
              <w:t>0.2</w:t>
            </w:r>
            <w:r>
              <w:rPr>
                <w:rFonts w:hint="default" w:ascii="Times New Roman" w:hAnsi="Times New Roman" w:cs="Times New Roman"/>
                <w:color w:val="FF0000"/>
                <w:szCs w:val="21"/>
              </w:rPr>
              <w:t>t/a</w:t>
            </w:r>
          </w:p>
        </w:tc>
        <w:tc>
          <w:tcPr>
            <w:tcW w:w="274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交给有资质的单位处理</w:t>
            </w:r>
          </w:p>
        </w:tc>
        <w:tc>
          <w:tcPr>
            <w:tcW w:w="2150"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暂存间</w:t>
            </w:r>
          </w:p>
        </w:tc>
        <w:tc>
          <w:tcPr>
            <w:tcW w:w="1062" w:type="dxa"/>
            <w:noWrap w:val="0"/>
            <w:vAlign w:val="center"/>
          </w:tcPr>
          <w:p>
            <w:pPr>
              <w:jc w:val="center"/>
              <w:rPr>
                <w:rFonts w:hint="default" w:ascii="Times New Roman" w:hAnsi="Times New Roman" w:cs="Times New Roman"/>
                <w:color w:val="FF0000"/>
                <w:szCs w:val="21"/>
              </w:rPr>
            </w:pPr>
            <w:r>
              <w:rPr>
                <w:rFonts w:hint="default" w:ascii="Times New Roman" w:hAnsi="Times New Roman" w:cs="Times New Roman"/>
                <w:color w:val="FF0000"/>
                <w:szCs w:val="21"/>
              </w:rPr>
              <w:t>1处</w:t>
            </w:r>
          </w:p>
        </w:tc>
        <w:tc>
          <w:tcPr>
            <w:tcW w:w="3151" w:type="dxa"/>
            <w:vMerge w:val="continue"/>
            <w:noWrap w:val="0"/>
            <w:vAlign w:val="center"/>
          </w:tcPr>
          <w:p>
            <w:pPr>
              <w:jc w:val="center"/>
              <w:rPr>
                <w:rFonts w:hint="default" w:ascii="Times New Roman" w:hAnsi="Times New Roman" w:cs="Times New Roman"/>
                <w:color w:val="FF0000"/>
                <w:szCs w:val="21"/>
              </w:rPr>
            </w:pPr>
          </w:p>
        </w:tc>
      </w:tr>
    </w:tbl>
    <w:p>
      <w:pPr>
        <w:rPr>
          <w:rFonts w:hint="default" w:ascii="Times New Roman" w:hAnsi="Times New Roman" w:eastAsia="黑体" w:cs="Times New Roman"/>
          <w:b/>
          <w:color w:val="000000"/>
          <w:sz w:val="32"/>
          <w:szCs w:val="32"/>
        </w:rPr>
        <w:sectPr>
          <w:pgSz w:w="16838" w:h="11906" w:orient="landscape"/>
          <w:pgMar w:top="1797" w:right="1418" w:bottom="1797" w:left="1560"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pPr>
    </w:p>
    <w:p>
      <w:pPr>
        <w:rPr>
          <w:rFonts w:hint="default" w:ascii="Times New Roman" w:hAnsi="Times New Roman" w:eastAsia="黑体" w:cs="Times New Roman"/>
          <w:b/>
          <w:color w:val="000000"/>
          <w:sz w:val="32"/>
          <w:szCs w:val="32"/>
        </w:rPr>
      </w:pPr>
      <w:r>
        <w:rPr>
          <w:rFonts w:hint="default" w:ascii="Times New Roman" w:hAnsi="Times New Roman" w:eastAsia="黑体" w:cs="Times New Roman"/>
          <w:b/>
          <w:color w:val="000000"/>
          <w:sz w:val="32"/>
          <w:szCs w:val="32"/>
        </w:rPr>
        <w:t>结论与建议</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jc w:val="center"/>
        </w:trPr>
        <w:tc>
          <w:tcPr>
            <w:tcW w:w="8709" w:type="dxa"/>
            <w:noWrap w:val="0"/>
            <w:vAlign w:val="top"/>
          </w:tcPr>
          <w:p>
            <w:pPr>
              <w:pStyle w:val="11"/>
              <w:spacing w:after="0" w:line="480" w:lineRule="exact"/>
              <w:rPr>
                <w:rFonts w:hint="default" w:ascii="Times New Roman" w:hAnsi="Times New Roman" w:eastAsia="黑体" w:cs="Times New Roman"/>
                <w:b/>
                <w:color w:val="000000"/>
                <w:sz w:val="28"/>
                <w:szCs w:val="28"/>
              </w:rPr>
            </w:pPr>
            <w:r>
              <w:rPr>
                <w:rFonts w:hint="default" w:ascii="Times New Roman" w:hAnsi="Times New Roman" w:eastAsia="黑体" w:cs="Times New Roman"/>
                <w:b/>
                <w:color w:val="000000"/>
                <w:sz w:val="28"/>
                <w:szCs w:val="28"/>
              </w:rPr>
              <w:t>一、结论</w:t>
            </w:r>
          </w:p>
          <w:p>
            <w:pPr>
              <w:spacing w:line="460" w:lineRule="exact"/>
              <w:ind w:firstLine="542" w:firstLineChars="225"/>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1、项目概况</w:t>
            </w:r>
          </w:p>
          <w:p>
            <w:pPr>
              <w:spacing w:line="48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项目位于灞桥区席王街道办唐家寨村甲子666号，项目</w:t>
            </w:r>
            <w:r>
              <w:rPr>
                <w:rFonts w:hint="default" w:ascii="Times New Roman" w:hAnsi="Times New Roman" w:cs="Times New Roman"/>
                <w:bCs/>
                <w:color w:val="000000"/>
                <w:sz w:val="24"/>
                <w:szCs w:val="24"/>
              </w:rPr>
              <w:t>占地37.5亩</w:t>
            </w:r>
            <w:r>
              <w:rPr>
                <w:rFonts w:hint="default" w:ascii="Times New Roman" w:hAnsi="Times New Roman" w:cs="Times New Roman"/>
                <w:color w:val="000000"/>
                <w:sz w:val="24"/>
                <w:szCs w:val="24"/>
              </w:rPr>
              <w:t>，建设一座年处理50万吨建筑垃圾及年产20万m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免烧砖生产线项目，同时建设办公楼、宿舍及其它配套设施，项目建成后年产免烧压制砖20万m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。总投资</w:t>
            </w:r>
            <w:r>
              <w:rPr>
                <w:rFonts w:hint="default" w:ascii="Times New Roman" w:hAnsi="Times New Roman" w:cs="Times New Roman"/>
                <w:color w:val="000000"/>
                <w:sz w:val="24"/>
              </w:rPr>
              <w:t>2600</w:t>
            </w:r>
            <w:r>
              <w:rPr>
                <w:rFonts w:hint="default" w:ascii="Times New Roman" w:hAnsi="Times New Roman" w:cs="Times New Roman"/>
                <w:color w:val="000000"/>
                <w:sz w:val="24"/>
                <w:szCs w:val="24"/>
              </w:rPr>
              <w:t>万元，其中环保投资36.7万元。</w:t>
            </w:r>
          </w:p>
          <w:p>
            <w:pPr>
              <w:spacing w:line="480" w:lineRule="exact"/>
              <w:ind w:firstLine="482" w:firstLineChars="200"/>
              <w:rPr>
                <w:rFonts w:hint="default" w:ascii="Times New Roman" w:hAnsi="Times New Roman" w:cs="Times New Roman"/>
                <w:b/>
                <w:color w:val="000000"/>
                <w:kern w:val="10"/>
                <w:sz w:val="24"/>
                <w:szCs w:val="24"/>
              </w:rPr>
            </w:pPr>
            <w:r>
              <w:rPr>
                <w:rFonts w:hint="default" w:ascii="Times New Roman" w:hAnsi="Times New Roman" w:cs="Times New Roman"/>
                <w:b/>
                <w:color w:val="000000"/>
                <w:kern w:val="10"/>
                <w:sz w:val="24"/>
                <w:szCs w:val="24"/>
              </w:rPr>
              <w:t>2、选址合理性分析</w:t>
            </w:r>
          </w:p>
          <w:p>
            <w:pPr>
              <w:spacing w:line="48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本项目位于</w:t>
            </w:r>
            <w:r>
              <w:rPr>
                <w:rFonts w:hint="default" w:ascii="Times New Roman" w:hAnsi="Times New Roman" w:cs="Times New Roman"/>
                <w:color w:val="000000"/>
                <w:sz w:val="24"/>
              </w:rPr>
              <w:t>灞桥区席王街道办唐家寨村甲子666号</w:t>
            </w:r>
            <w:r>
              <w:rPr>
                <w:rFonts w:hint="default" w:ascii="Times New Roman" w:hAnsi="Times New Roman" w:cs="Times New Roman"/>
                <w:bCs/>
                <w:color w:val="000000"/>
                <w:sz w:val="24"/>
              </w:rPr>
              <w:t>，场界周边无医院、学校、自然风景名胜区及文物古迹等环境敏感点。项目临近乡道，交通便利。项目污染物在采取相应环保措施后均能达标排放，不会产生较大影响。</w:t>
            </w:r>
          </w:p>
          <w:p>
            <w:pPr>
              <w:wordWrap w:val="0"/>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bCs/>
                <w:color w:val="000000"/>
                <w:sz w:val="24"/>
              </w:rPr>
              <w:t>因此，从环境环保角度考虑，本次评价认为项目选址较合理。</w:t>
            </w:r>
          </w:p>
          <w:p>
            <w:pPr>
              <w:spacing w:line="46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3、环境质量现状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kern w:val="0"/>
                <w:sz w:val="24"/>
              </w:rPr>
              <w:t>大气环境现状：</w:t>
            </w:r>
            <w:r>
              <w:rPr>
                <w:rFonts w:hint="default" w:ascii="Times New Roman" w:hAnsi="Times New Roman" w:cs="Times New Roman"/>
                <w:color w:val="000000"/>
                <w:kern w:val="0"/>
                <w:sz w:val="24"/>
                <w:lang w:eastAsia="zh-CN"/>
              </w:rPr>
              <w:t>根据</w:t>
            </w:r>
            <w:r>
              <w:rPr>
                <w:rFonts w:hint="default" w:ascii="Times New Roman" w:hAnsi="Times New Roman" w:cs="Times New Roman"/>
                <w:color w:val="000000"/>
                <w:sz w:val="24"/>
                <w:lang w:eastAsia="zh-CN"/>
              </w:rPr>
              <w:t>《2018年西安市环境状况公报》（市生态环境局）中的大气环境数据，</w:t>
            </w:r>
            <w:r>
              <w:rPr>
                <w:rFonts w:hint="default" w:ascii="Times New Roman" w:hAnsi="Times New Roman" w:cs="Times New Roman"/>
                <w:color w:val="000000"/>
                <w:sz w:val="24"/>
              </w:rPr>
              <w:t>建设项目所在地为大气环境质量不达标区。</w:t>
            </w:r>
            <w:r>
              <w:rPr>
                <w:rFonts w:hint="default" w:ascii="Times New Roman" w:hAnsi="Times New Roman" w:cs="Times New Roman"/>
                <w:color w:val="000000"/>
                <w:sz w:val="24"/>
                <w:lang w:eastAsia="zh-CN"/>
              </w:rPr>
              <w:t>同时，根据</w:t>
            </w:r>
            <w:r>
              <w:rPr>
                <w:rFonts w:hint="default" w:ascii="Times New Roman" w:hAnsi="Times New Roman" w:cs="Times New Roman"/>
                <w:color w:val="000000"/>
                <w:kern w:val="0"/>
                <w:sz w:val="24"/>
              </w:rPr>
              <w:t>项目区监测点</w:t>
            </w:r>
            <w:r>
              <w:rPr>
                <w:rFonts w:hint="default" w:ascii="Times New Roman" w:hAnsi="Times New Roman" w:cs="Times New Roman"/>
                <w:color w:val="000000"/>
                <w:kern w:val="0"/>
                <w:sz w:val="24"/>
                <w:szCs w:val="24"/>
              </w:rPr>
              <w:t>SO</w:t>
            </w:r>
            <w:r>
              <w:rPr>
                <w:rFonts w:hint="default" w:ascii="Times New Roman" w:hAnsi="Times New Roman" w:cs="Times New Roman"/>
                <w:color w:val="000000"/>
                <w:kern w:val="0"/>
                <w:sz w:val="24"/>
                <w:szCs w:val="24"/>
                <w:vertAlign w:val="subscript"/>
              </w:rPr>
              <w:t>2</w:t>
            </w:r>
            <w:r>
              <w:rPr>
                <w:rFonts w:hint="default" w:ascii="Times New Roman" w:hAnsi="Times New Roman" w:cs="Times New Roman"/>
                <w:color w:val="000000"/>
                <w:kern w:val="0"/>
                <w:sz w:val="24"/>
                <w:szCs w:val="24"/>
              </w:rPr>
              <w:t>、NO</w:t>
            </w:r>
            <w:r>
              <w:rPr>
                <w:rFonts w:hint="default" w:ascii="Times New Roman" w:hAnsi="Times New Roman" w:cs="Times New Roman"/>
                <w:color w:val="000000"/>
                <w:kern w:val="0"/>
                <w:sz w:val="24"/>
                <w:szCs w:val="24"/>
                <w:vertAlign w:val="subscript"/>
              </w:rPr>
              <w:t>2</w:t>
            </w:r>
            <w:r>
              <w:rPr>
                <w:rFonts w:hint="default" w:ascii="Times New Roman" w:hAnsi="Times New Roman" w:cs="Times New Roman"/>
                <w:color w:val="000000"/>
                <w:kern w:val="0"/>
                <w:sz w:val="24"/>
              </w:rPr>
              <w:t>1h浓度、24h平均浓度均满足</w:t>
            </w:r>
            <w:r>
              <w:rPr>
                <w:rFonts w:hint="default" w:ascii="Times New Roman" w:hAnsi="Times New Roman" w:cs="Times New Roman"/>
                <w:color w:val="000000"/>
                <w:sz w:val="24"/>
              </w:rPr>
              <w:t>《环境空气质量标准》（GB3095</w:t>
            </w:r>
            <w:r>
              <w:rPr>
                <w:rFonts w:hint="default" w:ascii="Times New Roman" w:hAnsi="Times New Roman" w:cs="Times New Roman"/>
                <w:color w:val="000000"/>
                <w:sz w:val="24"/>
                <w:lang w:val="en-US" w:eastAsia="zh-CN"/>
              </w:rPr>
              <w:t>-</w:t>
            </w:r>
            <w:r>
              <w:rPr>
                <w:rFonts w:hint="default" w:ascii="Times New Roman" w:hAnsi="Times New Roman" w:cs="Times New Roman"/>
                <w:color w:val="000000"/>
                <w:sz w:val="24"/>
              </w:rPr>
              <w:t>2012）二级标准，</w:t>
            </w:r>
            <w:r>
              <w:rPr>
                <w:rFonts w:hint="default" w:ascii="Times New Roman" w:hAnsi="Times New Roman" w:cs="Times New Roman"/>
                <w:color w:val="auto"/>
                <w:sz w:val="24"/>
              </w:rPr>
              <w:t>PM</w:t>
            </w:r>
            <w:r>
              <w:rPr>
                <w:rFonts w:hint="default" w:ascii="Times New Roman" w:hAnsi="Times New Roman" w:cs="Times New Roman"/>
                <w:color w:val="auto"/>
                <w:sz w:val="24"/>
                <w:vertAlign w:val="subscript"/>
              </w:rPr>
              <w:t>10</w:t>
            </w:r>
            <w:r>
              <w:rPr>
                <w:rFonts w:hint="default" w:ascii="Times New Roman" w:hAnsi="Times New Roman" w:cs="Times New Roman"/>
                <w:color w:val="auto"/>
                <w:sz w:val="24"/>
              </w:rPr>
              <w:t>24h均值超标0.4倍左右，这可能跟当地气候条件有关。</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声环境现状：项目厂界四周昼、夜间噪声值均满足《声环境质量标准》（GB3096-2008）中2类标准要求。</w:t>
            </w:r>
          </w:p>
          <w:p>
            <w:pPr>
              <w:spacing w:line="460" w:lineRule="exact"/>
              <w:ind w:firstLine="482"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4、项目环境影响分析结论</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（1）施工期</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本项目施工期已结束，不进行环境影响分析。</w:t>
            </w:r>
          </w:p>
          <w:p>
            <w:pPr>
              <w:spacing w:line="46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（2）营运期</w:t>
            </w:r>
          </w:p>
          <w:p>
            <w:pPr>
              <w:spacing w:line="520" w:lineRule="exact"/>
              <w:ind w:firstLine="600" w:firstLineChars="25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①大气环境影响分析结论</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项目主要大气污染源为破碎粉尘、水泥罐仓粉尘，</w:t>
            </w:r>
            <w:r>
              <w:rPr>
                <w:rFonts w:hint="default" w:ascii="Times New Roman" w:hAnsi="Times New Roman" w:cs="Times New Roman"/>
                <w:color w:val="000000"/>
                <w:sz w:val="24"/>
              </w:rPr>
              <w:t>运输、装卸、堆放产生的无组织粉尘，</w:t>
            </w:r>
            <w:r>
              <w:rPr>
                <w:rFonts w:hint="default" w:ascii="Times New Roman" w:hAnsi="Times New Roman" w:cs="Times New Roman"/>
                <w:color w:val="000000"/>
                <w:kern w:val="10"/>
                <w:sz w:val="24"/>
                <w:szCs w:val="24"/>
              </w:rPr>
              <w:t>汽车运输扬尘、尾气等。</w:t>
            </w:r>
            <w:r>
              <w:rPr>
                <w:rFonts w:hint="default" w:ascii="Times New Roman" w:hAnsi="Times New Roman" w:cs="Times New Roman"/>
                <w:color w:val="000000"/>
                <w:sz w:val="24"/>
                <w:szCs w:val="24"/>
              </w:rPr>
              <w:t>为减少</w:t>
            </w:r>
            <w:r>
              <w:rPr>
                <w:rFonts w:hint="default" w:ascii="Times New Roman" w:hAnsi="Times New Roman" w:cs="Times New Roman"/>
                <w:color w:val="000000"/>
                <w:kern w:val="10"/>
                <w:sz w:val="24"/>
                <w:szCs w:val="24"/>
              </w:rPr>
              <w:t>水泥罐仓粉尘</w:t>
            </w:r>
            <w:r>
              <w:rPr>
                <w:rFonts w:hint="default" w:ascii="Times New Roman" w:hAnsi="Times New Roman" w:cs="Times New Roman"/>
                <w:color w:val="000000"/>
                <w:sz w:val="24"/>
                <w:szCs w:val="24"/>
              </w:rPr>
              <w:t>的排放总量，环评要求采用水泥罐仓自带滤芯式除尘器对废气进行处理，</w:t>
            </w:r>
            <w:r>
              <w:rPr>
                <w:rFonts w:hint="default" w:ascii="Times New Roman" w:hAnsi="Times New Roman" w:cs="Times New Roman"/>
                <w:color w:val="000000"/>
                <w:kern w:val="10"/>
                <w:sz w:val="24"/>
                <w:szCs w:val="24"/>
              </w:rPr>
              <w:t>由排气筒达标排放，对外环境影响较小；</w:t>
            </w:r>
            <w:r>
              <w:rPr>
                <w:rFonts w:hint="eastAsia" w:ascii="Times New Roman" w:hAnsi="Times New Roman" w:cs="Times New Roman"/>
                <w:color w:val="000000"/>
                <w:kern w:val="10"/>
                <w:sz w:val="24"/>
                <w:szCs w:val="24"/>
                <w:lang w:eastAsia="zh-CN"/>
              </w:rPr>
              <w:t>颚式</w:t>
            </w:r>
            <w:r>
              <w:rPr>
                <w:rFonts w:hint="default" w:ascii="Times New Roman" w:hAnsi="Times New Roman" w:cs="Times New Roman"/>
                <w:color w:val="000000"/>
                <w:kern w:val="10"/>
                <w:sz w:val="24"/>
                <w:szCs w:val="24"/>
              </w:rPr>
              <w:t>破碎间</w:t>
            </w:r>
            <w:r>
              <w:rPr>
                <w:rFonts w:hint="eastAsia" w:ascii="Times New Roman" w:hAnsi="Times New Roman" w:cs="Times New Roman"/>
                <w:color w:val="000000"/>
                <w:kern w:val="10"/>
                <w:sz w:val="24"/>
                <w:szCs w:val="24"/>
                <w:lang w:eastAsia="zh-CN"/>
              </w:rPr>
              <w:t>、锤式</w:t>
            </w:r>
            <w:r>
              <w:rPr>
                <w:rFonts w:hint="default" w:ascii="Times New Roman" w:hAnsi="Times New Roman" w:cs="Times New Roman"/>
                <w:color w:val="000000"/>
                <w:kern w:val="10"/>
                <w:sz w:val="24"/>
                <w:szCs w:val="24"/>
              </w:rPr>
              <w:t>破碎车间要求密闭，车间洒水及破碎机设置喷淋装置</w:t>
            </w:r>
            <w:r>
              <w:rPr>
                <w:rFonts w:hint="eastAsia" w:ascii="Times New Roman" w:hAnsi="Times New Roman" w:cs="Times New Roman"/>
                <w:color w:val="000000"/>
                <w:kern w:val="10"/>
                <w:sz w:val="24"/>
                <w:szCs w:val="24"/>
                <w:lang w:eastAsia="zh-CN"/>
              </w:rPr>
              <w:t>，分别设置</w:t>
            </w:r>
            <w:r>
              <w:rPr>
                <w:rFonts w:hint="default" w:ascii="Times New Roman" w:hAnsi="Times New Roman" w:cs="Times New Roman"/>
                <w:color w:val="000000"/>
                <w:kern w:val="10"/>
                <w:sz w:val="24"/>
                <w:szCs w:val="24"/>
              </w:rPr>
              <w:t>布袋除尘器；传送带设置密闭装置，顶端设置喷淋；厂区原料</w:t>
            </w:r>
            <w:r>
              <w:rPr>
                <w:rFonts w:hint="default" w:ascii="Times New Roman" w:hAnsi="Times New Roman" w:cs="Times New Roman"/>
                <w:color w:val="000000"/>
                <w:spacing w:val="2"/>
                <w:sz w:val="24"/>
              </w:rPr>
              <w:t>采取封闭储棚储存，</w:t>
            </w:r>
            <w:r>
              <w:rPr>
                <w:rFonts w:hint="default" w:ascii="Times New Roman" w:hAnsi="Times New Roman" w:cs="Times New Roman"/>
                <w:color w:val="000000"/>
                <w:kern w:val="10"/>
                <w:sz w:val="24"/>
                <w:szCs w:val="24"/>
              </w:rPr>
              <w:t>且在</w:t>
            </w:r>
            <w:r>
              <w:rPr>
                <w:rFonts w:hint="default" w:ascii="Times New Roman" w:hAnsi="Times New Roman" w:cs="Times New Roman"/>
                <w:color w:val="000000"/>
                <w:sz w:val="24"/>
              </w:rPr>
              <w:t>装卸原料时</w:t>
            </w:r>
            <w:r>
              <w:rPr>
                <w:rFonts w:hint="default" w:ascii="Times New Roman" w:hAnsi="Times New Roman" w:cs="Times New Roman"/>
                <w:color w:val="000000"/>
                <w:spacing w:val="2"/>
                <w:sz w:val="24"/>
              </w:rPr>
              <w:t>进行洒水降尘</w:t>
            </w:r>
            <w:r>
              <w:rPr>
                <w:rFonts w:hint="default" w:ascii="Times New Roman" w:hAnsi="Times New Roman" w:cs="Times New Roman"/>
                <w:color w:val="000000"/>
                <w:sz w:val="24"/>
              </w:rPr>
              <w:t>，以减少扬尘产生；汽车运输扬尘主要</w:t>
            </w:r>
            <w:r>
              <w:rPr>
                <w:rFonts w:hint="default" w:ascii="Times New Roman" w:hAnsi="Times New Roman" w:cs="Times New Roman"/>
                <w:color w:val="000000"/>
                <w:spacing w:val="2"/>
                <w:sz w:val="24"/>
              </w:rPr>
              <w:t>采取硬化</w:t>
            </w:r>
            <w:r>
              <w:rPr>
                <w:rFonts w:hint="default" w:ascii="Times New Roman" w:hAnsi="Times New Roman" w:cs="Times New Roman"/>
                <w:color w:val="000000"/>
                <w:sz w:val="24"/>
              </w:rPr>
              <w:t>厂区道路，并定期清扫和洒水降尘，以减少扬尘产生；加强厂区绿化，以达到防尘降噪的效果等措施，减少无组织扬尘对周围环境的影响。</w:t>
            </w:r>
          </w:p>
          <w:p>
            <w:pPr>
              <w:spacing w:line="480" w:lineRule="exact"/>
              <w:ind w:firstLine="600" w:firstLineChars="25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②水环境影响分析结论</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项目区设化粪池，生活污水进入化粪池，定期清掏，外运肥田。</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养护废水和托盘清洗废水，通过沉淀池沉淀后，循环使用，不外排。</w:t>
            </w:r>
          </w:p>
          <w:p>
            <w:pPr>
              <w:spacing w:line="440" w:lineRule="exact"/>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lang w:eastAsia="zh-CN"/>
              </w:rPr>
              <w:t>洗车台废水进入洗车池，</w:t>
            </w:r>
            <w:r>
              <w:rPr>
                <w:rFonts w:hint="default" w:ascii="Times New Roman" w:hAnsi="Times New Roman" w:cs="Times New Roman"/>
                <w:color w:val="000000"/>
                <w:sz w:val="24"/>
                <w:szCs w:val="24"/>
              </w:rPr>
              <w:t>通过沉淀池沉淀后，循环使用，不外排。</w:t>
            </w:r>
          </w:p>
          <w:p>
            <w:pPr>
              <w:spacing w:line="44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采取上述措施后，对周围环境影响不大。</w:t>
            </w:r>
          </w:p>
          <w:p>
            <w:pPr>
              <w:spacing w:line="480" w:lineRule="exact"/>
              <w:ind w:firstLine="432" w:firstLineChars="18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③噪声环境影响分析结论</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本项目运营过程中噪声主要来自设备运转时产生的设备噪声以及运输车辆噪声，其源强值一般为80~95dB（A），通过基础减振、厂房隔声等措施后，可达到《工业企业厂界环境噪声排放标准》（GB12348-2008）中2类标准要求，对周围声环境影响小。</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④固废环境影响分析结论</w:t>
            </w:r>
          </w:p>
          <w:p>
            <w:pPr>
              <w:autoSpaceDE w:val="0"/>
              <w:autoSpaceDN w:val="0"/>
              <w:spacing w:line="460" w:lineRule="exact"/>
              <w:ind w:firstLine="540" w:firstLineChars="225"/>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生活垃圾由厂内统一收集，当地环卫部门定期清运；生产过程中的不合格产品人工破碎后回用于生产；收集粉尘回用于生产，不外排；分拣过程中产生的杂物设置存储点，合理处置；建筑垃圾中的土料运往建筑垃圾填埋场处理；</w:t>
            </w:r>
            <w:r>
              <w:rPr>
                <w:rFonts w:hint="default" w:ascii="Times New Roman" w:hAnsi="Times New Roman" w:cs="Times New Roman"/>
                <w:color w:val="000000"/>
                <w:kern w:val="10"/>
                <w:sz w:val="24"/>
                <w:szCs w:val="24"/>
                <w:lang w:eastAsia="zh-CN"/>
              </w:rPr>
              <w:t>洗车池底泥用于道路铺设；</w:t>
            </w:r>
            <w:r>
              <w:rPr>
                <w:rFonts w:hint="default" w:ascii="Times New Roman" w:hAnsi="Times New Roman" w:cs="Times New Roman"/>
                <w:color w:val="000000"/>
                <w:kern w:val="10"/>
                <w:sz w:val="24"/>
                <w:szCs w:val="24"/>
              </w:rPr>
              <w:t>废润滑油交给有资质的单位处理。采取以上措施后，产生固废对周围环境基本无影响。</w:t>
            </w:r>
          </w:p>
          <w:p>
            <w:pPr>
              <w:autoSpaceDE w:val="0"/>
              <w:autoSpaceDN w:val="0"/>
              <w:spacing w:line="460" w:lineRule="exact"/>
              <w:ind w:firstLine="542" w:firstLineChars="225"/>
              <w:rPr>
                <w:rFonts w:hint="default" w:ascii="Times New Roman" w:hAnsi="Times New Roman" w:cs="Times New Roman"/>
                <w:b/>
                <w:color w:val="000000"/>
                <w:kern w:val="0"/>
                <w:sz w:val="24"/>
                <w:szCs w:val="24"/>
                <w:lang w:val="en-GB"/>
              </w:rPr>
            </w:pPr>
            <w:r>
              <w:rPr>
                <w:rFonts w:hint="default" w:ascii="Times New Roman" w:hAnsi="Times New Roman" w:cs="Times New Roman"/>
                <w:b/>
                <w:color w:val="000000"/>
                <w:sz w:val="24"/>
                <w:szCs w:val="24"/>
              </w:rPr>
              <w:t>5、总结论</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综上所述：本项目符合国家产业政策，在严格落实报告表提出的污染防治措施后，主要污染物可达标排放，从满足环境质量目标要求角度分析，项目建设可行。</w:t>
            </w:r>
          </w:p>
          <w:p>
            <w:pPr>
              <w:spacing w:line="460" w:lineRule="exact"/>
              <w:rPr>
                <w:rFonts w:hint="default" w:ascii="Times New Roman" w:hAnsi="Times New Roman" w:eastAsia="黑体" w:cs="Times New Roman"/>
                <w:b/>
                <w:color w:val="000000"/>
                <w:kern w:val="0"/>
                <w:sz w:val="28"/>
                <w:szCs w:val="28"/>
                <w:lang w:val="en-GB"/>
              </w:rPr>
            </w:pPr>
            <w:r>
              <w:rPr>
                <w:rFonts w:hint="default" w:ascii="Times New Roman" w:hAnsi="Times New Roman" w:eastAsia="黑体" w:cs="Times New Roman"/>
                <w:b/>
                <w:color w:val="000000"/>
                <w:kern w:val="0"/>
                <w:sz w:val="28"/>
                <w:szCs w:val="28"/>
                <w:lang w:val="en-GB"/>
              </w:rPr>
              <w:t>二、要求和建议</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1、严格管理，确保各项环保设施的建设和正常运行；</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2、对环保设备、设施进行定期检查维护，达到最佳运行状态。严格执行污染物排放申报制度，建立污染物排放管理和监测制度；</w:t>
            </w:r>
          </w:p>
          <w:p>
            <w:pPr>
              <w:spacing w:line="480" w:lineRule="exact"/>
              <w:ind w:firstLine="480" w:firstLineChars="200"/>
              <w:rPr>
                <w:rFonts w:hint="default" w:ascii="Times New Roman" w:hAnsi="Times New Roman" w:cs="Times New Roman"/>
                <w:color w:val="000000"/>
                <w:kern w:val="10"/>
                <w:sz w:val="24"/>
                <w:szCs w:val="24"/>
              </w:rPr>
            </w:pPr>
            <w:r>
              <w:rPr>
                <w:rFonts w:hint="default" w:ascii="Times New Roman" w:hAnsi="Times New Roman" w:cs="Times New Roman"/>
                <w:color w:val="000000"/>
                <w:kern w:val="10"/>
                <w:sz w:val="24"/>
                <w:szCs w:val="24"/>
              </w:rPr>
              <w:t>3、</w:t>
            </w:r>
            <w:r>
              <w:rPr>
                <w:rFonts w:hint="default" w:ascii="Times New Roman" w:hAnsi="Times New Roman" w:cs="Times New Roman"/>
                <w:color w:val="000000"/>
                <w:sz w:val="24"/>
              </w:rPr>
              <w:t>对厂区道路加强洒水降尘，以减少道路扬尘；</w:t>
            </w:r>
          </w:p>
          <w:p>
            <w:pPr>
              <w:adjustRightInd w:val="0"/>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kern w:val="10"/>
                <w:sz w:val="24"/>
                <w:szCs w:val="24"/>
              </w:rPr>
              <w:t>4、</w:t>
            </w:r>
            <w:r>
              <w:rPr>
                <w:rFonts w:hint="default" w:ascii="Times New Roman" w:hAnsi="Times New Roman" w:cs="Times New Roman"/>
                <w:color w:val="000000"/>
                <w:sz w:val="24"/>
              </w:rPr>
              <w:t>原料及成品运输尽量安排在昼间进行，并加强运输管理，防止物料洒落；</w:t>
            </w:r>
          </w:p>
          <w:p>
            <w:pPr>
              <w:adjustRightInd w:val="0"/>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5、禁止建设运营中使用国家淘汰落后的生产设备和工艺。</w:t>
            </w:r>
          </w:p>
        </w:tc>
      </w:tr>
    </w:tbl>
    <w:p>
      <w:pPr>
        <w:rPr>
          <w:rFonts w:hint="default" w:ascii="Times New Roman" w:hAnsi="Times New Roman" w:eastAsia="黑体" w:cs="Times New Roman"/>
          <w:color w:val="000000"/>
          <w:sz w:val="28"/>
          <w:szCs w:val="28"/>
        </w:rPr>
        <w:sectPr>
          <w:pgSz w:w="11906" w:h="16838"/>
          <w:pgMar w:top="1418" w:right="1797" w:bottom="1560" w:left="1797"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pPr>
    </w:p>
    <w:tbl>
      <w:tblPr>
        <w:tblStyle w:val="30"/>
        <w:tblpPr w:leftFromText="180" w:rightFromText="180" w:vertAnchor="text" w:horzAnchor="margin" w:tblpY="314"/>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Pr>
        <w:tc>
          <w:tcPr>
            <w:tcW w:w="8823" w:type="dxa"/>
            <w:noWrap w:val="0"/>
            <w:vAlign w:val="top"/>
          </w:tcPr>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预审意见：</w:t>
            </w: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公　章</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4375" w:hRule="atLeast"/>
        </w:trPr>
        <w:tc>
          <w:tcPr>
            <w:tcW w:w="8823" w:type="dxa"/>
            <w:noWrap w:val="0"/>
            <w:vAlign w:val="top"/>
          </w:tcPr>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下一级环境保护行政主管部门审查意见：</w:t>
            </w: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公　章</w:t>
            </w:r>
          </w:p>
          <w:p>
            <w:pP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经办人：　　　　　　　　　　　　　　　　年　　月　　日</w:t>
            </w:r>
          </w:p>
        </w:tc>
      </w:tr>
    </w:tbl>
    <w:p>
      <w:pPr>
        <w:spacing w:line="360" w:lineRule="auto"/>
        <w:rPr>
          <w:rFonts w:hint="default" w:ascii="Times New Roman" w:hAnsi="Times New Roman" w:eastAsia="黑体" w:cs="Times New Roman"/>
          <w:color w:val="000000"/>
        </w:rPr>
      </w:pP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1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Pr>
        <w:tc>
          <w:tcPr>
            <w:tcW w:w="9016" w:type="dxa"/>
            <w:noWrap w:val="0"/>
            <w:vAlign w:val="top"/>
          </w:tcPr>
          <w:p>
            <w:pPr>
              <w:spacing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审批意见：</w:t>
            </w: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p>
          <w:p>
            <w:pPr>
              <w:spacing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公　章</w:t>
            </w:r>
          </w:p>
          <w:p>
            <w:pPr>
              <w:spacing w:line="360" w:lineRule="auto"/>
              <w:rPr>
                <w:rFonts w:hint="default" w:ascii="Times New Roman" w:hAnsi="Times New Roman" w:eastAsia="黑体" w:cs="Times New Roman"/>
                <w:b/>
                <w:color w:val="000000"/>
                <w:sz w:val="28"/>
                <w:szCs w:val="28"/>
              </w:rPr>
            </w:pPr>
            <w:r>
              <w:rPr>
                <w:rFonts w:hint="default" w:ascii="Times New Roman" w:hAnsi="Times New Roman" w:cs="Times New Roman"/>
                <w:color w:val="000000"/>
                <w:sz w:val="28"/>
                <w:szCs w:val="28"/>
              </w:rPr>
              <w:t>经办人：　　　　　　　　　　　　　　 　年　 月 　日</w:t>
            </w:r>
          </w:p>
        </w:tc>
      </w:tr>
    </w:tbl>
    <w:p>
      <w:pPr>
        <w:rPr>
          <w:rFonts w:hint="default" w:ascii="Times New Roman" w:hAnsi="Times New Roman" w:cs="Times New Roman"/>
          <w:color w:val="000000"/>
        </w:rPr>
      </w:pPr>
    </w:p>
    <w:sectPr>
      <w:footerReference r:id="rId10" w:type="first"/>
      <w:footerReference r:id="rId9" w:type="default"/>
      <w:pgSz w:w="11906" w:h="16838"/>
      <w:pgMar w:top="1418" w:right="1797" w:bottom="1474" w:left="1797" w:header="851" w:footer="992" w:gutter="0"/>
      <w:pgBorders w:offsetFrom="page">
        <w:top w:val="none" w:sz="0" w:space="0"/>
        <w:left w:val="none" w:sz="0" w:space="0"/>
        <w:bottom w:val="none" w:sz="0" w:space="0"/>
        <w:right w:val="none" w:sz="0" w:space="0"/>
      </w:pgBorders>
      <w:pgNumType w:start="45"/>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Courier New">
    <w:panose1 w:val="02070309020205020404"/>
    <w:charset w:val="00"/>
    <w:family w:val="modern"/>
    <w:pitch w:val="default"/>
    <w:sig w:usb0="E0002EFF" w:usb1="C0007843" w:usb2="00000009" w:usb3="00000000" w:csb0="400001FF" w:csb1="FFFF0000"/>
  </w:font>
  <w:font w:name="Impact">
    <w:panose1 w:val="020B080603090205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4"/>
      </w:rPr>
    </w:pPr>
    <w:r>
      <w:fldChar w:fldCharType="begin"/>
    </w:r>
    <w:r>
      <w:rPr>
        <w:rStyle w:val="34"/>
      </w:rPr>
      <w:instrText xml:space="preserve">PAGE  </w:instrText>
    </w:r>
    <w:r>
      <w:fldChar w:fldCharType="separate"/>
    </w:r>
    <w:r>
      <w:rPr>
        <w:rStyle w:val="34"/>
        <w:lang/>
      </w:rPr>
      <w:t>18</w:t>
    </w:r>
    <w:r>
      <w:fldChar w:fldCharType="end"/>
    </w:r>
  </w:p>
  <w:p>
    <w:pPr>
      <w:pStyle w:val="18"/>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4"/>
      </w:rPr>
    </w:pPr>
    <w:r>
      <w:fldChar w:fldCharType="begin"/>
    </w:r>
    <w:r>
      <w:rPr>
        <w:rStyle w:val="34"/>
      </w:rPr>
      <w:instrText xml:space="preserve">PAGE  </w:instrText>
    </w:r>
    <w:r>
      <w:fldChar w:fldCharType="separate"/>
    </w:r>
    <w:r>
      <w:rPr>
        <w:rStyle w:val="34"/>
      </w:rPr>
      <w:t>- 0 -</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34"/>
      </w:rPr>
      <w:instrText xml:space="preserve"> PAGE </w:instrText>
    </w:r>
    <w:r>
      <w:fldChar w:fldCharType="separate"/>
    </w:r>
    <w:r>
      <w:rPr>
        <w:rStyle w:val="34"/>
        <w:lang/>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w:rPr>
        <w:rFonts w:hint="eastAsia"/>
      </w:rPr>
      <w:t>43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216FF"/>
    <w:multiLevelType w:val="singleLevel"/>
    <w:tmpl w:val="947216FF"/>
    <w:lvl w:ilvl="0" w:tentative="0">
      <w:start w:val="8"/>
      <w:numFmt w:val="decimal"/>
      <w:suff w:val="nothing"/>
      <w:lvlText w:val="（%1）"/>
      <w:lvlJc w:val="left"/>
    </w:lvl>
  </w:abstractNum>
  <w:abstractNum w:abstractNumId="1">
    <w:nsid w:val="B5865602"/>
    <w:multiLevelType w:val="singleLevel"/>
    <w:tmpl w:val="B58656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s>
  <w:rsids>
    <w:rsidRoot w:val="00172A27"/>
    <w:rsid w:val="000005E1"/>
    <w:rsid w:val="0000101E"/>
    <w:rsid w:val="00001FBD"/>
    <w:rsid w:val="000021B7"/>
    <w:rsid w:val="000022C5"/>
    <w:rsid w:val="000024A0"/>
    <w:rsid w:val="000034FF"/>
    <w:rsid w:val="0000350B"/>
    <w:rsid w:val="000046C3"/>
    <w:rsid w:val="00004975"/>
    <w:rsid w:val="00004CD4"/>
    <w:rsid w:val="000057E4"/>
    <w:rsid w:val="0000618A"/>
    <w:rsid w:val="000064EF"/>
    <w:rsid w:val="00006503"/>
    <w:rsid w:val="00006692"/>
    <w:rsid w:val="0001006D"/>
    <w:rsid w:val="0001096C"/>
    <w:rsid w:val="0001115E"/>
    <w:rsid w:val="00011761"/>
    <w:rsid w:val="00011808"/>
    <w:rsid w:val="00012071"/>
    <w:rsid w:val="00012D1D"/>
    <w:rsid w:val="0001377D"/>
    <w:rsid w:val="000139D7"/>
    <w:rsid w:val="00013A41"/>
    <w:rsid w:val="00013A6A"/>
    <w:rsid w:val="00014759"/>
    <w:rsid w:val="00014E3C"/>
    <w:rsid w:val="00014FD8"/>
    <w:rsid w:val="000151D8"/>
    <w:rsid w:val="000156EF"/>
    <w:rsid w:val="000157DE"/>
    <w:rsid w:val="000160A3"/>
    <w:rsid w:val="0001625D"/>
    <w:rsid w:val="00016723"/>
    <w:rsid w:val="000173B6"/>
    <w:rsid w:val="00017CB7"/>
    <w:rsid w:val="00017DCF"/>
    <w:rsid w:val="00017E7F"/>
    <w:rsid w:val="00020581"/>
    <w:rsid w:val="00021082"/>
    <w:rsid w:val="0002138A"/>
    <w:rsid w:val="00021A33"/>
    <w:rsid w:val="00022F7B"/>
    <w:rsid w:val="0002318F"/>
    <w:rsid w:val="000239B5"/>
    <w:rsid w:val="00023F96"/>
    <w:rsid w:val="00024248"/>
    <w:rsid w:val="000248DF"/>
    <w:rsid w:val="00024D83"/>
    <w:rsid w:val="0002509B"/>
    <w:rsid w:val="00025359"/>
    <w:rsid w:val="000253BE"/>
    <w:rsid w:val="000255B6"/>
    <w:rsid w:val="0002673D"/>
    <w:rsid w:val="000268BF"/>
    <w:rsid w:val="0002736C"/>
    <w:rsid w:val="0002789F"/>
    <w:rsid w:val="00027ECA"/>
    <w:rsid w:val="000301FA"/>
    <w:rsid w:val="00030822"/>
    <w:rsid w:val="000314A3"/>
    <w:rsid w:val="000316C0"/>
    <w:rsid w:val="000317BB"/>
    <w:rsid w:val="00031A13"/>
    <w:rsid w:val="0003204E"/>
    <w:rsid w:val="0003290F"/>
    <w:rsid w:val="00032E67"/>
    <w:rsid w:val="00032EA9"/>
    <w:rsid w:val="00033C91"/>
    <w:rsid w:val="00035A75"/>
    <w:rsid w:val="00035C6C"/>
    <w:rsid w:val="00035F82"/>
    <w:rsid w:val="00036679"/>
    <w:rsid w:val="000366C7"/>
    <w:rsid w:val="0003673E"/>
    <w:rsid w:val="0003777B"/>
    <w:rsid w:val="00037795"/>
    <w:rsid w:val="00037F25"/>
    <w:rsid w:val="00037FA0"/>
    <w:rsid w:val="00041806"/>
    <w:rsid w:val="00041B70"/>
    <w:rsid w:val="00043509"/>
    <w:rsid w:val="00043A67"/>
    <w:rsid w:val="000441AB"/>
    <w:rsid w:val="00044807"/>
    <w:rsid w:val="00044978"/>
    <w:rsid w:val="00045850"/>
    <w:rsid w:val="00045FFC"/>
    <w:rsid w:val="000464E8"/>
    <w:rsid w:val="0004686B"/>
    <w:rsid w:val="00046872"/>
    <w:rsid w:val="000472B7"/>
    <w:rsid w:val="000473A2"/>
    <w:rsid w:val="00047971"/>
    <w:rsid w:val="00047A03"/>
    <w:rsid w:val="00047BB5"/>
    <w:rsid w:val="00047EE6"/>
    <w:rsid w:val="00047F71"/>
    <w:rsid w:val="00050166"/>
    <w:rsid w:val="000502D3"/>
    <w:rsid w:val="0005038B"/>
    <w:rsid w:val="000503C4"/>
    <w:rsid w:val="00051672"/>
    <w:rsid w:val="00051CA3"/>
    <w:rsid w:val="00052478"/>
    <w:rsid w:val="000524C0"/>
    <w:rsid w:val="00052EA2"/>
    <w:rsid w:val="00054B0D"/>
    <w:rsid w:val="00054D31"/>
    <w:rsid w:val="00054FD5"/>
    <w:rsid w:val="0005514D"/>
    <w:rsid w:val="0005535C"/>
    <w:rsid w:val="00056289"/>
    <w:rsid w:val="00056485"/>
    <w:rsid w:val="00056603"/>
    <w:rsid w:val="000567E8"/>
    <w:rsid w:val="000574D8"/>
    <w:rsid w:val="00060606"/>
    <w:rsid w:val="00060CCF"/>
    <w:rsid w:val="00060F41"/>
    <w:rsid w:val="0006156F"/>
    <w:rsid w:val="00061B73"/>
    <w:rsid w:val="00061E88"/>
    <w:rsid w:val="000627A3"/>
    <w:rsid w:val="000630F8"/>
    <w:rsid w:val="00063940"/>
    <w:rsid w:val="000639AD"/>
    <w:rsid w:val="00063A61"/>
    <w:rsid w:val="0006403F"/>
    <w:rsid w:val="00066EBB"/>
    <w:rsid w:val="00067172"/>
    <w:rsid w:val="0006799A"/>
    <w:rsid w:val="00067C3A"/>
    <w:rsid w:val="00067F14"/>
    <w:rsid w:val="00070288"/>
    <w:rsid w:val="00070878"/>
    <w:rsid w:val="00070896"/>
    <w:rsid w:val="0007091A"/>
    <w:rsid w:val="000709E1"/>
    <w:rsid w:val="00072162"/>
    <w:rsid w:val="00072274"/>
    <w:rsid w:val="00072436"/>
    <w:rsid w:val="0007245D"/>
    <w:rsid w:val="000739E4"/>
    <w:rsid w:val="000740A4"/>
    <w:rsid w:val="00074617"/>
    <w:rsid w:val="00074637"/>
    <w:rsid w:val="000750DF"/>
    <w:rsid w:val="00075B10"/>
    <w:rsid w:val="00075C73"/>
    <w:rsid w:val="00077433"/>
    <w:rsid w:val="000775FC"/>
    <w:rsid w:val="0007770D"/>
    <w:rsid w:val="00080F23"/>
    <w:rsid w:val="00081469"/>
    <w:rsid w:val="00081F70"/>
    <w:rsid w:val="00082206"/>
    <w:rsid w:val="00082425"/>
    <w:rsid w:val="00082ACF"/>
    <w:rsid w:val="000843D7"/>
    <w:rsid w:val="000845B1"/>
    <w:rsid w:val="00084827"/>
    <w:rsid w:val="00086ADC"/>
    <w:rsid w:val="00086FB8"/>
    <w:rsid w:val="000871B9"/>
    <w:rsid w:val="00087801"/>
    <w:rsid w:val="000906DE"/>
    <w:rsid w:val="0009134C"/>
    <w:rsid w:val="00091B01"/>
    <w:rsid w:val="00092DFC"/>
    <w:rsid w:val="00092FB8"/>
    <w:rsid w:val="00093B0D"/>
    <w:rsid w:val="00093E3F"/>
    <w:rsid w:val="00094A67"/>
    <w:rsid w:val="00094F08"/>
    <w:rsid w:val="00095B27"/>
    <w:rsid w:val="0009685B"/>
    <w:rsid w:val="00096973"/>
    <w:rsid w:val="00096C62"/>
    <w:rsid w:val="00096D77"/>
    <w:rsid w:val="00096F7B"/>
    <w:rsid w:val="0009744C"/>
    <w:rsid w:val="00097D99"/>
    <w:rsid w:val="000A06E7"/>
    <w:rsid w:val="000A0E58"/>
    <w:rsid w:val="000A298C"/>
    <w:rsid w:val="000A36BA"/>
    <w:rsid w:val="000A3DDA"/>
    <w:rsid w:val="000A498D"/>
    <w:rsid w:val="000A4CB2"/>
    <w:rsid w:val="000A5957"/>
    <w:rsid w:val="000A5ABE"/>
    <w:rsid w:val="000A5AFD"/>
    <w:rsid w:val="000A611C"/>
    <w:rsid w:val="000A6251"/>
    <w:rsid w:val="000A6510"/>
    <w:rsid w:val="000A75E6"/>
    <w:rsid w:val="000A7B7C"/>
    <w:rsid w:val="000B001D"/>
    <w:rsid w:val="000B0BEC"/>
    <w:rsid w:val="000B11CC"/>
    <w:rsid w:val="000B190B"/>
    <w:rsid w:val="000B19D5"/>
    <w:rsid w:val="000B1CC0"/>
    <w:rsid w:val="000B21D6"/>
    <w:rsid w:val="000B29F3"/>
    <w:rsid w:val="000B3487"/>
    <w:rsid w:val="000B4135"/>
    <w:rsid w:val="000B482F"/>
    <w:rsid w:val="000B4EFC"/>
    <w:rsid w:val="000B55B5"/>
    <w:rsid w:val="000B594E"/>
    <w:rsid w:val="000B5C87"/>
    <w:rsid w:val="000B5CF5"/>
    <w:rsid w:val="000B609D"/>
    <w:rsid w:val="000B65DA"/>
    <w:rsid w:val="000B66BA"/>
    <w:rsid w:val="000B79C3"/>
    <w:rsid w:val="000B7A90"/>
    <w:rsid w:val="000C065C"/>
    <w:rsid w:val="000C085C"/>
    <w:rsid w:val="000C0B3E"/>
    <w:rsid w:val="000C0BE7"/>
    <w:rsid w:val="000C1264"/>
    <w:rsid w:val="000C2623"/>
    <w:rsid w:val="000C276E"/>
    <w:rsid w:val="000C3F0C"/>
    <w:rsid w:val="000C4264"/>
    <w:rsid w:val="000C43B1"/>
    <w:rsid w:val="000C45DE"/>
    <w:rsid w:val="000C489A"/>
    <w:rsid w:val="000C5785"/>
    <w:rsid w:val="000C61BB"/>
    <w:rsid w:val="000C6713"/>
    <w:rsid w:val="000C713F"/>
    <w:rsid w:val="000D08F1"/>
    <w:rsid w:val="000D1D6B"/>
    <w:rsid w:val="000D2C81"/>
    <w:rsid w:val="000D2CCA"/>
    <w:rsid w:val="000D32B5"/>
    <w:rsid w:val="000D37D9"/>
    <w:rsid w:val="000D3AE2"/>
    <w:rsid w:val="000D4227"/>
    <w:rsid w:val="000D4A03"/>
    <w:rsid w:val="000D55A9"/>
    <w:rsid w:val="000D5D5B"/>
    <w:rsid w:val="000D62F5"/>
    <w:rsid w:val="000D650D"/>
    <w:rsid w:val="000D6B0D"/>
    <w:rsid w:val="000E0E48"/>
    <w:rsid w:val="000E1475"/>
    <w:rsid w:val="000E1F9F"/>
    <w:rsid w:val="000E2055"/>
    <w:rsid w:val="000E216F"/>
    <w:rsid w:val="000E2304"/>
    <w:rsid w:val="000E394F"/>
    <w:rsid w:val="000E418A"/>
    <w:rsid w:val="000E4853"/>
    <w:rsid w:val="000E536E"/>
    <w:rsid w:val="000E5C97"/>
    <w:rsid w:val="000E5D0E"/>
    <w:rsid w:val="000E67E2"/>
    <w:rsid w:val="000E6917"/>
    <w:rsid w:val="000E6D29"/>
    <w:rsid w:val="000E6EEA"/>
    <w:rsid w:val="000E7550"/>
    <w:rsid w:val="000E7595"/>
    <w:rsid w:val="000E7B23"/>
    <w:rsid w:val="000E7C36"/>
    <w:rsid w:val="000F03CE"/>
    <w:rsid w:val="000F0A0F"/>
    <w:rsid w:val="000F1049"/>
    <w:rsid w:val="000F11CD"/>
    <w:rsid w:val="000F14FA"/>
    <w:rsid w:val="000F1A72"/>
    <w:rsid w:val="000F2F12"/>
    <w:rsid w:val="000F331E"/>
    <w:rsid w:val="000F3ACB"/>
    <w:rsid w:val="000F3C30"/>
    <w:rsid w:val="000F550E"/>
    <w:rsid w:val="000F56C7"/>
    <w:rsid w:val="000F6A58"/>
    <w:rsid w:val="000F6ECA"/>
    <w:rsid w:val="000F7733"/>
    <w:rsid w:val="000F7E95"/>
    <w:rsid w:val="0010033C"/>
    <w:rsid w:val="0010075B"/>
    <w:rsid w:val="00100884"/>
    <w:rsid w:val="001008B8"/>
    <w:rsid w:val="00100AC1"/>
    <w:rsid w:val="001013A6"/>
    <w:rsid w:val="00101782"/>
    <w:rsid w:val="001018E1"/>
    <w:rsid w:val="00101CE0"/>
    <w:rsid w:val="00101DCC"/>
    <w:rsid w:val="00102CB6"/>
    <w:rsid w:val="001037BD"/>
    <w:rsid w:val="00103944"/>
    <w:rsid w:val="00103B95"/>
    <w:rsid w:val="0010495C"/>
    <w:rsid w:val="00104DF6"/>
    <w:rsid w:val="00105021"/>
    <w:rsid w:val="00105A9F"/>
    <w:rsid w:val="00105CC7"/>
    <w:rsid w:val="00105EDE"/>
    <w:rsid w:val="00105F57"/>
    <w:rsid w:val="00105FBF"/>
    <w:rsid w:val="0010602C"/>
    <w:rsid w:val="00106128"/>
    <w:rsid w:val="001068C1"/>
    <w:rsid w:val="0010697F"/>
    <w:rsid w:val="00106D3C"/>
    <w:rsid w:val="00106E5A"/>
    <w:rsid w:val="00107C3D"/>
    <w:rsid w:val="00110F9E"/>
    <w:rsid w:val="001113BD"/>
    <w:rsid w:val="00111A7C"/>
    <w:rsid w:val="00111FC4"/>
    <w:rsid w:val="0011214A"/>
    <w:rsid w:val="0011255C"/>
    <w:rsid w:val="00112F96"/>
    <w:rsid w:val="0011308D"/>
    <w:rsid w:val="0011322D"/>
    <w:rsid w:val="00113452"/>
    <w:rsid w:val="0011353F"/>
    <w:rsid w:val="00114119"/>
    <w:rsid w:val="001143D7"/>
    <w:rsid w:val="00114CB9"/>
    <w:rsid w:val="00115408"/>
    <w:rsid w:val="00115C4B"/>
    <w:rsid w:val="001160E2"/>
    <w:rsid w:val="00117A8A"/>
    <w:rsid w:val="00117C3A"/>
    <w:rsid w:val="00117FA0"/>
    <w:rsid w:val="00121194"/>
    <w:rsid w:val="00121F18"/>
    <w:rsid w:val="00122839"/>
    <w:rsid w:val="00122B69"/>
    <w:rsid w:val="00122C9F"/>
    <w:rsid w:val="001232FD"/>
    <w:rsid w:val="00123448"/>
    <w:rsid w:val="0012352A"/>
    <w:rsid w:val="001236D2"/>
    <w:rsid w:val="001248F9"/>
    <w:rsid w:val="00124D7C"/>
    <w:rsid w:val="001251EB"/>
    <w:rsid w:val="001254A4"/>
    <w:rsid w:val="00125DB3"/>
    <w:rsid w:val="0012633B"/>
    <w:rsid w:val="00126735"/>
    <w:rsid w:val="0012764B"/>
    <w:rsid w:val="00127DE6"/>
    <w:rsid w:val="00127E05"/>
    <w:rsid w:val="00127FC0"/>
    <w:rsid w:val="00130046"/>
    <w:rsid w:val="00130102"/>
    <w:rsid w:val="001307F1"/>
    <w:rsid w:val="00130816"/>
    <w:rsid w:val="001324BE"/>
    <w:rsid w:val="00132D17"/>
    <w:rsid w:val="00132DD7"/>
    <w:rsid w:val="0013338B"/>
    <w:rsid w:val="001342B3"/>
    <w:rsid w:val="001350FE"/>
    <w:rsid w:val="0013684C"/>
    <w:rsid w:val="00136B11"/>
    <w:rsid w:val="00136C4C"/>
    <w:rsid w:val="0014025B"/>
    <w:rsid w:val="00140319"/>
    <w:rsid w:val="00140656"/>
    <w:rsid w:val="00140D19"/>
    <w:rsid w:val="00141180"/>
    <w:rsid w:val="001416A3"/>
    <w:rsid w:val="00141B45"/>
    <w:rsid w:val="001427C5"/>
    <w:rsid w:val="00142BA7"/>
    <w:rsid w:val="00143F91"/>
    <w:rsid w:val="00144DF5"/>
    <w:rsid w:val="00144FB6"/>
    <w:rsid w:val="001459A8"/>
    <w:rsid w:val="00145F4E"/>
    <w:rsid w:val="0014613F"/>
    <w:rsid w:val="001474EA"/>
    <w:rsid w:val="001476E1"/>
    <w:rsid w:val="00147BB0"/>
    <w:rsid w:val="00147ECA"/>
    <w:rsid w:val="0015018E"/>
    <w:rsid w:val="001502A2"/>
    <w:rsid w:val="00150B8E"/>
    <w:rsid w:val="00150FDF"/>
    <w:rsid w:val="00151838"/>
    <w:rsid w:val="00151A41"/>
    <w:rsid w:val="00151E44"/>
    <w:rsid w:val="00152020"/>
    <w:rsid w:val="00152396"/>
    <w:rsid w:val="00153A22"/>
    <w:rsid w:val="00153BCF"/>
    <w:rsid w:val="00153E00"/>
    <w:rsid w:val="00154296"/>
    <w:rsid w:val="00154622"/>
    <w:rsid w:val="00154F40"/>
    <w:rsid w:val="0015577D"/>
    <w:rsid w:val="00156496"/>
    <w:rsid w:val="00156AEE"/>
    <w:rsid w:val="00157745"/>
    <w:rsid w:val="00157B99"/>
    <w:rsid w:val="00157E9F"/>
    <w:rsid w:val="001603C2"/>
    <w:rsid w:val="001604A3"/>
    <w:rsid w:val="00160774"/>
    <w:rsid w:val="001609B4"/>
    <w:rsid w:val="001619C2"/>
    <w:rsid w:val="00161E0B"/>
    <w:rsid w:val="00161F97"/>
    <w:rsid w:val="001621F0"/>
    <w:rsid w:val="00162B7F"/>
    <w:rsid w:val="00162DD3"/>
    <w:rsid w:val="0016353F"/>
    <w:rsid w:val="00163755"/>
    <w:rsid w:val="00163B7D"/>
    <w:rsid w:val="00163CDB"/>
    <w:rsid w:val="001649DB"/>
    <w:rsid w:val="00165C05"/>
    <w:rsid w:val="00165CBA"/>
    <w:rsid w:val="00165FAB"/>
    <w:rsid w:val="001662B7"/>
    <w:rsid w:val="001669F8"/>
    <w:rsid w:val="00166CD6"/>
    <w:rsid w:val="00166D44"/>
    <w:rsid w:val="00166E1E"/>
    <w:rsid w:val="00167538"/>
    <w:rsid w:val="00167647"/>
    <w:rsid w:val="00170043"/>
    <w:rsid w:val="001705A1"/>
    <w:rsid w:val="00170639"/>
    <w:rsid w:val="00170D22"/>
    <w:rsid w:val="001714B8"/>
    <w:rsid w:val="00171923"/>
    <w:rsid w:val="00172043"/>
    <w:rsid w:val="0017209A"/>
    <w:rsid w:val="00173229"/>
    <w:rsid w:val="00173F66"/>
    <w:rsid w:val="00174449"/>
    <w:rsid w:val="001753DD"/>
    <w:rsid w:val="001756FF"/>
    <w:rsid w:val="00175A84"/>
    <w:rsid w:val="001760BC"/>
    <w:rsid w:val="00176327"/>
    <w:rsid w:val="00176B03"/>
    <w:rsid w:val="00176ECB"/>
    <w:rsid w:val="0018041C"/>
    <w:rsid w:val="0018049B"/>
    <w:rsid w:val="00180777"/>
    <w:rsid w:val="00180B59"/>
    <w:rsid w:val="0018194C"/>
    <w:rsid w:val="00181CD5"/>
    <w:rsid w:val="00181E51"/>
    <w:rsid w:val="00182009"/>
    <w:rsid w:val="0018255F"/>
    <w:rsid w:val="00182695"/>
    <w:rsid w:val="001827F6"/>
    <w:rsid w:val="00182CB9"/>
    <w:rsid w:val="00182E7C"/>
    <w:rsid w:val="0018334B"/>
    <w:rsid w:val="00183C39"/>
    <w:rsid w:val="00183CB9"/>
    <w:rsid w:val="0018495B"/>
    <w:rsid w:val="00184F5C"/>
    <w:rsid w:val="001852D5"/>
    <w:rsid w:val="001853E8"/>
    <w:rsid w:val="00185BA0"/>
    <w:rsid w:val="00186492"/>
    <w:rsid w:val="001866FE"/>
    <w:rsid w:val="001869DC"/>
    <w:rsid w:val="00186A1C"/>
    <w:rsid w:val="00186ABB"/>
    <w:rsid w:val="00186FE4"/>
    <w:rsid w:val="001878AC"/>
    <w:rsid w:val="001878CD"/>
    <w:rsid w:val="00190370"/>
    <w:rsid w:val="0019085F"/>
    <w:rsid w:val="001912B3"/>
    <w:rsid w:val="00191589"/>
    <w:rsid w:val="001915D1"/>
    <w:rsid w:val="00191B8F"/>
    <w:rsid w:val="00191DF1"/>
    <w:rsid w:val="001924CC"/>
    <w:rsid w:val="00192559"/>
    <w:rsid w:val="00192838"/>
    <w:rsid w:val="0019315A"/>
    <w:rsid w:val="00193D67"/>
    <w:rsid w:val="00194302"/>
    <w:rsid w:val="00195324"/>
    <w:rsid w:val="00195E2E"/>
    <w:rsid w:val="001960AC"/>
    <w:rsid w:val="00197036"/>
    <w:rsid w:val="00197083"/>
    <w:rsid w:val="001A04D9"/>
    <w:rsid w:val="001A085C"/>
    <w:rsid w:val="001A1511"/>
    <w:rsid w:val="001A1D33"/>
    <w:rsid w:val="001A1E8A"/>
    <w:rsid w:val="001A20EF"/>
    <w:rsid w:val="001A2420"/>
    <w:rsid w:val="001A2DE4"/>
    <w:rsid w:val="001A2EE6"/>
    <w:rsid w:val="001A2FE9"/>
    <w:rsid w:val="001A3208"/>
    <w:rsid w:val="001A363E"/>
    <w:rsid w:val="001A39A8"/>
    <w:rsid w:val="001A39DC"/>
    <w:rsid w:val="001A4848"/>
    <w:rsid w:val="001A517E"/>
    <w:rsid w:val="001A52E3"/>
    <w:rsid w:val="001A5F8D"/>
    <w:rsid w:val="001A6727"/>
    <w:rsid w:val="001A67B8"/>
    <w:rsid w:val="001B017A"/>
    <w:rsid w:val="001B0199"/>
    <w:rsid w:val="001B0386"/>
    <w:rsid w:val="001B2535"/>
    <w:rsid w:val="001B2D67"/>
    <w:rsid w:val="001B37B5"/>
    <w:rsid w:val="001B4312"/>
    <w:rsid w:val="001B49BA"/>
    <w:rsid w:val="001B4DA7"/>
    <w:rsid w:val="001B57C0"/>
    <w:rsid w:val="001B5BD0"/>
    <w:rsid w:val="001B5C3C"/>
    <w:rsid w:val="001B5EF7"/>
    <w:rsid w:val="001B602A"/>
    <w:rsid w:val="001B61B7"/>
    <w:rsid w:val="001B75A1"/>
    <w:rsid w:val="001B77EF"/>
    <w:rsid w:val="001C1667"/>
    <w:rsid w:val="001C1CF5"/>
    <w:rsid w:val="001C28BC"/>
    <w:rsid w:val="001C358A"/>
    <w:rsid w:val="001C36E2"/>
    <w:rsid w:val="001C3D93"/>
    <w:rsid w:val="001C40B6"/>
    <w:rsid w:val="001C40F1"/>
    <w:rsid w:val="001C4B6D"/>
    <w:rsid w:val="001C4BD8"/>
    <w:rsid w:val="001C4FBC"/>
    <w:rsid w:val="001C52BD"/>
    <w:rsid w:val="001C5735"/>
    <w:rsid w:val="001C5A40"/>
    <w:rsid w:val="001C64E0"/>
    <w:rsid w:val="001C6AFB"/>
    <w:rsid w:val="001D0200"/>
    <w:rsid w:val="001D0601"/>
    <w:rsid w:val="001D0FF0"/>
    <w:rsid w:val="001D14C0"/>
    <w:rsid w:val="001D2303"/>
    <w:rsid w:val="001D2380"/>
    <w:rsid w:val="001D27D5"/>
    <w:rsid w:val="001D28C3"/>
    <w:rsid w:val="001D2AA1"/>
    <w:rsid w:val="001D3359"/>
    <w:rsid w:val="001D364C"/>
    <w:rsid w:val="001D403E"/>
    <w:rsid w:val="001D40A7"/>
    <w:rsid w:val="001D47FE"/>
    <w:rsid w:val="001D5B90"/>
    <w:rsid w:val="001D6A95"/>
    <w:rsid w:val="001D6E3A"/>
    <w:rsid w:val="001D6FDF"/>
    <w:rsid w:val="001E1274"/>
    <w:rsid w:val="001E1DFD"/>
    <w:rsid w:val="001E2E08"/>
    <w:rsid w:val="001E348F"/>
    <w:rsid w:val="001E4583"/>
    <w:rsid w:val="001E57C8"/>
    <w:rsid w:val="001E59CB"/>
    <w:rsid w:val="001E5C7E"/>
    <w:rsid w:val="001E5CD7"/>
    <w:rsid w:val="001E5F02"/>
    <w:rsid w:val="001E6546"/>
    <w:rsid w:val="001E6670"/>
    <w:rsid w:val="001E7F30"/>
    <w:rsid w:val="001E7FD4"/>
    <w:rsid w:val="001E7FE2"/>
    <w:rsid w:val="001F193F"/>
    <w:rsid w:val="001F2BA1"/>
    <w:rsid w:val="001F3166"/>
    <w:rsid w:val="001F3255"/>
    <w:rsid w:val="001F3803"/>
    <w:rsid w:val="001F3D4B"/>
    <w:rsid w:val="001F3DFD"/>
    <w:rsid w:val="001F528B"/>
    <w:rsid w:val="001F657F"/>
    <w:rsid w:val="001F68B8"/>
    <w:rsid w:val="001F6DE0"/>
    <w:rsid w:val="001F7749"/>
    <w:rsid w:val="002005CC"/>
    <w:rsid w:val="00201156"/>
    <w:rsid w:val="00201547"/>
    <w:rsid w:val="00201B84"/>
    <w:rsid w:val="00201E4F"/>
    <w:rsid w:val="00201E9D"/>
    <w:rsid w:val="002021AF"/>
    <w:rsid w:val="00202D46"/>
    <w:rsid w:val="002035C6"/>
    <w:rsid w:val="00204BA1"/>
    <w:rsid w:val="00204EDA"/>
    <w:rsid w:val="002057A6"/>
    <w:rsid w:val="0020671A"/>
    <w:rsid w:val="002067BA"/>
    <w:rsid w:val="002074EF"/>
    <w:rsid w:val="002079C3"/>
    <w:rsid w:val="00207ACE"/>
    <w:rsid w:val="00207FFD"/>
    <w:rsid w:val="00210288"/>
    <w:rsid w:val="00210353"/>
    <w:rsid w:val="00211201"/>
    <w:rsid w:val="00211509"/>
    <w:rsid w:val="00211C8D"/>
    <w:rsid w:val="00211FEF"/>
    <w:rsid w:val="002127AF"/>
    <w:rsid w:val="00212C71"/>
    <w:rsid w:val="002139E7"/>
    <w:rsid w:val="00213F47"/>
    <w:rsid w:val="002152CA"/>
    <w:rsid w:val="00216685"/>
    <w:rsid w:val="00216953"/>
    <w:rsid w:val="00216B1B"/>
    <w:rsid w:val="00216C3C"/>
    <w:rsid w:val="002171E8"/>
    <w:rsid w:val="0021726F"/>
    <w:rsid w:val="00217463"/>
    <w:rsid w:val="0021760C"/>
    <w:rsid w:val="002204FD"/>
    <w:rsid w:val="002205C5"/>
    <w:rsid w:val="00220AFB"/>
    <w:rsid w:val="00221807"/>
    <w:rsid w:val="00221834"/>
    <w:rsid w:val="00222276"/>
    <w:rsid w:val="0022284E"/>
    <w:rsid w:val="00222E8E"/>
    <w:rsid w:val="00224081"/>
    <w:rsid w:val="00224407"/>
    <w:rsid w:val="002248EB"/>
    <w:rsid w:val="00224B98"/>
    <w:rsid w:val="0022658F"/>
    <w:rsid w:val="002277D8"/>
    <w:rsid w:val="002303D6"/>
    <w:rsid w:val="0023090A"/>
    <w:rsid w:val="002312CA"/>
    <w:rsid w:val="002313DE"/>
    <w:rsid w:val="0023177B"/>
    <w:rsid w:val="00231AF6"/>
    <w:rsid w:val="00231DEE"/>
    <w:rsid w:val="002325C5"/>
    <w:rsid w:val="00233DE5"/>
    <w:rsid w:val="00233FB3"/>
    <w:rsid w:val="00233FB5"/>
    <w:rsid w:val="002342A7"/>
    <w:rsid w:val="002346EF"/>
    <w:rsid w:val="00234BD0"/>
    <w:rsid w:val="002351D3"/>
    <w:rsid w:val="0023582E"/>
    <w:rsid w:val="00236362"/>
    <w:rsid w:val="002363A6"/>
    <w:rsid w:val="00237269"/>
    <w:rsid w:val="002372C9"/>
    <w:rsid w:val="0023796A"/>
    <w:rsid w:val="00237C8F"/>
    <w:rsid w:val="0024070D"/>
    <w:rsid w:val="00241413"/>
    <w:rsid w:val="00241B50"/>
    <w:rsid w:val="00242094"/>
    <w:rsid w:val="002420EC"/>
    <w:rsid w:val="002421B5"/>
    <w:rsid w:val="00242CF5"/>
    <w:rsid w:val="00243DAB"/>
    <w:rsid w:val="002443A0"/>
    <w:rsid w:val="002444DA"/>
    <w:rsid w:val="00244B2E"/>
    <w:rsid w:val="00244BBD"/>
    <w:rsid w:val="00245884"/>
    <w:rsid w:val="002465F8"/>
    <w:rsid w:val="00246E93"/>
    <w:rsid w:val="0024720C"/>
    <w:rsid w:val="002506AB"/>
    <w:rsid w:val="00250932"/>
    <w:rsid w:val="00251218"/>
    <w:rsid w:val="002518C0"/>
    <w:rsid w:val="00252532"/>
    <w:rsid w:val="002526F1"/>
    <w:rsid w:val="002526F9"/>
    <w:rsid w:val="0025293D"/>
    <w:rsid w:val="00252ADF"/>
    <w:rsid w:val="00252BDE"/>
    <w:rsid w:val="00254BAA"/>
    <w:rsid w:val="00255609"/>
    <w:rsid w:val="002556AE"/>
    <w:rsid w:val="002567E8"/>
    <w:rsid w:val="00256D6F"/>
    <w:rsid w:val="002570D5"/>
    <w:rsid w:val="002573CD"/>
    <w:rsid w:val="0025741F"/>
    <w:rsid w:val="00257BFA"/>
    <w:rsid w:val="002603B8"/>
    <w:rsid w:val="00260BE9"/>
    <w:rsid w:val="00260DD9"/>
    <w:rsid w:val="002617CB"/>
    <w:rsid w:val="00261B13"/>
    <w:rsid w:val="00261C5D"/>
    <w:rsid w:val="0026349F"/>
    <w:rsid w:val="0026383E"/>
    <w:rsid w:val="00263F67"/>
    <w:rsid w:val="00264452"/>
    <w:rsid w:val="00264CA6"/>
    <w:rsid w:val="00266508"/>
    <w:rsid w:val="0026671A"/>
    <w:rsid w:val="00266E2B"/>
    <w:rsid w:val="00266F60"/>
    <w:rsid w:val="00266F89"/>
    <w:rsid w:val="00270064"/>
    <w:rsid w:val="00270414"/>
    <w:rsid w:val="002707B1"/>
    <w:rsid w:val="00270B4D"/>
    <w:rsid w:val="00270D2A"/>
    <w:rsid w:val="00270FAB"/>
    <w:rsid w:val="00271FF0"/>
    <w:rsid w:val="00272098"/>
    <w:rsid w:val="0027264E"/>
    <w:rsid w:val="00272A25"/>
    <w:rsid w:val="00273007"/>
    <w:rsid w:val="00273357"/>
    <w:rsid w:val="002739CD"/>
    <w:rsid w:val="00273A72"/>
    <w:rsid w:val="00273EAD"/>
    <w:rsid w:val="0027425F"/>
    <w:rsid w:val="002745E1"/>
    <w:rsid w:val="002748D5"/>
    <w:rsid w:val="0027497A"/>
    <w:rsid w:val="00274CFA"/>
    <w:rsid w:val="00274D26"/>
    <w:rsid w:val="0027591B"/>
    <w:rsid w:val="00275B06"/>
    <w:rsid w:val="00275C54"/>
    <w:rsid w:val="00275EB6"/>
    <w:rsid w:val="00276694"/>
    <w:rsid w:val="00276849"/>
    <w:rsid w:val="00276E38"/>
    <w:rsid w:val="002774C3"/>
    <w:rsid w:val="002775BA"/>
    <w:rsid w:val="002775BD"/>
    <w:rsid w:val="00277ADC"/>
    <w:rsid w:val="00277ED4"/>
    <w:rsid w:val="00277FF6"/>
    <w:rsid w:val="00280976"/>
    <w:rsid w:val="00280BAB"/>
    <w:rsid w:val="00280DDB"/>
    <w:rsid w:val="002817B5"/>
    <w:rsid w:val="002823DA"/>
    <w:rsid w:val="00282AD1"/>
    <w:rsid w:val="00283C4A"/>
    <w:rsid w:val="0028458E"/>
    <w:rsid w:val="00284FC0"/>
    <w:rsid w:val="002869AD"/>
    <w:rsid w:val="00286DEA"/>
    <w:rsid w:val="00286DED"/>
    <w:rsid w:val="00287270"/>
    <w:rsid w:val="00287796"/>
    <w:rsid w:val="00287E00"/>
    <w:rsid w:val="00290ECA"/>
    <w:rsid w:val="00291240"/>
    <w:rsid w:val="00291650"/>
    <w:rsid w:val="00291934"/>
    <w:rsid w:val="0029281F"/>
    <w:rsid w:val="00294BAE"/>
    <w:rsid w:val="0029511A"/>
    <w:rsid w:val="002958E8"/>
    <w:rsid w:val="00295926"/>
    <w:rsid w:val="00295D26"/>
    <w:rsid w:val="002964F7"/>
    <w:rsid w:val="00296936"/>
    <w:rsid w:val="00296A35"/>
    <w:rsid w:val="00296D24"/>
    <w:rsid w:val="00296F88"/>
    <w:rsid w:val="00297402"/>
    <w:rsid w:val="00297C2D"/>
    <w:rsid w:val="00297E7B"/>
    <w:rsid w:val="002A0738"/>
    <w:rsid w:val="002A0C8D"/>
    <w:rsid w:val="002A26D9"/>
    <w:rsid w:val="002A2B24"/>
    <w:rsid w:val="002A3011"/>
    <w:rsid w:val="002A30B8"/>
    <w:rsid w:val="002A3C98"/>
    <w:rsid w:val="002A40BD"/>
    <w:rsid w:val="002A41A2"/>
    <w:rsid w:val="002A480B"/>
    <w:rsid w:val="002A4FCD"/>
    <w:rsid w:val="002A5457"/>
    <w:rsid w:val="002A547C"/>
    <w:rsid w:val="002A5509"/>
    <w:rsid w:val="002A5979"/>
    <w:rsid w:val="002A5EC1"/>
    <w:rsid w:val="002A6985"/>
    <w:rsid w:val="002A6EF7"/>
    <w:rsid w:val="002A72A8"/>
    <w:rsid w:val="002A7411"/>
    <w:rsid w:val="002A7638"/>
    <w:rsid w:val="002A7A82"/>
    <w:rsid w:val="002A7C5E"/>
    <w:rsid w:val="002B0886"/>
    <w:rsid w:val="002B0A7C"/>
    <w:rsid w:val="002B0B34"/>
    <w:rsid w:val="002B1BB6"/>
    <w:rsid w:val="002B1E0F"/>
    <w:rsid w:val="002B207B"/>
    <w:rsid w:val="002B27F6"/>
    <w:rsid w:val="002B2B34"/>
    <w:rsid w:val="002B30C4"/>
    <w:rsid w:val="002B33F2"/>
    <w:rsid w:val="002B3AC0"/>
    <w:rsid w:val="002B43A2"/>
    <w:rsid w:val="002B45CD"/>
    <w:rsid w:val="002B58BA"/>
    <w:rsid w:val="002B5EBB"/>
    <w:rsid w:val="002B7C09"/>
    <w:rsid w:val="002C0DE5"/>
    <w:rsid w:val="002C10D5"/>
    <w:rsid w:val="002C1161"/>
    <w:rsid w:val="002C1637"/>
    <w:rsid w:val="002C1C9A"/>
    <w:rsid w:val="002C2481"/>
    <w:rsid w:val="002C284A"/>
    <w:rsid w:val="002C3C00"/>
    <w:rsid w:val="002C47B6"/>
    <w:rsid w:val="002C4FF3"/>
    <w:rsid w:val="002C509B"/>
    <w:rsid w:val="002C559A"/>
    <w:rsid w:val="002C62F7"/>
    <w:rsid w:val="002C7CA6"/>
    <w:rsid w:val="002D0709"/>
    <w:rsid w:val="002D27A9"/>
    <w:rsid w:val="002D2F61"/>
    <w:rsid w:val="002D372B"/>
    <w:rsid w:val="002D46DD"/>
    <w:rsid w:val="002D48BF"/>
    <w:rsid w:val="002D569B"/>
    <w:rsid w:val="002D5C45"/>
    <w:rsid w:val="002D6A51"/>
    <w:rsid w:val="002D6E4C"/>
    <w:rsid w:val="002D6E51"/>
    <w:rsid w:val="002D731A"/>
    <w:rsid w:val="002D7A84"/>
    <w:rsid w:val="002E00A0"/>
    <w:rsid w:val="002E19EB"/>
    <w:rsid w:val="002E1BC5"/>
    <w:rsid w:val="002E1CE7"/>
    <w:rsid w:val="002E225A"/>
    <w:rsid w:val="002E2765"/>
    <w:rsid w:val="002E33EF"/>
    <w:rsid w:val="002E411D"/>
    <w:rsid w:val="002E4343"/>
    <w:rsid w:val="002E461C"/>
    <w:rsid w:val="002E48A5"/>
    <w:rsid w:val="002E4972"/>
    <w:rsid w:val="002E4AFA"/>
    <w:rsid w:val="002E4B02"/>
    <w:rsid w:val="002E4F42"/>
    <w:rsid w:val="002E5984"/>
    <w:rsid w:val="002E6FBE"/>
    <w:rsid w:val="002E6FDD"/>
    <w:rsid w:val="002E75DA"/>
    <w:rsid w:val="002E774F"/>
    <w:rsid w:val="002E791B"/>
    <w:rsid w:val="002E7C3A"/>
    <w:rsid w:val="002E7C9E"/>
    <w:rsid w:val="002F028F"/>
    <w:rsid w:val="002F0301"/>
    <w:rsid w:val="002F0677"/>
    <w:rsid w:val="002F0C91"/>
    <w:rsid w:val="002F0CC1"/>
    <w:rsid w:val="002F0FAA"/>
    <w:rsid w:val="002F174C"/>
    <w:rsid w:val="002F1AA9"/>
    <w:rsid w:val="002F3016"/>
    <w:rsid w:val="002F4397"/>
    <w:rsid w:val="002F491D"/>
    <w:rsid w:val="002F51BB"/>
    <w:rsid w:val="002F592A"/>
    <w:rsid w:val="002F5B01"/>
    <w:rsid w:val="002F6524"/>
    <w:rsid w:val="002F6D35"/>
    <w:rsid w:val="002F7A6E"/>
    <w:rsid w:val="00300280"/>
    <w:rsid w:val="003003E6"/>
    <w:rsid w:val="00301128"/>
    <w:rsid w:val="00301184"/>
    <w:rsid w:val="00301D4B"/>
    <w:rsid w:val="00301D6E"/>
    <w:rsid w:val="00301E5E"/>
    <w:rsid w:val="003026B5"/>
    <w:rsid w:val="00302944"/>
    <w:rsid w:val="00302DE1"/>
    <w:rsid w:val="0030319B"/>
    <w:rsid w:val="00304161"/>
    <w:rsid w:val="003050DD"/>
    <w:rsid w:val="00305AC3"/>
    <w:rsid w:val="00305B5D"/>
    <w:rsid w:val="0030753A"/>
    <w:rsid w:val="003076DE"/>
    <w:rsid w:val="00307865"/>
    <w:rsid w:val="00307BDF"/>
    <w:rsid w:val="00307F83"/>
    <w:rsid w:val="0031066E"/>
    <w:rsid w:val="0031085C"/>
    <w:rsid w:val="00310964"/>
    <w:rsid w:val="00310B73"/>
    <w:rsid w:val="00310D40"/>
    <w:rsid w:val="00311258"/>
    <w:rsid w:val="00311270"/>
    <w:rsid w:val="00311B72"/>
    <w:rsid w:val="00311DA9"/>
    <w:rsid w:val="00313172"/>
    <w:rsid w:val="0031391E"/>
    <w:rsid w:val="00313CCF"/>
    <w:rsid w:val="003142CD"/>
    <w:rsid w:val="0031442B"/>
    <w:rsid w:val="0031526D"/>
    <w:rsid w:val="00316FE6"/>
    <w:rsid w:val="00317134"/>
    <w:rsid w:val="0031743D"/>
    <w:rsid w:val="0032049B"/>
    <w:rsid w:val="00320C5D"/>
    <w:rsid w:val="00321317"/>
    <w:rsid w:val="0032158A"/>
    <w:rsid w:val="00323134"/>
    <w:rsid w:val="00323160"/>
    <w:rsid w:val="0032397C"/>
    <w:rsid w:val="00323997"/>
    <w:rsid w:val="00323BD0"/>
    <w:rsid w:val="003242BB"/>
    <w:rsid w:val="00324541"/>
    <w:rsid w:val="00324C9B"/>
    <w:rsid w:val="00324DC9"/>
    <w:rsid w:val="00325179"/>
    <w:rsid w:val="003259B5"/>
    <w:rsid w:val="003259C4"/>
    <w:rsid w:val="00325CB7"/>
    <w:rsid w:val="00325D4C"/>
    <w:rsid w:val="00325FB4"/>
    <w:rsid w:val="00326146"/>
    <w:rsid w:val="0032671A"/>
    <w:rsid w:val="003268A0"/>
    <w:rsid w:val="00326C1A"/>
    <w:rsid w:val="00326CDD"/>
    <w:rsid w:val="00327655"/>
    <w:rsid w:val="00327C99"/>
    <w:rsid w:val="00327DCF"/>
    <w:rsid w:val="0033015B"/>
    <w:rsid w:val="00330A3D"/>
    <w:rsid w:val="003314D8"/>
    <w:rsid w:val="003320B1"/>
    <w:rsid w:val="003323FB"/>
    <w:rsid w:val="00333ACB"/>
    <w:rsid w:val="003345E0"/>
    <w:rsid w:val="003356EF"/>
    <w:rsid w:val="00336631"/>
    <w:rsid w:val="00336C5A"/>
    <w:rsid w:val="00337586"/>
    <w:rsid w:val="003405E0"/>
    <w:rsid w:val="00341708"/>
    <w:rsid w:val="00342993"/>
    <w:rsid w:val="00343361"/>
    <w:rsid w:val="00343522"/>
    <w:rsid w:val="00344788"/>
    <w:rsid w:val="0034573E"/>
    <w:rsid w:val="003464B3"/>
    <w:rsid w:val="00346576"/>
    <w:rsid w:val="00347065"/>
    <w:rsid w:val="003471AD"/>
    <w:rsid w:val="00347E8F"/>
    <w:rsid w:val="003501CB"/>
    <w:rsid w:val="0035090A"/>
    <w:rsid w:val="00351122"/>
    <w:rsid w:val="00351405"/>
    <w:rsid w:val="0035155B"/>
    <w:rsid w:val="00351B00"/>
    <w:rsid w:val="00352542"/>
    <w:rsid w:val="00353C08"/>
    <w:rsid w:val="00353D46"/>
    <w:rsid w:val="00354663"/>
    <w:rsid w:val="00354E22"/>
    <w:rsid w:val="00355BBF"/>
    <w:rsid w:val="0035663F"/>
    <w:rsid w:val="003569AF"/>
    <w:rsid w:val="003571A3"/>
    <w:rsid w:val="0035737A"/>
    <w:rsid w:val="00357443"/>
    <w:rsid w:val="003575E8"/>
    <w:rsid w:val="003602A2"/>
    <w:rsid w:val="00360829"/>
    <w:rsid w:val="00360BAD"/>
    <w:rsid w:val="0036107E"/>
    <w:rsid w:val="00361575"/>
    <w:rsid w:val="00361AAF"/>
    <w:rsid w:val="00361B8E"/>
    <w:rsid w:val="00361CE2"/>
    <w:rsid w:val="0036271B"/>
    <w:rsid w:val="00362A95"/>
    <w:rsid w:val="00362B53"/>
    <w:rsid w:val="003630EF"/>
    <w:rsid w:val="00364EB1"/>
    <w:rsid w:val="00364F96"/>
    <w:rsid w:val="00365AEE"/>
    <w:rsid w:val="00365DA5"/>
    <w:rsid w:val="00365E7A"/>
    <w:rsid w:val="003661E6"/>
    <w:rsid w:val="00366F8F"/>
    <w:rsid w:val="00371B02"/>
    <w:rsid w:val="003722D2"/>
    <w:rsid w:val="003730CC"/>
    <w:rsid w:val="003736A2"/>
    <w:rsid w:val="00374046"/>
    <w:rsid w:val="00377CAE"/>
    <w:rsid w:val="00377FE5"/>
    <w:rsid w:val="00380A70"/>
    <w:rsid w:val="00381A2B"/>
    <w:rsid w:val="003821A0"/>
    <w:rsid w:val="00382A2F"/>
    <w:rsid w:val="00383057"/>
    <w:rsid w:val="00383EA0"/>
    <w:rsid w:val="0038484B"/>
    <w:rsid w:val="003848C1"/>
    <w:rsid w:val="00384C8E"/>
    <w:rsid w:val="00384EB9"/>
    <w:rsid w:val="0038527C"/>
    <w:rsid w:val="003853A0"/>
    <w:rsid w:val="0038542A"/>
    <w:rsid w:val="003857CE"/>
    <w:rsid w:val="00386008"/>
    <w:rsid w:val="003862C6"/>
    <w:rsid w:val="00386737"/>
    <w:rsid w:val="00386B3A"/>
    <w:rsid w:val="0038737B"/>
    <w:rsid w:val="003905C8"/>
    <w:rsid w:val="00390EE1"/>
    <w:rsid w:val="003911BF"/>
    <w:rsid w:val="003919EF"/>
    <w:rsid w:val="00391AF3"/>
    <w:rsid w:val="00391E19"/>
    <w:rsid w:val="00392118"/>
    <w:rsid w:val="003921B5"/>
    <w:rsid w:val="00392AE1"/>
    <w:rsid w:val="00393FC7"/>
    <w:rsid w:val="003944C8"/>
    <w:rsid w:val="00394708"/>
    <w:rsid w:val="0039520C"/>
    <w:rsid w:val="0039543B"/>
    <w:rsid w:val="003963E4"/>
    <w:rsid w:val="00396420"/>
    <w:rsid w:val="00396977"/>
    <w:rsid w:val="00396AB8"/>
    <w:rsid w:val="00396ABE"/>
    <w:rsid w:val="003A009A"/>
    <w:rsid w:val="003A0744"/>
    <w:rsid w:val="003A137D"/>
    <w:rsid w:val="003A184F"/>
    <w:rsid w:val="003A1CA7"/>
    <w:rsid w:val="003A1EF0"/>
    <w:rsid w:val="003A1F33"/>
    <w:rsid w:val="003A212E"/>
    <w:rsid w:val="003A28AB"/>
    <w:rsid w:val="003A2EF7"/>
    <w:rsid w:val="003A316F"/>
    <w:rsid w:val="003A317B"/>
    <w:rsid w:val="003A33EC"/>
    <w:rsid w:val="003A3476"/>
    <w:rsid w:val="003A358B"/>
    <w:rsid w:val="003A471C"/>
    <w:rsid w:val="003A51FE"/>
    <w:rsid w:val="003A530C"/>
    <w:rsid w:val="003A6133"/>
    <w:rsid w:val="003A63FB"/>
    <w:rsid w:val="003A6526"/>
    <w:rsid w:val="003A6C32"/>
    <w:rsid w:val="003A6E51"/>
    <w:rsid w:val="003A6F52"/>
    <w:rsid w:val="003A716A"/>
    <w:rsid w:val="003A7926"/>
    <w:rsid w:val="003A7FEC"/>
    <w:rsid w:val="003B10C6"/>
    <w:rsid w:val="003B2365"/>
    <w:rsid w:val="003B29E2"/>
    <w:rsid w:val="003B2BEE"/>
    <w:rsid w:val="003B2E20"/>
    <w:rsid w:val="003B367B"/>
    <w:rsid w:val="003B368B"/>
    <w:rsid w:val="003B3C33"/>
    <w:rsid w:val="003B3E7D"/>
    <w:rsid w:val="003B42B3"/>
    <w:rsid w:val="003B455A"/>
    <w:rsid w:val="003B5D49"/>
    <w:rsid w:val="003B621E"/>
    <w:rsid w:val="003B65F6"/>
    <w:rsid w:val="003B75D6"/>
    <w:rsid w:val="003B7EA7"/>
    <w:rsid w:val="003C01FA"/>
    <w:rsid w:val="003C0D10"/>
    <w:rsid w:val="003C18D8"/>
    <w:rsid w:val="003C1D3E"/>
    <w:rsid w:val="003C2678"/>
    <w:rsid w:val="003C2B51"/>
    <w:rsid w:val="003C3755"/>
    <w:rsid w:val="003C3803"/>
    <w:rsid w:val="003C3AD5"/>
    <w:rsid w:val="003C3DE1"/>
    <w:rsid w:val="003C4391"/>
    <w:rsid w:val="003C4CBF"/>
    <w:rsid w:val="003C6C78"/>
    <w:rsid w:val="003C74DF"/>
    <w:rsid w:val="003C79E4"/>
    <w:rsid w:val="003D09F2"/>
    <w:rsid w:val="003D139A"/>
    <w:rsid w:val="003D13E6"/>
    <w:rsid w:val="003D1534"/>
    <w:rsid w:val="003D325C"/>
    <w:rsid w:val="003D349F"/>
    <w:rsid w:val="003D3FEB"/>
    <w:rsid w:val="003D5457"/>
    <w:rsid w:val="003D55B5"/>
    <w:rsid w:val="003D602F"/>
    <w:rsid w:val="003D6253"/>
    <w:rsid w:val="003D6CCD"/>
    <w:rsid w:val="003D7068"/>
    <w:rsid w:val="003D784F"/>
    <w:rsid w:val="003E00AD"/>
    <w:rsid w:val="003E0420"/>
    <w:rsid w:val="003E0A9A"/>
    <w:rsid w:val="003E0EF7"/>
    <w:rsid w:val="003E172F"/>
    <w:rsid w:val="003E17CC"/>
    <w:rsid w:val="003E1EEB"/>
    <w:rsid w:val="003E2504"/>
    <w:rsid w:val="003E2CAB"/>
    <w:rsid w:val="003E3420"/>
    <w:rsid w:val="003E3ACA"/>
    <w:rsid w:val="003E3DCC"/>
    <w:rsid w:val="003E3F4B"/>
    <w:rsid w:val="003E48BC"/>
    <w:rsid w:val="003E4FFD"/>
    <w:rsid w:val="003E54DA"/>
    <w:rsid w:val="003E5A06"/>
    <w:rsid w:val="003E65E0"/>
    <w:rsid w:val="003E72A6"/>
    <w:rsid w:val="003E741A"/>
    <w:rsid w:val="003E7F36"/>
    <w:rsid w:val="003F0370"/>
    <w:rsid w:val="003F070D"/>
    <w:rsid w:val="003F0916"/>
    <w:rsid w:val="003F1238"/>
    <w:rsid w:val="003F2FD8"/>
    <w:rsid w:val="003F3862"/>
    <w:rsid w:val="003F3CC0"/>
    <w:rsid w:val="003F411B"/>
    <w:rsid w:val="003F47A6"/>
    <w:rsid w:val="003F4822"/>
    <w:rsid w:val="003F535B"/>
    <w:rsid w:val="003F58EA"/>
    <w:rsid w:val="003F5BA4"/>
    <w:rsid w:val="003F62BC"/>
    <w:rsid w:val="003F631A"/>
    <w:rsid w:val="003F63C8"/>
    <w:rsid w:val="003F6543"/>
    <w:rsid w:val="003F6B94"/>
    <w:rsid w:val="003F6EA3"/>
    <w:rsid w:val="0040181F"/>
    <w:rsid w:val="00402083"/>
    <w:rsid w:val="0040318E"/>
    <w:rsid w:val="00403D68"/>
    <w:rsid w:val="00403DAB"/>
    <w:rsid w:val="004045AB"/>
    <w:rsid w:val="00405488"/>
    <w:rsid w:val="00405A58"/>
    <w:rsid w:val="00405E2E"/>
    <w:rsid w:val="004060E1"/>
    <w:rsid w:val="00406232"/>
    <w:rsid w:val="00407544"/>
    <w:rsid w:val="00407ECC"/>
    <w:rsid w:val="00410627"/>
    <w:rsid w:val="00411622"/>
    <w:rsid w:val="00411904"/>
    <w:rsid w:val="00412C88"/>
    <w:rsid w:val="004137A7"/>
    <w:rsid w:val="00413944"/>
    <w:rsid w:val="004147E3"/>
    <w:rsid w:val="0041531F"/>
    <w:rsid w:val="004159B4"/>
    <w:rsid w:val="004159DA"/>
    <w:rsid w:val="00415E55"/>
    <w:rsid w:val="004164A5"/>
    <w:rsid w:val="00417664"/>
    <w:rsid w:val="0041771B"/>
    <w:rsid w:val="00417E3E"/>
    <w:rsid w:val="00417FEF"/>
    <w:rsid w:val="00420A2E"/>
    <w:rsid w:val="00420EC9"/>
    <w:rsid w:val="004219AB"/>
    <w:rsid w:val="004219E7"/>
    <w:rsid w:val="00421F54"/>
    <w:rsid w:val="00422146"/>
    <w:rsid w:val="004223A6"/>
    <w:rsid w:val="004227BC"/>
    <w:rsid w:val="004257A6"/>
    <w:rsid w:val="00425B82"/>
    <w:rsid w:val="00425BD2"/>
    <w:rsid w:val="00426B30"/>
    <w:rsid w:val="00426BE5"/>
    <w:rsid w:val="00426CF1"/>
    <w:rsid w:val="0042711B"/>
    <w:rsid w:val="00427979"/>
    <w:rsid w:val="00427D33"/>
    <w:rsid w:val="004314AC"/>
    <w:rsid w:val="00432256"/>
    <w:rsid w:val="004327C8"/>
    <w:rsid w:val="0043312D"/>
    <w:rsid w:val="004331B1"/>
    <w:rsid w:val="004333E2"/>
    <w:rsid w:val="00433621"/>
    <w:rsid w:val="004338A8"/>
    <w:rsid w:val="00433C58"/>
    <w:rsid w:val="00433E93"/>
    <w:rsid w:val="00434251"/>
    <w:rsid w:val="00434428"/>
    <w:rsid w:val="00435125"/>
    <w:rsid w:val="00435918"/>
    <w:rsid w:val="00436748"/>
    <w:rsid w:val="00436B8F"/>
    <w:rsid w:val="00436F6E"/>
    <w:rsid w:val="0043757C"/>
    <w:rsid w:val="0043775E"/>
    <w:rsid w:val="004377E5"/>
    <w:rsid w:val="0044032D"/>
    <w:rsid w:val="00440959"/>
    <w:rsid w:val="00440AA1"/>
    <w:rsid w:val="00440F83"/>
    <w:rsid w:val="00441105"/>
    <w:rsid w:val="00441180"/>
    <w:rsid w:val="00441668"/>
    <w:rsid w:val="004420A7"/>
    <w:rsid w:val="00442A1E"/>
    <w:rsid w:val="00442BE5"/>
    <w:rsid w:val="0044318C"/>
    <w:rsid w:val="00443C5C"/>
    <w:rsid w:val="00443EC6"/>
    <w:rsid w:val="00444207"/>
    <w:rsid w:val="00445018"/>
    <w:rsid w:val="004456C6"/>
    <w:rsid w:val="0044597E"/>
    <w:rsid w:val="0044667C"/>
    <w:rsid w:val="004471CB"/>
    <w:rsid w:val="00447216"/>
    <w:rsid w:val="00447BA1"/>
    <w:rsid w:val="00447D3E"/>
    <w:rsid w:val="004508D5"/>
    <w:rsid w:val="00451C98"/>
    <w:rsid w:val="00451FA1"/>
    <w:rsid w:val="004536C8"/>
    <w:rsid w:val="00454B41"/>
    <w:rsid w:val="00454BDD"/>
    <w:rsid w:val="00455DB8"/>
    <w:rsid w:val="004602DB"/>
    <w:rsid w:val="004605BE"/>
    <w:rsid w:val="0046086D"/>
    <w:rsid w:val="00460951"/>
    <w:rsid w:val="00460F34"/>
    <w:rsid w:val="0046147D"/>
    <w:rsid w:val="004614EA"/>
    <w:rsid w:val="004619A2"/>
    <w:rsid w:val="004619E5"/>
    <w:rsid w:val="00461C57"/>
    <w:rsid w:val="0046241F"/>
    <w:rsid w:val="00462E2B"/>
    <w:rsid w:val="00462EBE"/>
    <w:rsid w:val="004636C9"/>
    <w:rsid w:val="00463827"/>
    <w:rsid w:val="00463C9A"/>
    <w:rsid w:val="00463E39"/>
    <w:rsid w:val="00464024"/>
    <w:rsid w:val="0046538D"/>
    <w:rsid w:val="00465F5A"/>
    <w:rsid w:val="00466DEC"/>
    <w:rsid w:val="00466ECF"/>
    <w:rsid w:val="00467B35"/>
    <w:rsid w:val="0047029F"/>
    <w:rsid w:val="0047039A"/>
    <w:rsid w:val="00470857"/>
    <w:rsid w:val="00470919"/>
    <w:rsid w:val="0047101C"/>
    <w:rsid w:val="004712E6"/>
    <w:rsid w:val="004717E7"/>
    <w:rsid w:val="0047198B"/>
    <w:rsid w:val="00471D53"/>
    <w:rsid w:val="00471FDB"/>
    <w:rsid w:val="004737D6"/>
    <w:rsid w:val="00473A16"/>
    <w:rsid w:val="004748D9"/>
    <w:rsid w:val="004750D0"/>
    <w:rsid w:val="00475100"/>
    <w:rsid w:val="004755B1"/>
    <w:rsid w:val="00475D84"/>
    <w:rsid w:val="00475DD5"/>
    <w:rsid w:val="00476B61"/>
    <w:rsid w:val="00477480"/>
    <w:rsid w:val="004775A9"/>
    <w:rsid w:val="00480716"/>
    <w:rsid w:val="00480840"/>
    <w:rsid w:val="00482177"/>
    <w:rsid w:val="0048237E"/>
    <w:rsid w:val="00482C46"/>
    <w:rsid w:val="00483D47"/>
    <w:rsid w:val="00483ECB"/>
    <w:rsid w:val="00483F71"/>
    <w:rsid w:val="00484864"/>
    <w:rsid w:val="0048557F"/>
    <w:rsid w:val="00487CE3"/>
    <w:rsid w:val="004906E3"/>
    <w:rsid w:val="00490F3E"/>
    <w:rsid w:val="004924AA"/>
    <w:rsid w:val="00492F90"/>
    <w:rsid w:val="00493919"/>
    <w:rsid w:val="00494232"/>
    <w:rsid w:val="0049483B"/>
    <w:rsid w:val="00495A47"/>
    <w:rsid w:val="00495D1D"/>
    <w:rsid w:val="00495F49"/>
    <w:rsid w:val="00496CCF"/>
    <w:rsid w:val="00497053"/>
    <w:rsid w:val="00497518"/>
    <w:rsid w:val="00497DA8"/>
    <w:rsid w:val="00497F2A"/>
    <w:rsid w:val="004A2546"/>
    <w:rsid w:val="004A25A2"/>
    <w:rsid w:val="004A2B19"/>
    <w:rsid w:val="004A35A3"/>
    <w:rsid w:val="004A37D6"/>
    <w:rsid w:val="004A3A81"/>
    <w:rsid w:val="004A41EC"/>
    <w:rsid w:val="004A429C"/>
    <w:rsid w:val="004A4FE6"/>
    <w:rsid w:val="004A587A"/>
    <w:rsid w:val="004A5C7E"/>
    <w:rsid w:val="004A5DB7"/>
    <w:rsid w:val="004A7738"/>
    <w:rsid w:val="004B1B6A"/>
    <w:rsid w:val="004B1DB0"/>
    <w:rsid w:val="004B22A4"/>
    <w:rsid w:val="004B278B"/>
    <w:rsid w:val="004B2E77"/>
    <w:rsid w:val="004B322E"/>
    <w:rsid w:val="004B3A42"/>
    <w:rsid w:val="004B4003"/>
    <w:rsid w:val="004B49E9"/>
    <w:rsid w:val="004B4A5D"/>
    <w:rsid w:val="004B4C19"/>
    <w:rsid w:val="004B4C83"/>
    <w:rsid w:val="004B4E61"/>
    <w:rsid w:val="004B4EF0"/>
    <w:rsid w:val="004B51D4"/>
    <w:rsid w:val="004B55F6"/>
    <w:rsid w:val="004B6CB6"/>
    <w:rsid w:val="004B71CA"/>
    <w:rsid w:val="004B7E8A"/>
    <w:rsid w:val="004B7E95"/>
    <w:rsid w:val="004B7FC8"/>
    <w:rsid w:val="004C05B8"/>
    <w:rsid w:val="004C15C0"/>
    <w:rsid w:val="004C2808"/>
    <w:rsid w:val="004C3531"/>
    <w:rsid w:val="004C3883"/>
    <w:rsid w:val="004C391A"/>
    <w:rsid w:val="004C391E"/>
    <w:rsid w:val="004C39B6"/>
    <w:rsid w:val="004C44DB"/>
    <w:rsid w:val="004C4D27"/>
    <w:rsid w:val="004C6FCE"/>
    <w:rsid w:val="004C7433"/>
    <w:rsid w:val="004D009C"/>
    <w:rsid w:val="004D03B5"/>
    <w:rsid w:val="004D04F6"/>
    <w:rsid w:val="004D0916"/>
    <w:rsid w:val="004D0A9D"/>
    <w:rsid w:val="004D0D7A"/>
    <w:rsid w:val="004D1973"/>
    <w:rsid w:val="004D1C02"/>
    <w:rsid w:val="004D1E8E"/>
    <w:rsid w:val="004D2349"/>
    <w:rsid w:val="004D3111"/>
    <w:rsid w:val="004D36E6"/>
    <w:rsid w:val="004D41D4"/>
    <w:rsid w:val="004D4511"/>
    <w:rsid w:val="004D563B"/>
    <w:rsid w:val="004D59C2"/>
    <w:rsid w:val="004D5D2C"/>
    <w:rsid w:val="004D5DB4"/>
    <w:rsid w:val="004D5E4A"/>
    <w:rsid w:val="004D61CB"/>
    <w:rsid w:val="004D647B"/>
    <w:rsid w:val="004D6607"/>
    <w:rsid w:val="004D685C"/>
    <w:rsid w:val="004D7179"/>
    <w:rsid w:val="004D7337"/>
    <w:rsid w:val="004D755B"/>
    <w:rsid w:val="004D7BC9"/>
    <w:rsid w:val="004E0324"/>
    <w:rsid w:val="004E08DA"/>
    <w:rsid w:val="004E0B4A"/>
    <w:rsid w:val="004E14A3"/>
    <w:rsid w:val="004E2B81"/>
    <w:rsid w:val="004E371F"/>
    <w:rsid w:val="004E3CA5"/>
    <w:rsid w:val="004E3CC5"/>
    <w:rsid w:val="004E4ED0"/>
    <w:rsid w:val="004E4FC9"/>
    <w:rsid w:val="004E61DB"/>
    <w:rsid w:val="004E678D"/>
    <w:rsid w:val="004E71A9"/>
    <w:rsid w:val="004E7DA1"/>
    <w:rsid w:val="004E7E4C"/>
    <w:rsid w:val="004F044B"/>
    <w:rsid w:val="004F261C"/>
    <w:rsid w:val="004F27D1"/>
    <w:rsid w:val="004F29FE"/>
    <w:rsid w:val="004F2C1F"/>
    <w:rsid w:val="004F3066"/>
    <w:rsid w:val="004F33E4"/>
    <w:rsid w:val="004F37B3"/>
    <w:rsid w:val="004F383E"/>
    <w:rsid w:val="004F39FB"/>
    <w:rsid w:val="004F3BF9"/>
    <w:rsid w:val="004F4584"/>
    <w:rsid w:val="004F4595"/>
    <w:rsid w:val="004F4818"/>
    <w:rsid w:val="004F58BC"/>
    <w:rsid w:val="004F5D51"/>
    <w:rsid w:val="004F62EC"/>
    <w:rsid w:val="004F769C"/>
    <w:rsid w:val="004F7E1F"/>
    <w:rsid w:val="005023DA"/>
    <w:rsid w:val="0050259C"/>
    <w:rsid w:val="00502BA7"/>
    <w:rsid w:val="00502F58"/>
    <w:rsid w:val="005032D8"/>
    <w:rsid w:val="0050330B"/>
    <w:rsid w:val="00504719"/>
    <w:rsid w:val="005057DE"/>
    <w:rsid w:val="00505D38"/>
    <w:rsid w:val="0050669D"/>
    <w:rsid w:val="005067B3"/>
    <w:rsid w:val="00506C4E"/>
    <w:rsid w:val="005072AD"/>
    <w:rsid w:val="005073D3"/>
    <w:rsid w:val="0050754C"/>
    <w:rsid w:val="00510633"/>
    <w:rsid w:val="00510799"/>
    <w:rsid w:val="00510B3E"/>
    <w:rsid w:val="00510B5C"/>
    <w:rsid w:val="00510EB6"/>
    <w:rsid w:val="005111D1"/>
    <w:rsid w:val="005112B5"/>
    <w:rsid w:val="00511463"/>
    <w:rsid w:val="00511C7D"/>
    <w:rsid w:val="00512009"/>
    <w:rsid w:val="00512DCC"/>
    <w:rsid w:val="0051377A"/>
    <w:rsid w:val="0051384A"/>
    <w:rsid w:val="00513C04"/>
    <w:rsid w:val="00513FB4"/>
    <w:rsid w:val="005147E0"/>
    <w:rsid w:val="00514D39"/>
    <w:rsid w:val="00515192"/>
    <w:rsid w:val="005157D3"/>
    <w:rsid w:val="0051667A"/>
    <w:rsid w:val="00516B0C"/>
    <w:rsid w:val="00516B97"/>
    <w:rsid w:val="005172B3"/>
    <w:rsid w:val="005209CE"/>
    <w:rsid w:val="00521AF3"/>
    <w:rsid w:val="00521EB7"/>
    <w:rsid w:val="00522114"/>
    <w:rsid w:val="00523125"/>
    <w:rsid w:val="005231B2"/>
    <w:rsid w:val="0052357A"/>
    <w:rsid w:val="00523E2E"/>
    <w:rsid w:val="00524142"/>
    <w:rsid w:val="00525737"/>
    <w:rsid w:val="005257DA"/>
    <w:rsid w:val="00526677"/>
    <w:rsid w:val="00526A5F"/>
    <w:rsid w:val="00526E08"/>
    <w:rsid w:val="005273BA"/>
    <w:rsid w:val="005278DA"/>
    <w:rsid w:val="00530008"/>
    <w:rsid w:val="005300AF"/>
    <w:rsid w:val="00530B87"/>
    <w:rsid w:val="00530FEB"/>
    <w:rsid w:val="0053144F"/>
    <w:rsid w:val="00531D12"/>
    <w:rsid w:val="005321FF"/>
    <w:rsid w:val="005322A9"/>
    <w:rsid w:val="005324BA"/>
    <w:rsid w:val="00532933"/>
    <w:rsid w:val="00532A62"/>
    <w:rsid w:val="00532BDB"/>
    <w:rsid w:val="00533D2E"/>
    <w:rsid w:val="00534193"/>
    <w:rsid w:val="005348BF"/>
    <w:rsid w:val="00534DB3"/>
    <w:rsid w:val="005355F3"/>
    <w:rsid w:val="00535A67"/>
    <w:rsid w:val="0053637A"/>
    <w:rsid w:val="00536BC1"/>
    <w:rsid w:val="00536CC1"/>
    <w:rsid w:val="00540AE4"/>
    <w:rsid w:val="00540D13"/>
    <w:rsid w:val="00540EA8"/>
    <w:rsid w:val="0054132B"/>
    <w:rsid w:val="00541F35"/>
    <w:rsid w:val="00541F77"/>
    <w:rsid w:val="00542033"/>
    <w:rsid w:val="0054286A"/>
    <w:rsid w:val="00543766"/>
    <w:rsid w:val="00544323"/>
    <w:rsid w:val="00544519"/>
    <w:rsid w:val="005445D3"/>
    <w:rsid w:val="00544784"/>
    <w:rsid w:val="00544ACE"/>
    <w:rsid w:val="00544E5A"/>
    <w:rsid w:val="00550408"/>
    <w:rsid w:val="005513F1"/>
    <w:rsid w:val="00551790"/>
    <w:rsid w:val="00552428"/>
    <w:rsid w:val="00552437"/>
    <w:rsid w:val="00552F2F"/>
    <w:rsid w:val="00553D4E"/>
    <w:rsid w:val="0055419A"/>
    <w:rsid w:val="00554463"/>
    <w:rsid w:val="00555203"/>
    <w:rsid w:val="005554D3"/>
    <w:rsid w:val="005556CA"/>
    <w:rsid w:val="005559C5"/>
    <w:rsid w:val="005568AD"/>
    <w:rsid w:val="00556FA7"/>
    <w:rsid w:val="005607A6"/>
    <w:rsid w:val="005612BC"/>
    <w:rsid w:val="00561ADD"/>
    <w:rsid w:val="00561FA7"/>
    <w:rsid w:val="00562DBC"/>
    <w:rsid w:val="00562DFB"/>
    <w:rsid w:val="00562E32"/>
    <w:rsid w:val="00563F8E"/>
    <w:rsid w:val="0056470B"/>
    <w:rsid w:val="005649E7"/>
    <w:rsid w:val="00564C99"/>
    <w:rsid w:val="00565099"/>
    <w:rsid w:val="00565624"/>
    <w:rsid w:val="0056647A"/>
    <w:rsid w:val="00566516"/>
    <w:rsid w:val="00566647"/>
    <w:rsid w:val="0056676A"/>
    <w:rsid w:val="00567593"/>
    <w:rsid w:val="00567D72"/>
    <w:rsid w:val="00570C7D"/>
    <w:rsid w:val="00570F99"/>
    <w:rsid w:val="0057114B"/>
    <w:rsid w:val="005715D7"/>
    <w:rsid w:val="00571DB7"/>
    <w:rsid w:val="00572902"/>
    <w:rsid w:val="00572C19"/>
    <w:rsid w:val="0057313A"/>
    <w:rsid w:val="00573DC0"/>
    <w:rsid w:val="00573EAB"/>
    <w:rsid w:val="005742C2"/>
    <w:rsid w:val="0057483D"/>
    <w:rsid w:val="00574EB1"/>
    <w:rsid w:val="005756A2"/>
    <w:rsid w:val="00576028"/>
    <w:rsid w:val="0057729E"/>
    <w:rsid w:val="005802F2"/>
    <w:rsid w:val="00580852"/>
    <w:rsid w:val="00580CDC"/>
    <w:rsid w:val="005810DB"/>
    <w:rsid w:val="005811E5"/>
    <w:rsid w:val="00581244"/>
    <w:rsid w:val="00581A36"/>
    <w:rsid w:val="00581D14"/>
    <w:rsid w:val="00581E1A"/>
    <w:rsid w:val="005823F2"/>
    <w:rsid w:val="00583237"/>
    <w:rsid w:val="005833AE"/>
    <w:rsid w:val="00583534"/>
    <w:rsid w:val="00583888"/>
    <w:rsid w:val="00583A9A"/>
    <w:rsid w:val="00583D39"/>
    <w:rsid w:val="00583EA6"/>
    <w:rsid w:val="005842B8"/>
    <w:rsid w:val="00584F3D"/>
    <w:rsid w:val="00585829"/>
    <w:rsid w:val="00585E3C"/>
    <w:rsid w:val="00587054"/>
    <w:rsid w:val="00587213"/>
    <w:rsid w:val="0058723C"/>
    <w:rsid w:val="005872F4"/>
    <w:rsid w:val="0058780B"/>
    <w:rsid w:val="0058785B"/>
    <w:rsid w:val="00587B51"/>
    <w:rsid w:val="00590024"/>
    <w:rsid w:val="005907D6"/>
    <w:rsid w:val="00590A60"/>
    <w:rsid w:val="00591510"/>
    <w:rsid w:val="00591B35"/>
    <w:rsid w:val="0059238C"/>
    <w:rsid w:val="0059254C"/>
    <w:rsid w:val="00592C79"/>
    <w:rsid w:val="00593498"/>
    <w:rsid w:val="005937D2"/>
    <w:rsid w:val="0059546C"/>
    <w:rsid w:val="005959ED"/>
    <w:rsid w:val="00595F56"/>
    <w:rsid w:val="00596968"/>
    <w:rsid w:val="005A00DA"/>
    <w:rsid w:val="005A0316"/>
    <w:rsid w:val="005A078F"/>
    <w:rsid w:val="005A079B"/>
    <w:rsid w:val="005A07DD"/>
    <w:rsid w:val="005A0C47"/>
    <w:rsid w:val="005A107F"/>
    <w:rsid w:val="005A1992"/>
    <w:rsid w:val="005A2762"/>
    <w:rsid w:val="005A3312"/>
    <w:rsid w:val="005A3E77"/>
    <w:rsid w:val="005A4389"/>
    <w:rsid w:val="005A48B6"/>
    <w:rsid w:val="005A512C"/>
    <w:rsid w:val="005A53B5"/>
    <w:rsid w:val="005A58F7"/>
    <w:rsid w:val="005A5C04"/>
    <w:rsid w:val="005A5E64"/>
    <w:rsid w:val="005A6C3A"/>
    <w:rsid w:val="005A6E6C"/>
    <w:rsid w:val="005A6F5A"/>
    <w:rsid w:val="005A71C1"/>
    <w:rsid w:val="005A7272"/>
    <w:rsid w:val="005A7AB5"/>
    <w:rsid w:val="005B005B"/>
    <w:rsid w:val="005B08C8"/>
    <w:rsid w:val="005B09BD"/>
    <w:rsid w:val="005B28AC"/>
    <w:rsid w:val="005B2A0A"/>
    <w:rsid w:val="005B2B42"/>
    <w:rsid w:val="005B2F20"/>
    <w:rsid w:val="005B3562"/>
    <w:rsid w:val="005B3A1C"/>
    <w:rsid w:val="005B3D70"/>
    <w:rsid w:val="005B43C7"/>
    <w:rsid w:val="005B46C3"/>
    <w:rsid w:val="005B598C"/>
    <w:rsid w:val="005B59F3"/>
    <w:rsid w:val="005B6B4A"/>
    <w:rsid w:val="005B6C10"/>
    <w:rsid w:val="005B71B4"/>
    <w:rsid w:val="005B7202"/>
    <w:rsid w:val="005B79DD"/>
    <w:rsid w:val="005B7D30"/>
    <w:rsid w:val="005C0036"/>
    <w:rsid w:val="005C0AEF"/>
    <w:rsid w:val="005C19C1"/>
    <w:rsid w:val="005C1FCD"/>
    <w:rsid w:val="005C2A66"/>
    <w:rsid w:val="005C30FC"/>
    <w:rsid w:val="005C48BE"/>
    <w:rsid w:val="005C496D"/>
    <w:rsid w:val="005C50A4"/>
    <w:rsid w:val="005C5759"/>
    <w:rsid w:val="005C6544"/>
    <w:rsid w:val="005C66AC"/>
    <w:rsid w:val="005C6B69"/>
    <w:rsid w:val="005C6BD0"/>
    <w:rsid w:val="005C6D5C"/>
    <w:rsid w:val="005C7934"/>
    <w:rsid w:val="005D0874"/>
    <w:rsid w:val="005D0D90"/>
    <w:rsid w:val="005D1336"/>
    <w:rsid w:val="005D207D"/>
    <w:rsid w:val="005D222C"/>
    <w:rsid w:val="005D2250"/>
    <w:rsid w:val="005D2324"/>
    <w:rsid w:val="005D2E44"/>
    <w:rsid w:val="005D31EC"/>
    <w:rsid w:val="005D3494"/>
    <w:rsid w:val="005D37FF"/>
    <w:rsid w:val="005D485C"/>
    <w:rsid w:val="005D4CAC"/>
    <w:rsid w:val="005D5814"/>
    <w:rsid w:val="005D5B45"/>
    <w:rsid w:val="005D6239"/>
    <w:rsid w:val="005D65B1"/>
    <w:rsid w:val="005D6699"/>
    <w:rsid w:val="005D684E"/>
    <w:rsid w:val="005D6A29"/>
    <w:rsid w:val="005D7026"/>
    <w:rsid w:val="005D7704"/>
    <w:rsid w:val="005E2D13"/>
    <w:rsid w:val="005E2DCF"/>
    <w:rsid w:val="005E31A1"/>
    <w:rsid w:val="005E4772"/>
    <w:rsid w:val="005E49FE"/>
    <w:rsid w:val="005E4DB6"/>
    <w:rsid w:val="005E5767"/>
    <w:rsid w:val="005E590C"/>
    <w:rsid w:val="005E6521"/>
    <w:rsid w:val="005E6E29"/>
    <w:rsid w:val="005E7040"/>
    <w:rsid w:val="005E79C6"/>
    <w:rsid w:val="005F005E"/>
    <w:rsid w:val="005F09DF"/>
    <w:rsid w:val="005F0A4A"/>
    <w:rsid w:val="005F107C"/>
    <w:rsid w:val="005F13FB"/>
    <w:rsid w:val="005F25D7"/>
    <w:rsid w:val="005F2D70"/>
    <w:rsid w:val="005F2E12"/>
    <w:rsid w:val="005F4143"/>
    <w:rsid w:val="005F4324"/>
    <w:rsid w:val="005F47C1"/>
    <w:rsid w:val="005F61E4"/>
    <w:rsid w:val="005F73F2"/>
    <w:rsid w:val="00600FEA"/>
    <w:rsid w:val="00601949"/>
    <w:rsid w:val="00601B70"/>
    <w:rsid w:val="006020A4"/>
    <w:rsid w:val="0060258D"/>
    <w:rsid w:val="006027D3"/>
    <w:rsid w:val="0060296C"/>
    <w:rsid w:val="00602FF5"/>
    <w:rsid w:val="006035E3"/>
    <w:rsid w:val="00603F1A"/>
    <w:rsid w:val="0060440E"/>
    <w:rsid w:val="00604D24"/>
    <w:rsid w:val="00604D2A"/>
    <w:rsid w:val="00605C04"/>
    <w:rsid w:val="00605C42"/>
    <w:rsid w:val="0060683E"/>
    <w:rsid w:val="00606F76"/>
    <w:rsid w:val="00607289"/>
    <w:rsid w:val="00607596"/>
    <w:rsid w:val="006077C4"/>
    <w:rsid w:val="00607F13"/>
    <w:rsid w:val="00610491"/>
    <w:rsid w:val="006106A8"/>
    <w:rsid w:val="006118F9"/>
    <w:rsid w:val="00611B51"/>
    <w:rsid w:val="00611CF9"/>
    <w:rsid w:val="00611D0B"/>
    <w:rsid w:val="0061212F"/>
    <w:rsid w:val="0061254E"/>
    <w:rsid w:val="00613A7E"/>
    <w:rsid w:val="00613BF1"/>
    <w:rsid w:val="00613D8F"/>
    <w:rsid w:val="00614461"/>
    <w:rsid w:val="00614C04"/>
    <w:rsid w:val="00615651"/>
    <w:rsid w:val="00615BF3"/>
    <w:rsid w:val="006166E5"/>
    <w:rsid w:val="00617063"/>
    <w:rsid w:val="0061710B"/>
    <w:rsid w:val="0061750A"/>
    <w:rsid w:val="0061753B"/>
    <w:rsid w:val="00617668"/>
    <w:rsid w:val="0062043D"/>
    <w:rsid w:val="00620501"/>
    <w:rsid w:val="00620673"/>
    <w:rsid w:val="00620683"/>
    <w:rsid w:val="00620EF5"/>
    <w:rsid w:val="00621A7C"/>
    <w:rsid w:val="006228C7"/>
    <w:rsid w:val="00622C8C"/>
    <w:rsid w:val="00622D42"/>
    <w:rsid w:val="0062326F"/>
    <w:rsid w:val="00623A45"/>
    <w:rsid w:val="00623D8E"/>
    <w:rsid w:val="0062474A"/>
    <w:rsid w:val="00624C4E"/>
    <w:rsid w:val="00624DCD"/>
    <w:rsid w:val="006252CC"/>
    <w:rsid w:val="00625763"/>
    <w:rsid w:val="00627128"/>
    <w:rsid w:val="00627EC8"/>
    <w:rsid w:val="0063055A"/>
    <w:rsid w:val="006305F4"/>
    <w:rsid w:val="00630EF1"/>
    <w:rsid w:val="006315D2"/>
    <w:rsid w:val="006319DC"/>
    <w:rsid w:val="00632353"/>
    <w:rsid w:val="006326A3"/>
    <w:rsid w:val="00632A13"/>
    <w:rsid w:val="00632C06"/>
    <w:rsid w:val="00633F79"/>
    <w:rsid w:val="0063409A"/>
    <w:rsid w:val="00634C81"/>
    <w:rsid w:val="00634F3A"/>
    <w:rsid w:val="0063648E"/>
    <w:rsid w:val="00636870"/>
    <w:rsid w:val="00636E95"/>
    <w:rsid w:val="006372D7"/>
    <w:rsid w:val="0063742C"/>
    <w:rsid w:val="006376C7"/>
    <w:rsid w:val="00640271"/>
    <w:rsid w:val="0064122B"/>
    <w:rsid w:val="00642104"/>
    <w:rsid w:val="00642B36"/>
    <w:rsid w:val="00642F50"/>
    <w:rsid w:val="006431C4"/>
    <w:rsid w:val="006433B0"/>
    <w:rsid w:val="00643B75"/>
    <w:rsid w:val="00643B9F"/>
    <w:rsid w:val="0064436F"/>
    <w:rsid w:val="00644888"/>
    <w:rsid w:val="00644D10"/>
    <w:rsid w:val="00644E15"/>
    <w:rsid w:val="0064703D"/>
    <w:rsid w:val="006473F3"/>
    <w:rsid w:val="0064764A"/>
    <w:rsid w:val="00647F36"/>
    <w:rsid w:val="0065118A"/>
    <w:rsid w:val="0065149F"/>
    <w:rsid w:val="006515C2"/>
    <w:rsid w:val="006522F4"/>
    <w:rsid w:val="006523E0"/>
    <w:rsid w:val="00652BA1"/>
    <w:rsid w:val="00652E74"/>
    <w:rsid w:val="00652EC7"/>
    <w:rsid w:val="006538AE"/>
    <w:rsid w:val="00653AC1"/>
    <w:rsid w:val="00653B31"/>
    <w:rsid w:val="00654C6D"/>
    <w:rsid w:val="00654F53"/>
    <w:rsid w:val="00655091"/>
    <w:rsid w:val="00655425"/>
    <w:rsid w:val="00655946"/>
    <w:rsid w:val="00655E1B"/>
    <w:rsid w:val="006563E4"/>
    <w:rsid w:val="00656B20"/>
    <w:rsid w:val="006578EA"/>
    <w:rsid w:val="00657B93"/>
    <w:rsid w:val="0066087C"/>
    <w:rsid w:val="00660B98"/>
    <w:rsid w:val="00661AE6"/>
    <w:rsid w:val="00661CB7"/>
    <w:rsid w:val="00661EA6"/>
    <w:rsid w:val="00662F27"/>
    <w:rsid w:val="006637A7"/>
    <w:rsid w:val="00663EED"/>
    <w:rsid w:val="0066433C"/>
    <w:rsid w:val="0066464B"/>
    <w:rsid w:val="00664ED6"/>
    <w:rsid w:val="00664FD7"/>
    <w:rsid w:val="006651AB"/>
    <w:rsid w:val="006659A0"/>
    <w:rsid w:val="00665FE1"/>
    <w:rsid w:val="00666225"/>
    <w:rsid w:val="00666E9C"/>
    <w:rsid w:val="006674CF"/>
    <w:rsid w:val="006676B4"/>
    <w:rsid w:val="006679DD"/>
    <w:rsid w:val="00671295"/>
    <w:rsid w:val="006713CB"/>
    <w:rsid w:val="006715B3"/>
    <w:rsid w:val="006719E1"/>
    <w:rsid w:val="00671D36"/>
    <w:rsid w:val="00671E6F"/>
    <w:rsid w:val="0067224B"/>
    <w:rsid w:val="006726F8"/>
    <w:rsid w:val="00672CF9"/>
    <w:rsid w:val="00672DFE"/>
    <w:rsid w:val="00672EB9"/>
    <w:rsid w:val="00672F48"/>
    <w:rsid w:val="00673254"/>
    <w:rsid w:val="00673E29"/>
    <w:rsid w:val="006742CE"/>
    <w:rsid w:val="006745B0"/>
    <w:rsid w:val="00674FE6"/>
    <w:rsid w:val="00676B94"/>
    <w:rsid w:val="0067730A"/>
    <w:rsid w:val="00677342"/>
    <w:rsid w:val="00677603"/>
    <w:rsid w:val="0067784B"/>
    <w:rsid w:val="00677B72"/>
    <w:rsid w:val="006805C1"/>
    <w:rsid w:val="00680796"/>
    <w:rsid w:val="00681204"/>
    <w:rsid w:val="006813DA"/>
    <w:rsid w:val="0068163A"/>
    <w:rsid w:val="0068174F"/>
    <w:rsid w:val="00681C4E"/>
    <w:rsid w:val="0068224C"/>
    <w:rsid w:val="006827D6"/>
    <w:rsid w:val="0068375D"/>
    <w:rsid w:val="00683B1C"/>
    <w:rsid w:val="006847BC"/>
    <w:rsid w:val="00685AA1"/>
    <w:rsid w:val="0068642F"/>
    <w:rsid w:val="00686BD0"/>
    <w:rsid w:val="0068702B"/>
    <w:rsid w:val="00687034"/>
    <w:rsid w:val="0068721B"/>
    <w:rsid w:val="00687A70"/>
    <w:rsid w:val="006901C7"/>
    <w:rsid w:val="006901F4"/>
    <w:rsid w:val="0069051E"/>
    <w:rsid w:val="00690CFA"/>
    <w:rsid w:val="0069126C"/>
    <w:rsid w:val="0069133C"/>
    <w:rsid w:val="00691881"/>
    <w:rsid w:val="0069258B"/>
    <w:rsid w:val="00692985"/>
    <w:rsid w:val="00692CCD"/>
    <w:rsid w:val="00692D84"/>
    <w:rsid w:val="006935B6"/>
    <w:rsid w:val="00693763"/>
    <w:rsid w:val="0069384D"/>
    <w:rsid w:val="006940CA"/>
    <w:rsid w:val="0069569C"/>
    <w:rsid w:val="00695CED"/>
    <w:rsid w:val="00696384"/>
    <w:rsid w:val="0069702D"/>
    <w:rsid w:val="00697AEE"/>
    <w:rsid w:val="006A04A0"/>
    <w:rsid w:val="006A0BFE"/>
    <w:rsid w:val="006A0F9D"/>
    <w:rsid w:val="006A2168"/>
    <w:rsid w:val="006A23F3"/>
    <w:rsid w:val="006A25F6"/>
    <w:rsid w:val="006A289B"/>
    <w:rsid w:val="006A2BEA"/>
    <w:rsid w:val="006A3BF2"/>
    <w:rsid w:val="006A4CF5"/>
    <w:rsid w:val="006A4E8E"/>
    <w:rsid w:val="006A55E4"/>
    <w:rsid w:val="006A575A"/>
    <w:rsid w:val="006A5F41"/>
    <w:rsid w:val="006A6E5C"/>
    <w:rsid w:val="006A73A5"/>
    <w:rsid w:val="006A7461"/>
    <w:rsid w:val="006A74CB"/>
    <w:rsid w:val="006A7733"/>
    <w:rsid w:val="006A7A49"/>
    <w:rsid w:val="006B00DC"/>
    <w:rsid w:val="006B05A0"/>
    <w:rsid w:val="006B0E5D"/>
    <w:rsid w:val="006B19F7"/>
    <w:rsid w:val="006B2257"/>
    <w:rsid w:val="006B2569"/>
    <w:rsid w:val="006B2978"/>
    <w:rsid w:val="006B2B59"/>
    <w:rsid w:val="006B2D23"/>
    <w:rsid w:val="006B30F4"/>
    <w:rsid w:val="006B3682"/>
    <w:rsid w:val="006B3971"/>
    <w:rsid w:val="006B4795"/>
    <w:rsid w:val="006B63EC"/>
    <w:rsid w:val="006B7264"/>
    <w:rsid w:val="006B7B16"/>
    <w:rsid w:val="006C039D"/>
    <w:rsid w:val="006C0C8D"/>
    <w:rsid w:val="006C0CD5"/>
    <w:rsid w:val="006C206C"/>
    <w:rsid w:val="006C21C7"/>
    <w:rsid w:val="006C234A"/>
    <w:rsid w:val="006C2531"/>
    <w:rsid w:val="006C2875"/>
    <w:rsid w:val="006C2B6F"/>
    <w:rsid w:val="006C2DF6"/>
    <w:rsid w:val="006C2F67"/>
    <w:rsid w:val="006C2FAA"/>
    <w:rsid w:val="006C3356"/>
    <w:rsid w:val="006C349E"/>
    <w:rsid w:val="006C3A41"/>
    <w:rsid w:val="006C46A5"/>
    <w:rsid w:val="006C4A31"/>
    <w:rsid w:val="006C549A"/>
    <w:rsid w:val="006C54F1"/>
    <w:rsid w:val="006C5C5D"/>
    <w:rsid w:val="006C5FF1"/>
    <w:rsid w:val="006C64F1"/>
    <w:rsid w:val="006C66F2"/>
    <w:rsid w:val="006C679B"/>
    <w:rsid w:val="006C6C07"/>
    <w:rsid w:val="006C7A02"/>
    <w:rsid w:val="006C7D32"/>
    <w:rsid w:val="006D03F5"/>
    <w:rsid w:val="006D045D"/>
    <w:rsid w:val="006D0733"/>
    <w:rsid w:val="006D141F"/>
    <w:rsid w:val="006D15A9"/>
    <w:rsid w:val="006D1763"/>
    <w:rsid w:val="006D17BF"/>
    <w:rsid w:val="006D2398"/>
    <w:rsid w:val="006D26CC"/>
    <w:rsid w:val="006D3780"/>
    <w:rsid w:val="006D3813"/>
    <w:rsid w:val="006D386D"/>
    <w:rsid w:val="006D3B2E"/>
    <w:rsid w:val="006D41E0"/>
    <w:rsid w:val="006D4514"/>
    <w:rsid w:val="006D4D69"/>
    <w:rsid w:val="006D4E8B"/>
    <w:rsid w:val="006D5358"/>
    <w:rsid w:val="006D668A"/>
    <w:rsid w:val="006D6CE6"/>
    <w:rsid w:val="006D75EE"/>
    <w:rsid w:val="006D7ABC"/>
    <w:rsid w:val="006E0DF3"/>
    <w:rsid w:val="006E0E76"/>
    <w:rsid w:val="006E2649"/>
    <w:rsid w:val="006E2D84"/>
    <w:rsid w:val="006E348E"/>
    <w:rsid w:val="006E38EF"/>
    <w:rsid w:val="006E47A4"/>
    <w:rsid w:val="006E4C57"/>
    <w:rsid w:val="006E4D15"/>
    <w:rsid w:val="006E51AF"/>
    <w:rsid w:val="006E5C1F"/>
    <w:rsid w:val="006E629D"/>
    <w:rsid w:val="006E704D"/>
    <w:rsid w:val="006E71BB"/>
    <w:rsid w:val="006E752B"/>
    <w:rsid w:val="006F01FB"/>
    <w:rsid w:val="006F03C9"/>
    <w:rsid w:val="006F0F5D"/>
    <w:rsid w:val="006F0FBC"/>
    <w:rsid w:val="006F1713"/>
    <w:rsid w:val="006F1A10"/>
    <w:rsid w:val="006F2863"/>
    <w:rsid w:val="006F2924"/>
    <w:rsid w:val="006F335E"/>
    <w:rsid w:val="006F344E"/>
    <w:rsid w:val="006F3AB8"/>
    <w:rsid w:val="006F3E1B"/>
    <w:rsid w:val="006F3FB0"/>
    <w:rsid w:val="006F48AA"/>
    <w:rsid w:val="006F4C00"/>
    <w:rsid w:val="006F4D87"/>
    <w:rsid w:val="006F53CD"/>
    <w:rsid w:val="006F5B94"/>
    <w:rsid w:val="006F5CE2"/>
    <w:rsid w:val="006F5EDD"/>
    <w:rsid w:val="006F69BB"/>
    <w:rsid w:val="00700420"/>
    <w:rsid w:val="00700EAF"/>
    <w:rsid w:val="00701CD0"/>
    <w:rsid w:val="007020F6"/>
    <w:rsid w:val="007024AB"/>
    <w:rsid w:val="00702B99"/>
    <w:rsid w:val="00702C6E"/>
    <w:rsid w:val="00703F27"/>
    <w:rsid w:val="00704080"/>
    <w:rsid w:val="007041D0"/>
    <w:rsid w:val="007045A8"/>
    <w:rsid w:val="007053F0"/>
    <w:rsid w:val="00707F06"/>
    <w:rsid w:val="007100CB"/>
    <w:rsid w:val="007112D4"/>
    <w:rsid w:val="00711ED8"/>
    <w:rsid w:val="007137E0"/>
    <w:rsid w:val="00713842"/>
    <w:rsid w:val="0071405E"/>
    <w:rsid w:val="00714275"/>
    <w:rsid w:val="00714810"/>
    <w:rsid w:val="00714B5C"/>
    <w:rsid w:val="007156BD"/>
    <w:rsid w:val="0071585C"/>
    <w:rsid w:val="00716557"/>
    <w:rsid w:val="00716789"/>
    <w:rsid w:val="007174A9"/>
    <w:rsid w:val="00717F95"/>
    <w:rsid w:val="00720F33"/>
    <w:rsid w:val="00721398"/>
    <w:rsid w:val="00721990"/>
    <w:rsid w:val="007248B7"/>
    <w:rsid w:val="00724C90"/>
    <w:rsid w:val="007253B3"/>
    <w:rsid w:val="0072549B"/>
    <w:rsid w:val="007259B7"/>
    <w:rsid w:val="007259D9"/>
    <w:rsid w:val="00726572"/>
    <w:rsid w:val="00726D11"/>
    <w:rsid w:val="007273B0"/>
    <w:rsid w:val="00730024"/>
    <w:rsid w:val="00730353"/>
    <w:rsid w:val="00730498"/>
    <w:rsid w:val="0073051B"/>
    <w:rsid w:val="007307DC"/>
    <w:rsid w:val="00730E92"/>
    <w:rsid w:val="007321E6"/>
    <w:rsid w:val="00732308"/>
    <w:rsid w:val="007323E2"/>
    <w:rsid w:val="00732832"/>
    <w:rsid w:val="007328DF"/>
    <w:rsid w:val="007333BB"/>
    <w:rsid w:val="007345BF"/>
    <w:rsid w:val="007349EC"/>
    <w:rsid w:val="00735030"/>
    <w:rsid w:val="00735477"/>
    <w:rsid w:val="00735A9D"/>
    <w:rsid w:val="007368B7"/>
    <w:rsid w:val="00741BBA"/>
    <w:rsid w:val="00742504"/>
    <w:rsid w:val="00743676"/>
    <w:rsid w:val="007438E4"/>
    <w:rsid w:val="00744022"/>
    <w:rsid w:val="0074432B"/>
    <w:rsid w:val="007447A6"/>
    <w:rsid w:val="00744D4A"/>
    <w:rsid w:val="00745124"/>
    <w:rsid w:val="00745817"/>
    <w:rsid w:val="00745821"/>
    <w:rsid w:val="00745959"/>
    <w:rsid w:val="007460FA"/>
    <w:rsid w:val="0074704D"/>
    <w:rsid w:val="007471B9"/>
    <w:rsid w:val="00747871"/>
    <w:rsid w:val="00747E92"/>
    <w:rsid w:val="0075034A"/>
    <w:rsid w:val="00750513"/>
    <w:rsid w:val="00750F75"/>
    <w:rsid w:val="00751C79"/>
    <w:rsid w:val="007526A9"/>
    <w:rsid w:val="00752D47"/>
    <w:rsid w:val="00753347"/>
    <w:rsid w:val="00753FCA"/>
    <w:rsid w:val="00754DC2"/>
    <w:rsid w:val="00754E0C"/>
    <w:rsid w:val="007550A4"/>
    <w:rsid w:val="00755A10"/>
    <w:rsid w:val="007564C5"/>
    <w:rsid w:val="0075793C"/>
    <w:rsid w:val="00757DBE"/>
    <w:rsid w:val="00757E57"/>
    <w:rsid w:val="007600A4"/>
    <w:rsid w:val="00760122"/>
    <w:rsid w:val="00760158"/>
    <w:rsid w:val="007601FA"/>
    <w:rsid w:val="007607C9"/>
    <w:rsid w:val="0076138D"/>
    <w:rsid w:val="0076235D"/>
    <w:rsid w:val="00762A1A"/>
    <w:rsid w:val="00762F26"/>
    <w:rsid w:val="00762FCC"/>
    <w:rsid w:val="00763F1A"/>
    <w:rsid w:val="0076457A"/>
    <w:rsid w:val="00765670"/>
    <w:rsid w:val="00766652"/>
    <w:rsid w:val="00766E4C"/>
    <w:rsid w:val="00766E63"/>
    <w:rsid w:val="0076747C"/>
    <w:rsid w:val="00767A5C"/>
    <w:rsid w:val="00770190"/>
    <w:rsid w:val="00770D44"/>
    <w:rsid w:val="007711A8"/>
    <w:rsid w:val="00772CC6"/>
    <w:rsid w:val="0077393B"/>
    <w:rsid w:val="00773EA5"/>
    <w:rsid w:val="00774C42"/>
    <w:rsid w:val="00774E13"/>
    <w:rsid w:val="007757F7"/>
    <w:rsid w:val="00775D31"/>
    <w:rsid w:val="00776175"/>
    <w:rsid w:val="00776D9F"/>
    <w:rsid w:val="00776E1D"/>
    <w:rsid w:val="00776F45"/>
    <w:rsid w:val="0077772C"/>
    <w:rsid w:val="00777D83"/>
    <w:rsid w:val="007801BA"/>
    <w:rsid w:val="007806A4"/>
    <w:rsid w:val="007808B4"/>
    <w:rsid w:val="00780FBE"/>
    <w:rsid w:val="0078124A"/>
    <w:rsid w:val="007816A8"/>
    <w:rsid w:val="00781B82"/>
    <w:rsid w:val="00782708"/>
    <w:rsid w:val="00782743"/>
    <w:rsid w:val="00782F70"/>
    <w:rsid w:val="0078318F"/>
    <w:rsid w:val="00783CA7"/>
    <w:rsid w:val="00784034"/>
    <w:rsid w:val="007840BB"/>
    <w:rsid w:val="007847B2"/>
    <w:rsid w:val="00784BA8"/>
    <w:rsid w:val="00784D19"/>
    <w:rsid w:val="0078585C"/>
    <w:rsid w:val="00785A85"/>
    <w:rsid w:val="00785B31"/>
    <w:rsid w:val="00786965"/>
    <w:rsid w:val="007877AD"/>
    <w:rsid w:val="007877FB"/>
    <w:rsid w:val="00787A6C"/>
    <w:rsid w:val="00787D41"/>
    <w:rsid w:val="00790980"/>
    <w:rsid w:val="00791791"/>
    <w:rsid w:val="00791C49"/>
    <w:rsid w:val="00791CC1"/>
    <w:rsid w:val="00792BFA"/>
    <w:rsid w:val="00792C90"/>
    <w:rsid w:val="00793A5A"/>
    <w:rsid w:val="00793D00"/>
    <w:rsid w:val="00793FA1"/>
    <w:rsid w:val="007947F8"/>
    <w:rsid w:val="00794B07"/>
    <w:rsid w:val="0079507A"/>
    <w:rsid w:val="007950E7"/>
    <w:rsid w:val="00795391"/>
    <w:rsid w:val="0079562B"/>
    <w:rsid w:val="0079564E"/>
    <w:rsid w:val="0079594D"/>
    <w:rsid w:val="00796586"/>
    <w:rsid w:val="00796617"/>
    <w:rsid w:val="00797D1B"/>
    <w:rsid w:val="00797DB4"/>
    <w:rsid w:val="007A0494"/>
    <w:rsid w:val="007A05BC"/>
    <w:rsid w:val="007A07C2"/>
    <w:rsid w:val="007A0C30"/>
    <w:rsid w:val="007A0E1F"/>
    <w:rsid w:val="007A2CE0"/>
    <w:rsid w:val="007A30AC"/>
    <w:rsid w:val="007A3F37"/>
    <w:rsid w:val="007A40D7"/>
    <w:rsid w:val="007A4BA9"/>
    <w:rsid w:val="007A4E88"/>
    <w:rsid w:val="007A4EDD"/>
    <w:rsid w:val="007A5934"/>
    <w:rsid w:val="007A6115"/>
    <w:rsid w:val="007A703E"/>
    <w:rsid w:val="007A73CD"/>
    <w:rsid w:val="007A743B"/>
    <w:rsid w:val="007A7509"/>
    <w:rsid w:val="007A7BB3"/>
    <w:rsid w:val="007A7D13"/>
    <w:rsid w:val="007B0A0F"/>
    <w:rsid w:val="007B18B0"/>
    <w:rsid w:val="007B1BC6"/>
    <w:rsid w:val="007B1D79"/>
    <w:rsid w:val="007B1FDF"/>
    <w:rsid w:val="007B221D"/>
    <w:rsid w:val="007B26A2"/>
    <w:rsid w:val="007B2746"/>
    <w:rsid w:val="007B282C"/>
    <w:rsid w:val="007B2A9D"/>
    <w:rsid w:val="007B2B0B"/>
    <w:rsid w:val="007B2FD1"/>
    <w:rsid w:val="007B327A"/>
    <w:rsid w:val="007B33B0"/>
    <w:rsid w:val="007B365E"/>
    <w:rsid w:val="007B3C9B"/>
    <w:rsid w:val="007B3D0D"/>
    <w:rsid w:val="007B4344"/>
    <w:rsid w:val="007B519E"/>
    <w:rsid w:val="007B53B9"/>
    <w:rsid w:val="007B5879"/>
    <w:rsid w:val="007B5970"/>
    <w:rsid w:val="007B65DB"/>
    <w:rsid w:val="007B6686"/>
    <w:rsid w:val="007C030E"/>
    <w:rsid w:val="007C053E"/>
    <w:rsid w:val="007C122E"/>
    <w:rsid w:val="007C139E"/>
    <w:rsid w:val="007C23A7"/>
    <w:rsid w:val="007C2B5A"/>
    <w:rsid w:val="007C2F0B"/>
    <w:rsid w:val="007C31C9"/>
    <w:rsid w:val="007C3410"/>
    <w:rsid w:val="007C3A87"/>
    <w:rsid w:val="007C4BEB"/>
    <w:rsid w:val="007C5091"/>
    <w:rsid w:val="007C5679"/>
    <w:rsid w:val="007C5BC0"/>
    <w:rsid w:val="007C612A"/>
    <w:rsid w:val="007C63E1"/>
    <w:rsid w:val="007C7378"/>
    <w:rsid w:val="007C7520"/>
    <w:rsid w:val="007D0335"/>
    <w:rsid w:val="007D121A"/>
    <w:rsid w:val="007D124E"/>
    <w:rsid w:val="007D12C0"/>
    <w:rsid w:val="007D1C83"/>
    <w:rsid w:val="007D29DA"/>
    <w:rsid w:val="007D2BCF"/>
    <w:rsid w:val="007D2C2A"/>
    <w:rsid w:val="007D2D17"/>
    <w:rsid w:val="007D3368"/>
    <w:rsid w:val="007D38D4"/>
    <w:rsid w:val="007D3FA3"/>
    <w:rsid w:val="007D413A"/>
    <w:rsid w:val="007D44F3"/>
    <w:rsid w:val="007D595E"/>
    <w:rsid w:val="007D6E1D"/>
    <w:rsid w:val="007D71CA"/>
    <w:rsid w:val="007D7460"/>
    <w:rsid w:val="007D7A77"/>
    <w:rsid w:val="007E155B"/>
    <w:rsid w:val="007E1C7C"/>
    <w:rsid w:val="007E246D"/>
    <w:rsid w:val="007E2795"/>
    <w:rsid w:val="007E2D49"/>
    <w:rsid w:val="007E32C2"/>
    <w:rsid w:val="007E39A4"/>
    <w:rsid w:val="007E3D40"/>
    <w:rsid w:val="007E3ECB"/>
    <w:rsid w:val="007E4950"/>
    <w:rsid w:val="007E4D4B"/>
    <w:rsid w:val="007E4F36"/>
    <w:rsid w:val="007E5835"/>
    <w:rsid w:val="007E5E8B"/>
    <w:rsid w:val="007E68F0"/>
    <w:rsid w:val="007E6A8B"/>
    <w:rsid w:val="007E6C22"/>
    <w:rsid w:val="007E7236"/>
    <w:rsid w:val="007E73BB"/>
    <w:rsid w:val="007F05ED"/>
    <w:rsid w:val="007F08D7"/>
    <w:rsid w:val="007F118E"/>
    <w:rsid w:val="007F346A"/>
    <w:rsid w:val="007F42A8"/>
    <w:rsid w:val="007F4854"/>
    <w:rsid w:val="007F4B1B"/>
    <w:rsid w:val="007F5389"/>
    <w:rsid w:val="007F54BE"/>
    <w:rsid w:val="007F5691"/>
    <w:rsid w:val="007F56DC"/>
    <w:rsid w:val="007F57B4"/>
    <w:rsid w:val="007F6626"/>
    <w:rsid w:val="007F76DB"/>
    <w:rsid w:val="00801437"/>
    <w:rsid w:val="00802899"/>
    <w:rsid w:val="0080440D"/>
    <w:rsid w:val="008047D5"/>
    <w:rsid w:val="00804CFC"/>
    <w:rsid w:val="00805B01"/>
    <w:rsid w:val="00805C5F"/>
    <w:rsid w:val="00805DE7"/>
    <w:rsid w:val="00806263"/>
    <w:rsid w:val="008066B1"/>
    <w:rsid w:val="00807058"/>
    <w:rsid w:val="008072F2"/>
    <w:rsid w:val="00807E71"/>
    <w:rsid w:val="00807EF3"/>
    <w:rsid w:val="00810D42"/>
    <w:rsid w:val="0081143D"/>
    <w:rsid w:val="00811531"/>
    <w:rsid w:val="008116AC"/>
    <w:rsid w:val="00811DB3"/>
    <w:rsid w:val="00811F7D"/>
    <w:rsid w:val="00812388"/>
    <w:rsid w:val="00812FDE"/>
    <w:rsid w:val="0081342F"/>
    <w:rsid w:val="008140F6"/>
    <w:rsid w:val="00814110"/>
    <w:rsid w:val="00814554"/>
    <w:rsid w:val="0081486B"/>
    <w:rsid w:val="00814B74"/>
    <w:rsid w:val="00816922"/>
    <w:rsid w:val="00816E3A"/>
    <w:rsid w:val="00816F66"/>
    <w:rsid w:val="0081714E"/>
    <w:rsid w:val="008176A0"/>
    <w:rsid w:val="00817ECD"/>
    <w:rsid w:val="008200C5"/>
    <w:rsid w:val="008204DE"/>
    <w:rsid w:val="0082098A"/>
    <w:rsid w:val="00820D4D"/>
    <w:rsid w:val="00821EC9"/>
    <w:rsid w:val="00823840"/>
    <w:rsid w:val="00823AB5"/>
    <w:rsid w:val="00823FE8"/>
    <w:rsid w:val="0082459A"/>
    <w:rsid w:val="0082550B"/>
    <w:rsid w:val="008256D8"/>
    <w:rsid w:val="00826BAC"/>
    <w:rsid w:val="00827241"/>
    <w:rsid w:val="00830074"/>
    <w:rsid w:val="00830887"/>
    <w:rsid w:val="008308C2"/>
    <w:rsid w:val="00830EA2"/>
    <w:rsid w:val="008324C4"/>
    <w:rsid w:val="0083301B"/>
    <w:rsid w:val="00834926"/>
    <w:rsid w:val="00834AAD"/>
    <w:rsid w:val="00834C6D"/>
    <w:rsid w:val="008359D7"/>
    <w:rsid w:val="008359E4"/>
    <w:rsid w:val="00835F82"/>
    <w:rsid w:val="00836437"/>
    <w:rsid w:val="00836987"/>
    <w:rsid w:val="00836998"/>
    <w:rsid w:val="0084004C"/>
    <w:rsid w:val="00841143"/>
    <w:rsid w:val="00842269"/>
    <w:rsid w:val="0084255E"/>
    <w:rsid w:val="0084324E"/>
    <w:rsid w:val="00843AE9"/>
    <w:rsid w:val="008440E5"/>
    <w:rsid w:val="00844E34"/>
    <w:rsid w:val="00844F4A"/>
    <w:rsid w:val="008453C2"/>
    <w:rsid w:val="00845845"/>
    <w:rsid w:val="008460AC"/>
    <w:rsid w:val="00846647"/>
    <w:rsid w:val="00847286"/>
    <w:rsid w:val="008476CD"/>
    <w:rsid w:val="00847DF5"/>
    <w:rsid w:val="00850A5D"/>
    <w:rsid w:val="00850B57"/>
    <w:rsid w:val="00850F8A"/>
    <w:rsid w:val="0085127D"/>
    <w:rsid w:val="0085156A"/>
    <w:rsid w:val="0085208C"/>
    <w:rsid w:val="00852678"/>
    <w:rsid w:val="00853144"/>
    <w:rsid w:val="008533F9"/>
    <w:rsid w:val="00854777"/>
    <w:rsid w:val="00854864"/>
    <w:rsid w:val="00854B32"/>
    <w:rsid w:val="00855986"/>
    <w:rsid w:val="00855CE0"/>
    <w:rsid w:val="0085638D"/>
    <w:rsid w:val="00856BFC"/>
    <w:rsid w:val="00856C6F"/>
    <w:rsid w:val="0085702E"/>
    <w:rsid w:val="008574D9"/>
    <w:rsid w:val="008604E0"/>
    <w:rsid w:val="0086074D"/>
    <w:rsid w:val="00860E38"/>
    <w:rsid w:val="00861E66"/>
    <w:rsid w:val="0086293C"/>
    <w:rsid w:val="00863DAA"/>
    <w:rsid w:val="00864451"/>
    <w:rsid w:val="008646C9"/>
    <w:rsid w:val="00864BDA"/>
    <w:rsid w:val="00865336"/>
    <w:rsid w:val="00865A34"/>
    <w:rsid w:val="00865E16"/>
    <w:rsid w:val="0086668A"/>
    <w:rsid w:val="00866EBD"/>
    <w:rsid w:val="008671AE"/>
    <w:rsid w:val="0086766F"/>
    <w:rsid w:val="00867803"/>
    <w:rsid w:val="00867FDA"/>
    <w:rsid w:val="00870073"/>
    <w:rsid w:val="00870686"/>
    <w:rsid w:val="0087068E"/>
    <w:rsid w:val="00870F87"/>
    <w:rsid w:val="00871980"/>
    <w:rsid w:val="00871EC7"/>
    <w:rsid w:val="00872831"/>
    <w:rsid w:val="00872CEC"/>
    <w:rsid w:val="00872F60"/>
    <w:rsid w:val="0087339F"/>
    <w:rsid w:val="008733DE"/>
    <w:rsid w:val="00873BBD"/>
    <w:rsid w:val="00873D70"/>
    <w:rsid w:val="00875BFB"/>
    <w:rsid w:val="00877445"/>
    <w:rsid w:val="00877B7A"/>
    <w:rsid w:val="00880B5D"/>
    <w:rsid w:val="00880D16"/>
    <w:rsid w:val="00880EB9"/>
    <w:rsid w:val="00881E84"/>
    <w:rsid w:val="00882583"/>
    <w:rsid w:val="008839C1"/>
    <w:rsid w:val="008839EA"/>
    <w:rsid w:val="00883B91"/>
    <w:rsid w:val="008846A1"/>
    <w:rsid w:val="00884AD3"/>
    <w:rsid w:val="0088548A"/>
    <w:rsid w:val="00885536"/>
    <w:rsid w:val="0088619D"/>
    <w:rsid w:val="00886712"/>
    <w:rsid w:val="00886CE4"/>
    <w:rsid w:val="008875A5"/>
    <w:rsid w:val="00887ECD"/>
    <w:rsid w:val="00890D67"/>
    <w:rsid w:val="00891FB1"/>
    <w:rsid w:val="008920E1"/>
    <w:rsid w:val="0089337D"/>
    <w:rsid w:val="0089395D"/>
    <w:rsid w:val="00893FBB"/>
    <w:rsid w:val="008948CC"/>
    <w:rsid w:val="00895157"/>
    <w:rsid w:val="00895BF5"/>
    <w:rsid w:val="00895F0C"/>
    <w:rsid w:val="00896935"/>
    <w:rsid w:val="00896F6F"/>
    <w:rsid w:val="00897D15"/>
    <w:rsid w:val="008A1E09"/>
    <w:rsid w:val="008A2AF7"/>
    <w:rsid w:val="008A32E7"/>
    <w:rsid w:val="008A3625"/>
    <w:rsid w:val="008A414B"/>
    <w:rsid w:val="008A4442"/>
    <w:rsid w:val="008A65B3"/>
    <w:rsid w:val="008A6B96"/>
    <w:rsid w:val="008A6EFC"/>
    <w:rsid w:val="008B0006"/>
    <w:rsid w:val="008B06B8"/>
    <w:rsid w:val="008B0759"/>
    <w:rsid w:val="008B1712"/>
    <w:rsid w:val="008B1975"/>
    <w:rsid w:val="008B1A07"/>
    <w:rsid w:val="008B20AD"/>
    <w:rsid w:val="008B22FF"/>
    <w:rsid w:val="008B2CE6"/>
    <w:rsid w:val="008B39E7"/>
    <w:rsid w:val="008B57CB"/>
    <w:rsid w:val="008B5F5D"/>
    <w:rsid w:val="008B654C"/>
    <w:rsid w:val="008B6AA3"/>
    <w:rsid w:val="008B74A9"/>
    <w:rsid w:val="008B7711"/>
    <w:rsid w:val="008B7993"/>
    <w:rsid w:val="008C0202"/>
    <w:rsid w:val="008C057C"/>
    <w:rsid w:val="008C0803"/>
    <w:rsid w:val="008C0809"/>
    <w:rsid w:val="008C0BB6"/>
    <w:rsid w:val="008C142C"/>
    <w:rsid w:val="008C15AC"/>
    <w:rsid w:val="008C1675"/>
    <w:rsid w:val="008C1B6F"/>
    <w:rsid w:val="008C2AA6"/>
    <w:rsid w:val="008C4D75"/>
    <w:rsid w:val="008C52C2"/>
    <w:rsid w:val="008C5425"/>
    <w:rsid w:val="008C5E1F"/>
    <w:rsid w:val="008C6436"/>
    <w:rsid w:val="008C6AC3"/>
    <w:rsid w:val="008C6D11"/>
    <w:rsid w:val="008C6D1B"/>
    <w:rsid w:val="008C6E2E"/>
    <w:rsid w:val="008C7D0F"/>
    <w:rsid w:val="008C7F89"/>
    <w:rsid w:val="008D070C"/>
    <w:rsid w:val="008D0853"/>
    <w:rsid w:val="008D0DA6"/>
    <w:rsid w:val="008D10E0"/>
    <w:rsid w:val="008D17E0"/>
    <w:rsid w:val="008D1810"/>
    <w:rsid w:val="008D1873"/>
    <w:rsid w:val="008D1A3D"/>
    <w:rsid w:val="008D2F48"/>
    <w:rsid w:val="008D3BF8"/>
    <w:rsid w:val="008D4898"/>
    <w:rsid w:val="008D4A32"/>
    <w:rsid w:val="008D5594"/>
    <w:rsid w:val="008D59AC"/>
    <w:rsid w:val="008D5C06"/>
    <w:rsid w:val="008D5DE1"/>
    <w:rsid w:val="008D671B"/>
    <w:rsid w:val="008D69A9"/>
    <w:rsid w:val="008D6A0D"/>
    <w:rsid w:val="008D6B8E"/>
    <w:rsid w:val="008D6F16"/>
    <w:rsid w:val="008D6F93"/>
    <w:rsid w:val="008D7F2D"/>
    <w:rsid w:val="008E0063"/>
    <w:rsid w:val="008E0B8C"/>
    <w:rsid w:val="008E13BC"/>
    <w:rsid w:val="008E15A6"/>
    <w:rsid w:val="008E1978"/>
    <w:rsid w:val="008E1BAA"/>
    <w:rsid w:val="008E22B5"/>
    <w:rsid w:val="008E2F02"/>
    <w:rsid w:val="008E3541"/>
    <w:rsid w:val="008E41C1"/>
    <w:rsid w:val="008E4B41"/>
    <w:rsid w:val="008E572B"/>
    <w:rsid w:val="008E6332"/>
    <w:rsid w:val="008E6674"/>
    <w:rsid w:val="008E671F"/>
    <w:rsid w:val="008E70E4"/>
    <w:rsid w:val="008E7270"/>
    <w:rsid w:val="008E751B"/>
    <w:rsid w:val="008E7903"/>
    <w:rsid w:val="008E7AB0"/>
    <w:rsid w:val="008F0D69"/>
    <w:rsid w:val="008F1343"/>
    <w:rsid w:val="008F1DFF"/>
    <w:rsid w:val="008F1EEA"/>
    <w:rsid w:val="008F2003"/>
    <w:rsid w:val="008F22D8"/>
    <w:rsid w:val="008F27C5"/>
    <w:rsid w:val="008F2B01"/>
    <w:rsid w:val="008F3179"/>
    <w:rsid w:val="008F334E"/>
    <w:rsid w:val="008F35D8"/>
    <w:rsid w:val="008F38D4"/>
    <w:rsid w:val="008F39B9"/>
    <w:rsid w:val="008F3B99"/>
    <w:rsid w:val="008F3DB5"/>
    <w:rsid w:val="008F4140"/>
    <w:rsid w:val="008F4CAA"/>
    <w:rsid w:val="008F4F93"/>
    <w:rsid w:val="008F59D7"/>
    <w:rsid w:val="008F5CAA"/>
    <w:rsid w:val="008F6416"/>
    <w:rsid w:val="008F6EC3"/>
    <w:rsid w:val="008F7BC5"/>
    <w:rsid w:val="008F7E55"/>
    <w:rsid w:val="009001D1"/>
    <w:rsid w:val="00901096"/>
    <w:rsid w:val="00901213"/>
    <w:rsid w:val="00901706"/>
    <w:rsid w:val="00902000"/>
    <w:rsid w:val="009039AA"/>
    <w:rsid w:val="00903BDB"/>
    <w:rsid w:val="00903DAC"/>
    <w:rsid w:val="009043CB"/>
    <w:rsid w:val="00904D45"/>
    <w:rsid w:val="00905C05"/>
    <w:rsid w:val="00905EE2"/>
    <w:rsid w:val="00905FCD"/>
    <w:rsid w:val="00906BAB"/>
    <w:rsid w:val="00906FF9"/>
    <w:rsid w:val="00907606"/>
    <w:rsid w:val="00907936"/>
    <w:rsid w:val="00907D37"/>
    <w:rsid w:val="00910293"/>
    <w:rsid w:val="00910A1D"/>
    <w:rsid w:val="00910A43"/>
    <w:rsid w:val="00911FAB"/>
    <w:rsid w:val="009120B1"/>
    <w:rsid w:val="009127F0"/>
    <w:rsid w:val="00912CA4"/>
    <w:rsid w:val="00914583"/>
    <w:rsid w:val="00914740"/>
    <w:rsid w:val="00914D74"/>
    <w:rsid w:val="00914D8C"/>
    <w:rsid w:val="00915081"/>
    <w:rsid w:val="009151BA"/>
    <w:rsid w:val="009157CF"/>
    <w:rsid w:val="00915AB2"/>
    <w:rsid w:val="009161EC"/>
    <w:rsid w:val="00916296"/>
    <w:rsid w:val="00917317"/>
    <w:rsid w:val="009174FE"/>
    <w:rsid w:val="0092014F"/>
    <w:rsid w:val="00920472"/>
    <w:rsid w:val="00920B54"/>
    <w:rsid w:val="00921E75"/>
    <w:rsid w:val="0092204F"/>
    <w:rsid w:val="00922164"/>
    <w:rsid w:val="0092291A"/>
    <w:rsid w:val="00922C2E"/>
    <w:rsid w:val="00923DEA"/>
    <w:rsid w:val="009248BF"/>
    <w:rsid w:val="00924E68"/>
    <w:rsid w:val="0092639A"/>
    <w:rsid w:val="009276C8"/>
    <w:rsid w:val="00930F0B"/>
    <w:rsid w:val="00931309"/>
    <w:rsid w:val="009316DF"/>
    <w:rsid w:val="00932C36"/>
    <w:rsid w:val="00933B37"/>
    <w:rsid w:val="0093478B"/>
    <w:rsid w:val="00934823"/>
    <w:rsid w:val="009356C2"/>
    <w:rsid w:val="00935A24"/>
    <w:rsid w:val="00935B77"/>
    <w:rsid w:val="00935BF8"/>
    <w:rsid w:val="00937541"/>
    <w:rsid w:val="009375C7"/>
    <w:rsid w:val="00937677"/>
    <w:rsid w:val="00937D03"/>
    <w:rsid w:val="00937E3F"/>
    <w:rsid w:val="009403FF"/>
    <w:rsid w:val="00940513"/>
    <w:rsid w:val="009413FB"/>
    <w:rsid w:val="00941477"/>
    <w:rsid w:val="009427D4"/>
    <w:rsid w:val="00942B07"/>
    <w:rsid w:val="00942F0F"/>
    <w:rsid w:val="00943049"/>
    <w:rsid w:val="00943303"/>
    <w:rsid w:val="00943706"/>
    <w:rsid w:val="00943C27"/>
    <w:rsid w:val="00943C56"/>
    <w:rsid w:val="00944251"/>
    <w:rsid w:val="009444FD"/>
    <w:rsid w:val="00945276"/>
    <w:rsid w:val="009454A6"/>
    <w:rsid w:val="00945A22"/>
    <w:rsid w:val="00945C29"/>
    <w:rsid w:val="009465FC"/>
    <w:rsid w:val="00947239"/>
    <w:rsid w:val="00947251"/>
    <w:rsid w:val="009477F5"/>
    <w:rsid w:val="00950987"/>
    <w:rsid w:val="00950ABB"/>
    <w:rsid w:val="00950B25"/>
    <w:rsid w:val="00950D53"/>
    <w:rsid w:val="00951171"/>
    <w:rsid w:val="00953084"/>
    <w:rsid w:val="009530D1"/>
    <w:rsid w:val="0095319F"/>
    <w:rsid w:val="0095388C"/>
    <w:rsid w:val="00953FA5"/>
    <w:rsid w:val="009544AF"/>
    <w:rsid w:val="00954E68"/>
    <w:rsid w:val="00955886"/>
    <w:rsid w:val="00956103"/>
    <w:rsid w:val="00957495"/>
    <w:rsid w:val="00957CB5"/>
    <w:rsid w:val="00960723"/>
    <w:rsid w:val="0096242A"/>
    <w:rsid w:val="009624D1"/>
    <w:rsid w:val="009626AC"/>
    <w:rsid w:val="009635C2"/>
    <w:rsid w:val="00964457"/>
    <w:rsid w:val="00966B47"/>
    <w:rsid w:val="00966C35"/>
    <w:rsid w:val="00966C3E"/>
    <w:rsid w:val="00966CE8"/>
    <w:rsid w:val="009676C3"/>
    <w:rsid w:val="00970480"/>
    <w:rsid w:val="00970D96"/>
    <w:rsid w:val="00970FDF"/>
    <w:rsid w:val="00971214"/>
    <w:rsid w:val="00971E0D"/>
    <w:rsid w:val="0097223C"/>
    <w:rsid w:val="0097244C"/>
    <w:rsid w:val="0097356C"/>
    <w:rsid w:val="009738DD"/>
    <w:rsid w:val="00973A7B"/>
    <w:rsid w:val="00975247"/>
    <w:rsid w:val="00975313"/>
    <w:rsid w:val="00975380"/>
    <w:rsid w:val="00975571"/>
    <w:rsid w:val="00975741"/>
    <w:rsid w:val="00975E9A"/>
    <w:rsid w:val="00976262"/>
    <w:rsid w:val="00976F34"/>
    <w:rsid w:val="00977434"/>
    <w:rsid w:val="00977D03"/>
    <w:rsid w:val="00980131"/>
    <w:rsid w:val="00980212"/>
    <w:rsid w:val="0098030F"/>
    <w:rsid w:val="009806CA"/>
    <w:rsid w:val="00981BF2"/>
    <w:rsid w:val="00981F3B"/>
    <w:rsid w:val="00982078"/>
    <w:rsid w:val="00982A17"/>
    <w:rsid w:val="00982EF7"/>
    <w:rsid w:val="009832A2"/>
    <w:rsid w:val="00983862"/>
    <w:rsid w:val="00984889"/>
    <w:rsid w:val="0098490F"/>
    <w:rsid w:val="00985207"/>
    <w:rsid w:val="00985B9F"/>
    <w:rsid w:val="009861D2"/>
    <w:rsid w:val="009864FF"/>
    <w:rsid w:val="00986701"/>
    <w:rsid w:val="009868F7"/>
    <w:rsid w:val="00986BEE"/>
    <w:rsid w:val="009873D9"/>
    <w:rsid w:val="0098775B"/>
    <w:rsid w:val="009877B0"/>
    <w:rsid w:val="009906E1"/>
    <w:rsid w:val="0099097C"/>
    <w:rsid w:val="00991B36"/>
    <w:rsid w:val="00991C95"/>
    <w:rsid w:val="00991FD0"/>
    <w:rsid w:val="009922A7"/>
    <w:rsid w:val="009925C5"/>
    <w:rsid w:val="00992EF4"/>
    <w:rsid w:val="00992FFD"/>
    <w:rsid w:val="00993C74"/>
    <w:rsid w:val="009941E1"/>
    <w:rsid w:val="009947D1"/>
    <w:rsid w:val="00995904"/>
    <w:rsid w:val="00995BF4"/>
    <w:rsid w:val="0099613A"/>
    <w:rsid w:val="009964D5"/>
    <w:rsid w:val="00997326"/>
    <w:rsid w:val="0099765F"/>
    <w:rsid w:val="00997F7E"/>
    <w:rsid w:val="009A061E"/>
    <w:rsid w:val="009A08E1"/>
    <w:rsid w:val="009A110E"/>
    <w:rsid w:val="009A1231"/>
    <w:rsid w:val="009A1574"/>
    <w:rsid w:val="009A19CD"/>
    <w:rsid w:val="009A21D4"/>
    <w:rsid w:val="009A2AC2"/>
    <w:rsid w:val="009A2FD4"/>
    <w:rsid w:val="009A342D"/>
    <w:rsid w:val="009A46E9"/>
    <w:rsid w:val="009A4F12"/>
    <w:rsid w:val="009A52CE"/>
    <w:rsid w:val="009A5E95"/>
    <w:rsid w:val="009A6379"/>
    <w:rsid w:val="009A6A67"/>
    <w:rsid w:val="009A7C32"/>
    <w:rsid w:val="009B0513"/>
    <w:rsid w:val="009B0E95"/>
    <w:rsid w:val="009B1A12"/>
    <w:rsid w:val="009B1B0D"/>
    <w:rsid w:val="009B1B5A"/>
    <w:rsid w:val="009B20AD"/>
    <w:rsid w:val="009B2C7B"/>
    <w:rsid w:val="009B3CA1"/>
    <w:rsid w:val="009B3EB0"/>
    <w:rsid w:val="009B5534"/>
    <w:rsid w:val="009B5D25"/>
    <w:rsid w:val="009B7131"/>
    <w:rsid w:val="009B7933"/>
    <w:rsid w:val="009C03AB"/>
    <w:rsid w:val="009C04D8"/>
    <w:rsid w:val="009C07A2"/>
    <w:rsid w:val="009C07E5"/>
    <w:rsid w:val="009C08D3"/>
    <w:rsid w:val="009C0B4B"/>
    <w:rsid w:val="009C10DB"/>
    <w:rsid w:val="009C1242"/>
    <w:rsid w:val="009C2243"/>
    <w:rsid w:val="009C2D79"/>
    <w:rsid w:val="009C32D8"/>
    <w:rsid w:val="009C35E7"/>
    <w:rsid w:val="009C3CC0"/>
    <w:rsid w:val="009C3E83"/>
    <w:rsid w:val="009C3F6A"/>
    <w:rsid w:val="009C4572"/>
    <w:rsid w:val="009C50D5"/>
    <w:rsid w:val="009C54BB"/>
    <w:rsid w:val="009C624C"/>
    <w:rsid w:val="009C6664"/>
    <w:rsid w:val="009C7305"/>
    <w:rsid w:val="009C7509"/>
    <w:rsid w:val="009C773B"/>
    <w:rsid w:val="009C7957"/>
    <w:rsid w:val="009D0930"/>
    <w:rsid w:val="009D116F"/>
    <w:rsid w:val="009D1D73"/>
    <w:rsid w:val="009D2184"/>
    <w:rsid w:val="009D2F35"/>
    <w:rsid w:val="009D3872"/>
    <w:rsid w:val="009D3954"/>
    <w:rsid w:val="009D436F"/>
    <w:rsid w:val="009D5469"/>
    <w:rsid w:val="009D5A49"/>
    <w:rsid w:val="009D5FA1"/>
    <w:rsid w:val="009D6190"/>
    <w:rsid w:val="009D6A19"/>
    <w:rsid w:val="009D7B04"/>
    <w:rsid w:val="009D7F88"/>
    <w:rsid w:val="009E0082"/>
    <w:rsid w:val="009E0E0E"/>
    <w:rsid w:val="009E13C7"/>
    <w:rsid w:val="009E13E3"/>
    <w:rsid w:val="009E1707"/>
    <w:rsid w:val="009E2F74"/>
    <w:rsid w:val="009E42BE"/>
    <w:rsid w:val="009E4376"/>
    <w:rsid w:val="009E4855"/>
    <w:rsid w:val="009E4F5F"/>
    <w:rsid w:val="009E50B4"/>
    <w:rsid w:val="009E54C6"/>
    <w:rsid w:val="009E5A1B"/>
    <w:rsid w:val="009E5C2A"/>
    <w:rsid w:val="009E5D81"/>
    <w:rsid w:val="009E6097"/>
    <w:rsid w:val="009E6427"/>
    <w:rsid w:val="009E6A0A"/>
    <w:rsid w:val="009E6BCE"/>
    <w:rsid w:val="009E7342"/>
    <w:rsid w:val="009E734E"/>
    <w:rsid w:val="009F0C8A"/>
    <w:rsid w:val="009F0C91"/>
    <w:rsid w:val="009F0D6D"/>
    <w:rsid w:val="009F11A8"/>
    <w:rsid w:val="009F13EA"/>
    <w:rsid w:val="009F187D"/>
    <w:rsid w:val="009F188A"/>
    <w:rsid w:val="009F2178"/>
    <w:rsid w:val="009F21FD"/>
    <w:rsid w:val="009F3E1A"/>
    <w:rsid w:val="009F40D4"/>
    <w:rsid w:val="009F4C32"/>
    <w:rsid w:val="009F4CE0"/>
    <w:rsid w:val="009F4F25"/>
    <w:rsid w:val="009F5C53"/>
    <w:rsid w:val="009F5F94"/>
    <w:rsid w:val="009F64EB"/>
    <w:rsid w:val="009F690C"/>
    <w:rsid w:val="009F71D6"/>
    <w:rsid w:val="009F7486"/>
    <w:rsid w:val="009F7838"/>
    <w:rsid w:val="009F78DC"/>
    <w:rsid w:val="009F7AA8"/>
    <w:rsid w:val="00A000F1"/>
    <w:rsid w:val="00A00120"/>
    <w:rsid w:val="00A00438"/>
    <w:rsid w:val="00A00A66"/>
    <w:rsid w:val="00A011F2"/>
    <w:rsid w:val="00A01AB7"/>
    <w:rsid w:val="00A01C07"/>
    <w:rsid w:val="00A0381B"/>
    <w:rsid w:val="00A0397B"/>
    <w:rsid w:val="00A03B53"/>
    <w:rsid w:val="00A0447D"/>
    <w:rsid w:val="00A04C62"/>
    <w:rsid w:val="00A04D58"/>
    <w:rsid w:val="00A05406"/>
    <w:rsid w:val="00A055B1"/>
    <w:rsid w:val="00A05E60"/>
    <w:rsid w:val="00A06A4C"/>
    <w:rsid w:val="00A0703C"/>
    <w:rsid w:val="00A072E0"/>
    <w:rsid w:val="00A076F7"/>
    <w:rsid w:val="00A07D0E"/>
    <w:rsid w:val="00A07F75"/>
    <w:rsid w:val="00A07FB7"/>
    <w:rsid w:val="00A105A7"/>
    <w:rsid w:val="00A10638"/>
    <w:rsid w:val="00A1067E"/>
    <w:rsid w:val="00A108D4"/>
    <w:rsid w:val="00A111CB"/>
    <w:rsid w:val="00A1190B"/>
    <w:rsid w:val="00A11FB3"/>
    <w:rsid w:val="00A13291"/>
    <w:rsid w:val="00A1338E"/>
    <w:rsid w:val="00A13681"/>
    <w:rsid w:val="00A1371C"/>
    <w:rsid w:val="00A1491A"/>
    <w:rsid w:val="00A14D2E"/>
    <w:rsid w:val="00A150AA"/>
    <w:rsid w:val="00A1563F"/>
    <w:rsid w:val="00A15F9A"/>
    <w:rsid w:val="00A2058F"/>
    <w:rsid w:val="00A216DA"/>
    <w:rsid w:val="00A21D05"/>
    <w:rsid w:val="00A2249A"/>
    <w:rsid w:val="00A23254"/>
    <w:rsid w:val="00A23459"/>
    <w:rsid w:val="00A237CD"/>
    <w:rsid w:val="00A23D13"/>
    <w:rsid w:val="00A2574D"/>
    <w:rsid w:val="00A26F6C"/>
    <w:rsid w:val="00A27CA5"/>
    <w:rsid w:val="00A27DF8"/>
    <w:rsid w:val="00A27F6B"/>
    <w:rsid w:val="00A30AB1"/>
    <w:rsid w:val="00A31817"/>
    <w:rsid w:val="00A31AAA"/>
    <w:rsid w:val="00A3312B"/>
    <w:rsid w:val="00A33B67"/>
    <w:rsid w:val="00A343A7"/>
    <w:rsid w:val="00A3481E"/>
    <w:rsid w:val="00A348F6"/>
    <w:rsid w:val="00A349E4"/>
    <w:rsid w:val="00A34A2F"/>
    <w:rsid w:val="00A34EDB"/>
    <w:rsid w:val="00A35EF3"/>
    <w:rsid w:val="00A35FEA"/>
    <w:rsid w:val="00A360F7"/>
    <w:rsid w:val="00A364FA"/>
    <w:rsid w:val="00A36CD4"/>
    <w:rsid w:val="00A372CF"/>
    <w:rsid w:val="00A379F1"/>
    <w:rsid w:val="00A37AE9"/>
    <w:rsid w:val="00A37E7D"/>
    <w:rsid w:val="00A4000E"/>
    <w:rsid w:val="00A403CF"/>
    <w:rsid w:val="00A41094"/>
    <w:rsid w:val="00A4120E"/>
    <w:rsid w:val="00A41432"/>
    <w:rsid w:val="00A417A1"/>
    <w:rsid w:val="00A41C82"/>
    <w:rsid w:val="00A4286A"/>
    <w:rsid w:val="00A42949"/>
    <w:rsid w:val="00A42F42"/>
    <w:rsid w:val="00A43017"/>
    <w:rsid w:val="00A43297"/>
    <w:rsid w:val="00A4433F"/>
    <w:rsid w:val="00A444E4"/>
    <w:rsid w:val="00A44AF6"/>
    <w:rsid w:val="00A4643F"/>
    <w:rsid w:val="00A46B91"/>
    <w:rsid w:val="00A50454"/>
    <w:rsid w:val="00A50A92"/>
    <w:rsid w:val="00A51A34"/>
    <w:rsid w:val="00A52C8C"/>
    <w:rsid w:val="00A52F5C"/>
    <w:rsid w:val="00A530E8"/>
    <w:rsid w:val="00A533C9"/>
    <w:rsid w:val="00A541A4"/>
    <w:rsid w:val="00A5467F"/>
    <w:rsid w:val="00A54D2F"/>
    <w:rsid w:val="00A55627"/>
    <w:rsid w:val="00A561A7"/>
    <w:rsid w:val="00A56599"/>
    <w:rsid w:val="00A5719E"/>
    <w:rsid w:val="00A574A1"/>
    <w:rsid w:val="00A57511"/>
    <w:rsid w:val="00A601FF"/>
    <w:rsid w:val="00A605A0"/>
    <w:rsid w:val="00A60CDF"/>
    <w:rsid w:val="00A60FB0"/>
    <w:rsid w:val="00A6115C"/>
    <w:rsid w:val="00A616A0"/>
    <w:rsid w:val="00A61FFE"/>
    <w:rsid w:val="00A62281"/>
    <w:rsid w:val="00A6233A"/>
    <w:rsid w:val="00A6298F"/>
    <w:rsid w:val="00A62FFD"/>
    <w:rsid w:val="00A6453D"/>
    <w:rsid w:val="00A64DA3"/>
    <w:rsid w:val="00A64F97"/>
    <w:rsid w:val="00A6507A"/>
    <w:rsid w:val="00A654A4"/>
    <w:rsid w:val="00A6573A"/>
    <w:rsid w:val="00A65ADB"/>
    <w:rsid w:val="00A65AF7"/>
    <w:rsid w:val="00A65D44"/>
    <w:rsid w:val="00A6633A"/>
    <w:rsid w:val="00A66578"/>
    <w:rsid w:val="00A6663C"/>
    <w:rsid w:val="00A67145"/>
    <w:rsid w:val="00A67458"/>
    <w:rsid w:val="00A70016"/>
    <w:rsid w:val="00A7012E"/>
    <w:rsid w:val="00A70BCD"/>
    <w:rsid w:val="00A71063"/>
    <w:rsid w:val="00A72022"/>
    <w:rsid w:val="00A723BB"/>
    <w:rsid w:val="00A726AA"/>
    <w:rsid w:val="00A72D6B"/>
    <w:rsid w:val="00A72F0E"/>
    <w:rsid w:val="00A73A3E"/>
    <w:rsid w:val="00A73AA8"/>
    <w:rsid w:val="00A743D0"/>
    <w:rsid w:val="00A74A03"/>
    <w:rsid w:val="00A74FB8"/>
    <w:rsid w:val="00A751D8"/>
    <w:rsid w:val="00A75803"/>
    <w:rsid w:val="00A758F3"/>
    <w:rsid w:val="00A767CB"/>
    <w:rsid w:val="00A7702C"/>
    <w:rsid w:val="00A77613"/>
    <w:rsid w:val="00A77B41"/>
    <w:rsid w:val="00A8233B"/>
    <w:rsid w:val="00A826EE"/>
    <w:rsid w:val="00A83119"/>
    <w:rsid w:val="00A83CB5"/>
    <w:rsid w:val="00A83E57"/>
    <w:rsid w:val="00A842AF"/>
    <w:rsid w:val="00A84970"/>
    <w:rsid w:val="00A8503B"/>
    <w:rsid w:val="00A85AB7"/>
    <w:rsid w:val="00A85C89"/>
    <w:rsid w:val="00A86019"/>
    <w:rsid w:val="00A86940"/>
    <w:rsid w:val="00A8799D"/>
    <w:rsid w:val="00A90045"/>
    <w:rsid w:val="00A9091A"/>
    <w:rsid w:val="00A91BF3"/>
    <w:rsid w:val="00A91D03"/>
    <w:rsid w:val="00A93076"/>
    <w:rsid w:val="00A93176"/>
    <w:rsid w:val="00A93293"/>
    <w:rsid w:val="00A93380"/>
    <w:rsid w:val="00A9371C"/>
    <w:rsid w:val="00A93D0B"/>
    <w:rsid w:val="00A95028"/>
    <w:rsid w:val="00A95528"/>
    <w:rsid w:val="00A955C7"/>
    <w:rsid w:val="00A955ED"/>
    <w:rsid w:val="00A957DC"/>
    <w:rsid w:val="00A96380"/>
    <w:rsid w:val="00A96A42"/>
    <w:rsid w:val="00A96B97"/>
    <w:rsid w:val="00A96BDB"/>
    <w:rsid w:val="00A96D17"/>
    <w:rsid w:val="00A97519"/>
    <w:rsid w:val="00A97DA4"/>
    <w:rsid w:val="00AA00FC"/>
    <w:rsid w:val="00AA0117"/>
    <w:rsid w:val="00AA087B"/>
    <w:rsid w:val="00AA1130"/>
    <w:rsid w:val="00AA1996"/>
    <w:rsid w:val="00AA27E1"/>
    <w:rsid w:val="00AA3270"/>
    <w:rsid w:val="00AA35A1"/>
    <w:rsid w:val="00AA387C"/>
    <w:rsid w:val="00AA3D64"/>
    <w:rsid w:val="00AA3FCF"/>
    <w:rsid w:val="00AA4738"/>
    <w:rsid w:val="00AA4926"/>
    <w:rsid w:val="00AA5556"/>
    <w:rsid w:val="00AA5948"/>
    <w:rsid w:val="00AA5D69"/>
    <w:rsid w:val="00AA5F95"/>
    <w:rsid w:val="00AA7339"/>
    <w:rsid w:val="00AA7F25"/>
    <w:rsid w:val="00AB05C3"/>
    <w:rsid w:val="00AB0F8C"/>
    <w:rsid w:val="00AB13BC"/>
    <w:rsid w:val="00AB1822"/>
    <w:rsid w:val="00AB1D03"/>
    <w:rsid w:val="00AB2ABB"/>
    <w:rsid w:val="00AB337A"/>
    <w:rsid w:val="00AB3591"/>
    <w:rsid w:val="00AB3CB0"/>
    <w:rsid w:val="00AB3E93"/>
    <w:rsid w:val="00AB3F27"/>
    <w:rsid w:val="00AB42D2"/>
    <w:rsid w:val="00AB48C5"/>
    <w:rsid w:val="00AB4914"/>
    <w:rsid w:val="00AB4E4D"/>
    <w:rsid w:val="00AB503B"/>
    <w:rsid w:val="00AB549C"/>
    <w:rsid w:val="00AB56A3"/>
    <w:rsid w:val="00AB5CC4"/>
    <w:rsid w:val="00AB7026"/>
    <w:rsid w:val="00AB737F"/>
    <w:rsid w:val="00AB768E"/>
    <w:rsid w:val="00AB776E"/>
    <w:rsid w:val="00AC02E5"/>
    <w:rsid w:val="00AC04EA"/>
    <w:rsid w:val="00AC06CA"/>
    <w:rsid w:val="00AC0887"/>
    <w:rsid w:val="00AC13DC"/>
    <w:rsid w:val="00AC1E05"/>
    <w:rsid w:val="00AC228B"/>
    <w:rsid w:val="00AC28BC"/>
    <w:rsid w:val="00AC2941"/>
    <w:rsid w:val="00AC2979"/>
    <w:rsid w:val="00AC2F44"/>
    <w:rsid w:val="00AC325B"/>
    <w:rsid w:val="00AC3602"/>
    <w:rsid w:val="00AC3EB2"/>
    <w:rsid w:val="00AC3FEA"/>
    <w:rsid w:val="00AC4499"/>
    <w:rsid w:val="00AC48D7"/>
    <w:rsid w:val="00AC4E8A"/>
    <w:rsid w:val="00AC5D72"/>
    <w:rsid w:val="00AC6E16"/>
    <w:rsid w:val="00AC7996"/>
    <w:rsid w:val="00AD0360"/>
    <w:rsid w:val="00AD042D"/>
    <w:rsid w:val="00AD0A6E"/>
    <w:rsid w:val="00AD0ABF"/>
    <w:rsid w:val="00AD0B89"/>
    <w:rsid w:val="00AD0F2A"/>
    <w:rsid w:val="00AD18AA"/>
    <w:rsid w:val="00AD1F5C"/>
    <w:rsid w:val="00AD2373"/>
    <w:rsid w:val="00AD2385"/>
    <w:rsid w:val="00AD24AD"/>
    <w:rsid w:val="00AD24EC"/>
    <w:rsid w:val="00AD264B"/>
    <w:rsid w:val="00AD2C6D"/>
    <w:rsid w:val="00AD39B6"/>
    <w:rsid w:val="00AD3A7D"/>
    <w:rsid w:val="00AD3B52"/>
    <w:rsid w:val="00AD3F58"/>
    <w:rsid w:val="00AD41BF"/>
    <w:rsid w:val="00AD4343"/>
    <w:rsid w:val="00AD44AF"/>
    <w:rsid w:val="00AD45BF"/>
    <w:rsid w:val="00AD4F96"/>
    <w:rsid w:val="00AD555B"/>
    <w:rsid w:val="00AD6212"/>
    <w:rsid w:val="00AD645E"/>
    <w:rsid w:val="00AD6DE1"/>
    <w:rsid w:val="00AD6F78"/>
    <w:rsid w:val="00AE1EDE"/>
    <w:rsid w:val="00AE2D5C"/>
    <w:rsid w:val="00AE330A"/>
    <w:rsid w:val="00AE4028"/>
    <w:rsid w:val="00AE424F"/>
    <w:rsid w:val="00AE43CA"/>
    <w:rsid w:val="00AE4FB8"/>
    <w:rsid w:val="00AE58DC"/>
    <w:rsid w:val="00AE5BA1"/>
    <w:rsid w:val="00AE64FA"/>
    <w:rsid w:val="00AE687A"/>
    <w:rsid w:val="00AE72D8"/>
    <w:rsid w:val="00AE731F"/>
    <w:rsid w:val="00AE75BB"/>
    <w:rsid w:val="00AE75F4"/>
    <w:rsid w:val="00AF0182"/>
    <w:rsid w:val="00AF0F60"/>
    <w:rsid w:val="00AF14CF"/>
    <w:rsid w:val="00AF1921"/>
    <w:rsid w:val="00AF1922"/>
    <w:rsid w:val="00AF2572"/>
    <w:rsid w:val="00AF2ABE"/>
    <w:rsid w:val="00AF2D21"/>
    <w:rsid w:val="00AF34F1"/>
    <w:rsid w:val="00AF3590"/>
    <w:rsid w:val="00AF3F75"/>
    <w:rsid w:val="00AF4186"/>
    <w:rsid w:val="00AF4AC9"/>
    <w:rsid w:val="00AF5317"/>
    <w:rsid w:val="00AF594D"/>
    <w:rsid w:val="00AF597D"/>
    <w:rsid w:val="00AF73FC"/>
    <w:rsid w:val="00AF7709"/>
    <w:rsid w:val="00AF7822"/>
    <w:rsid w:val="00AF7867"/>
    <w:rsid w:val="00AF793F"/>
    <w:rsid w:val="00AF79EA"/>
    <w:rsid w:val="00AF7CE9"/>
    <w:rsid w:val="00B0054C"/>
    <w:rsid w:val="00B00993"/>
    <w:rsid w:val="00B00C41"/>
    <w:rsid w:val="00B00C78"/>
    <w:rsid w:val="00B00D8B"/>
    <w:rsid w:val="00B00F98"/>
    <w:rsid w:val="00B01D3E"/>
    <w:rsid w:val="00B02489"/>
    <w:rsid w:val="00B02902"/>
    <w:rsid w:val="00B041A3"/>
    <w:rsid w:val="00B04463"/>
    <w:rsid w:val="00B057C9"/>
    <w:rsid w:val="00B058BC"/>
    <w:rsid w:val="00B06298"/>
    <w:rsid w:val="00B06C84"/>
    <w:rsid w:val="00B06E6C"/>
    <w:rsid w:val="00B0747B"/>
    <w:rsid w:val="00B074C6"/>
    <w:rsid w:val="00B075F0"/>
    <w:rsid w:val="00B10029"/>
    <w:rsid w:val="00B1041B"/>
    <w:rsid w:val="00B105C3"/>
    <w:rsid w:val="00B11A71"/>
    <w:rsid w:val="00B11C95"/>
    <w:rsid w:val="00B11D0A"/>
    <w:rsid w:val="00B12088"/>
    <w:rsid w:val="00B125B6"/>
    <w:rsid w:val="00B13147"/>
    <w:rsid w:val="00B134ED"/>
    <w:rsid w:val="00B13968"/>
    <w:rsid w:val="00B13B45"/>
    <w:rsid w:val="00B13DD3"/>
    <w:rsid w:val="00B1419C"/>
    <w:rsid w:val="00B14CF1"/>
    <w:rsid w:val="00B15C10"/>
    <w:rsid w:val="00B15C3D"/>
    <w:rsid w:val="00B166A4"/>
    <w:rsid w:val="00B17D1A"/>
    <w:rsid w:val="00B2044D"/>
    <w:rsid w:val="00B23FD9"/>
    <w:rsid w:val="00B24DA5"/>
    <w:rsid w:val="00B251F4"/>
    <w:rsid w:val="00B25395"/>
    <w:rsid w:val="00B25B36"/>
    <w:rsid w:val="00B262DB"/>
    <w:rsid w:val="00B262E8"/>
    <w:rsid w:val="00B26606"/>
    <w:rsid w:val="00B26677"/>
    <w:rsid w:val="00B267E5"/>
    <w:rsid w:val="00B26C12"/>
    <w:rsid w:val="00B26D33"/>
    <w:rsid w:val="00B26E8A"/>
    <w:rsid w:val="00B2766A"/>
    <w:rsid w:val="00B2794D"/>
    <w:rsid w:val="00B27E25"/>
    <w:rsid w:val="00B27F8A"/>
    <w:rsid w:val="00B3110A"/>
    <w:rsid w:val="00B31F7B"/>
    <w:rsid w:val="00B328AD"/>
    <w:rsid w:val="00B33516"/>
    <w:rsid w:val="00B335BA"/>
    <w:rsid w:val="00B337A5"/>
    <w:rsid w:val="00B33A25"/>
    <w:rsid w:val="00B342E2"/>
    <w:rsid w:val="00B345A9"/>
    <w:rsid w:val="00B346EB"/>
    <w:rsid w:val="00B34815"/>
    <w:rsid w:val="00B351A5"/>
    <w:rsid w:val="00B367A7"/>
    <w:rsid w:val="00B36B40"/>
    <w:rsid w:val="00B36BB6"/>
    <w:rsid w:val="00B37623"/>
    <w:rsid w:val="00B37FF2"/>
    <w:rsid w:val="00B40E4C"/>
    <w:rsid w:val="00B419A2"/>
    <w:rsid w:val="00B41D30"/>
    <w:rsid w:val="00B423A0"/>
    <w:rsid w:val="00B425B7"/>
    <w:rsid w:val="00B43D32"/>
    <w:rsid w:val="00B44215"/>
    <w:rsid w:val="00B44405"/>
    <w:rsid w:val="00B4470C"/>
    <w:rsid w:val="00B4518E"/>
    <w:rsid w:val="00B45B61"/>
    <w:rsid w:val="00B4659E"/>
    <w:rsid w:val="00B47253"/>
    <w:rsid w:val="00B475AD"/>
    <w:rsid w:val="00B50791"/>
    <w:rsid w:val="00B51FF5"/>
    <w:rsid w:val="00B52282"/>
    <w:rsid w:val="00B5291A"/>
    <w:rsid w:val="00B52B7D"/>
    <w:rsid w:val="00B531BA"/>
    <w:rsid w:val="00B5452A"/>
    <w:rsid w:val="00B54DDB"/>
    <w:rsid w:val="00B54DFF"/>
    <w:rsid w:val="00B54E72"/>
    <w:rsid w:val="00B55A59"/>
    <w:rsid w:val="00B55ACF"/>
    <w:rsid w:val="00B55CD7"/>
    <w:rsid w:val="00B55D63"/>
    <w:rsid w:val="00B55F52"/>
    <w:rsid w:val="00B5649F"/>
    <w:rsid w:val="00B5667E"/>
    <w:rsid w:val="00B56D32"/>
    <w:rsid w:val="00B57412"/>
    <w:rsid w:val="00B57A9B"/>
    <w:rsid w:val="00B57D32"/>
    <w:rsid w:val="00B57FC5"/>
    <w:rsid w:val="00B60842"/>
    <w:rsid w:val="00B60F22"/>
    <w:rsid w:val="00B613CB"/>
    <w:rsid w:val="00B6183B"/>
    <w:rsid w:val="00B62242"/>
    <w:rsid w:val="00B623D6"/>
    <w:rsid w:val="00B6312C"/>
    <w:rsid w:val="00B632AC"/>
    <w:rsid w:val="00B6345F"/>
    <w:rsid w:val="00B639E2"/>
    <w:rsid w:val="00B643A3"/>
    <w:rsid w:val="00B643D1"/>
    <w:rsid w:val="00B651FA"/>
    <w:rsid w:val="00B657F5"/>
    <w:rsid w:val="00B66939"/>
    <w:rsid w:val="00B66BA9"/>
    <w:rsid w:val="00B67241"/>
    <w:rsid w:val="00B67838"/>
    <w:rsid w:val="00B679E3"/>
    <w:rsid w:val="00B67D8C"/>
    <w:rsid w:val="00B67E20"/>
    <w:rsid w:val="00B7016F"/>
    <w:rsid w:val="00B72890"/>
    <w:rsid w:val="00B72C47"/>
    <w:rsid w:val="00B73850"/>
    <w:rsid w:val="00B73B35"/>
    <w:rsid w:val="00B74249"/>
    <w:rsid w:val="00B74AFF"/>
    <w:rsid w:val="00B74DCE"/>
    <w:rsid w:val="00B74F1E"/>
    <w:rsid w:val="00B756D4"/>
    <w:rsid w:val="00B75B2A"/>
    <w:rsid w:val="00B75EA5"/>
    <w:rsid w:val="00B75EC5"/>
    <w:rsid w:val="00B763FA"/>
    <w:rsid w:val="00B7677E"/>
    <w:rsid w:val="00B7689B"/>
    <w:rsid w:val="00B777FE"/>
    <w:rsid w:val="00B77E72"/>
    <w:rsid w:val="00B80159"/>
    <w:rsid w:val="00B80D6B"/>
    <w:rsid w:val="00B80F56"/>
    <w:rsid w:val="00B80FFF"/>
    <w:rsid w:val="00B8178F"/>
    <w:rsid w:val="00B81BDE"/>
    <w:rsid w:val="00B821DA"/>
    <w:rsid w:val="00B825D7"/>
    <w:rsid w:val="00B82E05"/>
    <w:rsid w:val="00B83AEE"/>
    <w:rsid w:val="00B83D92"/>
    <w:rsid w:val="00B83FEB"/>
    <w:rsid w:val="00B85338"/>
    <w:rsid w:val="00B854A9"/>
    <w:rsid w:val="00B861D4"/>
    <w:rsid w:val="00B864E5"/>
    <w:rsid w:val="00B873A1"/>
    <w:rsid w:val="00B87E87"/>
    <w:rsid w:val="00B901E8"/>
    <w:rsid w:val="00B90DBD"/>
    <w:rsid w:val="00B9111F"/>
    <w:rsid w:val="00B91586"/>
    <w:rsid w:val="00B91797"/>
    <w:rsid w:val="00B9214D"/>
    <w:rsid w:val="00B924A9"/>
    <w:rsid w:val="00B92CAD"/>
    <w:rsid w:val="00B93EAD"/>
    <w:rsid w:val="00B95154"/>
    <w:rsid w:val="00B956F1"/>
    <w:rsid w:val="00B95795"/>
    <w:rsid w:val="00B95923"/>
    <w:rsid w:val="00B96849"/>
    <w:rsid w:val="00B96CE2"/>
    <w:rsid w:val="00B96D8A"/>
    <w:rsid w:val="00B96F46"/>
    <w:rsid w:val="00B97D26"/>
    <w:rsid w:val="00BA00C0"/>
    <w:rsid w:val="00BA08D8"/>
    <w:rsid w:val="00BA0ADB"/>
    <w:rsid w:val="00BA1290"/>
    <w:rsid w:val="00BA21AE"/>
    <w:rsid w:val="00BA24BB"/>
    <w:rsid w:val="00BA275C"/>
    <w:rsid w:val="00BA2A33"/>
    <w:rsid w:val="00BA2BD2"/>
    <w:rsid w:val="00BA2BE7"/>
    <w:rsid w:val="00BA3359"/>
    <w:rsid w:val="00BA38AA"/>
    <w:rsid w:val="00BA38D3"/>
    <w:rsid w:val="00BA3A53"/>
    <w:rsid w:val="00BA4745"/>
    <w:rsid w:val="00BA4A19"/>
    <w:rsid w:val="00BA5032"/>
    <w:rsid w:val="00BA5516"/>
    <w:rsid w:val="00BA6D06"/>
    <w:rsid w:val="00BA7972"/>
    <w:rsid w:val="00BA7A23"/>
    <w:rsid w:val="00BA7F11"/>
    <w:rsid w:val="00BB0375"/>
    <w:rsid w:val="00BB0CAB"/>
    <w:rsid w:val="00BB119F"/>
    <w:rsid w:val="00BB17F2"/>
    <w:rsid w:val="00BB1D6C"/>
    <w:rsid w:val="00BB1FA2"/>
    <w:rsid w:val="00BB27C7"/>
    <w:rsid w:val="00BB312A"/>
    <w:rsid w:val="00BB3B4D"/>
    <w:rsid w:val="00BB460C"/>
    <w:rsid w:val="00BB5A46"/>
    <w:rsid w:val="00BB5E7B"/>
    <w:rsid w:val="00BB6B2B"/>
    <w:rsid w:val="00BB7864"/>
    <w:rsid w:val="00BC0440"/>
    <w:rsid w:val="00BC1305"/>
    <w:rsid w:val="00BC1623"/>
    <w:rsid w:val="00BC286C"/>
    <w:rsid w:val="00BC3010"/>
    <w:rsid w:val="00BC3B24"/>
    <w:rsid w:val="00BC422F"/>
    <w:rsid w:val="00BC44CA"/>
    <w:rsid w:val="00BC4A23"/>
    <w:rsid w:val="00BC5F11"/>
    <w:rsid w:val="00BC5FB2"/>
    <w:rsid w:val="00BC61FE"/>
    <w:rsid w:val="00BC620F"/>
    <w:rsid w:val="00BC6612"/>
    <w:rsid w:val="00BC6DD2"/>
    <w:rsid w:val="00BC7E40"/>
    <w:rsid w:val="00BD0261"/>
    <w:rsid w:val="00BD0D91"/>
    <w:rsid w:val="00BD1277"/>
    <w:rsid w:val="00BD1C10"/>
    <w:rsid w:val="00BD1E5D"/>
    <w:rsid w:val="00BD239A"/>
    <w:rsid w:val="00BD267D"/>
    <w:rsid w:val="00BD30E3"/>
    <w:rsid w:val="00BD3855"/>
    <w:rsid w:val="00BD3C37"/>
    <w:rsid w:val="00BD40CA"/>
    <w:rsid w:val="00BD42A7"/>
    <w:rsid w:val="00BD4A11"/>
    <w:rsid w:val="00BD529A"/>
    <w:rsid w:val="00BD5EFB"/>
    <w:rsid w:val="00BD6FE6"/>
    <w:rsid w:val="00BD732C"/>
    <w:rsid w:val="00BE044A"/>
    <w:rsid w:val="00BE11B4"/>
    <w:rsid w:val="00BE1C6F"/>
    <w:rsid w:val="00BE1EF5"/>
    <w:rsid w:val="00BE2D08"/>
    <w:rsid w:val="00BE3C7E"/>
    <w:rsid w:val="00BE3E0B"/>
    <w:rsid w:val="00BE49C0"/>
    <w:rsid w:val="00BE4D49"/>
    <w:rsid w:val="00BE5346"/>
    <w:rsid w:val="00BE539F"/>
    <w:rsid w:val="00BE5AE7"/>
    <w:rsid w:val="00BE5B6A"/>
    <w:rsid w:val="00BE60DB"/>
    <w:rsid w:val="00BE61F5"/>
    <w:rsid w:val="00BE6425"/>
    <w:rsid w:val="00BE6A4D"/>
    <w:rsid w:val="00BE6C62"/>
    <w:rsid w:val="00BF0CBA"/>
    <w:rsid w:val="00BF10CA"/>
    <w:rsid w:val="00BF1E1F"/>
    <w:rsid w:val="00BF2063"/>
    <w:rsid w:val="00BF2BBB"/>
    <w:rsid w:val="00BF3050"/>
    <w:rsid w:val="00BF4771"/>
    <w:rsid w:val="00BF505E"/>
    <w:rsid w:val="00BF519A"/>
    <w:rsid w:val="00BF51FB"/>
    <w:rsid w:val="00BF526B"/>
    <w:rsid w:val="00BF5A1E"/>
    <w:rsid w:val="00BF5AE7"/>
    <w:rsid w:val="00BF5AE8"/>
    <w:rsid w:val="00BF5E36"/>
    <w:rsid w:val="00BF60E3"/>
    <w:rsid w:val="00BF6B9C"/>
    <w:rsid w:val="00BF6C59"/>
    <w:rsid w:val="00BF75FB"/>
    <w:rsid w:val="00BF7610"/>
    <w:rsid w:val="00C00AD1"/>
    <w:rsid w:val="00C00CD0"/>
    <w:rsid w:val="00C00F7B"/>
    <w:rsid w:val="00C016F8"/>
    <w:rsid w:val="00C02514"/>
    <w:rsid w:val="00C02548"/>
    <w:rsid w:val="00C02B85"/>
    <w:rsid w:val="00C02C22"/>
    <w:rsid w:val="00C0381F"/>
    <w:rsid w:val="00C03959"/>
    <w:rsid w:val="00C03C45"/>
    <w:rsid w:val="00C03CFE"/>
    <w:rsid w:val="00C046A9"/>
    <w:rsid w:val="00C0475B"/>
    <w:rsid w:val="00C048E1"/>
    <w:rsid w:val="00C050AB"/>
    <w:rsid w:val="00C0590D"/>
    <w:rsid w:val="00C05C83"/>
    <w:rsid w:val="00C05CD1"/>
    <w:rsid w:val="00C05F00"/>
    <w:rsid w:val="00C06429"/>
    <w:rsid w:val="00C066D3"/>
    <w:rsid w:val="00C076CA"/>
    <w:rsid w:val="00C078D3"/>
    <w:rsid w:val="00C11485"/>
    <w:rsid w:val="00C11DE6"/>
    <w:rsid w:val="00C11FFB"/>
    <w:rsid w:val="00C11FFC"/>
    <w:rsid w:val="00C1278C"/>
    <w:rsid w:val="00C12C85"/>
    <w:rsid w:val="00C12D47"/>
    <w:rsid w:val="00C12DC1"/>
    <w:rsid w:val="00C12F69"/>
    <w:rsid w:val="00C13398"/>
    <w:rsid w:val="00C13D0C"/>
    <w:rsid w:val="00C13E7A"/>
    <w:rsid w:val="00C1447A"/>
    <w:rsid w:val="00C14C2D"/>
    <w:rsid w:val="00C155E4"/>
    <w:rsid w:val="00C162B1"/>
    <w:rsid w:val="00C167B2"/>
    <w:rsid w:val="00C167EC"/>
    <w:rsid w:val="00C1723B"/>
    <w:rsid w:val="00C202B4"/>
    <w:rsid w:val="00C2122E"/>
    <w:rsid w:val="00C215B7"/>
    <w:rsid w:val="00C22324"/>
    <w:rsid w:val="00C22879"/>
    <w:rsid w:val="00C23157"/>
    <w:rsid w:val="00C23309"/>
    <w:rsid w:val="00C23364"/>
    <w:rsid w:val="00C23A17"/>
    <w:rsid w:val="00C2477E"/>
    <w:rsid w:val="00C247CD"/>
    <w:rsid w:val="00C2536F"/>
    <w:rsid w:val="00C253D6"/>
    <w:rsid w:val="00C2577A"/>
    <w:rsid w:val="00C27317"/>
    <w:rsid w:val="00C2743F"/>
    <w:rsid w:val="00C277C3"/>
    <w:rsid w:val="00C30089"/>
    <w:rsid w:val="00C30344"/>
    <w:rsid w:val="00C3069A"/>
    <w:rsid w:val="00C30AE5"/>
    <w:rsid w:val="00C31140"/>
    <w:rsid w:val="00C31252"/>
    <w:rsid w:val="00C31613"/>
    <w:rsid w:val="00C319B7"/>
    <w:rsid w:val="00C31D6D"/>
    <w:rsid w:val="00C322F5"/>
    <w:rsid w:val="00C32C4B"/>
    <w:rsid w:val="00C33595"/>
    <w:rsid w:val="00C3374C"/>
    <w:rsid w:val="00C33826"/>
    <w:rsid w:val="00C34430"/>
    <w:rsid w:val="00C349CE"/>
    <w:rsid w:val="00C34A5A"/>
    <w:rsid w:val="00C34D9C"/>
    <w:rsid w:val="00C34E73"/>
    <w:rsid w:val="00C351FE"/>
    <w:rsid w:val="00C358A7"/>
    <w:rsid w:val="00C35921"/>
    <w:rsid w:val="00C362C8"/>
    <w:rsid w:val="00C369FA"/>
    <w:rsid w:val="00C3751F"/>
    <w:rsid w:val="00C376D8"/>
    <w:rsid w:val="00C37923"/>
    <w:rsid w:val="00C40258"/>
    <w:rsid w:val="00C40B56"/>
    <w:rsid w:val="00C41150"/>
    <w:rsid w:val="00C4132F"/>
    <w:rsid w:val="00C41D2F"/>
    <w:rsid w:val="00C42189"/>
    <w:rsid w:val="00C42BE4"/>
    <w:rsid w:val="00C4306D"/>
    <w:rsid w:val="00C44228"/>
    <w:rsid w:val="00C4429F"/>
    <w:rsid w:val="00C445A2"/>
    <w:rsid w:val="00C445F9"/>
    <w:rsid w:val="00C4487B"/>
    <w:rsid w:val="00C44DE0"/>
    <w:rsid w:val="00C45034"/>
    <w:rsid w:val="00C452A1"/>
    <w:rsid w:val="00C45450"/>
    <w:rsid w:val="00C457C2"/>
    <w:rsid w:val="00C45B39"/>
    <w:rsid w:val="00C45E27"/>
    <w:rsid w:val="00C46038"/>
    <w:rsid w:val="00C47474"/>
    <w:rsid w:val="00C5010B"/>
    <w:rsid w:val="00C50914"/>
    <w:rsid w:val="00C50AB6"/>
    <w:rsid w:val="00C526BD"/>
    <w:rsid w:val="00C52888"/>
    <w:rsid w:val="00C52D7C"/>
    <w:rsid w:val="00C5374D"/>
    <w:rsid w:val="00C53B1A"/>
    <w:rsid w:val="00C540E1"/>
    <w:rsid w:val="00C549A6"/>
    <w:rsid w:val="00C54AA0"/>
    <w:rsid w:val="00C54EDF"/>
    <w:rsid w:val="00C55275"/>
    <w:rsid w:val="00C555FC"/>
    <w:rsid w:val="00C55EF9"/>
    <w:rsid w:val="00C56001"/>
    <w:rsid w:val="00C560C5"/>
    <w:rsid w:val="00C56854"/>
    <w:rsid w:val="00C568FE"/>
    <w:rsid w:val="00C56A7E"/>
    <w:rsid w:val="00C56AB0"/>
    <w:rsid w:val="00C56B53"/>
    <w:rsid w:val="00C571AF"/>
    <w:rsid w:val="00C57A0B"/>
    <w:rsid w:val="00C60221"/>
    <w:rsid w:val="00C6240B"/>
    <w:rsid w:val="00C625CE"/>
    <w:rsid w:val="00C62C0D"/>
    <w:rsid w:val="00C62C3B"/>
    <w:rsid w:val="00C63447"/>
    <w:rsid w:val="00C635A6"/>
    <w:rsid w:val="00C6373D"/>
    <w:rsid w:val="00C63B55"/>
    <w:rsid w:val="00C63D17"/>
    <w:rsid w:val="00C63E42"/>
    <w:rsid w:val="00C641F8"/>
    <w:rsid w:val="00C64317"/>
    <w:rsid w:val="00C64DC5"/>
    <w:rsid w:val="00C65D08"/>
    <w:rsid w:val="00C65D0C"/>
    <w:rsid w:val="00C66AE5"/>
    <w:rsid w:val="00C66C9F"/>
    <w:rsid w:val="00C678F9"/>
    <w:rsid w:val="00C67E80"/>
    <w:rsid w:val="00C703F7"/>
    <w:rsid w:val="00C704A6"/>
    <w:rsid w:val="00C71B03"/>
    <w:rsid w:val="00C71CD1"/>
    <w:rsid w:val="00C7260F"/>
    <w:rsid w:val="00C7265E"/>
    <w:rsid w:val="00C728C8"/>
    <w:rsid w:val="00C731FC"/>
    <w:rsid w:val="00C73C6D"/>
    <w:rsid w:val="00C74FEB"/>
    <w:rsid w:val="00C75DD8"/>
    <w:rsid w:val="00C76543"/>
    <w:rsid w:val="00C76652"/>
    <w:rsid w:val="00C76712"/>
    <w:rsid w:val="00C76ADC"/>
    <w:rsid w:val="00C76BDF"/>
    <w:rsid w:val="00C76C92"/>
    <w:rsid w:val="00C76E9D"/>
    <w:rsid w:val="00C7742F"/>
    <w:rsid w:val="00C800B4"/>
    <w:rsid w:val="00C80158"/>
    <w:rsid w:val="00C80B1A"/>
    <w:rsid w:val="00C80C91"/>
    <w:rsid w:val="00C81968"/>
    <w:rsid w:val="00C81995"/>
    <w:rsid w:val="00C8281E"/>
    <w:rsid w:val="00C82F0B"/>
    <w:rsid w:val="00C833EB"/>
    <w:rsid w:val="00C834C1"/>
    <w:rsid w:val="00C84130"/>
    <w:rsid w:val="00C851AB"/>
    <w:rsid w:val="00C8527F"/>
    <w:rsid w:val="00C853A2"/>
    <w:rsid w:val="00C85BC4"/>
    <w:rsid w:val="00C85DEA"/>
    <w:rsid w:val="00C86073"/>
    <w:rsid w:val="00C86FDF"/>
    <w:rsid w:val="00C904B3"/>
    <w:rsid w:val="00C90846"/>
    <w:rsid w:val="00C90D53"/>
    <w:rsid w:val="00C9101F"/>
    <w:rsid w:val="00C91413"/>
    <w:rsid w:val="00C9166D"/>
    <w:rsid w:val="00C91D2B"/>
    <w:rsid w:val="00C91EA7"/>
    <w:rsid w:val="00C9203C"/>
    <w:rsid w:val="00C920D3"/>
    <w:rsid w:val="00C924EE"/>
    <w:rsid w:val="00C938FE"/>
    <w:rsid w:val="00C9391D"/>
    <w:rsid w:val="00C93B65"/>
    <w:rsid w:val="00C94648"/>
    <w:rsid w:val="00C94C35"/>
    <w:rsid w:val="00C94D9E"/>
    <w:rsid w:val="00C95890"/>
    <w:rsid w:val="00C961DD"/>
    <w:rsid w:val="00C97802"/>
    <w:rsid w:val="00C978E6"/>
    <w:rsid w:val="00C97F20"/>
    <w:rsid w:val="00CA02D3"/>
    <w:rsid w:val="00CA09BE"/>
    <w:rsid w:val="00CA2A22"/>
    <w:rsid w:val="00CA2BEC"/>
    <w:rsid w:val="00CA2D39"/>
    <w:rsid w:val="00CA2FD5"/>
    <w:rsid w:val="00CA33A4"/>
    <w:rsid w:val="00CA3527"/>
    <w:rsid w:val="00CA36EF"/>
    <w:rsid w:val="00CA4A06"/>
    <w:rsid w:val="00CA513B"/>
    <w:rsid w:val="00CA5474"/>
    <w:rsid w:val="00CA6065"/>
    <w:rsid w:val="00CA61DC"/>
    <w:rsid w:val="00CA64B1"/>
    <w:rsid w:val="00CA6510"/>
    <w:rsid w:val="00CA6649"/>
    <w:rsid w:val="00CA6C95"/>
    <w:rsid w:val="00CA7368"/>
    <w:rsid w:val="00CA74DB"/>
    <w:rsid w:val="00CA7793"/>
    <w:rsid w:val="00CA7AE4"/>
    <w:rsid w:val="00CB0B2E"/>
    <w:rsid w:val="00CB0FFA"/>
    <w:rsid w:val="00CB115D"/>
    <w:rsid w:val="00CB20B6"/>
    <w:rsid w:val="00CB265D"/>
    <w:rsid w:val="00CB34C4"/>
    <w:rsid w:val="00CB35FE"/>
    <w:rsid w:val="00CB3CA2"/>
    <w:rsid w:val="00CB44A2"/>
    <w:rsid w:val="00CB45F6"/>
    <w:rsid w:val="00CB47E9"/>
    <w:rsid w:val="00CB48C4"/>
    <w:rsid w:val="00CB5110"/>
    <w:rsid w:val="00CB6AB0"/>
    <w:rsid w:val="00CB6BC9"/>
    <w:rsid w:val="00CB6C08"/>
    <w:rsid w:val="00CB74B8"/>
    <w:rsid w:val="00CB7723"/>
    <w:rsid w:val="00CB7B6D"/>
    <w:rsid w:val="00CB7DAD"/>
    <w:rsid w:val="00CC005F"/>
    <w:rsid w:val="00CC07D4"/>
    <w:rsid w:val="00CC2520"/>
    <w:rsid w:val="00CC29CE"/>
    <w:rsid w:val="00CC2E3C"/>
    <w:rsid w:val="00CC3945"/>
    <w:rsid w:val="00CC39DF"/>
    <w:rsid w:val="00CC3E34"/>
    <w:rsid w:val="00CC4AE1"/>
    <w:rsid w:val="00CC5229"/>
    <w:rsid w:val="00CC557E"/>
    <w:rsid w:val="00CC564F"/>
    <w:rsid w:val="00CC5CAB"/>
    <w:rsid w:val="00CC5E0E"/>
    <w:rsid w:val="00CC6679"/>
    <w:rsid w:val="00CC6DDB"/>
    <w:rsid w:val="00CC6E65"/>
    <w:rsid w:val="00CC7E50"/>
    <w:rsid w:val="00CD06DD"/>
    <w:rsid w:val="00CD1111"/>
    <w:rsid w:val="00CD19FB"/>
    <w:rsid w:val="00CD2EBA"/>
    <w:rsid w:val="00CD3216"/>
    <w:rsid w:val="00CD325A"/>
    <w:rsid w:val="00CD32F5"/>
    <w:rsid w:val="00CD38CC"/>
    <w:rsid w:val="00CD3CEC"/>
    <w:rsid w:val="00CD4207"/>
    <w:rsid w:val="00CD485A"/>
    <w:rsid w:val="00CD5005"/>
    <w:rsid w:val="00CD6199"/>
    <w:rsid w:val="00CD6A34"/>
    <w:rsid w:val="00CD6EB7"/>
    <w:rsid w:val="00CD7B94"/>
    <w:rsid w:val="00CD7E8D"/>
    <w:rsid w:val="00CE0DEE"/>
    <w:rsid w:val="00CE14DC"/>
    <w:rsid w:val="00CE212C"/>
    <w:rsid w:val="00CE27F3"/>
    <w:rsid w:val="00CE3C84"/>
    <w:rsid w:val="00CE44DC"/>
    <w:rsid w:val="00CE493C"/>
    <w:rsid w:val="00CE4A54"/>
    <w:rsid w:val="00CE4EC1"/>
    <w:rsid w:val="00CE53F1"/>
    <w:rsid w:val="00CE54EA"/>
    <w:rsid w:val="00CE5D84"/>
    <w:rsid w:val="00CE6950"/>
    <w:rsid w:val="00CE69CB"/>
    <w:rsid w:val="00CE6ECE"/>
    <w:rsid w:val="00CE7106"/>
    <w:rsid w:val="00CE7B1D"/>
    <w:rsid w:val="00CF0F47"/>
    <w:rsid w:val="00CF13E8"/>
    <w:rsid w:val="00CF167B"/>
    <w:rsid w:val="00CF2085"/>
    <w:rsid w:val="00CF2BEB"/>
    <w:rsid w:val="00CF32E2"/>
    <w:rsid w:val="00CF3426"/>
    <w:rsid w:val="00CF3573"/>
    <w:rsid w:val="00CF3AAE"/>
    <w:rsid w:val="00CF3BB5"/>
    <w:rsid w:val="00CF404E"/>
    <w:rsid w:val="00CF4964"/>
    <w:rsid w:val="00CF52F1"/>
    <w:rsid w:val="00CF5B99"/>
    <w:rsid w:val="00CF5F4E"/>
    <w:rsid w:val="00CF5F53"/>
    <w:rsid w:val="00CF6C92"/>
    <w:rsid w:val="00D003BF"/>
    <w:rsid w:val="00D0056B"/>
    <w:rsid w:val="00D01E33"/>
    <w:rsid w:val="00D022CF"/>
    <w:rsid w:val="00D024FF"/>
    <w:rsid w:val="00D02DE5"/>
    <w:rsid w:val="00D032A4"/>
    <w:rsid w:val="00D03F77"/>
    <w:rsid w:val="00D04061"/>
    <w:rsid w:val="00D04750"/>
    <w:rsid w:val="00D0490D"/>
    <w:rsid w:val="00D04D98"/>
    <w:rsid w:val="00D04F4D"/>
    <w:rsid w:val="00D05742"/>
    <w:rsid w:val="00D05787"/>
    <w:rsid w:val="00D05DE0"/>
    <w:rsid w:val="00D05E6F"/>
    <w:rsid w:val="00D060AC"/>
    <w:rsid w:val="00D06346"/>
    <w:rsid w:val="00D070A5"/>
    <w:rsid w:val="00D0725A"/>
    <w:rsid w:val="00D073D0"/>
    <w:rsid w:val="00D07532"/>
    <w:rsid w:val="00D07623"/>
    <w:rsid w:val="00D07C71"/>
    <w:rsid w:val="00D10196"/>
    <w:rsid w:val="00D102A2"/>
    <w:rsid w:val="00D10307"/>
    <w:rsid w:val="00D109C2"/>
    <w:rsid w:val="00D1110F"/>
    <w:rsid w:val="00D1124A"/>
    <w:rsid w:val="00D120FE"/>
    <w:rsid w:val="00D13E1E"/>
    <w:rsid w:val="00D14640"/>
    <w:rsid w:val="00D14FE1"/>
    <w:rsid w:val="00D164CF"/>
    <w:rsid w:val="00D166EE"/>
    <w:rsid w:val="00D20438"/>
    <w:rsid w:val="00D206B0"/>
    <w:rsid w:val="00D20FFF"/>
    <w:rsid w:val="00D22B11"/>
    <w:rsid w:val="00D23D9D"/>
    <w:rsid w:val="00D24DD8"/>
    <w:rsid w:val="00D25268"/>
    <w:rsid w:val="00D257AB"/>
    <w:rsid w:val="00D25821"/>
    <w:rsid w:val="00D26CA6"/>
    <w:rsid w:val="00D26E43"/>
    <w:rsid w:val="00D30389"/>
    <w:rsid w:val="00D328B8"/>
    <w:rsid w:val="00D338A0"/>
    <w:rsid w:val="00D33FA7"/>
    <w:rsid w:val="00D34012"/>
    <w:rsid w:val="00D34043"/>
    <w:rsid w:val="00D3440A"/>
    <w:rsid w:val="00D3487F"/>
    <w:rsid w:val="00D348FF"/>
    <w:rsid w:val="00D35E5A"/>
    <w:rsid w:val="00D36597"/>
    <w:rsid w:val="00D37002"/>
    <w:rsid w:val="00D40119"/>
    <w:rsid w:val="00D409D5"/>
    <w:rsid w:val="00D40FB8"/>
    <w:rsid w:val="00D41514"/>
    <w:rsid w:val="00D431D6"/>
    <w:rsid w:val="00D43693"/>
    <w:rsid w:val="00D43D8B"/>
    <w:rsid w:val="00D4436D"/>
    <w:rsid w:val="00D44C6E"/>
    <w:rsid w:val="00D44D41"/>
    <w:rsid w:val="00D44EE2"/>
    <w:rsid w:val="00D45CD8"/>
    <w:rsid w:val="00D4610B"/>
    <w:rsid w:val="00D47A0B"/>
    <w:rsid w:val="00D50052"/>
    <w:rsid w:val="00D50DF3"/>
    <w:rsid w:val="00D50E5A"/>
    <w:rsid w:val="00D51ABF"/>
    <w:rsid w:val="00D51F35"/>
    <w:rsid w:val="00D520F5"/>
    <w:rsid w:val="00D522C0"/>
    <w:rsid w:val="00D52473"/>
    <w:rsid w:val="00D524EE"/>
    <w:rsid w:val="00D52AF1"/>
    <w:rsid w:val="00D52B72"/>
    <w:rsid w:val="00D52FE6"/>
    <w:rsid w:val="00D574D8"/>
    <w:rsid w:val="00D57568"/>
    <w:rsid w:val="00D6011B"/>
    <w:rsid w:val="00D60904"/>
    <w:rsid w:val="00D60A60"/>
    <w:rsid w:val="00D6172E"/>
    <w:rsid w:val="00D61750"/>
    <w:rsid w:val="00D64DF8"/>
    <w:rsid w:val="00D65EA5"/>
    <w:rsid w:val="00D667D6"/>
    <w:rsid w:val="00D66CD1"/>
    <w:rsid w:val="00D66F47"/>
    <w:rsid w:val="00D678F0"/>
    <w:rsid w:val="00D67ABA"/>
    <w:rsid w:val="00D67C22"/>
    <w:rsid w:val="00D70C96"/>
    <w:rsid w:val="00D71246"/>
    <w:rsid w:val="00D7196A"/>
    <w:rsid w:val="00D71EB2"/>
    <w:rsid w:val="00D72307"/>
    <w:rsid w:val="00D72D5B"/>
    <w:rsid w:val="00D733D1"/>
    <w:rsid w:val="00D739A5"/>
    <w:rsid w:val="00D74754"/>
    <w:rsid w:val="00D755AA"/>
    <w:rsid w:val="00D75B45"/>
    <w:rsid w:val="00D7605E"/>
    <w:rsid w:val="00D76888"/>
    <w:rsid w:val="00D76D2D"/>
    <w:rsid w:val="00D77327"/>
    <w:rsid w:val="00D776B5"/>
    <w:rsid w:val="00D77CFA"/>
    <w:rsid w:val="00D77EDB"/>
    <w:rsid w:val="00D8134A"/>
    <w:rsid w:val="00D8161C"/>
    <w:rsid w:val="00D82D17"/>
    <w:rsid w:val="00D83A18"/>
    <w:rsid w:val="00D83A75"/>
    <w:rsid w:val="00D847DC"/>
    <w:rsid w:val="00D84858"/>
    <w:rsid w:val="00D84A2D"/>
    <w:rsid w:val="00D84DE4"/>
    <w:rsid w:val="00D855D5"/>
    <w:rsid w:val="00D85ECD"/>
    <w:rsid w:val="00D86A54"/>
    <w:rsid w:val="00D86AB1"/>
    <w:rsid w:val="00D86BBE"/>
    <w:rsid w:val="00D8748D"/>
    <w:rsid w:val="00D908FF"/>
    <w:rsid w:val="00D9218F"/>
    <w:rsid w:val="00D92191"/>
    <w:rsid w:val="00D928EC"/>
    <w:rsid w:val="00D9308D"/>
    <w:rsid w:val="00D94D89"/>
    <w:rsid w:val="00D96A92"/>
    <w:rsid w:val="00D970D5"/>
    <w:rsid w:val="00D97C00"/>
    <w:rsid w:val="00DA0A5A"/>
    <w:rsid w:val="00DA167E"/>
    <w:rsid w:val="00DA1E12"/>
    <w:rsid w:val="00DA2952"/>
    <w:rsid w:val="00DA29D6"/>
    <w:rsid w:val="00DA3307"/>
    <w:rsid w:val="00DA37C1"/>
    <w:rsid w:val="00DA39C4"/>
    <w:rsid w:val="00DA3B2E"/>
    <w:rsid w:val="00DA3BE2"/>
    <w:rsid w:val="00DA439E"/>
    <w:rsid w:val="00DA59E1"/>
    <w:rsid w:val="00DA5D73"/>
    <w:rsid w:val="00DA5D7C"/>
    <w:rsid w:val="00DA5E86"/>
    <w:rsid w:val="00DA63E6"/>
    <w:rsid w:val="00DA68C7"/>
    <w:rsid w:val="00DA6CEF"/>
    <w:rsid w:val="00DA72D0"/>
    <w:rsid w:val="00DA76A7"/>
    <w:rsid w:val="00DA76BD"/>
    <w:rsid w:val="00DA7A18"/>
    <w:rsid w:val="00DB033C"/>
    <w:rsid w:val="00DB08D4"/>
    <w:rsid w:val="00DB0A5E"/>
    <w:rsid w:val="00DB15FD"/>
    <w:rsid w:val="00DB16CC"/>
    <w:rsid w:val="00DB1AF1"/>
    <w:rsid w:val="00DB205E"/>
    <w:rsid w:val="00DB2537"/>
    <w:rsid w:val="00DB3BAE"/>
    <w:rsid w:val="00DB4393"/>
    <w:rsid w:val="00DB45EA"/>
    <w:rsid w:val="00DB4F67"/>
    <w:rsid w:val="00DB62EF"/>
    <w:rsid w:val="00DB6876"/>
    <w:rsid w:val="00DB6905"/>
    <w:rsid w:val="00DB6BB6"/>
    <w:rsid w:val="00DB72FD"/>
    <w:rsid w:val="00DB75BD"/>
    <w:rsid w:val="00DB7880"/>
    <w:rsid w:val="00DC0540"/>
    <w:rsid w:val="00DC10AE"/>
    <w:rsid w:val="00DC17E7"/>
    <w:rsid w:val="00DC1A81"/>
    <w:rsid w:val="00DC1BFD"/>
    <w:rsid w:val="00DC38A8"/>
    <w:rsid w:val="00DC3B7A"/>
    <w:rsid w:val="00DC3C74"/>
    <w:rsid w:val="00DC43E4"/>
    <w:rsid w:val="00DC4D7D"/>
    <w:rsid w:val="00DC4FB5"/>
    <w:rsid w:val="00DC5354"/>
    <w:rsid w:val="00DC5394"/>
    <w:rsid w:val="00DC5708"/>
    <w:rsid w:val="00DC5EC1"/>
    <w:rsid w:val="00DC6D14"/>
    <w:rsid w:val="00DC6F5F"/>
    <w:rsid w:val="00DC703E"/>
    <w:rsid w:val="00DC709E"/>
    <w:rsid w:val="00DC7876"/>
    <w:rsid w:val="00DC7B1C"/>
    <w:rsid w:val="00DC7CE6"/>
    <w:rsid w:val="00DD12DB"/>
    <w:rsid w:val="00DD1569"/>
    <w:rsid w:val="00DD24A4"/>
    <w:rsid w:val="00DD25E2"/>
    <w:rsid w:val="00DD2601"/>
    <w:rsid w:val="00DD2A6E"/>
    <w:rsid w:val="00DD2C26"/>
    <w:rsid w:val="00DD3112"/>
    <w:rsid w:val="00DD3475"/>
    <w:rsid w:val="00DD35A8"/>
    <w:rsid w:val="00DD3889"/>
    <w:rsid w:val="00DD38AD"/>
    <w:rsid w:val="00DD3D70"/>
    <w:rsid w:val="00DD4260"/>
    <w:rsid w:val="00DD5099"/>
    <w:rsid w:val="00DD54F3"/>
    <w:rsid w:val="00DD68EE"/>
    <w:rsid w:val="00DD6AF0"/>
    <w:rsid w:val="00DD6CF5"/>
    <w:rsid w:val="00DD6F15"/>
    <w:rsid w:val="00DD730B"/>
    <w:rsid w:val="00DD78F0"/>
    <w:rsid w:val="00DE088A"/>
    <w:rsid w:val="00DE0EBC"/>
    <w:rsid w:val="00DE1E8B"/>
    <w:rsid w:val="00DE2347"/>
    <w:rsid w:val="00DE2896"/>
    <w:rsid w:val="00DE2A7C"/>
    <w:rsid w:val="00DE30CB"/>
    <w:rsid w:val="00DE3849"/>
    <w:rsid w:val="00DE4107"/>
    <w:rsid w:val="00DE5433"/>
    <w:rsid w:val="00DE54E0"/>
    <w:rsid w:val="00DE55A0"/>
    <w:rsid w:val="00DE586D"/>
    <w:rsid w:val="00DE5AC5"/>
    <w:rsid w:val="00DE5EBE"/>
    <w:rsid w:val="00DE63D9"/>
    <w:rsid w:val="00DE65A2"/>
    <w:rsid w:val="00DE722D"/>
    <w:rsid w:val="00DE79A3"/>
    <w:rsid w:val="00DF049C"/>
    <w:rsid w:val="00DF0D90"/>
    <w:rsid w:val="00DF0F51"/>
    <w:rsid w:val="00DF13FD"/>
    <w:rsid w:val="00DF1A73"/>
    <w:rsid w:val="00DF1E7A"/>
    <w:rsid w:val="00DF24A7"/>
    <w:rsid w:val="00DF2962"/>
    <w:rsid w:val="00DF2DAF"/>
    <w:rsid w:val="00DF2E38"/>
    <w:rsid w:val="00DF3847"/>
    <w:rsid w:val="00DF3E33"/>
    <w:rsid w:val="00DF4E44"/>
    <w:rsid w:val="00DF531C"/>
    <w:rsid w:val="00DF53C8"/>
    <w:rsid w:val="00DF57E5"/>
    <w:rsid w:val="00DF5B80"/>
    <w:rsid w:val="00DF6251"/>
    <w:rsid w:val="00DF7170"/>
    <w:rsid w:val="00DF7EB7"/>
    <w:rsid w:val="00E003D2"/>
    <w:rsid w:val="00E008C3"/>
    <w:rsid w:val="00E00C7A"/>
    <w:rsid w:val="00E015E0"/>
    <w:rsid w:val="00E01B14"/>
    <w:rsid w:val="00E02892"/>
    <w:rsid w:val="00E0297F"/>
    <w:rsid w:val="00E029CE"/>
    <w:rsid w:val="00E02F6E"/>
    <w:rsid w:val="00E04E47"/>
    <w:rsid w:val="00E053EF"/>
    <w:rsid w:val="00E05819"/>
    <w:rsid w:val="00E05B04"/>
    <w:rsid w:val="00E063EE"/>
    <w:rsid w:val="00E06419"/>
    <w:rsid w:val="00E06B85"/>
    <w:rsid w:val="00E073A5"/>
    <w:rsid w:val="00E073EE"/>
    <w:rsid w:val="00E0742A"/>
    <w:rsid w:val="00E075C5"/>
    <w:rsid w:val="00E078D3"/>
    <w:rsid w:val="00E07A31"/>
    <w:rsid w:val="00E07B4E"/>
    <w:rsid w:val="00E10B49"/>
    <w:rsid w:val="00E10B87"/>
    <w:rsid w:val="00E11024"/>
    <w:rsid w:val="00E1147C"/>
    <w:rsid w:val="00E11E9B"/>
    <w:rsid w:val="00E1330A"/>
    <w:rsid w:val="00E13C2A"/>
    <w:rsid w:val="00E14983"/>
    <w:rsid w:val="00E15A45"/>
    <w:rsid w:val="00E15C3F"/>
    <w:rsid w:val="00E17A29"/>
    <w:rsid w:val="00E17A61"/>
    <w:rsid w:val="00E17B91"/>
    <w:rsid w:val="00E17C74"/>
    <w:rsid w:val="00E200CD"/>
    <w:rsid w:val="00E2012E"/>
    <w:rsid w:val="00E20888"/>
    <w:rsid w:val="00E21563"/>
    <w:rsid w:val="00E215DA"/>
    <w:rsid w:val="00E21A24"/>
    <w:rsid w:val="00E222E0"/>
    <w:rsid w:val="00E2304D"/>
    <w:rsid w:val="00E2326B"/>
    <w:rsid w:val="00E23C4D"/>
    <w:rsid w:val="00E23F40"/>
    <w:rsid w:val="00E241FB"/>
    <w:rsid w:val="00E25688"/>
    <w:rsid w:val="00E25B3C"/>
    <w:rsid w:val="00E2696E"/>
    <w:rsid w:val="00E26DBB"/>
    <w:rsid w:val="00E274D3"/>
    <w:rsid w:val="00E27630"/>
    <w:rsid w:val="00E27A14"/>
    <w:rsid w:val="00E27E32"/>
    <w:rsid w:val="00E27F9D"/>
    <w:rsid w:val="00E27FD0"/>
    <w:rsid w:val="00E301ED"/>
    <w:rsid w:val="00E30EE6"/>
    <w:rsid w:val="00E30F01"/>
    <w:rsid w:val="00E31388"/>
    <w:rsid w:val="00E31569"/>
    <w:rsid w:val="00E318E3"/>
    <w:rsid w:val="00E31ED4"/>
    <w:rsid w:val="00E3208F"/>
    <w:rsid w:val="00E32254"/>
    <w:rsid w:val="00E327E0"/>
    <w:rsid w:val="00E33A5C"/>
    <w:rsid w:val="00E34382"/>
    <w:rsid w:val="00E34A65"/>
    <w:rsid w:val="00E34BAA"/>
    <w:rsid w:val="00E36150"/>
    <w:rsid w:val="00E3623C"/>
    <w:rsid w:val="00E366C4"/>
    <w:rsid w:val="00E370F1"/>
    <w:rsid w:val="00E374E4"/>
    <w:rsid w:val="00E377B4"/>
    <w:rsid w:val="00E408D7"/>
    <w:rsid w:val="00E413CA"/>
    <w:rsid w:val="00E4169E"/>
    <w:rsid w:val="00E418E4"/>
    <w:rsid w:val="00E419BD"/>
    <w:rsid w:val="00E41A67"/>
    <w:rsid w:val="00E422CE"/>
    <w:rsid w:val="00E42F91"/>
    <w:rsid w:val="00E43A77"/>
    <w:rsid w:val="00E44210"/>
    <w:rsid w:val="00E4455C"/>
    <w:rsid w:val="00E44732"/>
    <w:rsid w:val="00E449AB"/>
    <w:rsid w:val="00E4520F"/>
    <w:rsid w:val="00E453D1"/>
    <w:rsid w:val="00E455A0"/>
    <w:rsid w:val="00E458FC"/>
    <w:rsid w:val="00E45B63"/>
    <w:rsid w:val="00E45BC9"/>
    <w:rsid w:val="00E46062"/>
    <w:rsid w:val="00E4641C"/>
    <w:rsid w:val="00E46859"/>
    <w:rsid w:val="00E4687A"/>
    <w:rsid w:val="00E468BD"/>
    <w:rsid w:val="00E46FCC"/>
    <w:rsid w:val="00E47042"/>
    <w:rsid w:val="00E47143"/>
    <w:rsid w:val="00E471C4"/>
    <w:rsid w:val="00E4752E"/>
    <w:rsid w:val="00E476EC"/>
    <w:rsid w:val="00E47B07"/>
    <w:rsid w:val="00E47DB8"/>
    <w:rsid w:val="00E50075"/>
    <w:rsid w:val="00E5043D"/>
    <w:rsid w:val="00E50493"/>
    <w:rsid w:val="00E512C3"/>
    <w:rsid w:val="00E5186C"/>
    <w:rsid w:val="00E519C2"/>
    <w:rsid w:val="00E52050"/>
    <w:rsid w:val="00E52956"/>
    <w:rsid w:val="00E52E47"/>
    <w:rsid w:val="00E54314"/>
    <w:rsid w:val="00E548ED"/>
    <w:rsid w:val="00E549E8"/>
    <w:rsid w:val="00E54A4C"/>
    <w:rsid w:val="00E54B33"/>
    <w:rsid w:val="00E54D6A"/>
    <w:rsid w:val="00E550D8"/>
    <w:rsid w:val="00E55D41"/>
    <w:rsid w:val="00E55D61"/>
    <w:rsid w:val="00E56062"/>
    <w:rsid w:val="00E5608B"/>
    <w:rsid w:val="00E565AC"/>
    <w:rsid w:val="00E56CBC"/>
    <w:rsid w:val="00E5706B"/>
    <w:rsid w:val="00E57A67"/>
    <w:rsid w:val="00E57CE4"/>
    <w:rsid w:val="00E57FB6"/>
    <w:rsid w:val="00E60179"/>
    <w:rsid w:val="00E602D9"/>
    <w:rsid w:val="00E6105D"/>
    <w:rsid w:val="00E61ABC"/>
    <w:rsid w:val="00E634F0"/>
    <w:rsid w:val="00E6461B"/>
    <w:rsid w:val="00E649D4"/>
    <w:rsid w:val="00E64A37"/>
    <w:rsid w:val="00E65023"/>
    <w:rsid w:val="00E654B5"/>
    <w:rsid w:val="00E65E28"/>
    <w:rsid w:val="00E666A3"/>
    <w:rsid w:val="00E66A50"/>
    <w:rsid w:val="00E66F67"/>
    <w:rsid w:val="00E67C64"/>
    <w:rsid w:val="00E70136"/>
    <w:rsid w:val="00E70212"/>
    <w:rsid w:val="00E70523"/>
    <w:rsid w:val="00E70C05"/>
    <w:rsid w:val="00E70F14"/>
    <w:rsid w:val="00E711E6"/>
    <w:rsid w:val="00E71472"/>
    <w:rsid w:val="00E71BD3"/>
    <w:rsid w:val="00E71D82"/>
    <w:rsid w:val="00E7213F"/>
    <w:rsid w:val="00E72538"/>
    <w:rsid w:val="00E7273E"/>
    <w:rsid w:val="00E72741"/>
    <w:rsid w:val="00E72B36"/>
    <w:rsid w:val="00E73217"/>
    <w:rsid w:val="00E752F4"/>
    <w:rsid w:val="00E759DF"/>
    <w:rsid w:val="00E7609B"/>
    <w:rsid w:val="00E762C0"/>
    <w:rsid w:val="00E7718B"/>
    <w:rsid w:val="00E77310"/>
    <w:rsid w:val="00E80148"/>
    <w:rsid w:val="00E8040F"/>
    <w:rsid w:val="00E806A8"/>
    <w:rsid w:val="00E80DC3"/>
    <w:rsid w:val="00E822FB"/>
    <w:rsid w:val="00E827ED"/>
    <w:rsid w:val="00E82940"/>
    <w:rsid w:val="00E838F4"/>
    <w:rsid w:val="00E841AF"/>
    <w:rsid w:val="00E85097"/>
    <w:rsid w:val="00E85549"/>
    <w:rsid w:val="00E858E5"/>
    <w:rsid w:val="00E860D3"/>
    <w:rsid w:val="00E8636F"/>
    <w:rsid w:val="00E8683A"/>
    <w:rsid w:val="00E86979"/>
    <w:rsid w:val="00E86D1E"/>
    <w:rsid w:val="00E86DFF"/>
    <w:rsid w:val="00E8787D"/>
    <w:rsid w:val="00E87A43"/>
    <w:rsid w:val="00E87E15"/>
    <w:rsid w:val="00E90FBF"/>
    <w:rsid w:val="00E912F3"/>
    <w:rsid w:val="00E91563"/>
    <w:rsid w:val="00E92365"/>
    <w:rsid w:val="00E923C7"/>
    <w:rsid w:val="00E9256F"/>
    <w:rsid w:val="00E9260E"/>
    <w:rsid w:val="00E92649"/>
    <w:rsid w:val="00E92C18"/>
    <w:rsid w:val="00E93B69"/>
    <w:rsid w:val="00E93B9E"/>
    <w:rsid w:val="00E9494A"/>
    <w:rsid w:val="00E9538F"/>
    <w:rsid w:val="00E966AB"/>
    <w:rsid w:val="00E96BF2"/>
    <w:rsid w:val="00E96DCD"/>
    <w:rsid w:val="00E970BD"/>
    <w:rsid w:val="00E9753B"/>
    <w:rsid w:val="00E97B32"/>
    <w:rsid w:val="00EA0EE4"/>
    <w:rsid w:val="00EA1AFA"/>
    <w:rsid w:val="00EA2B2B"/>
    <w:rsid w:val="00EA2C12"/>
    <w:rsid w:val="00EA307E"/>
    <w:rsid w:val="00EA33A8"/>
    <w:rsid w:val="00EA378C"/>
    <w:rsid w:val="00EA37B5"/>
    <w:rsid w:val="00EA3900"/>
    <w:rsid w:val="00EA3B0E"/>
    <w:rsid w:val="00EA3F44"/>
    <w:rsid w:val="00EA42A0"/>
    <w:rsid w:val="00EA4388"/>
    <w:rsid w:val="00EA43D1"/>
    <w:rsid w:val="00EA45EA"/>
    <w:rsid w:val="00EA4A88"/>
    <w:rsid w:val="00EA52FD"/>
    <w:rsid w:val="00EA5A87"/>
    <w:rsid w:val="00EA600F"/>
    <w:rsid w:val="00EA7F0E"/>
    <w:rsid w:val="00EB0461"/>
    <w:rsid w:val="00EB05C0"/>
    <w:rsid w:val="00EB0664"/>
    <w:rsid w:val="00EB095C"/>
    <w:rsid w:val="00EB0BCE"/>
    <w:rsid w:val="00EB114E"/>
    <w:rsid w:val="00EB132D"/>
    <w:rsid w:val="00EB1BC2"/>
    <w:rsid w:val="00EB2136"/>
    <w:rsid w:val="00EB2816"/>
    <w:rsid w:val="00EB2A37"/>
    <w:rsid w:val="00EB319C"/>
    <w:rsid w:val="00EB34DA"/>
    <w:rsid w:val="00EB3723"/>
    <w:rsid w:val="00EB393F"/>
    <w:rsid w:val="00EB3EE7"/>
    <w:rsid w:val="00EB3F07"/>
    <w:rsid w:val="00EB425C"/>
    <w:rsid w:val="00EB42B4"/>
    <w:rsid w:val="00EB42F6"/>
    <w:rsid w:val="00EB44DB"/>
    <w:rsid w:val="00EB4D36"/>
    <w:rsid w:val="00EB50A3"/>
    <w:rsid w:val="00EB652E"/>
    <w:rsid w:val="00EB6797"/>
    <w:rsid w:val="00EB7231"/>
    <w:rsid w:val="00EB788C"/>
    <w:rsid w:val="00EB7C2A"/>
    <w:rsid w:val="00EB7CC6"/>
    <w:rsid w:val="00EC08E6"/>
    <w:rsid w:val="00EC0E7E"/>
    <w:rsid w:val="00EC29A4"/>
    <w:rsid w:val="00EC3566"/>
    <w:rsid w:val="00EC38F0"/>
    <w:rsid w:val="00EC3A75"/>
    <w:rsid w:val="00EC4990"/>
    <w:rsid w:val="00EC4F3A"/>
    <w:rsid w:val="00EC5345"/>
    <w:rsid w:val="00EC5849"/>
    <w:rsid w:val="00EC5E04"/>
    <w:rsid w:val="00EC5F74"/>
    <w:rsid w:val="00EC5FFC"/>
    <w:rsid w:val="00EC758A"/>
    <w:rsid w:val="00EC7E60"/>
    <w:rsid w:val="00ED0DD4"/>
    <w:rsid w:val="00ED0EE5"/>
    <w:rsid w:val="00ED169F"/>
    <w:rsid w:val="00ED1BFB"/>
    <w:rsid w:val="00ED1C5B"/>
    <w:rsid w:val="00ED1EE6"/>
    <w:rsid w:val="00ED21C3"/>
    <w:rsid w:val="00ED2482"/>
    <w:rsid w:val="00ED2E00"/>
    <w:rsid w:val="00ED33E6"/>
    <w:rsid w:val="00ED3E32"/>
    <w:rsid w:val="00ED3E61"/>
    <w:rsid w:val="00ED3E68"/>
    <w:rsid w:val="00ED3FE2"/>
    <w:rsid w:val="00ED4065"/>
    <w:rsid w:val="00ED41CA"/>
    <w:rsid w:val="00ED445C"/>
    <w:rsid w:val="00ED49A5"/>
    <w:rsid w:val="00ED4B8A"/>
    <w:rsid w:val="00ED4C03"/>
    <w:rsid w:val="00ED4E10"/>
    <w:rsid w:val="00ED5811"/>
    <w:rsid w:val="00ED5ACD"/>
    <w:rsid w:val="00ED5E0F"/>
    <w:rsid w:val="00ED639B"/>
    <w:rsid w:val="00ED6B2E"/>
    <w:rsid w:val="00ED7321"/>
    <w:rsid w:val="00ED7928"/>
    <w:rsid w:val="00ED7B6C"/>
    <w:rsid w:val="00EE0B4C"/>
    <w:rsid w:val="00EE100C"/>
    <w:rsid w:val="00EE18D8"/>
    <w:rsid w:val="00EE1DEA"/>
    <w:rsid w:val="00EE2A9B"/>
    <w:rsid w:val="00EE3058"/>
    <w:rsid w:val="00EE38BF"/>
    <w:rsid w:val="00EE3937"/>
    <w:rsid w:val="00EE3A40"/>
    <w:rsid w:val="00EE3AB1"/>
    <w:rsid w:val="00EE3F31"/>
    <w:rsid w:val="00EE47DD"/>
    <w:rsid w:val="00EE4BC0"/>
    <w:rsid w:val="00EE50C8"/>
    <w:rsid w:val="00EE5665"/>
    <w:rsid w:val="00EE65AE"/>
    <w:rsid w:val="00EE7B4B"/>
    <w:rsid w:val="00EF002F"/>
    <w:rsid w:val="00EF01CF"/>
    <w:rsid w:val="00EF1451"/>
    <w:rsid w:val="00EF1998"/>
    <w:rsid w:val="00EF1AFD"/>
    <w:rsid w:val="00EF1F80"/>
    <w:rsid w:val="00EF233F"/>
    <w:rsid w:val="00EF26E6"/>
    <w:rsid w:val="00EF2CE6"/>
    <w:rsid w:val="00EF3431"/>
    <w:rsid w:val="00EF3856"/>
    <w:rsid w:val="00EF40E1"/>
    <w:rsid w:val="00EF422B"/>
    <w:rsid w:val="00EF4620"/>
    <w:rsid w:val="00EF4936"/>
    <w:rsid w:val="00EF6017"/>
    <w:rsid w:val="00EF6A2A"/>
    <w:rsid w:val="00EF6D92"/>
    <w:rsid w:val="00EF7168"/>
    <w:rsid w:val="00EF768F"/>
    <w:rsid w:val="00F007E2"/>
    <w:rsid w:val="00F00B5A"/>
    <w:rsid w:val="00F00BB0"/>
    <w:rsid w:val="00F00D06"/>
    <w:rsid w:val="00F00D40"/>
    <w:rsid w:val="00F00FA1"/>
    <w:rsid w:val="00F0198B"/>
    <w:rsid w:val="00F01C79"/>
    <w:rsid w:val="00F022C8"/>
    <w:rsid w:val="00F02851"/>
    <w:rsid w:val="00F02959"/>
    <w:rsid w:val="00F02BBE"/>
    <w:rsid w:val="00F038B0"/>
    <w:rsid w:val="00F039A4"/>
    <w:rsid w:val="00F03D3B"/>
    <w:rsid w:val="00F03E4E"/>
    <w:rsid w:val="00F04612"/>
    <w:rsid w:val="00F04A9D"/>
    <w:rsid w:val="00F05365"/>
    <w:rsid w:val="00F05876"/>
    <w:rsid w:val="00F05A92"/>
    <w:rsid w:val="00F105DA"/>
    <w:rsid w:val="00F109E6"/>
    <w:rsid w:val="00F10AD9"/>
    <w:rsid w:val="00F10EB2"/>
    <w:rsid w:val="00F10ED0"/>
    <w:rsid w:val="00F1196E"/>
    <w:rsid w:val="00F11DAB"/>
    <w:rsid w:val="00F1219C"/>
    <w:rsid w:val="00F13423"/>
    <w:rsid w:val="00F1369C"/>
    <w:rsid w:val="00F14023"/>
    <w:rsid w:val="00F1406A"/>
    <w:rsid w:val="00F140C8"/>
    <w:rsid w:val="00F14602"/>
    <w:rsid w:val="00F14D48"/>
    <w:rsid w:val="00F14F44"/>
    <w:rsid w:val="00F1531E"/>
    <w:rsid w:val="00F155EF"/>
    <w:rsid w:val="00F15809"/>
    <w:rsid w:val="00F169A6"/>
    <w:rsid w:val="00F16FAE"/>
    <w:rsid w:val="00F17CAD"/>
    <w:rsid w:val="00F2014A"/>
    <w:rsid w:val="00F202C3"/>
    <w:rsid w:val="00F20370"/>
    <w:rsid w:val="00F2038F"/>
    <w:rsid w:val="00F20991"/>
    <w:rsid w:val="00F20E2A"/>
    <w:rsid w:val="00F21F76"/>
    <w:rsid w:val="00F22A1E"/>
    <w:rsid w:val="00F232D6"/>
    <w:rsid w:val="00F233D0"/>
    <w:rsid w:val="00F2391E"/>
    <w:rsid w:val="00F24866"/>
    <w:rsid w:val="00F24EFC"/>
    <w:rsid w:val="00F2519A"/>
    <w:rsid w:val="00F255CF"/>
    <w:rsid w:val="00F25C2E"/>
    <w:rsid w:val="00F26069"/>
    <w:rsid w:val="00F2658A"/>
    <w:rsid w:val="00F26BB6"/>
    <w:rsid w:val="00F26BEE"/>
    <w:rsid w:val="00F26EDE"/>
    <w:rsid w:val="00F2758F"/>
    <w:rsid w:val="00F279D6"/>
    <w:rsid w:val="00F31CA4"/>
    <w:rsid w:val="00F31D79"/>
    <w:rsid w:val="00F3206C"/>
    <w:rsid w:val="00F333FB"/>
    <w:rsid w:val="00F339FD"/>
    <w:rsid w:val="00F33EC4"/>
    <w:rsid w:val="00F343AB"/>
    <w:rsid w:val="00F35373"/>
    <w:rsid w:val="00F35EB9"/>
    <w:rsid w:val="00F36552"/>
    <w:rsid w:val="00F36B48"/>
    <w:rsid w:val="00F36E3A"/>
    <w:rsid w:val="00F36F9C"/>
    <w:rsid w:val="00F373E1"/>
    <w:rsid w:val="00F3743D"/>
    <w:rsid w:val="00F37598"/>
    <w:rsid w:val="00F375DE"/>
    <w:rsid w:val="00F376D8"/>
    <w:rsid w:val="00F404B3"/>
    <w:rsid w:val="00F40BF1"/>
    <w:rsid w:val="00F40CA2"/>
    <w:rsid w:val="00F41105"/>
    <w:rsid w:val="00F41507"/>
    <w:rsid w:val="00F418E6"/>
    <w:rsid w:val="00F4280C"/>
    <w:rsid w:val="00F42AD0"/>
    <w:rsid w:val="00F42D5B"/>
    <w:rsid w:val="00F42D95"/>
    <w:rsid w:val="00F42FD5"/>
    <w:rsid w:val="00F4338E"/>
    <w:rsid w:val="00F43453"/>
    <w:rsid w:val="00F43571"/>
    <w:rsid w:val="00F4364B"/>
    <w:rsid w:val="00F43D46"/>
    <w:rsid w:val="00F4466B"/>
    <w:rsid w:val="00F4475A"/>
    <w:rsid w:val="00F44A14"/>
    <w:rsid w:val="00F44D79"/>
    <w:rsid w:val="00F45B81"/>
    <w:rsid w:val="00F45C7A"/>
    <w:rsid w:val="00F45D15"/>
    <w:rsid w:val="00F463DA"/>
    <w:rsid w:val="00F46477"/>
    <w:rsid w:val="00F46660"/>
    <w:rsid w:val="00F47105"/>
    <w:rsid w:val="00F471ED"/>
    <w:rsid w:val="00F475E7"/>
    <w:rsid w:val="00F47708"/>
    <w:rsid w:val="00F50659"/>
    <w:rsid w:val="00F516ED"/>
    <w:rsid w:val="00F51740"/>
    <w:rsid w:val="00F51BA9"/>
    <w:rsid w:val="00F51BDA"/>
    <w:rsid w:val="00F527A8"/>
    <w:rsid w:val="00F52B83"/>
    <w:rsid w:val="00F53346"/>
    <w:rsid w:val="00F5396C"/>
    <w:rsid w:val="00F53D14"/>
    <w:rsid w:val="00F544E2"/>
    <w:rsid w:val="00F547BF"/>
    <w:rsid w:val="00F56A32"/>
    <w:rsid w:val="00F57300"/>
    <w:rsid w:val="00F57898"/>
    <w:rsid w:val="00F57C2E"/>
    <w:rsid w:val="00F604C8"/>
    <w:rsid w:val="00F61551"/>
    <w:rsid w:val="00F6242E"/>
    <w:rsid w:val="00F624D4"/>
    <w:rsid w:val="00F628B6"/>
    <w:rsid w:val="00F6290C"/>
    <w:rsid w:val="00F62F70"/>
    <w:rsid w:val="00F631F6"/>
    <w:rsid w:val="00F63632"/>
    <w:rsid w:val="00F63848"/>
    <w:rsid w:val="00F64127"/>
    <w:rsid w:val="00F6467F"/>
    <w:rsid w:val="00F64877"/>
    <w:rsid w:val="00F65265"/>
    <w:rsid w:val="00F6557A"/>
    <w:rsid w:val="00F65739"/>
    <w:rsid w:val="00F6575D"/>
    <w:rsid w:val="00F65965"/>
    <w:rsid w:val="00F66089"/>
    <w:rsid w:val="00F6617C"/>
    <w:rsid w:val="00F66526"/>
    <w:rsid w:val="00F66E10"/>
    <w:rsid w:val="00F67658"/>
    <w:rsid w:val="00F67EBE"/>
    <w:rsid w:val="00F70172"/>
    <w:rsid w:val="00F707E5"/>
    <w:rsid w:val="00F70A86"/>
    <w:rsid w:val="00F70B23"/>
    <w:rsid w:val="00F717EA"/>
    <w:rsid w:val="00F71A8A"/>
    <w:rsid w:val="00F720BC"/>
    <w:rsid w:val="00F721F7"/>
    <w:rsid w:val="00F735F4"/>
    <w:rsid w:val="00F73AA0"/>
    <w:rsid w:val="00F7550A"/>
    <w:rsid w:val="00F76357"/>
    <w:rsid w:val="00F764A3"/>
    <w:rsid w:val="00F76D1F"/>
    <w:rsid w:val="00F7723C"/>
    <w:rsid w:val="00F777F1"/>
    <w:rsid w:val="00F77853"/>
    <w:rsid w:val="00F77FCD"/>
    <w:rsid w:val="00F80008"/>
    <w:rsid w:val="00F800FC"/>
    <w:rsid w:val="00F808E7"/>
    <w:rsid w:val="00F80B45"/>
    <w:rsid w:val="00F812BF"/>
    <w:rsid w:val="00F816DB"/>
    <w:rsid w:val="00F81A36"/>
    <w:rsid w:val="00F81C8C"/>
    <w:rsid w:val="00F82156"/>
    <w:rsid w:val="00F823AA"/>
    <w:rsid w:val="00F8254C"/>
    <w:rsid w:val="00F84358"/>
    <w:rsid w:val="00F846B9"/>
    <w:rsid w:val="00F84E0A"/>
    <w:rsid w:val="00F854C2"/>
    <w:rsid w:val="00F8771C"/>
    <w:rsid w:val="00F878AA"/>
    <w:rsid w:val="00F87A50"/>
    <w:rsid w:val="00F90166"/>
    <w:rsid w:val="00F9096A"/>
    <w:rsid w:val="00F920E7"/>
    <w:rsid w:val="00F92AE6"/>
    <w:rsid w:val="00F92E53"/>
    <w:rsid w:val="00F92F30"/>
    <w:rsid w:val="00F937B7"/>
    <w:rsid w:val="00F93A40"/>
    <w:rsid w:val="00F93BBA"/>
    <w:rsid w:val="00F93CAA"/>
    <w:rsid w:val="00F93F81"/>
    <w:rsid w:val="00F959FE"/>
    <w:rsid w:val="00F95C0C"/>
    <w:rsid w:val="00F960C9"/>
    <w:rsid w:val="00F96A09"/>
    <w:rsid w:val="00F97818"/>
    <w:rsid w:val="00FA1527"/>
    <w:rsid w:val="00FA1742"/>
    <w:rsid w:val="00FA1C5C"/>
    <w:rsid w:val="00FA3AC6"/>
    <w:rsid w:val="00FA4F47"/>
    <w:rsid w:val="00FA61F8"/>
    <w:rsid w:val="00FA7249"/>
    <w:rsid w:val="00FA7494"/>
    <w:rsid w:val="00FA7E11"/>
    <w:rsid w:val="00FB0A68"/>
    <w:rsid w:val="00FB1948"/>
    <w:rsid w:val="00FB21D3"/>
    <w:rsid w:val="00FB2938"/>
    <w:rsid w:val="00FB37D3"/>
    <w:rsid w:val="00FB3B4A"/>
    <w:rsid w:val="00FB4483"/>
    <w:rsid w:val="00FB48A9"/>
    <w:rsid w:val="00FB4C80"/>
    <w:rsid w:val="00FB500A"/>
    <w:rsid w:val="00FB5642"/>
    <w:rsid w:val="00FB63B0"/>
    <w:rsid w:val="00FB6C94"/>
    <w:rsid w:val="00FB6E2F"/>
    <w:rsid w:val="00FB6F47"/>
    <w:rsid w:val="00FB70FC"/>
    <w:rsid w:val="00FB7A1B"/>
    <w:rsid w:val="00FB7E1C"/>
    <w:rsid w:val="00FC1056"/>
    <w:rsid w:val="00FC10C6"/>
    <w:rsid w:val="00FC1927"/>
    <w:rsid w:val="00FC1D72"/>
    <w:rsid w:val="00FC2007"/>
    <w:rsid w:val="00FC2C65"/>
    <w:rsid w:val="00FC3494"/>
    <w:rsid w:val="00FC3B98"/>
    <w:rsid w:val="00FC3F5E"/>
    <w:rsid w:val="00FC40D3"/>
    <w:rsid w:val="00FC4C53"/>
    <w:rsid w:val="00FC5A98"/>
    <w:rsid w:val="00FC5B64"/>
    <w:rsid w:val="00FC61EF"/>
    <w:rsid w:val="00FC667A"/>
    <w:rsid w:val="00FC66AB"/>
    <w:rsid w:val="00FC6CD4"/>
    <w:rsid w:val="00FC71CA"/>
    <w:rsid w:val="00FC72E8"/>
    <w:rsid w:val="00FC7F8E"/>
    <w:rsid w:val="00FD0013"/>
    <w:rsid w:val="00FD0C75"/>
    <w:rsid w:val="00FD12D4"/>
    <w:rsid w:val="00FD178A"/>
    <w:rsid w:val="00FD1879"/>
    <w:rsid w:val="00FD295B"/>
    <w:rsid w:val="00FD2AB9"/>
    <w:rsid w:val="00FD3000"/>
    <w:rsid w:val="00FD3CDF"/>
    <w:rsid w:val="00FD4C8F"/>
    <w:rsid w:val="00FD537E"/>
    <w:rsid w:val="00FD57BC"/>
    <w:rsid w:val="00FD57C8"/>
    <w:rsid w:val="00FD5A7A"/>
    <w:rsid w:val="00FD5AEE"/>
    <w:rsid w:val="00FD5FC2"/>
    <w:rsid w:val="00FD7898"/>
    <w:rsid w:val="00FD7AA9"/>
    <w:rsid w:val="00FE0E70"/>
    <w:rsid w:val="00FE12E8"/>
    <w:rsid w:val="00FE18FA"/>
    <w:rsid w:val="00FE230A"/>
    <w:rsid w:val="00FE24B4"/>
    <w:rsid w:val="00FE2913"/>
    <w:rsid w:val="00FE29B5"/>
    <w:rsid w:val="00FE2F0C"/>
    <w:rsid w:val="00FE3EA4"/>
    <w:rsid w:val="00FE3F1D"/>
    <w:rsid w:val="00FE51E3"/>
    <w:rsid w:val="00FE535B"/>
    <w:rsid w:val="00FE5C15"/>
    <w:rsid w:val="00FE6C41"/>
    <w:rsid w:val="00FE6DB5"/>
    <w:rsid w:val="00FE6E5D"/>
    <w:rsid w:val="00FE7658"/>
    <w:rsid w:val="00FE7A48"/>
    <w:rsid w:val="00FF09FD"/>
    <w:rsid w:val="00FF10BE"/>
    <w:rsid w:val="00FF1CD1"/>
    <w:rsid w:val="00FF1E96"/>
    <w:rsid w:val="00FF2114"/>
    <w:rsid w:val="00FF2F96"/>
    <w:rsid w:val="00FF31E5"/>
    <w:rsid w:val="00FF36A6"/>
    <w:rsid w:val="00FF404B"/>
    <w:rsid w:val="00FF463B"/>
    <w:rsid w:val="00FF5348"/>
    <w:rsid w:val="00FF634F"/>
    <w:rsid w:val="00FF7E83"/>
    <w:rsid w:val="05063C12"/>
    <w:rsid w:val="09AD005B"/>
    <w:rsid w:val="0F5B0FC0"/>
    <w:rsid w:val="175B72D6"/>
    <w:rsid w:val="245756E6"/>
    <w:rsid w:val="24A75F39"/>
    <w:rsid w:val="2E871472"/>
    <w:rsid w:val="31317936"/>
    <w:rsid w:val="356E2CA1"/>
    <w:rsid w:val="39E04C01"/>
    <w:rsid w:val="3DDF7703"/>
    <w:rsid w:val="3F6679D5"/>
    <w:rsid w:val="535E1964"/>
    <w:rsid w:val="54F91010"/>
    <w:rsid w:val="598924FB"/>
    <w:rsid w:val="5A9716F3"/>
    <w:rsid w:val="5FB21C9D"/>
    <w:rsid w:val="66165CCC"/>
    <w:rsid w:val="6A5F5BA3"/>
    <w:rsid w:val="6F0C734F"/>
    <w:rsid w:val="73210973"/>
    <w:rsid w:val="73741CE9"/>
    <w:rsid w:val="75F07A6C"/>
    <w:rsid w:val="77696014"/>
    <w:rsid w:val="7B7651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95"/>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93"/>
    <w:qFormat/>
    <w:uiPriority w:val="0"/>
    <w:pPr>
      <w:keepNext/>
      <w:keepLines/>
      <w:spacing w:after="156" w:afterLines="50" w:line="360" w:lineRule="auto"/>
      <w:outlineLvl w:val="2"/>
    </w:pPr>
    <w:rPr>
      <w:bCs/>
      <w:sz w:val="24"/>
      <w:szCs w:val="32"/>
    </w:rPr>
  </w:style>
  <w:style w:type="paragraph" w:styleId="5">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32">
    <w:name w:val="Default Paragraph Font"/>
    <w:uiPriority w:val="0"/>
  </w:style>
  <w:style w:type="table" w:default="1" w:styleId="30">
    <w:name w:val="Normal Table"/>
    <w:unhideWhenUsed/>
    <w:uiPriority w:val="99"/>
    <w:tblPr>
      <w:tblStyle w:val="30"/>
      <w:tblCellMar>
        <w:top w:w="0" w:type="dxa"/>
        <w:left w:w="108" w:type="dxa"/>
        <w:bottom w:w="0" w:type="dxa"/>
        <w:right w:w="108" w:type="dxa"/>
      </w:tblCellMar>
    </w:tblPr>
  </w:style>
  <w:style w:type="paragraph" w:styleId="6">
    <w:name w:val="Normal Indent"/>
    <w:basedOn w:val="1"/>
    <w:link w:val="91"/>
    <w:uiPriority w:val="0"/>
    <w:pPr>
      <w:ind w:firstLine="420" w:firstLineChars="200"/>
    </w:pPr>
    <w:rPr>
      <w:szCs w:val="24"/>
    </w:rPr>
  </w:style>
  <w:style w:type="paragraph" w:styleId="7">
    <w:name w:val="caption"/>
    <w:basedOn w:val="1"/>
    <w:next w:val="1"/>
    <w:qFormat/>
    <w:uiPriority w:val="0"/>
    <w:rPr>
      <w:rFonts w:ascii="Arial" w:hAnsi="Arial" w:eastAsia="黑体" w:cs="Arial"/>
      <w:sz w:val="20"/>
    </w:rPr>
  </w:style>
  <w:style w:type="paragraph" w:styleId="8">
    <w:name w:val="Document Map"/>
    <w:basedOn w:val="1"/>
    <w:semiHidden/>
    <w:uiPriority w:val="0"/>
    <w:pPr>
      <w:shd w:val="clear" w:color="auto" w:fill="000080"/>
    </w:pPr>
    <w:rPr>
      <w:sz w:val="28"/>
    </w:rPr>
  </w:style>
  <w:style w:type="paragraph" w:styleId="9">
    <w:name w:val="annotation text"/>
    <w:basedOn w:val="1"/>
    <w:link w:val="103"/>
    <w:uiPriority w:val="0"/>
    <w:pPr>
      <w:jc w:val="left"/>
    </w:pPr>
    <w:rPr>
      <w:szCs w:val="24"/>
    </w:rPr>
  </w:style>
  <w:style w:type="paragraph" w:styleId="10">
    <w:name w:val="Body Text 3"/>
    <w:basedOn w:val="1"/>
    <w:uiPriority w:val="0"/>
    <w:pPr>
      <w:spacing w:after="120" w:afterLines="0"/>
    </w:pPr>
    <w:rPr>
      <w:sz w:val="16"/>
      <w:szCs w:val="16"/>
    </w:rPr>
  </w:style>
  <w:style w:type="paragraph" w:styleId="11">
    <w:name w:val="Body Text"/>
    <w:basedOn w:val="1"/>
    <w:link w:val="74"/>
    <w:uiPriority w:val="0"/>
    <w:pPr>
      <w:spacing w:after="120" w:afterLines="0"/>
    </w:pPr>
  </w:style>
  <w:style w:type="paragraph" w:styleId="12">
    <w:name w:val="Body Text Indent"/>
    <w:basedOn w:val="1"/>
    <w:link w:val="55"/>
    <w:uiPriority w:val="0"/>
    <w:pPr>
      <w:spacing w:after="120" w:afterLines="0"/>
      <w:ind w:left="420" w:leftChars="200"/>
    </w:pPr>
  </w:style>
  <w:style w:type="paragraph" w:styleId="13">
    <w:name w:val="Block Text"/>
    <w:basedOn w:val="1"/>
    <w:uiPriority w:val="0"/>
    <w:pPr>
      <w:spacing w:line="520" w:lineRule="exact"/>
      <w:ind w:left="179" w:leftChars="64" w:right="204" w:rightChars="73"/>
    </w:pPr>
    <w:rPr>
      <w:spacing w:val="6"/>
      <w:sz w:val="24"/>
    </w:rPr>
  </w:style>
  <w:style w:type="paragraph" w:styleId="14">
    <w:name w:val="Plain Text"/>
    <w:basedOn w:val="1"/>
    <w:link w:val="101"/>
    <w:uiPriority w:val="0"/>
    <w:pPr>
      <w:spacing w:line="240" w:lineRule="atLeast"/>
    </w:pPr>
    <w:rPr>
      <w:rFonts w:ascii="宋体" w:hAnsi="Courier New"/>
      <w:sz w:val="28"/>
      <w:szCs w:val="21"/>
    </w:rPr>
  </w:style>
  <w:style w:type="paragraph" w:styleId="15">
    <w:name w:val="Date"/>
    <w:basedOn w:val="1"/>
    <w:next w:val="1"/>
    <w:link w:val="44"/>
    <w:uiPriority w:val="0"/>
    <w:rPr>
      <w:sz w:val="28"/>
    </w:rPr>
  </w:style>
  <w:style w:type="paragraph" w:styleId="16">
    <w:name w:val="Body Text Indent 2"/>
    <w:basedOn w:val="1"/>
    <w:uiPriority w:val="0"/>
    <w:pPr>
      <w:spacing w:after="120" w:afterLines="0" w:line="480" w:lineRule="auto"/>
      <w:ind w:left="420" w:leftChars="200"/>
    </w:pPr>
  </w:style>
  <w:style w:type="paragraph" w:styleId="17">
    <w:name w:val="Balloon Text"/>
    <w:basedOn w:val="1"/>
    <w:uiPriority w:val="0"/>
    <w:rPr>
      <w:sz w:val="18"/>
      <w:szCs w:val="18"/>
    </w:rPr>
  </w:style>
  <w:style w:type="paragraph" w:styleId="18">
    <w:name w:val="footer"/>
    <w:basedOn w:val="1"/>
    <w:link w:val="87"/>
    <w:uiPriority w:val="0"/>
    <w:pPr>
      <w:tabs>
        <w:tab w:val="center" w:pos="4153"/>
        <w:tab w:val="right" w:pos="8306"/>
      </w:tabs>
      <w:snapToGrid w:val="0"/>
      <w:jc w:val="left"/>
    </w:pPr>
    <w:rPr>
      <w:sz w:val="18"/>
      <w:szCs w:val="18"/>
    </w:rPr>
  </w:style>
  <w:style w:type="paragraph" w:styleId="19">
    <w:name w:val="header"/>
    <w:basedOn w:val="1"/>
    <w:link w:val="98"/>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uiPriority w:val="0"/>
    <w:pPr>
      <w:adjustRightInd w:val="0"/>
      <w:snapToGrid w:val="0"/>
      <w:jc w:val="center"/>
    </w:pPr>
    <w:rPr>
      <w:rFonts w:ascii="宋体" w:hAnsi="宋体"/>
      <w:bCs/>
      <w:sz w:val="24"/>
      <w:szCs w:val="24"/>
    </w:rPr>
  </w:style>
  <w:style w:type="paragraph" w:styleId="21">
    <w:name w:val="List"/>
    <w:basedOn w:val="1"/>
    <w:uiPriority w:val="0"/>
    <w:pPr>
      <w:ind w:left="200" w:hanging="200" w:hangingChars="200"/>
    </w:pPr>
  </w:style>
  <w:style w:type="paragraph" w:styleId="22">
    <w:name w:val="List 5"/>
    <w:basedOn w:val="1"/>
    <w:uiPriority w:val="0"/>
    <w:pPr>
      <w:ind w:left="100" w:leftChars="800" w:hanging="200" w:hangingChars="200"/>
    </w:pPr>
    <w:rPr>
      <w:szCs w:val="24"/>
    </w:rPr>
  </w:style>
  <w:style w:type="paragraph" w:styleId="23">
    <w:name w:val="Body Text Indent 3"/>
    <w:basedOn w:val="1"/>
    <w:link w:val="90"/>
    <w:uiPriority w:val="0"/>
    <w:pPr>
      <w:spacing w:after="120" w:afterLines="0"/>
      <w:ind w:left="420" w:leftChars="200"/>
    </w:pPr>
    <w:rPr>
      <w:sz w:val="16"/>
      <w:szCs w:val="16"/>
    </w:rPr>
  </w:style>
  <w:style w:type="paragraph" w:styleId="24">
    <w:name w:val="Body Text 2"/>
    <w:basedOn w:val="1"/>
    <w:link w:val="94"/>
    <w:uiPriority w:val="0"/>
    <w:pPr>
      <w:spacing w:line="520" w:lineRule="exact"/>
    </w:pPr>
    <w:rPr>
      <w:rFonts w:eastAsia="仿宋_GB2312"/>
      <w:sz w:val="28"/>
      <w:szCs w:val="24"/>
    </w:rPr>
  </w:style>
  <w:style w:type="paragraph" w:styleId="2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styleId="26">
    <w:name w:val="index 1"/>
    <w:basedOn w:val="1"/>
    <w:next w:val="1"/>
    <w:uiPriority w:val="0"/>
    <w:pPr>
      <w:spacing w:line="360" w:lineRule="auto"/>
      <w:jc w:val="center"/>
    </w:pPr>
    <w:rPr>
      <w:szCs w:val="24"/>
    </w:rPr>
  </w:style>
  <w:style w:type="paragraph" w:styleId="27">
    <w:name w:val="annotation subject"/>
    <w:basedOn w:val="9"/>
    <w:next w:val="9"/>
    <w:semiHidden/>
    <w:uiPriority w:val="0"/>
    <w:rPr>
      <w:b/>
      <w:bCs/>
      <w:szCs w:val="20"/>
      <w:lang w:val="en-US" w:eastAsia="zh-CN"/>
    </w:rPr>
  </w:style>
  <w:style w:type="paragraph" w:styleId="28">
    <w:name w:val="Body Text First Indent"/>
    <w:basedOn w:val="11"/>
    <w:link w:val="73"/>
    <w:uiPriority w:val="0"/>
    <w:pPr>
      <w:ind w:firstLine="420" w:firstLineChars="100"/>
    </w:pPr>
  </w:style>
  <w:style w:type="paragraph" w:styleId="29">
    <w:name w:val="Body Text First Indent 2"/>
    <w:basedOn w:val="12"/>
    <w:uiPriority w:val="0"/>
    <w:pPr>
      <w:ind w:firstLine="420" w:firstLineChars="200"/>
    </w:pPr>
    <w:rPr>
      <w:szCs w:val="2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basedOn w:val="32"/>
    <w:uiPriority w:val="0"/>
  </w:style>
  <w:style w:type="character" w:styleId="35">
    <w:name w:val="Hyperlink"/>
    <w:uiPriority w:val="0"/>
    <w:rPr>
      <w:color w:val="333333"/>
      <w:u w:val="none"/>
    </w:rPr>
  </w:style>
  <w:style w:type="character" w:styleId="36">
    <w:name w:val="annotation reference"/>
    <w:uiPriority w:val="0"/>
    <w:rPr>
      <w:sz w:val="21"/>
      <w:szCs w:val="21"/>
    </w:rPr>
  </w:style>
  <w:style w:type="character" w:customStyle="1" w:styleId="37">
    <w:name w:val="样式1 Char Char"/>
    <w:link w:val="38"/>
    <w:uiPriority w:val="0"/>
    <w:rPr>
      <w:kern w:val="2"/>
      <w:sz w:val="24"/>
      <w:szCs w:val="24"/>
    </w:rPr>
  </w:style>
  <w:style w:type="paragraph" w:customStyle="1" w:styleId="38">
    <w:name w:val="样式1"/>
    <w:basedOn w:val="1"/>
    <w:next w:val="1"/>
    <w:link w:val="37"/>
    <w:uiPriority w:val="0"/>
    <w:pPr>
      <w:adjustRightInd w:val="0"/>
      <w:snapToGrid w:val="0"/>
      <w:spacing w:before="156" w:beforeLines="50" w:after="120" w:afterLines="0" w:line="360" w:lineRule="auto"/>
      <w:ind w:firstLine="200" w:firstLineChars="200"/>
    </w:pPr>
    <w:rPr>
      <w:sz w:val="24"/>
      <w:szCs w:val="24"/>
    </w:rPr>
  </w:style>
  <w:style w:type="character" w:customStyle="1" w:styleId="39">
    <w:name w:val="正文2 Char"/>
    <w:aliases w:val="表正文 Char,特点 Char,表格 Char,正文2 Char1 Char,正文2 Char Char Char,正文（首行缩进两字） Char Char Char Char,表格 Char Char Char,标题4 Char,首行缩进 Char,正文缩进 Char Char,正文缩进 Char Char Char Char Char Char,段1 Char,正文（首行缩进两字） Char Char1,首行缩进两字 Char,正文不缩进 Char"/>
    <w:link w:val="40"/>
    <w:uiPriority w:val="0"/>
    <w:rPr>
      <w:rFonts w:eastAsia="宋体"/>
      <w:kern w:val="2"/>
      <w:sz w:val="28"/>
      <w:lang w:val="en-US" w:eastAsia="zh-CN" w:bidi="ar-SA"/>
    </w:rPr>
  </w:style>
  <w:style w:type="paragraph" w:customStyle="1" w:styleId="40">
    <w:name w:val="表格"/>
    <w:basedOn w:val="1"/>
    <w:link w:val="39"/>
    <w:uiPriority w:val="0"/>
    <w:pPr>
      <w:spacing w:line="480" w:lineRule="exact"/>
      <w:ind w:left="-105" w:leftChars="-50" w:right="-105" w:rightChars="-50"/>
      <w:jc w:val="center"/>
    </w:pPr>
    <w:rPr>
      <w:sz w:val="28"/>
    </w:rPr>
  </w:style>
  <w:style w:type="character" w:customStyle="1" w:styleId="41">
    <w:name w:val="报告书正文 Char1"/>
    <w:link w:val="42"/>
    <w:uiPriority w:val="0"/>
    <w:rPr>
      <w:kern w:val="2"/>
      <w:sz w:val="28"/>
      <w:szCs w:val="28"/>
      <w:lang w:bidi="ar-SA"/>
    </w:rPr>
  </w:style>
  <w:style w:type="paragraph" w:customStyle="1" w:styleId="42">
    <w:name w:val="报告书正文"/>
    <w:basedOn w:val="1"/>
    <w:link w:val="41"/>
    <w:uiPriority w:val="0"/>
    <w:pPr>
      <w:autoSpaceDE w:val="0"/>
      <w:autoSpaceDN w:val="0"/>
      <w:spacing w:line="520" w:lineRule="exact"/>
      <w:ind w:firstLine="200" w:firstLineChars="200"/>
    </w:pPr>
    <w:rPr>
      <w:sz w:val="28"/>
      <w:szCs w:val="28"/>
    </w:rPr>
  </w:style>
  <w:style w:type="character" w:customStyle="1" w:styleId="43">
    <w:name w:val="样式 样式 样式 首行缩进:  1 字符 + 首行缩进:  2 字符2 + 首行缩进:  2 字符 行距: 固定值 23 磅 Char"/>
    <w:uiPriority w:val="0"/>
    <w:rPr>
      <w:rFonts w:eastAsia="宋体" w:cs="宋体"/>
      <w:kern w:val="2"/>
      <w:sz w:val="24"/>
      <w:lang w:val="en-US" w:eastAsia="zh-CN" w:bidi="ar-SA"/>
    </w:rPr>
  </w:style>
  <w:style w:type="character" w:customStyle="1" w:styleId="44">
    <w:name w:val="日期 字符"/>
    <w:link w:val="15"/>
    <w:uiPriority w:val="0"/>
    <w:rPr>
      <w:rFonts w:eastAsia="宋体"/>
      <w:kern w:val="2"/>
      <w:sz w:val="28"/>
      <w:lang w:val="en-US" w:eastAsia="zh-CN" w:bidi="ar-SA"/>
    </w:rPr>
  </w:style>
  <w:style w:type="character" w:customStyle="1" w:styleId="45">
    <w:name w:val="报告表样式 Char"/>
    <w:link w:val="46"/>
    <w:uiPriority w:val="0"/>
    <w:rPr>
      <w:sz w:val="28"/>
      <w:szCs w:val="28"/>
    </w:rPr>
  </w:style>
  <w:style w:type="paragraph" w:customStyle="1" w:styleId="46">
    <w:name w:val="报告表样式"/>
    <w:basedOn w:val="1"/>
    <w:link w:val="45"/>
    <w:uiPriority w:val="0"/>
    <w:pPr>
      <w:adjustRightInd w:val="0"/>
      <w:snapToGrid w:val="0"/>
      <w:spacing w:line="360" w:lineRule="auto"/>
      <w:ind w:firstLine="200" w:firstLineChars="200"/>
    </w:pPr>
    <w:rPr>
      <w:kern w:val="0"/>
      <w:sz w:val="28"/>
      <w:szCs w:val="28"/>
    </w:rPr>
  </w:style>
  <w:style w:type="character" w:customStyle="1" w:styleId="47">
    <w:name w:val=" Char Char15"/>
    <w:uiPriority w:val="0"/>
    <w:rPr>
      <w:rFonts w:eastAsia="宋体"/>
      <w:kern w:val="2"/>
      <w:sz w:val="18"/>
      <w:szCs w:val="18"/>
      <w:lang w:val="en-US" w:eastAsia="zh-CN" w:bidi="ar-SA"/>
    </w:rPr>
  </w:style>
  <w:style w:type="character" w:customStyle="1" w:styleId="48">
    <w:name w:val="正文(首行缩进) Char Char"/>
    <w:link w:val="49"/>
    <w:uiPriority w:val="0"/>
    <w:rPr>
      <w:rFonts w:eastAsia="宋体"/>
      <w:bCs/>
      <w:snapToGrid w:val="0"/>
      <w:sz w:val="24"/>
      <w:szCs w:val="24"/>
      <w:lang w:val="en-US" w:eastAsia="zh-CN" w:bidi="ar-SA"/>
    </w:rPr>
  </w:style>
  <w:style w:type="paragraph" w:customStyle="1" w:styleId="49">
    <w:name w:val="正文(首行缩进)"/>
    <w:basedOn w:val="1"/>
    <w:link w:val="48"/>
    <w:uiPriority w:val="0"/>
    <w:pPr>
      <w:tabs>
        <w:tab w:val="left" w:pos="4584"/>
      </w:tabs>
      <w:adjustRightInd w:val="0"/>
      <w:snapToGrid w:val="0"/>
      <w:spacing w:line="360" w:lineRule="auto"/>
      <w:ind w:firstLine="200" w:firstLineChars="200"/>
    </w:pPr>
    <w:rPr>
      <w:bCs/>
      <w:snapToGrid w:val="0"/>
      <w:kern w:val="0"/>
      <w:sz w:val="24"/>
      <w:szCs w:val="24"/>
    </w:rPr>
  </w:style>
  <w:style w:type="character" w:customStyle="1" w:styleId="50">
    <w:name w:val="样式 样式 首行缩进:  1 字符 + 首行缩进:  2 字符2 Char Char"/>
    <w:link w:val="51"/>
    <w:uiPriority w:val="0"/>
    <w:rPr>
      <w:rFonts w:eastAsia="宋体" w:cs="宋体"/>
      <w:kern w:val="2"/>
      <w:sz w:val="24"/>
      <w:lang w:val="en-US" w:eastAsia="zh-CN" w:bidi="ar-SA"/>
    </w:rPr>
  </w:style>
  <w:style w:type="paragraph" w:customStyle="1" w:styleId="51">
    <w:name w:val="样式 样式 首行缩进:  1 字符 + 首行缩进:  2 字符2"/>
    <w:basedOn w:val="1"/>
    <w:link w:val="50"/>
    <w:uiPriority w:val="0"/>
    <w:pPr>
      <w:spacing w:line="360" w:lineRule="auto"/>
      <w:ind w:firstLine="200" w:firstLineChars="200"/>
    </w:pPr>
    <w:rPr>
      <w:rFonts w:cs="宋体"/>
      <w:sz w:val="24"/>
    </w:rPr>
  </w:style>
  <w:style w:type="character" w:customStyle="1" w:styleId="52">
    <w:name w:val=" Char Char9"/>
    <w:basedOn w:val="53"/>
    <w:uiPriority w:val="0"/>
  </w:style>
  <w:style w:type="character" w:customStyle="1" w:styleId="53">
    <w:name w:val=" Char Char10"/>
    <w:uiPriority w:val="0"/>
    <w:rPr>
      <w:kern w:val="2"/>
      <w:sz w:val="21"/>
    </w:rPr>
  </w:style>
  <w:style w:type="character" w:customStyle="1" w:styleId="54">
    <w:name w:val="content1"/>
    <w:uiPriority w:val="0"/>
    <w:rPr>
      <w:spacing w:val="270"/>
      <w:sz w:val="21"/>
      <w:szCs w:val="21"/>
    </w:rPr>
  </w:style>
  <w:style w:type="character" w:customStyle="1" w:styleId="55">
    <w:name w:val="正文文本缩进 字符"/>
    <w:link w:val="12"/>
    <w:uiPriority w:val="0"/>
    <w:rPr>
      <w:kern w:val="2"/>
      <w:sz w:val="21"/>
    </w:rPr>
  </w:style>
  <w:style w:type="character" w:customStyle="1" w:styleId="56">
    <w:name w:val="style171"/>
    <w:uiPriority w:val="0"/>
    <w:rPr>
      <w:sz w:val="14"/>
      <w:szCs w:val="14"/>
    </w:rPr>
  </w:style>
  <w:style w:type="character" w:customStyle="1" w:styleId="57">
    <w:name w:val="样式 样式 样式 样式 首行缩进:  1 字符 + 首行缩进:  2 字符2 + 首行缩进:  2 字符 + Char Char"/>
    <w:link w:val="58"/>
    <w:uiPriority w:val="0"/>
    <w:rPr>
      <w:rFonts w:cs="宋体"/>
      <w:sz w:val="24"/>
    </w:rPr>
  </w:style>
  <w:style w:type="paragraph" w:customStyle="1" w:styleId="58">
    <w:name w:val="样式 样式 样式 样式 首行缩进:  1 字符 + 首行缩进:  2 字符2 + 首行缩进:  2 字符 +"/>
    <w:basedOn w:val="1"/>
    <w:link w:val="57"/>
    <w:uiPriority w:val="0"/>
    <w:pPr>
      <w:spacing w:line="360" w:lineRule="auto"/>
      <w:ind w:firstLine="480" w:firstLineChars="200"/>
    </w:pPr>
    <w:rPr>
      <w:kern w:val="0"/>
      <w:sz w:val="24"/>
    </w:rPr>
  </w:style>
  <w:style w:type="character" w:customStyle="1" w:styleId="59">
    <w:name w:val="小四正文+首行缩进2字符 Char Char"/>
    <w:link w:val="60"/>
    <w:uiPriority w:val="0"/>
    <w:rPr>
      <w:rFonts w:eastAsia="宋体"/>
      <w:kern w:val="2"/>
      <w:sz w:val="24"/>
      <w:szCs w:val="24"/>
      <w:lang w:val="en-US" w:eastAsia="zh-CN" w:bidi="ar-SA"/>
    </w:rPr>
  </w:style>
  <w:style w:type="paragraph" w:customStyle="1" w:styleId="60">
    <w:name w:val="小四正文+首行缩进2字符"/>
    <w:basedOn w:val="1"/>
    <w:link w:val="59"/>
    <w:uiPriority w:val="0"/>
    <w:pPr>
      <w:spacing w:line="360" w:lineRule="auto"/>
      <w:ind w:firstLine="200" w:firstLineChars="200"/>
    </w:pPr>
    <w:rPr>
      <w:sz w:val="24"/>
      <w:szCs w:val="24"/>
    </w:rPr>
  </w:style>
  <w:style w:type="character" w:customStyle="1" w:styleId="61">
    <w:name w:val="表格内文字 Char"/>
    <w:link w:val="62"/>
    <w:uiPriority w:val="0"/>
    <w:rPr>
      <w:rFonts w:eastAsia="仿宋_GB2312"/>
      <w:kern w:val="2"/>
      <w:sz w:val="24"/>
      <w:szCs w:val="28"/>
    </w:rPr>
  </w:style>
  <w:style w:type="paragraph" w:customStyle="1" w:styleId="62">
    <w:name w:val="表格内文字"/>
    <w:basedOn w:val="1"/>
    <w:link w:val="61"/>
    <w:uiPriority w:val="0"/>
    <w:pPr>
      <w:tabs>
        <w:tab w:val="left" w:pos="0"/>
      </w:tabs>
      <w:adjustRightInd w:val="0"/>
      <w:snapToGrid w:val="0"/>
      <w:jc w:val="center"/>
    </w:pPr>
    <w:rPr>
      <w:rFonts w:eastAsia="仿宋_GB2312"/>
      <w:sz w:val="24"/>
      <w:szCs w:val="28"/>
    </w:rPr>
  </w:style>
  <w:style w:type="character" w:customStyle="1" w:styleId="63">
    <w:name w:val="表格文字 Char"/>
    <w:aliases w:val="纯文本 Char Char1,普通文字 Char Char Char Char Char Char Char Char Char,普通文字 Char Char Char Char Char Char Char Char1,普通文字 Char1,正文文字( 首段缩进两字） Char Char Char Char,表内文字 Char1"/>
    <w:uiPriority w:val="0"/>
    <w:rPr>
      <w:rFonts w:ascii="仿宋_GB2312" w:hAnsi="Arial Black" w:eastAsia="仿宋_GB2312"/>
      <w:kern w:val="44"/>
      <w:sz w:val="24"/>
      <w:szCs w:val="24"/>
    </w:rPr>
  </w:style>
  <w:style w:type="character" w:customStyle="1" w:styleId="64">
    <w:name w:val="文章正文样式 Char Char"/>
    <w:link w:val="65"/>
    <w:uiPriority w:val="0"/>
    <w:rPr>
      <w:rFonts w:ascii="宋体" w:hAnsi="宋体" w:eastAsia="宋体" w:cs="宋体"/>
      <w:kern w:val="2"/>
      <w:sz w:val="24"/>
      <w:lang w:val="en-US" w:eastAsia="zh-CN" w:bidi="ar-SA"/>
    </w:rPr>
  </w:style>
  <w:style w:type="paragraph" w:customStyle="1" w:styleId="65">
    <w:name w:val="文章正文样式"/>
    <w:basedOn w:val="1"/>
    <w:link w:val="64"/>
    <w:uiPriority w:val="0"/>
    <w:pPr>
      <w:spacing w:line="520" w:lineRule="exact"/>
      <w:ind w:firstLine="480" w:firstLineChars="200"/>
      <w:jc w:val="left"/>
    </w:pPr>
    <w:rPr>
      <w:rFonts w:ascii="宋体" w:hAnsi="宋体" w:cs="宋体"/>
      <w:sz w:val="24"/>
    </w:rPr>
  </w:style>
  <w:style w:type="character" w:customStyle="1" w:styleId="66">
    <w:name w:val=" Char Char8"/>
    <w:uiPriority w:val="0"/>
    <w:rPr>
      <w:kern w:val="2"/>
      <w:sz w:val="21"/>
    </w:rPr>
  </w:style>
  <w:style w:type="character" w:customStyle="1" w:styleId="67">
    <w:name w:val="main1"/>
    <w:uiPriority w:val="0"/>
    <w:rPr>
      <w:color w:val="000000"/>
      <w:sz w:val="22"/>
      <w:szCs w:val="22"/>
    </w:rPr>
  </w:style>
  <w:style w:type="character" w:customStyle="1" w:styleId="68">
    <w:name w:val="正文样式 Char"/>
    <w:link w:val="69"/>
    <w:uiPriority w:val="0"/>
    <w:rPr>
      <w:rFonts w:ascii="宋体" w:hAnsi="宋体"/>
      <w:kern w:val="2"/>
      <w:sz w:val="24"/>
      <w:szCs w:val="24"/>
    </w:rPr>
  </w:style>
  <w:style w:type="paragraph" w:customStyle="1" w:styleId="69">
    <w:name w:val="正文样式"/>
    <w:basedOn w:val="1"/>
    <w:link w:val="68"/>
    <w:uiPriority w:val="0"/>
    <w:pPr>
      <w:spacing w:line="460" w:lineRule="exact"/>
      <w:ind w:firstLine="200" w:firstLineChars="200"/>
    </w:pPr>
    <w:rPr>
      <w:rFonts w:ascii="宋体" w:hAnsi="宋体"/>
      <w:sz w:val="24"/>
      <w:szCs w:val="24"/>
    </w:rPr>
  </w:style>
  <w:style w:type="character" w:customStyle="1" w:styleId="70">
    <w:name w:val="表格文字 Char Char"/>
    <w:link w:val="71"/>
    <w:uiPriority w:val="0"/>
    <w:rPr>
      <w:rFonts w:ascii="仿宋_GB2312" w:hAnsi="Arial Black" w:eastAsia="仿宋_GB2312"/>
      <w:kern w:val="44"/>
      <w:sz w:val="24"/>
      <w:szCs w:val="24"/>
      <w:lang w:val="en-US" w:eastAsia="zh-CN" w:bidi="ar-SA"/>
    </w:rPr>
  </w:style>
  <w:style w:type="paragraph" w:customStyle="1" w:styleId="71">
    <w:name w:val="表格文字"/>
    <w:basedOn w:val="1"/>
    <w:link w:val="70"/>
    <w:qFormat/>
    <w:uiPriority w:val="0"/>
    <w:pPr>
      <w:jc w:val="center"/>
    </w:pPr>
    <w:rPr>
      <w:rFonts w:ascii="仿宋_GB2312" w:hAnsi="Arial Black" w:eastAsia="仿宋_GB2312"/>
      <w:kern w:val="44"/>
      <w:sz w:val="24"/>
      <w:szCs w:val="24"/>
    </w:rPr>
  </w:style>
  <w:style w:type="character" w:customStyle="1" w:styleId="72">
    <w:name w:val=" Char Char11"/>
    <w:uiPriority w:val="0"/>
    <w:rPr>
      <w:bCs/>
      <w:kern w:val="2"/>
      <w:sz w:val="24"/>
      <w:szCs w:val="32"/>
    </w:rPr>
  </w:style>
  <w:style w:type="character" w:customStyle="1" w:styleId="73">
    <w:name w:val="正文首行缩进 字符"/>
    <w:basedOn w:val="74"/>
    <w:link w:val="28"/>
    <w:uiPriority w:val="0"/>
  </w:style>
  <w:style w:type="character" w:customStyle="1" w:styleId="74">
    <w:name w:val="正文文本 字符"/>
    <w:link w:val="11"/>
    <w:uiPriority w:val="0"/>
    <w:rPr>
      <w:kern w:val="2"/>
      <w:sz w:val="21"/>
    </w:rPr>
  </w:style>
  <w:style w:type="character" w:customStyle="1" w:styleId="75">
    <w:name w:val="标题 11"/>
    <w:aliases w:val="标题 1 Char Char Char Char Char Char Char Char"/>
    <w:uiPriority w:val="0"/>
    <w:rPr>
      <w:rFonts w:eastAsia="宋体"/>
      <w:b/>
      <w:bCs/>
      <w:kern w:val="44"/>
      <w:sz w:val="44"/>
      <w:szCs w:val="44"/>
      <w:lang w:val="en-US" w:eastAsia="zh-CN" w:bidi="ar-SA"/>
    </w:rPr>
  </w:style>
  <w:style w:type="character" w:customStyle="1" w:styleId="76">
    <w:name w:val="11 Char"/>
    <w:link w:val="77"/>
    <w:uiPriority w:val="0"/>
    <w:rPr>
      <w:rFonts w:ascii="宋体"/>
      <w:b/>
      <w:sz w:val="24"/>
      <w:szCs w:val="24"/>
      <w:lang w:bidi="ar-SA"/>
    </w:rPr>
  </w:style>
  <w:style w:type="paragraph" w:customStyle="1" w:styleId="77">
    <w:name w:val="11"/>
    <w:basedOn w:val="11"/>
    <w:link w:val="76"/>
    <w:uiPriority w:val="0"/>
    <w:pPr>
      <w:autoSpaceDE w:val="0"/>
      <w:autoSpaceDN w:val="0"/>
      <w:adjustRightInd w:val="0"/>
      <w:spacing w:after="0" w:line="360" w:lineRule="auto"/>
      <w:ind w:left="522" w:leftChars="164" w:hanging="178" w:hangingChars="74"/>
      <w:jc w:val="center"/>
      <w:textAlignment w:val="baseline"/>
    </w:pPr>
    <w:rPr>
      <w:rFonts w:ascii="宋体"/>
      <w:b/>
      <w:kern w:val="0"/>
      <w:sz w:val="24"/>
      <w:szCs w:val="24"/>
    </w:rPr>
  </w:style>
  <w:style w:type="character" w:customStyle="1" w:styleId="78">
    <w:name w:val="正文（首行缩进两字） Char2"/>
    <w:aliases w:val="特点 Char2,署名 Char1,正文（首行缩进两字） Char Char3,正文（首行缩进两字） Char Char Char Char Char Char Char Char1,正文（首行缩进两字） Char Char Char Char2,正文（首行缩进两字） Char Char Char Char Char Char1,正文（首行缩进两字） Char Char Char2,四号 Char1,表正文 Char2,正文非缩进 Char2,段1 Char1"/>
    <w:uiPriority w:val="0"/>
    <w:rPr>
      <w:rFonts w:eastAsia="宋体"/>
      <w:kern w:val="2"/>
      <w:sz w:val="21"/>
      <w:szCs w:val="24"/>
      <w:lang w:val="en-US" w:eastAsia="zh-CN" w:bidi="ar-SA"/>
    </w:rPr>
  </w:style>
  <w:style w:type="character" w:customStyle="1" w:styleId="79">
    <w:name w:val="样式 样式 样式 首行缩进:  1 字符 + 首行缩进:  2 字符2 + 首行缩进:  2 字符 Char Char"/>
    <w:link w:val="80"/>
    <w:uiPriority w:val="0"/>
    <w:rPr>
      <w:rFonts w:cs="宋体"/>
      <w:kern w:val="2"/>
      <w:sz w:val="24"/>
    </w:rPr>
  </w:style>
  <w:style w:type="paragraph" w:customStyle="1" w:styleId="80">
    <w:name w:val="样式 样式 样式 首行缩进:  1 字符 + 首行缩进:  2 字符2 + 首行缩进:  2 字符"/>
    <w:basedOn w:val="1"/>
    <w:link w:val="79"/>
    <w:uiPriority w:val="0"/>
    <w:pPr>
      <w:spacing w:line="360" w:lineRule="auto"/>
      <w:ind w:firstLine="480" w:firstLineChars="200"/>
    </w:pPr>
    <w:rPr>
      <w:sz w:val="24"/>
    </w:rPr>
  </w:style>
  <w:style w:type="character" w:customStyle="1" w:styleId="81">
    <w:name w:val="表头 Char"/>
    <w:link w:val="82"/>
    <w:uiPriority w:val="0"/>
    <w:rPr>
      <w:rFonts w:hAnsi="宋体" w:eastAsia="宋体"/>
      <w:kern w:val="2"/>
      <w:sz w:val="24"/>
      <w:lang w:val="en-US" w:eastAsia="zh-CN" w:bidi="ar-SA"/>
    </w:rPr>
  </w:style>
  <w:style w:type="paragraph" w:customStyle="1" w:styleId="82">
    <w:name w:val="表头"/>
    <w:basedOn w:val="1"/>
    <w:next w:val="1"/>
    <w:link w:val="81"/>
    <w:uiPriority w:val="0"/>
    <w:pPr>
      <w:tabs>
        <w:tab w:val="left" w:pos="540"/>
        <w:tab w:val="left" w:pos="1080"/>
        <w:tab w:val="left" w:pos="1260"/>
        <w:tab w:val="left" w:pos="1440"/>
      </w:tabs>
      <w:spacing w:line="480" w:lineRule="auto"/>
      <w:ind w:firstLine="473" w:firstLineChars="197"/>
    </w:pPr>
    <w:rPr>
      <w:rFonts w:hAnsi="宋体"/>
      <w:sz w:val="24"/>
    </w:rPr>
  </w:style>
  <w:style w:type="character" w:customStyle="1" w:styleId="83">
    <w:name w:val="样式 样式 首行缩进:  1 字符 + 首行缩进:  2 字符1 Char Char"/>
    <w:link w:val="84"/>
    <w:uiPriority w:val="0"/>
    <w:rPr>
      <w:rFonts w:cs="宋体"/>
      <w:kern w:val="2"/>
      <w:sz w:val="24"/>
    </w:rPr>
  </w:style>
  <w:style w:type="paragraph" w:customStyle="1" w:styleId="84">
    <w:name w:val="样式 样式 首行缩进:  1 字符 + 首行缩进:  2 字符1"/>
    <w:basedOn w:val="1"/>
    <w:link w:val="83"/>
    <w:uiPriority w:val="0"/>
    <w:pPr>
      <w:spacing w:line="360" w:lineRule="auto"/>
      <w:ind w:firstLine="200" w:firstLineChars="200"/>
    </w:pPr>
    <w:rPr>
      <w:sz w:val="24"/>
    </w:rPr>
  </w:style>
  <w:style w:type="character" w:customStyle="1" w:styleId="85">
    <w:name w:val="正文1"/>
    <w:basedOn w:val="32"/>
    <w:uiPriority w:val="0"/>
  </w:style>
  <w:style w:type="character" w:customStyle="1" w:styleId="86">
    <w:name w:val="hj style2"/>
    <w:basedOn w:val="32"/>
    <w:uiPriority w:val="0"/>
  </w:style>
  <w:style w:type="character" w:customStyle="1" w:styleId="87">
    <w:name w:val="页脚 字符"/>
    <w:link w:val="18"/>
    <w:uiPriority w:val="0"/>
    <w:rPr>
      <w:kern w:val="2"/>
      <w:sz w:val="18"/>
      <w:szCs w:val="18"/>
    </w:rPr>
  </w:style>
  <w:style w:type="character" w:customStyle="1" w:styleId="88">
    <w:name w:val="p148h"/>
    <w:basedOn w:val="32"/>
    <w:uiPriority w:val="0"/>
  </w:style>
  <w:style w:type="character" w:customStyle="1" w:styleId="89">
    <w:name w:val="apple-converted-space"/>
    <w:basedOn w:val="32"/>
    <w:uiPriority w:val="0"/>
  </w:style>
  <w:style w:type="character" w:customStyle="1" w:styleId="90">
    <w:name w:val="正文文本缩进 3 字符"/>
    <w:link w:val="23"/>
    <w:uiPriority w:val="0"/>
    <w:rPr>
      <w:rFonts w:eastAsia="宋体"/>
      <w:kern w:val="2"/>
      <w:sz w:val="16"/>
      <w:szCs w:val="16"/>
      <w:lang w:val="en-US" w:eastAsia="zh-CN" w:bidi="ar-SA"/>
    </w:rPr>
  </w:style>
  <w:style w:type="character" w:customStyle="1" w:styleId="91">
    <w:name w:val="正文缩进 字符"/>
    <w:link w:val="6"/>
    <w:uiPriority w:val="0"/>
    <w:rPr>
      <w:rFonts w:eastAsia="宋体"/>
      <w:kern w:val="2"/>
      <w:sz w:val="21"/>
      <w:szCs w:val="24"/>
      <w:lang w:val="en-US" w:eastAsia="zh-CN" w:bidi="ar-SA"/>
    </w:rPr>
  </w:style>
  <w:style w:type="character" w:customStyle="1" w:styleId="92">
    <w:name w:val="文章正文样式 Char"/>
    <w:uiPriority w:val="0"/>
    <w:rPr>
      <w:rFonts w:ascii="宋体" w:hAnsi="宋体" w:eastAsia="宋体" w:cs="宋体"/>
      <w:kern w:val="2"/>
      <w:sz w:val="24"/>
      <w:lang w:val="en-US" w:eastAsia="zh-CN" w:bidi="ar-SA"/>
    </w:rPr>
  </w:style>
  <w:style w:type="character" w:customStyle="1" w:styleId="93">
    <w:name w:val="标题 3 字符"/>
    <w:link w:val="4"/>
    <w:uiPriority w:val="0"/>
    <w:rPr>
      <w:bCs/>
      <w:kern w:val="2"/>
      <w:sz w:val="24"/>
      <w:szCs w:val="32"/>
    </w:rPr>
  </w:style>
  <w:style w:type="character" w:customStyle="1" w:styleId="94">
    <w:name w:val="正文文本 2 字符"/>
    <w:link w:val="24"/>
    <w:uiPriority w:val="0"/>
    <w:rPr>
      <w:rFonts w:eastAsia="仿宋_GB2312"/>
      <w:kern w:val="2"/>
      <w:sz w:val="28"/>
      <w:szCs w:val="24"/>
    </w:rPr>
  </w:style>
  <w:style w:type="character" w:customStyle="1" w:styleId="95">
    <w:name w:val="标题 1 字符"/>
    <w:link w:val="2"/>
    <w:uiPriority w:val="0"/>
    <w:rPr>
      <w:rFonts w:eastAsia="宋体"/>
      <w:b/>
      <w:bCs/>
      <w:kern w:val="44"/>
      <w:sz w:val="44"/>
      <w:szCs w:val="44"/>
      <w:lang w:val="en-US" w:eastAsia="zh-CN" w:bidi="ar-SA"/>
    </w:rPr>
  </w:style>
  <w:style w:type="character" w:customStyle="1" w:styleId="96">
    <w:name w:val="style91"/>
    <w:uiPriority w:val="0"/>
    <w:rPr>
      <w:b/>
      <w:bCs/>
      <w:color w:val="006600"/>
    </w:rPr>
  </w:style>
  <w:style w:type="character" w:customStyle="1" w:styleId="97">
    <w:name w:val="h31"/>
    <w:uiPriority w:val="0"/>
    <w:rPr>
      <w:sz w:val="21"/>
      <w:szCs w:val="21"/>
    </w:rPr>
  </w:style>
  <w:style w:type="character" w:customStyle="1" w:styleId="98">
    <w:name w:val="页眉 字符"/>
    <w:link w:val="19"/>
    <w:uiPriority w:val="0"/>
    <w:rPr>
      <w:rFonts w:eastAsia="宋体"/>
      <w:kern w:val="2"/>
      <w:sz w:val="18"/>
      <w:lang w:val="en-US" w:eastAsia="zh-CN" w:bidi="ar-SA"/>
    </w:rPr>
  </w:style>
  <w:style w:type="character" w:customStyle="1" w:styleId="99">
    <w:name w:val="Normal Char"/>
    <w:link w:val="100"/>
    <w:uiPriority w:val="0"/>
    <w:rPr>
      <w:rFonts w:ascii="宋体" w:eastAsia="Times New Roman"/>
      <w:sz w:val="24"/>
      <w:lang w:val="en-US" w:eastAsia="zh-CN" w:bidi="ar-SA"/>
    </w:rPr>
  </w:style>
  <w:style w:type="paragraph" w:customStyle="1" w:styleId="100">
    <w:name w:val="Normal"/>
    <w:link w:val="99"/>
    <w:uiPriority w:val="0"/>
    <w:pPr>
      <w:widowControl w:val="0"/>
      <w:adjustRightInd w:val="0"/>
      <w:spacing w:line="360" w:lineRule="atLeast"/>
      <w:textAlignment w:val="baseline"/>
    </w:pPr>
    <w:rPr>
      <w:rFonts w:ascii="宋体" w:eastAsia="Times New Roman"/>
      <w:sz w:val="24"/>
      <w:lang w:val="en-US" w:eastAsia="zh-CN" w:bidi="ar-SA"/>
    </w:rPr>
  </w:style>
  <w:style w:type="character" w:customStyle="1" w:styleId="101">
    <w:name w:val="纯文本 字符"/>
    <w:link w:val="14"/>
    <w:uiPriority w:val="0"/>
    <w:rPr>
      <w:rFonts w:ascii="宋体" w:hAnsi="Courier New" w:eastAsia="宋体"/>
      <w:kern w:val="2"/>
      <w:sz w:val="28"/>
      <w:szCs w:val="21"/>
      <w:lang w:val="en-US" w:eastAsia="zh-CN" w:bidi="ar-SA"/>
    </w:rPr>
  </w:style>
  <w:style w:type="character" w:customStyle="1" w:styleId="102">
    <w:name w:val="正文文字 Char"/>
    <w:uiPriority w:val="0"/>
    <w:rPr>
      <w:rFonts w:eastAsia="宋体"/>
      <w:kern w:val="2"/>
      <w:sz w:val="24"/>
      <w:szCs w:val="24"/>
      <w:lang w:val="en-US" w:eastAsia="zh-CN" w:bidi="ar-SA"/>
    </w:rPr>
  </w:style>
  <w:style w:type="character" w:customStyle="1" w:styleId="103">
    <w:name w:val="批注文字 字符"/>
    <w:link w:val="9"/>
    <w:uiPriority w:val="0"/>
    <w:rPr>
      <w:kern w:val="2"/>
      <w:sz w:val="21"/>
      <w:szCs w:val="24"/>
    </w:rPr>
  </w:style>
  <w:style w:type="character" w:customStyle="1" w:styleId="104">
    <w:name w:val="keyword"/>
    <w:basedOn w:val="32"/>
    <w:uiPriority w:val="0"/>
  </w:style>
  <w:style w:type="character" w:customStyle="1" w:styleId="105">
    <w:name w:val="样式 样式 样式 首行缩进:  1 字符 + 首行缩进:  2 字符2 + 首行缩进:  2 字符 行距: 固定值 23 磅 Char Char"/>
    <w:basedOn w:val="50"/>
    <w:link w:val="106"/>
    <w:uiPriority w:val="0"/>
  </w:style>
  <w:style w:type="paragraph" w:customStyle="1" w:styleId="106">
    <w:name w:val="样式 样式 样式 首行缩进:  1 字符 + 首行缩进:  2 字符2 + 首行缩进:  2 字符 行距: 固定值 23 磅"/>
    <w:basedOn w:val="51"/>
    <w:link w:val="105"/>
    <w:uiPriority w:val="0"/>
    <w:pPr>
      <w:adjustRightInd w:val="0"/>
      <w:snapToGrid w:val="0"/>
    </w:pPr>
  </w:style>
  <w:style w:type="paragraph" w:customStyle="1" w:styleId="107">
    <w:name w:val="样式 小四 行距: 1.5 倍行距"/>
    <w:basedOn w:val="1"/>
    <w:uiPriority w:val="0"/>
    <w:pPr>
      <w:spacing w:line="480" w:lineRule="exact"/>
      <w:ind w:firstLine="422" w:firstLineChars="200"/>
      <w:jc w:val="center"/>
    </w:pPr>
    <w:rPr>
      <w:rFonts w:hAnsi="宋体"/>
      <w:b/>
      <w:kern w:val="0"/>
      <w:szCs w:val="21"/>
    </w:rPr>
  </w:style>
  <w:style w:type="paragraph" w:styleId="108">
    <w:name w:val="No Spacing"/>
    <w:qFormat/>
    <w:uiPriority w:val="0"/>
    <w:pPr>
      <w:widowControl w:val="0"/>
      <w:jc w:val="both"/>
    </w:pPr>
    <w:rPr>
      <w:kern w:val="2"/>
      <w:sz w:val="24"/>
      <w:lang w:val="en-US" w:eastAsia="zh-CN" w:bidi="ar-SA"/>
    </w:rPr>
  </w:style>
  <w:style w:type="paragraph" w:customStyle="1" w:styleId="109">
    <w:name w:val="F正文"/>
    <w:uiPriority w:val="0"/>
    <w:pPr>
      <w:widowControl w:val="0"/>
      <w:adjustRightInd w:val="0"/>
      <w:spacing w:line="360" w:lineRule="atLeast"/>
      <w:textAlignment w:val="baseline"/>
    </w:pPr>
    <w:rPr>
      <w:spacing w:val="12"/>
      <w:sz w:val="24"/>
      <w:lang w:val="en-US" w:eastAsia="zh-CN" w:bidi="ar-SA"/>
    </w:rPr>
  </w:style>
  <w:style w:type="paragraph" w:customStyle="1" w:styleId="110">
    <w:name w:val="小三黑宋居左"/>
    <w:uiPriority w:val="0"/>
    <w:pPr>
      <w:adjustRightInd w:val="0"/>
      <w:snapToGrid w:val="0"/>
      <w:spacing w:before="156" w:beforeLines="50" w:line="360" w:lineRule="auto"/>
    </w:pPr>
    <w:rPr>
      <w:b/>
      <w:bCs/>
      <w:sz w:val="28"/>
      <w:szCs w:val="28"/>
      <w:lang w:val="en-US" w:eastAsia="zh-CN" w:bidi="ar-SA"/>
    </w:rPr>
  </w:style>
  <w:style w:type="paragraph" w:customStyle="1" w:styleId="111">
    <w:name w:val="正文 +宋体"/>
    <w:basedOn w:val="1"/>
    <w:uiPriority w:val="0"/>
    <w:pPr>
      <w:spacing w:line="360" w:lineRule="auto"/>
      <w:jc w:val="center"/>
    </w:pPr>
    <w:rPr>
      <w:rFonts w:ascii="宋体" w:hAnsi="宋体"/>
      <w:b/>
      <w:szCs w:val="21"/>
    </w:rPr>
  </w:style>
  <w:style w:type="paragraph" w:customStyle="1" w:styleId="112">
    <w:name w:val=" Char Char Char Char Char2 Char Char Char Char"/>
    <w:basedOn w:val="1"/>
    <w:uiPriority w:val="0"/>
    <w:pPr>
      <w:adjustRightInd w:val="0"/>
      <w:snapToGrid w:val="0"/>
      <w:spacing w:line="360" w:lineRule="auto"/>
      <w:ind w:firstLine="200" w:firstLineChars="200"/>
    </w:pPr>
    <w:rPr>
      <w:rFonts w:ascii="宋体" w:hAnsi="宋体" w:cs="宋体"/>
      <w:sz w:val="24"/>
      <w:szCs w:val="26"/>
    </w:rPr>
  </w:style>
  <w:style w:type="paragraph" w:customStyle="1" w:styleId="113">
    <w:name w:val="表格正文"/>
    <w:basedOn w:val="1"/>
    <w:next w:val="1"/>
    <w:uiPriority w:val="0"/>
    <w:pPr>
      <w:adjustRightInd w:val="0"/>
      <w:snapToGrid w:val="0"/>
      <w:jc w:val="center"/>
      <w:textAlignment w:val="baseline"/>
    </w:pPr>
    <w:rPr>
      <w:rFonts w:ascii="宋体" w:hAnsi="宋体"/>
      <w:snapToGrid w:val="0"/>
      <w:spacing w:val="4"/>
      <w:w w:val="90"/>
      <w:kern w:val="0"/>
      <w:szCs w:val="24"/>
    </w:rPr>
  </w:style>
  <w:style w:type="paragraph" w:customStyle="1" w:styleId="114">
    <w:name w:val="表头名称"/>
    <w:basedOn w:val="6"/>
    <w:uiPriority w:val="0"/>
    <w:pPr>
      <w:autoSpaceDE w:val="0"/>
      <w:autoSpaceDN w:val="0"/>
      <w:adjustRightInd w:val="0"/>
      <w:spacing w:line="360" w:lineRule="auto"/>
      <w:ind w:firstLine="0" w:firstLineChars="0"/>
      <w:jc w:val="center"/>
    </w:pPr>
    <w:rPr>
      <w:rFonts w:ascii="黑体" w:hAnsi="宋体" w:eastAsia="黑体"/>
      <w:kern w:val="0"/>
      <w:sz w:val="24"/>
      <w:szCs w:val="20"/>
    </w:rPr>
  </w:style>
  <w:style w:type="paragraph" w:customStyle="1" w:styleId="115">
    <w:name w:val=" Char Char Char Char Char Char Char Char Char Char Char"/>
    <w:uiPriority w:val="0"/>
    <w:pPr>
      <w:widowControl w:val="0"/>
      <w:spacing w:line="300" w:lineRule="auto"/>
      <w:ind w:firstLine="480" w:firstLineChars="200"/>
      <w:jc w:val="both"/>
    </w:pPr>
    <w:rPr>
      <w:rFonts w:eastAsia="仿宋_GB2312"/>
      <w:kern w:val="2"/>
      <w:sz w:val="24"/>
      <w:szCs w:val="24"/>
      <w:lang w:val="en-US" w:eastAsia="zh-CN" w:bidi="ar-SA"/>
    </w:rPr>
  </w:style>
  <w:style w:type="paragraph" w:customStyle="1" w:styleId="116">
    <w:name w:val="Char Char1 Char Char Char Char Char Char Char Char Char Char Char Char Char Char Char Char Char Char Char Char1 Char"/>
    <w:basedOn w:val="1"/>
    <w:uiPriority w:val="0"/>
    <w:pPr>
      <w:adjustRightInd w:val="0"/>
      <w:snapToGrid w:val="0"/>
      <w:spacing w:line="360" w:lineRule="auto"/>
      <w:ind w:firstLine="200" w:firstLineChars="200"/>
    </w:pPr>
    <w:rPr>
      <w:rFonts w:ascii="宋体" w:hAnsi="宋体" w:cs="宋体"/>
      <w:sz w:val="24"/>
      <w:szCs w:val="24"/>
    </w:rPr>
  </w:style>
  <w:style w:type="paragraph" w:customStyle="1" w:styleId="117">
    <w:name w:val="Char Char Char1 Char Char Char Char Char Char Char Char Char Char Char Char Char Char Char Char Char Char Char Char Char Char"/>
    <w:basedOn w:val="1"/>
    <w:semiHidden/>
    <w:uiPriority w:val="0"/>
    <w:pPr>
      <w:adjustRightInd w:val="0"/>
      <w:snapToGrid w:val="0"/>
      <w:spacing w:line="360" w:lineRule="auto"/>
      <w:ind w:firstLine="200" w:firstLineChars="200"/>
    </w:pPr>
    <w:rPr>
      <w:rFonts w:ascii="宋体" w:hAnsi="宋体" w:cs="宋体"/>
      <w:sz w:val="24"/>
      <w:szCs w:val="26"/>
    </w:rPr>
  </w:style>
  <w:style w:type="paragraph" w:customStyle="1" w:styleId="118">
    <w:name w:val=" Char Char Char Char Char Char Char"/>
    <w:basedOn w:val="1"/>
    <w:uiPriority w:val="0"/>
    <w:pPr>
      <w:spacing w:line="360" w:lineRule="auto"/>
      <w:ind w:firstLine="200" w:firstLineChars="200"/>
    </w:pPr>
    <w:rPr>
      <w:rFonts w:ascii="宋体" w:hAnsi="宋体" w:cs="宋体"/>
      <w:sz w:val="24"/>
      <w:szCs w:val="24"/>
    </w:rPr>
  </w:style>
  <w:style w:type="paragraph" w:customStyle="1" w:styleId="119">
    <w:name w:val="样式 标题 3 + 段前: 0.5 行"/>
    <w:basedOn w:val="4"/>
    <w:uiPriority w:val="0"/>
    <w:pPr>
      <w:spacing w:after="0" w:afterLines="0" w:line="500" w:lineRule="exact"/>
    </w:pPr>
    <w:rPr>
      <w:rFonts w:cs="宋体"/>
      <w:bCs w:val="0"/>
      <w:sz w:val="28"/>
      <w:szCs w:val="28"/>
    </w:rPr>
  </w:style>
  <w:style w:type="paragraph" w:customStyle="1" w:styleId="120">
    <w:name w:val="报告表正文"/>
    <w:basedOn w:val="1"/>
    <w:uiPriority w:val="0"/>
    <w:pPr>
      <w:adjustRightInd w:val="0"/>
      <w:spacing w:line="312" w:lineRule="auto"/>
      <w:ind w:left="113" w:right="113" w:firstLine="482"/>
      <w:jc w:val="left"/>
      <w:textAlignment w:val="baseline"/>
    </w:pPr>
    <w:rPr>
      <w:kern w:val="0"/>
      <w:sz w:val="24"/>
    </w:rPr>
  </w:style>
  <w:style w:type="paragraph" w:customStyle="1" w:styleId="121">
    <w:name w:val="3"/>
    <w:basedOn w:val="1"/>
    <w:next w:val="16"/>
    <w:uiPriority w:val="0"/>
    <w:pPr>
      <w:tabs>
        <w:tab w:val="left" w:pos="6855"/>
      </w:tabs>
      <w:ind w:firstLine="560" w:firstLineChars="200"/>
    </w:pPr>
    <w:rPr>
      <w:rFonts w:eastAsia="仿宋_GB2312"/>
      <w:sz w:val="28"/>
      <w:szCs w:val="24"/>
    </w:rPr>
  </w:style>
  <w:style w:type="paragraph" w:customStyle="1" w:styleId="122">
    <w:name w:val="报告书表格"/>
    <w:basedOn w:val="1"/>
    <w:uiPriority w:val="0"/>
    <w:pPr>
      <w:adjustRightInd w:val="0"/>
      <w:snapToGrid w:val="0"/>
      <w:spacing w:line="240" w:lineRule="atLeast"/>
      <w:jc w:val="center"/>
      <w:textAlignment w:val="baseline"/>
    </w:pPr>
    <w:rPr>
      <w:kern w:val="0"/>
    </w:rPr>
  </w:style>
  <w:style w:type="paragraph" w:customStyle="1" w:styleId="123">
    <w:name w:val="默认段落字体 Para Char"/>
    <w:basedOn w:val="1"/>
    <w:uiPriority w:val="0"/>
    <w:rPr>
      <w:rFonts w:ascii="宋体"/>
      <w:sz w:val="28"/>
      <w:szCs w:val="24"/>
    </w:rPr>
  </w:style>
  <w:style w:type="paragraph" w:customStyle="1" w:styleId="124">
    <w:name w:val="xl37"/>
    <w:basedOn w:val="1"/>
    <w:uiPriority w:val="0"/>
    <w:pPr>
      <w:widowControl/>
      <w:spacing w:before="100" w:beforeAutospacing="1" w:after="100" w:afterAutospacing="1"/>
      <w:jc w:val="center"/>
    </w:pPr>
    <w:rPr>
      <w:rFonts w:ascii="宋体" w:hAnsi="宋体"/>
      <w:kern w:val="0"/>
      <w:sz w:val="24"/>
      <w:szCs w:val="24"/>
    </w:rPr>
  </w:style>
  <w:style w:type="paragraph" w:customStyle="1" w:styleId="125">
    <w:name w:val="普通文字"/>
    <w:basedOn w:val="1"/>
    <w:uiPriority w:val="0"/>
    <w:pPr>
      <w:adjustRightInd w:val="0"/>
      <w:snapToGrid w:val="0"/>
      <w:spacing w:line="360" w:lineRule="exact"/>
      <w:textAlignment w:val="baseline"/>
    </w:pPr>
    <w:rPr>
      <w:rFonts w:eastAsia="仿宋_GB2312"/>
      <w:kern w:val="21"/>
    </w:rPr>
  </w:style>
  <w:style w:type="paragraph" w:customStyle="1" w:styleId="126">
    <w:name w:val=" Char Char Char Char Char Char Char Char Char Char Char Char Char Char Char Char Char Char Char"/>
    <w:basedOn w:val="1"/>
    <w:uiPriority w:val="0"/>
    <w:pPr>
      <w:adjustRightInd w:val="0"/>
      <w:spacing w:line="360" w:lineRule="auto"/>
    </w:pPr>
    <w:rPr>
      <w:kern w:val="0"/>
      <w:sz w:val="24"/>
    </w:rPr>
  </w:style>
  <w:style w:type="paragraph" w:customStyle="1" w:styleId="127">
    <w:name w:val="正文样式1"/>
    <w:basedOn w:val="1"/>
    <w:uiPriority w:val="0"/>
    <w:pPr>
      <w:adjustRightInd w:val="0"/>
      <w:spacing w:line="460" w:lineRule="exact"/>
      <w:jc w:val="center"/>
    </w:pPr>
    <w:rPr>
      <w:rFonts w:ascii="宋体" w:hAnsi="宋体"/>
      <w:color w:val="000000"/>
      <w:spacing w:val="-20"/>
      <w:kern w:val="0"/>
      <w:sz w:val="24"/>
      <w:szCs w:val="24"/>
    </w:rPr>
  </w:style>
  <w:style w:type="paragraph" w:customStyle="1" w:styleId="128">
    <w:name w:val=" Char"/>
    <w:basedOn w:val="1"/>
    <w:next w:val="1"/>
    <w:uiPriority w:val="0"/>
    <w:pPr>
      <w:keepNext/>
      <w:keepLines/>
      <w:widowControl/>
      <w:adjustRightInd w:val="0"/>
      <w:spacing w:before="40" w:beforeLines="0" w:after="40" w:afterLines="0" w:line="360" w:lineRule="auto"/>
      <w:ind w:firstLine="200" w:firstLineChars="200"/>
      <w:textAlignment w:val="baseline"/>
      <w:outlineLvl w:val="3"/>
    </w:pPr>
    <w:rPr>
      <w:rFonts w:eastAsia="仿宋_GB2312" w:cs="宋体"/>
      <w:b/>
      <w:kern w:val="0"/>
      <w:sz w:val="24"/>
      <w:szCs w:val="28"/>
    </w:rPr>
  </w:style>
  <w:style w:type="paragraph" w:customStyle="1" w:styleId="129">
    <w:name w:val=" Char Char Char Char Char Char3 Char Char Char Char Char Char Char"/>
    <w:basedOn w:val="1"/>
    <w:next w:val="1"/>
    <w:uiPriority w:val="0"/>
    <w:rPr>
      <w:szCs w:val="24"/>
    </w:rPr>
  </w:style>
  <w:style w:type="paragraph" w:customStyle="1" w:styleId="130">
    <w:name w:val="Char Char Char Char Char2 Char Char Char Char"/>
    <w:basedOn w:val="1"/>
    <w:uiPriority w:val="0"/>
    <w:pPr>
      <w:adjustRightInd w:val="0"/>
      <w:snapToGrid w:val="0"/>
      <w:spacing w:line="360" w:lineRule="auto"/>
      <w:ind w:firstLine="200" w:firstLineChars="200"/>
    </w:pPr>
    <w:rPr>
      <w:rFonts w:ascii="宋体" w:hAnsi="宋体" w:cs="宋体"/>
      <w:sz w:val="24"/>
      <w:szCs w:val="26"/>
    </w:rPr>
  </w:style>
  <w:style w:type="paragraph" w:customStyle="1" w:styleId="131">
    <w:name w:val="4"/>
    <w:basedOn w:val="1"/>
    <w:next w:val="24"/>
    <w:uiPriority w:val="0"/>
    <w:pPr>
      <w:spacing w:line="520" w:lineRule="exact"/>
    </w:pPr>
    <w:rPr>
      <w:rFonts w:eastAsia="仿宋_GB2312"/>
      <w:sz w:val="28"/>
      <w:szCs w:val="24"/>
    </w:rPr>
  </w:style>
  <w:style w:type="paragraph" w:customStyle="1" w:styleId="132">
    <w:name w:val="ISO标题3内文"/>
    <w:uiPriority w:val="0"/>
    <w:pPr>
      <w:ind w:left="1620"/>
    </w:pPr>
    <w:rPr>
      <w:rFonts w:ascii="宋体" w:hAnsi="宋体"/>
      <w:color w:val="000000"/>
      <w:sz w:val="24"/>
      <w:szCs w:val="24"/>
      <w:lang w:val="en-US" w:eastAsia="zh-CN" w:bidi="ar-SA"/>
    </w:rPr>
  </w:style>
  <w:style w:type="paragraph" w:customStyle="1" w:styleId="133">
    <w:name w:val=" Char Char Char"/>
    <w:basedOn w:val="1"/>
    <w:uiPriority w:val="0"/>
    <w:pPr>
      <w:spacing w:line="360" w:lineRule="auto"/>
      <w:ind w:firstLine="200" w:firstLineChars="200"/>
    </w:pPr>
    <w:rPr>
      <w:rFonts w:ascii="宋体" w:hAnsi="宋体" w:cs="宋体"/>
      <w:sz w:val="24"/>
      <w:szCs w:val="24"/>
    </w:rPr>
  </w:style>
  <w:style w:type="paragraph" w:styleId="134">
    <w:name w:val="List Paragraph"/>
    <w:basedOn w:val="1"/>
    <w:qFormat/>
    <w:uiPriority w:val="0"/>
    <w:pPr>
      <w:ind w:firstLine="420" w:firstLineChars="200"/>
    </w:pPr>
    <w:rPr>
      <w:szCs w:val="24"/>
    </w:rPr>
  </w:style>
  <w:style w:type="paragraph" w:customStyle="1" w:styleId="135">
    <w:name w:val="君邦正文"/>
    <w:uiPriority w:val="0"/>
    <w:pPr>
      <w:spacing w:line="360" w:lineRule="auto"/>
      <w:ind w:left="-4" w:leftChars="-2" w:firstLine="480" w:firstLineChars="200"/>
      <w:jc w:val="both"/>
    </w:pPr>
    <w:rPr>
      <w:rFonts w:ascii="宋体" w:hAnsi="宋体"/>
      <w:kern w:val="2"/>
      <w:sz w:val="24"/>
      <w:lang w:val="en-US" w:eastAsia="zh-CN" w:bidi="ar-SA"/>
    </w:rPr>
  </w:style>
  <w:style w:type="paragraph" w:customStyle="1" w:styleId="136">
    <w:name w:val="小四行1.5（首行缩进）"/>
    <w:uiPriority w:val="0"/>
    <w:pPr>
      <w:tabs>
        <w:tab w:val="left" w:pos="0"/>
      </w:tabs>
      <w:autoSpaceDE w:val="0"/>
      <w:autoSpaceDN w:val="0"/>
      <w:adjustRightInd w:val="0"/>
      <w:snapToGrid w:val="0"/>
      <w:spacing w:line="360" w:lineRule="auto"/>
      <w:ind w:firstLine="480" w:firstLineChars="200"/>
      <w:jc w:val="both"/>
      <w:textAlignment w:val="baseline"/>
    </w:pPr>
    <w:rPr>
      <w:rFonts w:ascii="宋体" w:hAnsi="宋体"/>
      <w:color w:val="000000"/>
      <w:sz w:val="24"/>
      <w:szCs w:val="24"/>
      <w:lang w:val="en-US" w:eastAsia="zh-CN" w:bidi="ar-SA"/>
    </w:rPr>
  </w:style>
  <w:style w:type="paragraph" w:customStyle="1" w:styleId="137">
    <w:name w:val="惠泽表格"/>
    <w:basedOn w:val="1"/>
    <w:uiPriority w:val="0"/>
    <w:pPr>
      <w:spacing w:line="480" w:lineRule="exact"/>
      <w:jc w:val="center"/>
    </w:pPr>
    <w:rPr>
      <w:rFonts w:ascii="黑体" w:hAnsi="黑体" w:eastAsia="黑体" w:cs="宋体"/>
      <w:sz w:val="24"/>
    </w:rPr>
  </w:style>
  <w:style w:type="paragraph" w:customStyle="1" w:styleId="138">
    <w:name w:val="表格2"/>
    <w:basedOn w:val="1"/>
    <w:next w:val="1"/>
    <w:uiPriority w:val="0"/>
    <w:pPr>
      <w:topLinePunct/>
      <w:autoSpaceDE w:val="0"/>
      <w:autoSpaceDN w:val="0"/>
      <w:adjustRightInd w:val="0"/>
      <w:jc w:val="center"/>
      <w:textAlignment w:val="baseline"/>
    </w:pPr>
    <w:rPr>
      <w:rFonts w:ascii="宋体" w:hAnsi="Impact"/>
      <w:kern w:val="24"/>
      <w:position w:val="-28"/>
    </w:rPr>
  </w:style>
  <w:style w:type="paragraph" w:customStyle="1" w:styleId="139">
    <w:name w:val="Char"/>
    <w:basedOn w:val="1"/>
    <w:uiPriority w:val="0"/>
    <w:rPr>
      <w:szCs w:val="24"/>
    </w:rPr>
  </w:style>
  <w:style w:type="paragraph" w:customStyle="1" w:styleId="140">
    <w:name w:val="报告表格"/>
    <w:basedOn w:val="1"/>
    <w:uiPriority w:val="0"/>
    <w:pPr>
      <w:autoSpaceDE w:val="0"/>
      <w:autoSpaceDN w:val="0"/>
      <w:adjustRightInd w:val="0"/>
      <w:spacing w:before="40" w:beforeLines="0" w:after="40" w:afterLines="0"/>
      <w:jc w:val="center"/>
    </w:pPr>
    <w:rPr>
      <w:kern w:val="0"/>
    </w:rPr>
  </w:style>
  <w:style w:type="paragraph" w:customStyle="1" w:styleId="141">
    <w:name w:val="敏感表"/>
    <w:basedOn w:val="1"/>
    <w:next w:val="1"/>
    <w:uiPriority w:val="0"/>
    <w:pPr>
      <w:topLinePunct/>
      <w:adjustRightInd w:val="0"/>
      <w:spacing w:line="240" w:lineRule="atLeast"/>
      <w:jc w:val="center"/>
      <w:textAlignment w:val="bottom"/>
    </w:pPr>
    <w:rPr>
      <w:kern w:val="0"/>
    </w:rPr>
  </w:style>
  <w:style w:type="paragraph" w:customStyle="1" w:styleId="142">
    <w:name w:val="表文字"/>
    <w:basedOn w:val="1"/>
    <w:uiPriority w:val="0"/>
    <w:pPr>
      <w:jc w:val="center"/>
    </w:pPr>
    <w:rPr>
      <w:color w:val="000000"/>
      <w:szCs w:val="24"/>
      <w:lang/>
    </w:rPr>
  </w:style>
  <w:style w:type="paragraph" w:customStyle="1" w:styleId="143">
    <w:name w:val="段落1"/>
    <w:basedOn w:val="1"/>
    <w:uiPriority w:val="0"/>
    <w:pPr>
      <w:spacing w:line="480" w:lineRule="exact"/>
      <w:ind w:firstLine="200" w:firstLineChars="200"/>
    </w:pPr>
    <w:rPr>
      <w:rFonts w:eastAsia="楷体_GB2312"/>
      <w:spacing w:val="6"/>
      <w:sz w:val="28"/>
      <w:szCs w:val="24"/>
    </w:rPr>
  </w:style>
  <w:style w:type="paragraph" w:customStyle="1" w:styleId="144">
    <w:name w:val="图例"/>
    <w:basedOn w:val="1"/>
    <w:uiPriority w:val="0"/>
    <w:pPr>
      <w:spacing w:before="240" w:beforeLines="0" w:after="120" w:afterLines="0"/>
      <w:jc w:val="center"/>
    </w:pPr>
    <w:rPr>
      <w:rFonts w:eastAsia="楷体_GB2312"/>
      <w:sz w:val="28"/>
      <w:szCs w:val="24"/>
    </w:rPr>
  </w:style>
  <w:style w:type="paragraph" w:customStyle="1" w:styleId="145">
    <w:name w:val=" Char Char Char1"/>
    <w:basedOn w:val="1"/>
    <w:uiPriority w:val="0"/>
  </w:style>
  <w:style w:type="paragraph" w:customStyle="1" w:styleId="146">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47">
    <w:name w:val="应填表格"/>
    <w:basedOn w:val="1"/>
    <w:uiPriority w:val="0"/>
    <w:pPr>
      <w:adjustRightInd w:val="0"/>
      <w:spacing w:before="40" w:beforeLines="0" w:after="40" w:afterLines="0"/>
      <w:jc w:val="left"/>
      <w:textAlignment w:val="baseline"/>
    </w:pPr>
    <w:rPr>
      <w:kern w:val="0"/>
      <w:sz w:val="24"/>
    </w:rPr>
  </w:style>
  <w:style w:type="paragraph" w:customStyle="1" w:styleId="148">
    <w:name w:val="1"/>
    <w:basedOn w:val="1"/>
    <w:next w:val="6"/>
    <w:uiPriority w:val="0"/>
    <w:pPr>
      <w:spacing w:line="360" w:lineRule="auto"/>
      <w:ind w:firstLine="420"/>
    </w:pPr>
    <w:rPr>
      <w:rFonts w:ascii="宋体" w:hAnsi="Arial Black" w:eastAsia="仿宋_GB2312"/>
      <w:kern w:val="18"/>
      <w:sz w:val="28"/>
    </w:rPr>
  </w:style>
  <w:style w:type="paragraph" w:customStyle="1" w:styleId="149">
    <w:name w:val=" Char Char17"/>
    <w:basedOn w:val="1"/>
    <w:uiPriority w:val="0"/>
    <w:pPr>
      <w:spacing w:line="360" w:lineRule="auto"/>
      <w:ind w:firstLine="200" w:firstLineChars="200"/>
    </w:pPr>
    <w:rPr>
      <w:rFonts w:ascii="宋体" w:hAnsi="宋体" w:cs="宋体"/>
      <w:sz w:val="24"/>
      <w:szCs w:val="24"/>
    </w:rPr>
  </w:style>
  <w:style w:type="paragraph" w:customStyle="1" w:styleId="150">
    <w:name w:val=" Char Char Char Char"/>
    <w:basedOn w:val="1"/>
    <w:uiPriority w:val="0"/>
    <w:pPr>
      <w:spacing w:line="360" w:lineRule="auto"/>
      <w:ind w:firstLine="200" w:firstLineChars="200"/>
    </w:pPr>
    <w:rPr>
      <w:rFonts w:ascii="宋体" w:hAnsi="宋体" w:cs="宋体"/>
      <w:sz w:val="24"/>
      <w:szCs w:val="24"/>
    </w:rPr>
  </w:style>
  <w:style w:type="paragraph" w:customStyle="1" w:styleId="151">
    <w:name w:val="二级无标题条"/>
    <w:basedOn w:val="1"/>
    <w:uiPriority w:val="0"/>
    <w:rPr>
      <w:szCs w:val="24"/>
    </w:rPr>
  </w:style>
  <w:style w:type="paragraph" w:customStyle="1" w:styleId="152">
    <w:name w:val="标准"/>
    <w:basedOn w:val="1"/>
    <w:uiPriority w:val="0"/>
    <w:pPr>
      <w:adjustRightInd w:val="0"/>
      <w:spacing w:line="312" w:lineRule="atLeast"/>
      <w:jc w:val="center"/>
      <w:textAlignment w:val="baseline"/>
    </w:pPr>
    <w:rPr>
      <w:kern w:val="0"/>
      <w:szCs w:val="21"/>
    </w:rPr>
  </w:style>
  <w:style w:type="paragraph" w:customStyle="1" w:styleId="153">
    <w:name w:val="注居中"/>
    <w:basedOn w:val="1"/>
    <w:uiPriority w:val="0"/>
    <w:pPr>
      <w:spacing w:before="120" w:after="120" w:line="240" w:lineRule="exact"/>
      <w:jc w:val="center"/>
    </w:pPr>
    <w:rPr>
      <w:rFonts w:ascii="黑体" w:eastAsia="黑体"/>
      <w:color w:val="000000"/>
      <w:kern w:val="0"/>
    </w:rPr>
  </w:style>
  <w:style w:type="paragraph" w:customStyle="1" w:styleId="154">
    <w:name w:val="居中正文"/>
    <w:basedOn w:val="1"/>
    <w:next w:val="1"/>
    <w:uiPriority w:val="0"/>
    <w:pPr>
      <w:adjustRightInd w:val="0"/>
      <w:spacing w:before="120" w:line="360" w:lineRule="auto"/>
      <w:jc w:val="center"/>
      <w:textAlignment w:val="baseline"/>
    </w:pPr>
    <w:rPr>
      <w:rFonts w:ascii="宋体"/>
      <w:kern w:val="28"/>
      <w:sz w:val="24"/>
    </w:rPr>
  </w:style>
  <w:style w:type="paragraph" w:customStyle="1" w:styleId="155">
    <w:name w:val=" Char Char1 Char"/>
    <w:basedOn w:val="1"/>
    <w:uiPriority w:val="0"/>
    <w:rPr>
      <w:szCs w:val="24"/>
    </w:rPr>
  </w:style>
  <w:style w:type="paragraph" w:customStyle="1" w:styleId="156">
    <w:name w:val="文本框"/>
    <w:basedOn w:val="1"/>
    <w:next w:val="1"/>
    <w:uiPriority w:val="0"/>
    <w:pPr>
      <w:tabs>
        <w:tab w:val="left" w:pos="0"/>
      </w:tabs>
      <w:spacing w:line="240" w:lineRule="atLeast"/>
      <w:jc w:val="center"/>
    </w:pPr>
    <w:rPr>
      <w:rFonts w:eastAsia="仿宋_GB2312"/>
      <w:spacing w:val="12"/>
      <w:szCs w:val="28"/>
    </w:rPr>
  </w:style>
  <w:style w:type="paragraph" w:customStyle="1" w:styleId="157">
    <w:name w:val="样式 小四 首行缩进:  0.85 厘米 行距: 1.5 倍行距"/>
    <w:basedOn w:val="1"/>
    <w:uiPriority w:val="0"/>
    <w:pPr>
      <w:adjustRightInd w:val="0"/>
      <w:snapToGrid w:val="0"/>
      <w:spacing w:line="360" w:lineRule="auto"/>
      <w:ind w:firstLine="200" w:firstLineChars="200"/>
    </w:pPr>
    <w:rPr>
      <w:rFonts w:ascii="宋体" w:cs="宋体"/>
      <w:sz w:val="24"/>
      <w:szCs w:val="24"/>
    </w:rPr>
  </w:style>
  <w:style w:type="paragraph" w:customStyle="1" w:styleId="158">
    <w:name w:val="正文（首行缩进两字）m"/>
    <w:basedOn w:val="6"/>
    <w:uiPriority w:val="0"/>
    <w:pPr>
      <w:tabs>
        <w:tab w:val="left" w:pos="1848"/>
        <w:tab w:val="left" w:pos="6061"/>
        <w:tab w:val="left" w:pos="8665"/>
      </w:tabs>
      <w:snapToGrid w:val="0"/>
      <w:spacing w:before="156" w:beforeLines="50" w:line="460" w:lineRule="exact"/>
      <w:ind w:firstLine="480"/>
    </w:pPr>
    <w:rPr>
      <w:rFonts w:ascii="宋体" w:hAnsi="宋体"/>
      <w:sz w:val="24"/>
      <w:szCs w:val="20"/>
    </w:rPr>
  </w:style>
  <w:style w:type="paragraph" w:customStyle="1" w:styleId="159">
    <w:name w:val="正文001"/>
    <w:basedOn w:val="1"/>
    <w:uiPriority w:val="0"/>
    <w:pPr>
      <w:spacing w:before="60" w:beforeLines="0" w:line="420" w:lineRule="exact"/>
      <w:ind w:firstLine="482"/>
    </w:pPr>
    <w:rPr>
      <w:sz w:val="24"/>
    </w:rPr>
  </w:style>
  <w:style w:type="paragraph" w:customStyle="1" w:styleId="160">
    <w:name w:val="Char1"/>
    <w:basedOn w:val="1"/>
    <w:uiPriority w:val="0"/>
    <w:pPr>
      <w:spacing w:line="360" w:lineRule="auto"/>
      <w:ind w:firstLine="200" w:firstLineChars="200"/>
    </w:pPr>
    <w:rPr>
      <w:rFonts w:ascii="宋体" w:hAnsi="宋体" w:cs="宋体"/>
      <w:sz w:val="24"/>
      <w:szCs w:val="24"/>
    </w:rPr>
  </w:style>
  <w:style w:type="paragraph" w:customStyle="1" w:styleId="161">
    <w:name w:val="简单回函地址"/>
    <w:basedOn w:val="1"/>
    <w:uiPriority w:val="0"/>
    <w:pPr>
      <w:adjustRightInd w:val="0"/>
      <w:spacing w:line="312" w:lineRule="atLeast"/>
      <w:textAlignment w:val="baseline"/>
    </w:pPr>
    <w:rPr>
      <w:kern w:val="0"/>
    </w:rPr>
  </w:style>
  <w:style w:type="paragraph" w:customStyle="1" w:styleId="162">
    <w:name w:val="默认段落字体 Para Char Char Char Char"/>
    <w:basedOn w:val="1"/>
    <w:uiPriority w:val="0"/>
    <w:rPr>
      <w:sz w:val="24"/>
      <w:szCs w:val="24"/>
    </w:rPr>
  </w:style>
  <w:style w:type="paragraph" w:customStyle="1" w:styleId="163">
    <w:name w:val=" Char Char2 Char Char Char Char Char Char"/>
    <w:basedOn w:val="1"/>
    <w:uiPriority w:val="0"/>
    <w:pPr>
      <w:spacing w:line="520" w:lineRule="exact"/>
      <w:ind w:firstLine="480" w:firstLineChars="200"/>
    </w:pPr>
    <w:rPr>
      <w:rFonts w:hAnsi="宋体"/>
      <w:kern w:val="48"/>
      <w:sz w:val="24"/>
      <w:szCs w:val="24"/>
    </w:rPr>
  </w:style>
  <w:style w:type="paragraph" w:customStyle="1" w:styleId="164">
    <w:name w:val="样式 样式 标题 2H2节标题 1.1节标题 1.1 Char + 非加粗 首行缩进:  0 厘米 + 段前: 1 行1"/>
    <w:basedOn w:val="3"/>
    <w:uiPriority w:val="0"/>
    <w:pPr>
      <w:spacing w:before="0" w:beforeLines="0" w:after="0" w:afterLines="0" w:line="240" w:lineRule="auto"/>
    </w:pPr>
    <w:rPr>
      <w:rFonts w:eastAsia="宋体"/>
      <w:bCs w:val="0"/>
      <w:kern w:val="0"/>
      <w:sz w:val="28"/>
      <w:szCs w:val="20"/>
    </w:rPr>
  </w:style>
  <w:style w:type="paragraph" w:customStyle="1" w:styleId="165">
    <w:name w:val="表格内容格式"/>
    <w:basedOn w:val="1"/>
    <w:uiPriority w:val="0"/>
    <w:pPr>
      <w:adjustRightInd w:val="0"/>
      <w:spacing w:line="480" w:lineRule="exact"/>
      <w:jc w:val="center"/>
      <w:textAlignment w:val="baseline"/>
    </w:pPr>
    <w:rPr>
      <w:snapToGrid w:val="0"/>
      <w:kern w:val="0"/>
    </w:rPr>
  </w:style>
  <w:style w:type="paragraph" w:customStyle="1" w:styleId="166">
    <w:name w:val=" Char Char Char Char Char Char Char Char Char Char Char Char Char Char Char Char Char Char Char Char Char Char Char Char Char Char Char"/>
    <w:basedOn w:val="1"/>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3645</Words>
  <Characters>20781</Characters>
  <Lines>173</Lines>
  <Paragraphs>48</Paragraphs>
  <TotalTime>26</TotalTime>
  <ScaleCrop>false</ScaleCrop>
  <LinksUpToDate>false</LinksUpToDate>
  <CharactersWithSpaces>24378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2015-01-18T14:38:00Z</dcterms:created>
  <dc:creator>User</dc:creator>
  <cp:lastModifiedBy>❣阳 ❁҉҉҉҉҉҉҉҉</cp:lastModifiedBy>
  <cp:lastPrinted>2017-08-28T03:46:00Z</cp:lastPrinted>
  <dcterms:modified xsi:type="dcterms:W3CDTF">2024-03-19T07:16:57Z</dcterms:modified>
  <dc:title>建设项目环境影响报告表</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_DocHome">
    <vt:r8>-1848525672</vt:r8>
  </property>
  <property fmtid="{D5CDD505-2E9C-101B-9397-08002B2CF9AE}" pid="4" name="ICV">
    <vt:lpwstr>6749E86360D342FCAAE492D3C357E323_13</vt:lpwstr>
  </property>
</Properties>
</file>