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ind w:firstLine="0" w:firstLineChars="0"/>
        <w:jc w:val="center"/>
        <w:rPr>
          <w:rFonts w:hint="eastAsia" w:ascii="黑体" w:hAnsi="黑体" w:eastAsia="黑体"/>
          <w:b/>
          <w:sz w:val="36"/>
          <w:szCs w:val="36"/>
        </w:rPr>
      </w:pPr>
    </w:p>
    <w:p>
      <w:pPr>
        <w:ind w:firstLine="198" w:firstLineChars="38"/>
        <w:jc w:val="center"/>
        <w:rPr>
          <w:rFonts w:ascii="黑体" w:hAnsi="黑体" w:eastAsia="黑体"/>
          <w:bCs/>
          <w:sz w:val="72"/>
          <w:szCs w:val="72"/>
        </w:rPr>
      </w:pPr>
      <w:r>
        <w:rPr>
          <w:rFonts w:hint="eastAsia" w:asciiTheme="majorEastAsia" w:hAnsiTheme="majorEastAsia" w:eastAsiaTheme="majorEastAsia" w:cstheme="majorEastAsia"/>
          <w:b/>
          <w:sz w:val="52"/>
          <w:szCs w:val="52"/>
        </w:rPr>
        <w:t>建设项目环境影响报告表</w:t>
      </w:r>
    </w:p>
    <w:p>
      <w:pPr>
        <w:spacing w:line="500" w:lineRule="atLeast"/>
        <w:ind w:firstLine="0" w:firstLineChars="0"/>
        <w:jc w:val="center"/>
        <w:rPr>
          <w:rFonts w:ascii="黑体" w:hAnsi="黑体" w:eastAsia="黑体"/>
          <w:sz w:val="36"/>
          <w:szCs w:val="36"/>
        </w:rPr>
      </w:pPr>
    </w:p>
    <w:p>
      <w:pPr>
        <w:spacing w:line="500" w:lineRule="atLeast"/>
        <w:ind w:firstLine="0" w:firstLineChars="0"/>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sz w:val="36"/>
          <w:szCs w:val="36"/>
        </w:rPr>
        <w:t>（</w:t>
      </w:r>
      <w:r>
        <w:rPr>
          <w:rFonts w:hint="eastAsia" w:asciiTheme="majorEastAsia" w:hAnsiTheme="majorEastAsia" w:eastAsiaTheme="majorEastAsia" w:cstheme="majorEastAsia"/>
          <w:sz w:val="36"/>
          <w:szCs w:val="36"/>
          <w:lang w:val="en-US" w:eastAsia="zh-CN"/>
        </w:rPr>
        <w:t>报批</w:t>
      </w:r>
      <w:r>
        <w:rPr>
          <w:rFonts w:hint="eastAsia" w:asciiTheme="majorEastAsia" w:hAnsiTheme="majorEastAsia" w:eastAsiaTheme="majorEastAsia" w:cstheme="majorEastAsia"/>
          <w:sz w:val="36"/>
          <w:szCs w:val="36"/>
        </w:rPr>
        <w:t>稿）</w:t>
      </w:r>
    </w:p>
    <w:p>
      <w:pPr>
        <w:ind w:firstLine="480"/>
        <w:jc w:val="center"/>
      </w:pPr>
    </w:p>
    <w:p>
      <w:pPr>
        <w:pStyle w:val="32"/>
        <w:ind w:left="480" w:firstLine="480"/>
      </w:pPr>
    </w:p>
    <w:p>
      <w:pPr>
        <w:pStyle w:val="32"/>
        <w:ind w:left="0" w:leftChars="0" w:firstLine="0" w:firstLineChars="0"/>
      </w:pPr>
    </w:p>
    <w:p>
      <w:pPr>
        <w:ind w:firstLine="480"/>
      </w:pPr>
    </w:p>
    <w:p>
      <w:pPr>
        <w:ind w:firstLine="480"/>
      </w:pPr>
    </w:p>
    <w:p>
      <w:pPr>
        <w:pStyle w:val="32"/>
        <w:ind w:left="0" w:leftChars="0" w:firstLine="602"/>
        <w:jc w:val="center"/>
        <w:rPr>
          <w:rFonts w:ascii="黑体" w:hAnsi="黑体" w:eastAsia="黑体"/>
          <w:b/>
          <w:bCs/>
          <w:sz w:val="30"/>
          <w:szCs w:val="30"/>
        </w:rPr>
      </w:pPr>
    </w:p>
    <w:p>
      <w:pPr>
        <w:ind w:left="2891" w:hanging="2891" w:hangingChars="800"/>
        <w:jc w:val="center"/>
        <w:rPr>
          <w:rFonts w:hint="eastAsia"/>
          <w:b/>
          <w:bCs/>
          <w:sz w:val="36"/>
          <w:szCs w:val="36"/>
        </w:rPr>
      </w:pPr>
      <w:r>
        <w:rPr>
          <w:b/>
          <w:bCs/>
          <w:sz w:val="36"/>
          <w:szCs w:val="36"/>
        </w:rPr>
        <w:t>项目名称</w:t>
      </w:r>
      <w:r>
        <w:rPr>
          <w:b/>
          <w:bCs/>
          <w:spacing w:val="20"/>
          <w:sz w:val="36"/>
          <w:szCs w:val="36"/>
        </w:rPr>
        <w:t>：</w:t>
      </w:r>
      <w:r>
        <w:rPr>
          <w:rFonts w:hint="eastAsia"/>
          <w:b/>
          <w:bCs/>
          <w:sz w:val="36"/>
          <w:szCs w:val="36"/>
          <w:u w:val="single"/>
        </w:rPr>
        <w:t>金属架子床加工产线</w:t>
      </w:r>
    </w:p>
    <w:p>
      <w:pPr>
        <w:ind w:left="2891" w:hanging="2891" w:hangingChars="800"/>
        <w:jc w:val="center"/>
        <w:rPr>
          <w:b/>
          <w:bCs/>
          <w:sz w:val="36"/>
          <w:szCs w:val="36"/>
        </w:rPr>
      </w:pPr>
      <w:r>
        <w:rPr>
          <w:rFonts w:hint="eastAsia"/>
          <w:b/>
          <w:bCs/>
          <w:sz w:val="36"/>
          <w:szCs w:val="36"/>
        </w:rPr>
        <w:t xml:space="preserve"> </w:t>
      </w:r>
      <w:r>
        <w:rPr>
          <w:b/>
          <w:bCs/>
          <w:sz w:val="36"/>
          <w:szCs w:val="36"/>
        </w:rPr>
        <w:t>建设单位：</w:t>
      </w:r>
      <w:r>
        <w:rPr>
          <w:rFonts w:hint="eastAsia"/>
          <w:b/>
          <w:bCs/>
          <w:sz w:val="36"/>
          <w:szCs w:val="36"/>
          <w:u w:val="single"/>
        </w:rPr>
        <w:t>西安铭帆家具有限公司</w:t>
      </w:r>
    </w:p>
    <w:p>
      <w:pPr>
        <w:ind w:firstLine="480"/>
        <w:jc w:val="left"/>
      </w:pPr>
    </w:p>
    <w:p>
      <w:pPr>
        <w:ind w:firstLine="600"/>
        <w:rPr>
          <w:sz w:val="30"/>
        </w:rPr>
      </w:pPr>
    </w:p>
    <w:p>
      <w:pPr>
        <w:pStyle w:val="32"/>
        <w:ind w:left="480" w:firstLine="480"/>
      </w:pPr>
    </w:p>
    <w:p>
      <w:pPr>
        <w:pStyle w:val="32"/>
        <w:ind w:left="0" w:leftChars="0" w:firstLine="0" w:firstLineChars="0"/>
      </w:pPr>
    </w:p>
    <w:p>
      <w:pPr>
        <w:spacing w:before="240" w:line="500" w:lineRule="atLeast"/>
        <w:ind w:firstLine="600"/>
        <w:jc w:val="center"/>
        <w:rPr>
          <w:sz w:val="30"/>
        </w:rPr>
      </w:pPr>
      <w:r>
        <w:rPr>
          <w:sz w:val="30"/>
        </w:rPr>
        <w:t>编制日期：二〇一</w:t>
      </w:r>
      <w:r>
        <w:rPr>
          <w:rFonts w:hint="eastAsia"/>
          <w:sz w:val="30"/>
        </w:rPr>
        <w:t>九</w:t>
      </w:r>
      <w:r>
        <w:rPr>
          <w:sz w:val="30"/>
        </w:rPr>
        <w:t>年</w:t>
      </w:r>
      <w:r>
        <w:rPr>
          <w:rFonts w:hint="eastAsia"/>
          <w:sz w:val="30"/>
        </w:rPr>
        <w:t>九</w:t>
      </w:r>
      <w:r>
        <w:rPr>
          <w:sz w:val="30"/>
        </w:rPr>
        <w:t>月</w:t>
      </w:r>
    </w:p>
    <w:p>
      <w:pPr>
        <w:spacing w:before="240" w:line="500" w:lineRule="atLeast"/>
        <w:ind w:firstLine="600"/>
        <w:jc w:val="center"/>
        <w:rPr>
          <w:rFonts w:hint="eastAsia"/>
          <w:sz w:val="30"/>
        </w:rPr>
      </w:pPr>
      <w:r>
        <w:rPr>
          <w:sz w:val="30"/>
        </w:rPr>
        <w:t>国家</w:t>
      </w:r>
      <w:r>
        <w:rPr>
          <w:rFonts w:hint="eastAsia"/>
          <w:sz w:val="30"/>
        </w:rPr>
        <w:t>生态环境部</w:t>
      </w:r>
      <w:r>
        <w:rPr>
          <w:sz w:val="30"/>
        </w:rPr>
        <w:t>制</w:t>
      </w:r>
    </w:p>
    <w:p>
      <w:pPr>
        <w:pStyle w:val="32"/>
        <w:ind w:left="480" w:firstLine="480"/>
      </w:pPr>
    </w:p>
    <w:p>
      <w:pPr>
        <w:spacing w:line="500" w:lineRule="atLeast"/>
        <w:ind w:firstLine="1506" w:firstLineChars="500"/>
        <w:rPr>
          <w:b/>
          <w:sz w:val="30"/>
        </w:rPr>
      </w:pPr>
      <w:r>
        <w:rPr>
          <w:b/>
          <w:sz w:val="30"/>
        </w:rPr>
        <w:t>《建设项目环境影响报告表》编制说明</w:t>
      </w:r>
    </w:p>
    <w:p>
      <w:pPr>
        <w:ind w:firstLine="560"/>
        <w:jc w:val="left"/>
        <w:rPr>
          <w:sz w:val="28"/>
          <w:szCs w:val="28"/>
        </w:rPr>
      </w:pPr>
      <w:r>
        <w:rPr>
          <w:sz w:val="28"/>
          <w:szCs w:val="28"/>
        </w:rPr>
        <w:t>《建设项目环境影响报告表》编制由具有从事环境影响评价工作资质的单位编制。</w:t>
      </w:r>
    </w:p>
    <w:p>
      <w:pPr>
        <w:ind w:firstLine="560"/>
        <w:jc w:val="left"/>
        <w:rPr>
          <w:sz w:val="28"/>
          <w:szCs w:val="28"/>
        </w:rPr>
      </w:pPr>
      <w:r>
        <w:rPr>
          <w:sz w:val="28"/>
          <w:szCs w:val="28"/>
        </w:rPr>
        <w:t xml:space="preserve">1、项目名称——指项目立项批复时的名称，应不超过30个字（两个英文字段作一个汉字）。 </w:t>
      </w:r>
    </w:p>
    <w:p>
      <w:pPr>
        <w:ind w:firstLine="560"/>
        <w:jc w:val="left"/>
        <w:rPr>
          <w:sz w:val="28"/>
          <w:szCs w:val="28"/>
        </w:rPr>
      </w:pPr>
      <w:r>
        <w:rPr>
          <w:sz w:val="28"/>
          <w:szCs w:val="28"/>
        </w:rPr>
        <w:t>2、建设地点——指项目所在地详细地址，公路、铁路应填写起止地点。</w:t>
      </w:r>
    </w:p>
    <w:p>
      <w:pPr>
        <w:ind w:firstLine="560"/>
        <w:jc w:val="left"/>
        <w:rPr>
          <w:sz w:val="28"/>
          <w:szCs w:val="28"/>
        </w:rPr>
      </w:pPr>
      <w:r>
        <w:rPr>
          <w:sz w:val="28"/>
          <w:szCs w:val="28"/>
        </w:rPr>
        <w:t>3、行业类别——按国标填写。</w:t>
      </w:r>
    </w:p>
    <w:p>
      <w:pPr>
        <w:ind w:firstLine="560"/>
        <w:jc w:val="left"/>
        <w:rPr>
          <w:sz w:val="28"/>
          <w:szCs w:val="28"/>
        </w:rPr>
      </w:pPr>
      <w:r>
        <w:rPr>
          <w:sz w:val="28"/>
          <w:szCs w:val="28"/>
        </w:rPr>
        <w:t>4、总投资——指项目投资总额。</w:t>
      </w:r>
    </w:p>
    <w:p>
      <w:pPr>
        <w:ind w:firstLine="560"/>
        <w:jc w:val="left"/>
        <w:rPr>
          <w:sz w:val="28"/>
          <w:szCs w:val="28"/>
        </w:rPr>
      </w:pPr>
      <w:r>
        <w:rPr>
          <w:sz w:val="28"/>
          <w:szCs w:val="28"/>
        </w:rPr>
        <w:t>5、主要环境保护目标——指项目区周围一定范围内集中居民住宅区、学校、医院、保护文物、风景名胜区、水源地和生态敏感点等，应尽可能给出保护目标、性质、规模和距厂界距离等。</w:t>
      </w:r>
    </w:p>
    <w:p>
      <w:pPr>
        <w:ind w:firstLine="560"/>
        <w:jc w:val="left"/>
        <w:rPr>
          <w:sz w:val="28"/>
          <w:szCs w:val="28"/>
        </w:rPr>
      </w:pPr>
      <w:r>
        <w:rPr>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ind w:firstLine="560"/>
        <w:jc w:val="left"/>
        <w:rPr>
          <w:sz w:val="28"/>
          <w:szCs w:val="28"/>
        </w:rPr>
      </w:pPr>
      <w:r>
        <w:rPr>
          <w:sz w:val="28"/>
          <w:szCs w:val="28"/>
        </w:rPr>
        <w:t>7、预审意见——由行业主管部门填写答复意见，无主管部门项目，可不填写。</w:t>
      </w:r>
    </w:p>
    <w:p>
      <w:pPr>
        <w:ind w:firstLine="560"/>
        <w:jc w:val="left"/>
        <w:rPr>
          <w:sz w:val="28"/>
          <w:szCs w:val="28"/>
        </w:rPr>
      </w:pPr>
      <w:r>
        <w:rPr>
          <w:sz w:val="28"/>
          <w:szCs w:val="28"/>
        </w:rPr>
        <w:t>8、审批意见——由负责审批该项目的环境保护行政主管部门批复。</w:t>
      </w:r>
    </w:p>
    <w:p>
      <w:pPr>
        <w:ind w:firstLine="560"/>
        <w:jc w:val="left"/>
        <w:rPr>
          <w:sz w:val="28"/>
          <w:szCs w:val="28"/>
        </w:rPr>
      </w:pPr>
    </w:p>
    <w:p>
      <w:pPr>
        <w:ind w:firstLine="560"/>
        <w:jc w:val="left"/>
        <w:rPr>
          <w:sz w:val="28"/>
          <w:szCs w:val="28"/>
        </w:rPr>
        <w:sectPr>
          <w:headerReference r:id="rId7" w:type="first"/>
          <w:footerReference r:id="rId10" w:type="first"/>
          <w:headerReference r:id="rId5" w:type="default"/>
          <w:footerReference r:id="rId8" w:type="default"/>
          <w:headerReference r:id="rId6" w:type="even"/>
          <w:footerReference r:id="rId9" w:type="even"/>
          <w:pgSz w:w="11907" w:h="16840"/>
          <w:pgMar w:top="1440" w:right="1134" w:bottom="1440" w:left="1701" w:header="851" w:footer="992" w:gutter="0"/>
          <w:pgBorders>
            <w:top w:val="none" w:sz="0" w:space="0"/>
            <w:left w:val="none" w:sz="0" w:space="0"/>
            <w:bottom w:val="none" w:sz="0" w:space="0"/>
            <w:right w:val="none" w:sz="0" w:space="0"/>
          </w:pgBorders>
          <w:pgNumType w:start="1"/>
          <w:cols w:space="720" w:num="1"/>
          <w:docGrid w:type="lines" w:linePitch="326" w:charSpace="0"/>
        </w:sectPr>
      </w:pPr>
    </w:p>
    <w:p>
      <w:pPr>
        <w:spacing w:line="240" w:lineRule="auto"/>
        <w:ind w:firstLine="0" w:firstLineChars="0"/>
        <w:outlineLvl w:val="0"/>
        <w:rPr>
          <w:rFonts w:ascii="Times New Roman" w:hAnsi="Times New Roman" w:eastAsia="黑体" w:cs="Times New Roman"/>
          <w:b/>
          <w:sz w:val="32"/>
          <w:szCs w:val="32"/>
        </w:rPr>
      </w:pPr>
      <w:r>
        <w:rPr>
          <w:rFonts w:hint="eastAsia" w:ascii="Times New Roman" w:hAnsi="Times New Roman" w:eastAsia="黑体" w:cs="Times New Roman"/>
          <w:b/>
          <w:sz w:val="32"/>
          <w:szCs w:val="32"/>
        </w:rPr>
        <w:t>一、</w:t>
      </w:r>
      <w:r>
        <w:rPr>
          <w:rFonts w:ascii="Times New Roman" w:hAnsi="Times New Roman" w:eastAsia="黑体" w:cs="Times New Roman"/>
          <w:b/>
          <w:sz w:val="32"/>
          <w:szCs w:val="32"/>
        </w:rPr>
        <w:t>建设项目基本情况</w:t>
      </w:r>
    </w:p>
    <w:tbl>
      <w:tblPr>
        <w:tblStyle w:val="33"/>
        <w:tblW w:w="935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1625"/>
        <w:gridCol w:w="1311"/>
        <w:gridCol w:w="1050"/>
        <w:gridCol w:w="956"/>
        <w:gridCol w:w="660"/>
        <w:gridCol w:w="470"/>
        <w:gridCol w:w="775"/>
        <w:gridCol w:w="9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6" w:hRule="atLeast"/>
        </w:trPr>
        <w:tc>
          <w:tcPr>
            <w:tcW w:w="1519" w:type="dxa"/>
            <w:tcBorders>
              <w:top w:val="single" w:color="auto" w:sz="12" w:space="0"/>
              <w:lef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项目名称</w:t>
            </w:r>
          </w:p>
        </w:tc>
        <w:tc>
          <w:tcPr>
            <w:tcW w:w="7837" w:type="dxa"/>
            <w:gridSpan w:val="8"/>
            <w:tcBorders>
              <w:top w:val="single" w:color="auto" w:sz="12" w:space="0"/>
              <w:right w:val="single" w:color="auto" w:sz="12" w:space="0"/>
            </w:tcBorders>
            <w:vAlign w:val="center"/>
          </w:tcPr>
          <w:p>
            <w:pPr>
              <w:spacing w:line="320" w:lineRule="exact"/>
              <w:ind w:firstLine="0" w:firstLineChars="0"/>
              <w:jc w:val="center"/>
              <w:rPr>
                <w:rFonts w:eastAsiaTheme="minorEastAsia"/>
                <w:lang w:val="zh-CN"/>
              </w:rPr>
            </w:pPr>
            <w:bookmarkStart w:id="0" w:name="_Hlk15913488"/>
            <w:r>
              <w:rPr>
                <w:rFonts w:hint="eastAsia" w:eastAsiaTheme="minorEastAsia"/>
                <w:lang w:val="zh-CN"/>
              </w:rPr>
              <w:t>金属架子床加工</w:t>
            </w:r>
            <w:bookmarkEnd w:id="0"/>
            <w:r>
              <w:rPr>
                <w:rFonts w:hint="eastAsia" w:eastAsiaTheme="minorEastAsia"/>
                <w:lang w:val="zh-CN"/>
              </w:rPr>
              <w:t>生产线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exact"/>
        </w:trPr>
        <w:tc>
          <w:tcPr>
            <w:tcW w:w="1519" w:type="dxa"/>
            <w:tcBorders>
              <w:lef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建设单位</w:t>
            </w:r>
          </w:p>
        </w:tc>
        <w:tc>
          <w:tcPr>
            <w:tcW w:w="7837" w:type="dxa"/>
            <w:gridSpan w:val="8"/>
            <w:tcBorders>
              <w:righ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西安</w:t>
            </w:r>
            <w:r>
              <w:rPr>
                <w:rFonts w:eastAsiaTheme="minorEastAsia"/>
                <w:lang w:val="zh-CN"/>
              </w:rPr>
              <w:t>铭帆家具有限公司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1519" w:type="dxa"/>
            <w:tcBorders>
              <w:lef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法人代表</w:t>
            </w:r>
          </w:p>
        </w:tc>
        <w:tc>
          <w:tcPr>
            <w:tcW w:w="2936" w:type="dxa"/>
            <w:gridSpan w:val="2"/>
            <w:vAlign w:val="center"/>
          </w:tcPr>
          <w:p>
            <w:pPr>
              <w:spacing w:line="320" w:lineRule="exact"/>
              <w:ind w:firstLine="0" w:firstLineChars="0"/>
              <w:jc w:val="center"/>
              <w:rPr>
                <w:rFonts w:eastAsiaTheme="minorEastAsia"/>
                <w:lang w:val="zh-CN"/>
              </w:rPr>
            </w:pPr>
            <w:r>
              <w:rPr>
                <w:rFonts w:eastAsiaTheme="minorEastAsia"/>
                <w:lang w:val="zh-CN"/>
              </w:rPr>
              <w:t>韩阳</w:t>
            </w:r>
          </w:p>
        </w:tc>
        <w:tc>
          <w:tcPr>
            <w:tcW w:w="2006" w:type="dxa"/>
            <w:gridSpan w:val="2"/>
            <w:vAlign w:val="center"/>
          </w:tcPr>
          <w:p>
            <w:pPr>
              <w:spacing w:line="320" w:lineRule="exact"/>
              <w:ind w:firstLine="0" w:firstLineChars="0"/>
              <w:jc w:val="center"/>
              <w:rPr>
                <w:rFonts w:eastAsiaTheme="minorEastAsia"/>
                <w:lang w:val="zh-CN"/>
              </w:rPr>
            </w:pPr>
            <w:r>
              <w:rPr>
                <w:rFonts w:hint="eastAsia" w:eastAsiaTheme="minorEastAsia"/>
                <w:lang w:val="zh-CN"/>
              </w:rPr>
              <w:t>联系人</w:t>
            </w:r>
          </w:p>
        </w:tc>
        <w:tc>
          <w:tcPr>
            <w:tcW w:w="2895" w:type="dxa"/>
            <w:gridSpan w:val="4"/>
            <w:tcBorders>
              <w:right w:val="single" w:color="auto" w:sz="12" w:space="0"/>
            </w:tcBorders>
            <w:vAlign w:val="center"/>
          </w:tcPr>
          <w:p>
            <w:pPr>
              <w:spacing w:line="320" w:lineRule="exact"/>
              <w:ind w:firstLine="0" w:firstLineChars="0"/>
              <w:jc w:val="center"/>
              <w:rPr>
                <w:rFonts w:eastAsiaTheme="minorEastAsia"/>
                <w:lang w:val="zh-CN"/>
              </w:rPr>
            </w:pPr>
            <w:r>
              <w:rPr>
                <w:rFonts w:eastAsiaTheme="minorEastAsia"/>
                <w:lang w:val="zh-CN"/>
              </w:rPr>
              <w:t>韩阳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1519" w:type="dxa"/>
            <w:tcBorders>
              <w:lef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通讯地址</w:t>
            </w:r>
          </w:p>
        </w:tc>
        <w:tc>
          <w:tcPr>
            <w:tcW w:w="7837" w:type="dxa"/>
            <w:gridSpan w:val="8"/>
            <w:tcBorders>
              <w:right w:val="single" w:color="auto" w:sz="12" w:space="0"/>
            </w:tcBorders>
            <w:vAlign w:val="center"/>
          </w:tcPr>
          <w:p>
            <w:pPr>
              <w:spacing w:line="320" w:lineRule="exact"/>
              <w:ind w:firstLine="0" w:firstLineChars="0"/>
              <w:jc w:val="center"/>
              <w:rPr>
                <w:rFonts w:eastAsiaTheme="minorEastAsia"/>
                <w:lang w:val="zh-CN"/>
              </w:rPr>
            </w:pPr>
            <w:r>
              <w:rPr>
                <w:rFonts w:eastAsiaTheme="minorEastAsia"/>
                <w:lang w:val="zh-CN"/>
              </w:rPr>
              <w:t>西安市灞桥区狄寨街道夏寨村南3号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1519" w:type="dxa"/>
            <w:tcBorders>
              <w:lef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联系电话</w:t>
            </w:r>
          </w:p>
        </w:tc>
        <w:tc>
          <w:tcPr>
            <w:tcW w:w="2936" w:type="dxa"/>
            <w:gridSpan w:val="2"/>
            <w:vAlign w:val="center"/>
          </w:tcPr>
          <w:p>
            <w:pPr>
              <w:spacing w:line="320" w:lineRule="exact"/>
              <w:ind w:firstLine="0" w:firstLineChars="0"/>
              <w:jc w:val="center"/>
              <w:rPr>
                <w:rFonts w:eastAsiaTheme="minorEastAsia"/>
                <w:lang w:val="zh-CN"/>
              </w:rPr>
            </w:pPr>
            <w:r>
              <w:rPr>
                <w:rFonts w:eastAsiaTheme="minorEastAsia"/>
                <w:lang w:val="zh-CN"/>
              </w:rPr>
              <w:t>135</w:t>
            </w:r>
            <w:r>
              <w:rPr>
                <w:rFonts w:hint="eastAsia" w:eastAsiaTheme="minorEastAsia"/>
                <w:lang w:val="en-US" w:eastAsia="zh-CN"/>
              </w:rPr>
              <w:t>xxxx</w:t>
            </w:r>
            <w:bookmarkStart w:id="104" w:name="_GoBack"/>
            <w:bookmarkEnd w:id="104"/>
            <w:r>
              <w:rPr>
                <w:rFonts w:eastAsiaTheme="minorEastAsia"/>
                <w:lang w:val="zh-CN"/>
              </w:rPr>
              <w:t>6573</w:t>
            </w:r>
          </w:p>
        </w:tc>
        <w:tc>
          <w:tcPr>
            <w:tcW w:w="1050" w:type="dxa"/>
            <w:vAlign w:val="center"/>
          </w:tcPr>
          <w:p>
            <w:pPr>
              <w:spacing w:line="320" w:lineRule="exact"/>
              <w:ind w:firstLine="0" w:firstLineChars="0"/>
              <w:jc w:val="center"/>
              <w:rPr>
                <w:rFonts w:eastAsiaTheme="minorEastAsia"/>
                <w:lang w:val="zh-CN"/>
              </w:rPr>
            </w:pPr>
            <w:r>
              <w:rPr>
                <w:rFonts w:hint="eastAsia" w:eastAsiaTheme="minorEastAsia"/>
                <w:lang w:val="zh-CN"/>
              </w:rPr>
              <w:t>传真</w:t>
            </w:r>
          </w:p>
        </w:tc>
        <w:tc>
          <w:tcPr>
            <w:tcW w:w="956" w:type="dxa"/>
            <w:vAlign w:val="center"/>
          </w:tcPr>
          <w:p>
            <w:pPr>
              <w:spacing w:line="320" w:lineRule="exact"/>
              <w:ind w:firstLine="0" w:firstLineChars="0"/>
              <w:jc w:val="center"/>
              <w:rPr>
                <w:rFonts w:eastAsiaTheme="minorEastAsia"/>
                <w:lang w:val="zh-CN"/>
              </w:rPr>
            </w:pPr>
            <w:r>
              <w:rPr>
                <w:rFonts w:hint="eastAsia" w:eastAsiaTheme="minorEastAsia"/>
                <w:lang w:val="zh-CN"/>
              </w:rPr>
              <w:t>/</w:t>
            </w:r>
          </w:p>
        </w:tc>
        <w:tc>
          <w:tcPr>
            <w:tcW w:w="1130" w:type="dxa"/>
            <w:gridSpan w:val="2"/>
            <w:vAlign w:val="center"/>
          </w:tcPr>
          <w:p>
            <w:pPr>
              <w:spacing w:line="320" w:lineRule="exact"/>
              <w:ind w:firstLine="0" w:firstLineChars="0"/>
              <w:jc w:val="center"/>
              <w:rPr>
                <w:rFonts w:eastAsiaTheme="minorEastAsia"/>
                <w:lang w:val="zh-CN"/>
              </w:rPr>
            </w:pPr>
            <w:r>
              <w:rPr>
                <w:rFonts w:hint="eastAsia" w:eastAsiaTheme="minorEastAsia"/>
                <w:lang w:val="zh-CN"/>
              </w:rPr>
              <w:t>邮政编码</w:t>
            </w:r>
          </w:p>
        </w:tc>
        <w:tc>
          <w:tcPr>
            <w:tcW w:w="1765" w:type="dxa"/>
            <w:gridSpan w:val="2"/>
            <w:tcBorders>
              <w:righ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711202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1519" w:type="dxa"/>
            <w:tcBorders>
              <w:lef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建设地点</w:t>
            </w:r>
          </w:p>
        </w:tc>
        <w:tc>
          <w:tcPr>
            <w:tcW w:w="7837" w:type="dxa"/>
            <w:gridSpan w:val="8"/>
            <w:tcBorders>
              <w:right w:val="single" w:color="auto" w:sz="12" w:space="0"/>
            </w:tcBorders>
            <w:vAlign w:val="center"/>
          </w:tcPr>
          <w:p>
            <w:pPr>
              <w:spacing w:line="320" w:lineRule="exact"/>
              <w:ind w:firstLine="0" w:firstLineChars="0"/>
              <w:jc w:val="center"/>
              <w:rPr>
                <w:rFonts w:eastAsiaTheme="minorEastAsia"/>
                <w:lang w:val="zh-CN"/>
              </w:rPr>
            </w:pPr>
            <w:r>
              <w:rPr>
                <w:rFonts w:eastAsiaTheme="minorEastAsia"/>
                <w:lang w:val="zh-CN"/>
              </w:rPr>
              <w:t>西安市灞桥区狄寨街道夏寨村南3号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519" w:type="dxa"/>
            <w:tcBorders>
              <w:lef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建设性质</w:t>
            </w:r>
          </w:p>
        </w:tc>
        <w:tc>
          <w:tcPr>
            <w:tcW w:w="2936" w:type="dxa"/>
            <w:gridSpan w:val="2"/>
            <w:shd w:val="clear" w:color="auto" w:fill="auto"/>
            <w:vAlign w:val="center"/>
          </w:tcPr>
          <w:p>
            <w:pPr>
              <w:spacing w:line="320" w:lineRule="exact"/>
              <w:ind w:firstLine="0" w:firstLineChars="0"/>
              <w:jc w:val="center"/>
              <w:rPr>
                <w:rFonts w:eastAsiaTheme="minorEastAsia"/>
                <w:lang w:val="zh-CN"/>
              </w:rPr>
            </w:pPr>
            <w:r>
              <w:rPr>
                <w:rFonts w:hint="eastAsia" w:eastAsiaTheme="minorEastAsia"/>
                <w:lang w:val="zh-CN"/>
              </w:rPr>
              <w:t>√新建□改扩建□技改</w:t>
            </w:r>
          </w:p>
        </w:tc>
        <w:tc>
          <w:tcPr>
            <w:tcW w:w="2006" w:type="dxa"/>
            <w:gridSpan w:val="2"/>
            <w:vAlign w:val="center"/>
          </w:tcPr>
          <w:p>
            <w:pPr>
              <w:spacing w:line="320" w:lineRule="exact"/>
              <w:ind w:firstLine="0" w:firstLineChars="0"/>
              <w:jc w:val="center"/>
              <w:rPr>
                <w:rFonts w:eastAsiaTheme="minorEastAsia"/>
                <w:lang w:val="zh-CN"/>
              </w:rPr>
            </w:pPr>
            <w:r>
              <w:rPr>
                <w:rFonts w:hint="eastAsia" w:eastAsiaTheme="minorEastAsia"/>
                <w:lang w:val="zh-CN"/>
              </w:rPr>
              <w:t>行业类别及代码</w:t>
            </w:r>
          </w:p>
        </w:tc>
        <w:tc>
          <w:tcPr>
            <w:tcW w:w="2895" w:type="dxa"/>
            <w:gridSpan w:val="4"/>
            <w:tcBorders>
              <w:righ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C2130金属家具制造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19" w:type="dxa"/>
            <w:tcBorders>
              <w:lef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占地面积</w:t>
            </w:r>
          </w:p>
          <w:p>
            <w:pPr>
              <w:spacing w:line="320" w:lineRule="exact"/>
              <w:ind w:firstLine="0" w:firstLineChars="0"/>
              <w:jc w:val="center"/>
              <w:rPr>
                <w:rFonts w:eastAsiaTheme="minorEastAsia"/>
                <w:lang w:val="zh-CN"/>
              </w:rPr>
            </w:pPr>
            <w:r>
              <w:rPr>
                <w:rFonts w:hint="eastAsia" w:eastAsiaTheme="minorEastAsia"/>
                <w:lang w:val="zh-CN"/>
              </w:rPr>
              <w:t>(平方米)</w:t>
            </w:r>
          </w:p>
        </w:tc>
        <w:tc>
          <w:tcPr>
            <w:tcW w:w="2936" w:type="dxa"/>
            <w:gridSpan w:val="2"/>
            <w:vAlign w:val="center"/>
          </w:tcPr>
          <w:p>
            <w:pPr>
              <w:spacing w:line="320" w:lineRule="exact"/>
              <w:ind w:firstLine="0" w:firstLineChars="0"/>
              <w:jc w:val="center"/>
              <w:rPr>
                <w:rFonts w:hint="default" w:eastAsiaTheme="minorEastAsia"/>
                <w:lang w:val="en-US" w:eastAsia="zh-CN"/>
              </w:rPr>
            </w:pPr>
            <w:r>
              <w:rPr>
                <w:rFonts w:hint="eastAsia" w:eastAsiaTheme="minorEastAsia"/>
                <w:lang w:val="en-US" w:eastAsia="zh-CN"/>
              </w:rPr>
              <w:t>5880</w:t>
            </w:r>
          </w:p>
        </w:tc>
        <w:tc>
          <w:tcPr>
            <w:tcW w:w="2006" w:type="dxa"/>
            <w:gridSpan w:val="2"/>
            <w:vAlign w:val="center"/>
          </w:tcPr>
          <w:p>
            <w:pPr>
              <w:spacing w:line="320" w:lineRule="exact"/>
              <w:ind w:firstLine="0" w:firstLineChars="0"/>
              <w:jc w:val="center"/>
              <w:rPr>
                <w:rFonts w:eastAsiaTheme="minorEastAsia"/>
                <w:lang w:val="zh-CN"/>
              </w:rPr>
            </w:pPr>
            <w:r>
              <w:rPr>
                <w:rFonts w:hint="eastAsia" w:eastAsiaTheme="minorEastAsia"/>
                <w:lang w:val="zh-CN"/>
              </w:rPr>
              <w:t>绿化面积</w:t>
            </w:r>
          </w:p>
          <w:p>
            <w:pPr>
              <w:spacing w:line="320" w:lineRule="exact"/>
              <w:ind w:firstLine="0" w:firstLineChars="0"/>
              <w:jc w:val="center"/>
              <w:rPr>
                <w:rFonts w:eastAsiaTheme="minorEastAsia"/>
                <w:lang w:val="zh-CN"/>
              </w:rPr>
            </w:pPr>
            <w:r>
              <w:rPr>
                <w:rFonts w:hint="eastAsia" w:eastAsiaTheme="minorEastAsia"/>
                <w:lang w:val="zh-CN"/>
              </w:rPr>
              <w:t>(平方米)</w:t>
            </w:r>
          </w:p>
        </w:tc>
        <w:tc>
          <w:tcPr>
            <w:tcW w:w="660" w:type="dxa"/>
            <w:tcBorders>
              <w:right w:val="single" w:color="auto" w:sz="4"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w:t>
            </w:r>
          </w:p>
        </w:tc>
        <w:tc>
          <w:tcPr>
            <w:tcW w:w="1245" w:type="dxa"/>
            <w:gridSpan w:val="2"/>
            <w:tcBorders>
              <w:left w:val="single" w:color="auto" w:sz="4" w:space="0"/>
              <w:right w:val="single" w:color="auto" w:sz="4"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绿化率</w:t>
            </w:r>
          </w:p>
        </w:tc>
        <w:tc>
          <w:tcPr>
            <w:tcW w:w="990" w:type="dxa"/>
            <w:tcBorders>
              <w:left w:val="single" w:color="auto" w:sz="4" w:space="0"/>
              <w:righ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1519" w:type="dxa"/>
            <w:tcBorders>
              <w:lef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总投资</w:t>
            </w:r>
          </w:p>
          <w:p>
            <w:pPr>
              <w:spacing w:line="320" w:lineRule="exact"/>
              <w:ind w:firstLine="0" w:firstLineChars="0"/>
              <w:jc w:val="center"/>
              <w:rPr>
                <w:rFonts w:eastAsiaTheme="minorEastAsia"/>
                <w:lang w:val="zh-CN"/>
              </w:rPr>
            </w:pPr>
            <w:r>
              <w:rPr>
                <w:rFonts w:hint="eastAsia" w:eastAsiaTheme="minorEastAsia"/>
                <w:lang w:val="zh-CN"/>
              </w:rPr>
              <w:t>(万元)</w:t>
            </w:r>
          </w:p>
        </w:tc>
        <w:tc>
          <w:tcPr>
            <w:tcW w:w="1625" w:type="dxa"/>
            <w:vAlign w:val="center"/>
          </w:tcPr>
          <w:p>
            <w:pPr>
              <w:spacing w:line="320" w:lineRule="exact"/>
              <w:ind w:firstLine="0" w:firstLineChars="0"/>
              <w:jc w:val="center"/>
              <w:rPr>
                <w:rFonts w:eastAsiaTheme="minorEastAsia"/>
                <w:lang w:val="zh-CN"/>
              </w:rPr>
            </w:pPr>
            <w:r>
              <w:rPr>
                <w:rFonts w:hint="eastAsia" w:eastAsiaTheme="minorEastAsia"/>
                <w:lang w:val="zh-CN"/>
              </w:rPr>
              <w:t>500</w:t>
            </w:r>
          </w:p>
        </w:tc>
        <w:tc>
          <w:tcPr>
            <w:tcW w:w="2361" w:type="dxa"/>
            <w:gridSpan w:val="2"/>
            <w:vAlign w:val="center"/>
          </w:tcPr>
          <w:p>
            <w:pPr>
              <w:spacing w:line="320" w:lineRule="exact"/>
              <w:ind w:firstLine="0" w:firstLineChars="0"/>
              <w:jc w:val="center"/>
              <w:rPr>
                <w:rFonts w:eastAsiaTheme="minorEastAsia"/>
                <w:lang w:val="zh-CN"/>
              </w:rPr>
            </w:pPr>
            <w:r>
              <w:rPr>
                <w:rFonts w:hint="eastAsia" w:eastAsiaTheme="minorEastAsia"/>
                <w:lang w:val="zh-CN"/>
              </w:rPr>
              <w:t>其中：环保</w:t>
            </w:r>
          </w:p>
          <w:p>
            <w:pPr>
              <w:spacing w:line="320" w:lineRule="exact"/>
              <w:ind w:firstLine="0" w:firstLineChars="0"/>
              <w:jc w:val="center"/>
              <w:rPr>
                <w:rFonts w:eastAsiaTheme="minorEastAsia"/>
                <w:lang w:val="zh-CN"/>
              </w:rPr>
            </w:pPr>
            <w:r>
              <w:rPr>
                <w:rFonts w:hint="eastAsia" w:eastAsiaTheme="minorEastAsia"/>
                <w:lang w:val="zh-CN"/>
              </w:rPr>
              <w:t>投资(万元)</w:t>
            </w:r>
          </w:p>
        </w:tc>
        <w:tc>
          <w:tcPr>
            <w:tcW w:w="956" w:type="dxa"/>
            <w:vAlign w:val="center"/>
          </w:tcPr>
          <w:p>
            <w:pPr>
              <w:spacing w:line="320" w:lineRule="exact"/>
              <w:ind w:firstLine="0" w:firstLineChars="0"/>
              <w:jc w:val="center"/>
              <w:rPr>
                <w:rFonts w:hint="default" w:eastAsiaTheme="minorEastAsia"/>
                <w:lang w:val="en-US" w:eastAsia="zh-CN"/>
              </w:rPr>
            </w:pPr>
            <w:r>
              <w:rPr>
                <w:rFonts w:hint="eastAsia" w:eastAsiaTheme="minorEastAsia"/>
                <w:lang w:val="en-US" w:eastAsia="zh-CN"/>
              </w:rPr>
              <w:t>27.4</w:t>
            </w:r>
          </w:p>
        </w:tc>
        <w:tc>
          <w:tcPr>
            <w:tcW w:w="1905" w:type="dxa"/>
            <w:gridSpan w:val="3"/>
            <w:vAlign w:val="center"/>
          </w:tcPr>
          <w:p>
            <w:pPr>
              <w:spacing w:line="320" w:lineRule="exact"/>
              <w:ind w:firstLine="0" w:firstLineChars="0"/>
              <w:jc w:val="center"/>
              <w:rPr>
                <w:rFonts w:eastAsiaTheme="minorEastAsia"/>
                <w:lang w:val="zh-CN"/>
              </w:rPr>
            </w:pPr>
            <w:r>
              <w:rPr>
                <w:rFonts w:hint="eastAsia" w:eastAsiaTheme="minorEastAsia"/>
                <w:lang w:val="zh-CN"/>
              </w:rPr>
              <w:t>环保投资占总投资比例%</w:t>
            </w:r>
          </w:p>
        </w:tc>
        <w:tc>
          <w:tcPr>
            <w:tcW w:w="990" w:type="dxa"/>
            <w:tcBorders>
              <w:right w:val="single" w:color="auto" w:sz="12" w:space="0"/>
            </w:tcBorders>
            <w:vAlign w:val="center"/>
          </w:tcPr>
          <w:p>
            <w:pPr>
              <w:spacing w:line="320" w:lineRule="exact"/>
              <w:ind w:firstLine="0" w:firstLineChars="0"/>
              <w:jc w:val="center"/>
              <w:rPr>
                <w:rFonts w:eastAsiaTheme="minorEastAsia"/>
              </w:rPr>
            </w:pPr>
            <w:r>
              <w:rPr>
                <w:rFonts w:hint="eastAsia" w:eastAsiaTheme="minorEastAsia"/>
                <w:lang w:val="en-US" w:eastAsia="zh-CN"/>
              </w:rPr>
              <w:t>5.48</w:t>
            </w:r>
            <w:r>
              <w:rPr>
                <w:rFonts w:hint="eastAsia" w:eastAsiaTheme="minorEastAsi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519" w:type="dxa"/>
            <w:tcBorders>
              <w:left w:val="single" w:color="auto" w:sz="12" w:space="0"/>
              <w:bottom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评价经费</w:t>
            </w:r>
          </w:p>
          <w:p>
            <w:pPr>
              <w:spacing w:line="320" w:lineRule="exact"/>
              <w:ind w:firstLine="0" w:firstLineChars="0"/>
              <w:jc w:val="center"/>
              <w:rPr>
                <w:rFonts w:eastAsiaTheme="minorEastAsia"/>
                <w:lang w:val="zh-CN"/>
              </w:rPr>
            </w:pPr>
            <w:r>
              <w:rPr>
                <w:rFonts w:hint="eastAsia" w:eastAsiaTheme="minorEastAsia"/>
                <w:lang w:val="zh-CN"/>
              </w:rPr>
              <w:t>(万元)</w:t>
            </w:r>
          </w:p>
          <w:p>
            <w:pPr>
              <w:spacing w:line="320" w:lineRule="exact"/>
              <w:ind w:firstLine="0" w:firstLineChars="0"/>
              <w:jc w:val="center"/>
              <w:rPr>
                <w:rFonts w:eastAsiaTheme="minorEastAsia"/>
              </w:rPr>
            </w:pPr>
          </w:p>
        </w:tc>
        <w:tc>
          <w:tcPr>
            <w:tcW w:w="1625" w:type="dxa"/>
            <w:tcBorders>
              <w:bottom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w:t>
            </w:r>
          </w:p>
        </w:tc>
        <w:tc>
          <w:tcPr>
            <w:tcW w:w="2361" w:type="dxa"/>
            <w:gridSpan w:val="2"/>
            <w:tcBorders>
              <w:bottom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投产</w:t>
            </w:r>
          </w:p>
          <w:p>
            <w:pPr>
              <w:spacing w:line="320" w:lineRule="exact"/>
              <w:ind w:firstLine="0" w:firstLineChars="0"/>
              <w:jc w:val="center"/>
              <w:rPr>
                <w:rFonts w:eastAsiaTheme="minorEastAsia"/>
                <w:lang w:val="zh-CN"/>
              </w:rPr>
            </w:pPr>
            <w:r>
              <w:rPr>
                <w:rFonts w:hint="eastAsia" w:eastAsiaTheme="minorEastAsia"/>
                <w:lang w:val="zh-CN"/>
              </w:rPr>
              <w:t>日期</w:t>
            </w:r>
          </w:p>
        </w:tc>
        <w:tc>
          <w:tcPr>
            <w:tcW w:w="3851" w:type="dxa"/>
            <w:gridSpan w:val="5"/>
            <w:tcBorders>
              <w:bottom w:val="single" w:color="auto" w:sz="12" w:space="0"/>
              <w:right w:val="single" w:color="auto" w:sz="12" w:space="0"/>
            </w:tcBorders>
            <w:vAlign w:val="center"/>
          </w:tcPr>
          <w:p>
            <w:pPr>
              <w:spacing w:line="320" w:lineRule="exact"/>
              <w:ind w:firstLine="0" w:firstLineChars="0"/>
              <w:jc w:val="center"/>
              <w:rPr>
                <w:rFonts w:eastAsiaTheme="minorEastAsia"/>
                <w:lang w:val="zh-CN"/>
              </w:rPr>
            </w:pPr>
            <w:r>
              <w:rPr>
                <w:rFonts w:hint="eastAsia" w:eastAsiaTheme="minorEastAsia"/>
                <w:lang w:val="zh-CN"/>
              </w:rPr>
              <w:t>2017年3月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5" w:hRule="atLeast"/>
        </w:trPr>
        <w:tc>
          <w:tcPr>
            <w:tcW w:w="9356" w:type="dxa"/>
            <w:gridSpan w:val="9"/>
            <w:tcBorders>
              <w:left w:val="single" w:color="auto" w:sz="12" w:space="0"/>
              <w:bottom w:val="single" w:color="auto" w:sz="12" w:space="0"/>
              <w:right w:val="single" w:color="auto" w:sz="12" w:space="0"/>
            </w:tcBorders>
            <w:vAlign w:val="center"/>
          </w:tcPr>
          <w:p>
            <w:pPr>
              <w:ind w:firstLine="0" w:firstLineChars="0"/>
              <w:rPr>
                <w:rFonts w:hint="eastAsia"/>
                <w:b/>
                <w:sz w:val="28"/>
              </w:rPr>
            </w:pPr>
            <w:r>
              <w:rPr>
                <w:rFonts w:eastAsia="黑体"/>
                <w:sz w:val="28"/>
                <w:szCs w:val="28"/>
              </w:rPr>
              <w:t>工程内容及规模</w:t>
            </w:r>
          </w:p>
          <w:p>
            <w:pPr>
              <w:ind w:firstLine="0" w:firstLineChars="0"/>
              <w:rPr>
                <w:b/>
                <w:sz w:val="28"/>
              </w:rPr>
            </w:pPr>
            <w:r>
              <w:rPr>
                <w:rFonts w:hint="eastAsia"/>
                <w:b/>
                <w:sz w:val="28"/>
              </w:rPr>
              <w:t>一、项目</w:t>
            </w:r>
            <w:r>
              <w:rPr>
                <w:b/>
                <w:sz w:val="28"/>
              </w:rPr>
              <w:t>概述</w:t>
            </w:r>
          </w:p>
          <w:p>
            <w:pPr>
              <w:ind w:firstLine="480"/>
              <w:rPr>
                <w:rFonts w:eastAsiaTheme="minorEastAsia"/>
                <w:lang w:val="zh-CN"/>
              </w:rPr>
            </w:pPr>
            <w:r>
              <w:rPr>
                <w:rFonts w:hint="eastAsia" w:eastAsiaTheme="minorEastAsia"/>
                <w:lang w:val="zh-CN"/>
              </w:rPr>
              <w:t>西安</w:t>
            </w:r>
            <w:r>
              <w:rPr>
                <w:rFonts w:eastAsiaTheme="minorEastAsia"/>
                <w:lang w:val="zh-CN"/>
              </w:rPr>
              <w:t>铭帆家具有限公司</w:t>
            </w:r>
            <w:r>
              <w:rPr>
                <w:rFonts w:hint="eastAsia" w:eastAsiaTheme="minorEastAsia"/>
                <w:lang w:val="zh-CN"/>
              </w:rPr>
              <w:t>成立于2017年，主营家具、家具钢管的加工、制造；金属制品、家具、五金配件、机械及配件的销售。</w:t>
            </w:r>
            <w:r>
              <w:rPr>
                <w:rFonts w:hAnsiTheme="minorEastAsia" w:eastAsiaTheme="minorEastAsia"/>
              </w:rPr>
              <w:t>鉴于经济快速发展和市场变化，同时为满足市场需要，</w:t>
            </w:r>
            <w:r>
              <w:rPr>
                <w:rFonts w:hint="eastAsia" w:eastAsiaTheme="minorEastAsia"/>
                <w:lang w:val="zh-CN"/>
              </w:rPr>
              <w:t>西安</w:t>
            </w:r>
            <w:r>
              <w:rPr>
                <w:rFonts w:eastAsiaTheme="minorEastAsia"/>
                <w:lang w:val="zh-CN"/>
              </w:rPr>
              <w:t>铭帆家具有限公司</w:t>
            </w:r>
            <w:r>
              <w:t>在</w:t>
            </w:r>
            <w:r>
              <w:rPr>
                <w:rFonts w:eastAsiaTheme="minorEastAsia"/>
                <w:lang w:val="zh-CN"/>
              </w:rPr>
              <w:t>西安市灞桥区狄寨街道夏寨村南3号</w:t>
            </w:r>
            <w:r>
              <w:rPr>
                <w:rFonts w:hAnsiTheme="minorEastAsia" w:eastAsiaTheme="minorEastAsia"/>
              </w:rPr>
              <w:t>投资</w:t>
            </w:r>
            <w:r>
              <w:rPr>
                <w:rFonts w:eastAsiaTheme="minorEastAsia"/>
              </w:rPr>
              <w:t>500</w:t>
            </w:r>
            <w:r>
              <w:rPr>
                <w:rFonts w:hAnsiTheme="minorEastAsia" w:eastAsiaTheme="minorEastAsia"/>
              </w:rPr>
              <w:t>万元，</w:t>
            </w:r>
            <w:r>
              <w:rPr>
                <w:lang w:val="zh-CN"/>
              </w:rPr>
              <w:t>建设</w:t>
            </w:r>
            <w:r>
              <w:rPr>
                <w:rFonts w:hint="eastAsia" w:eastAsiaTheme="minorEastAsia"/>
                <w:lang w:val="zh-CN"/>
              </w:rPr>
              <w:t>金属架子床加工生产线项目</w:t>
            </w:r>
            <w:r>
              <w:rPr>
                <w:rFonts w:hint="eastAsia"/>
              </w:rPr>
              <w:t>，</w:t>
            </w:r>
            <w:r>
              <w:rPr>
                <w:rFonts w:hAnsiTheme="minorEastAsia" w:eastAsiaTheme="minorEastAsia"/>
              </w:rPr>
              <w:t>项目年产</w:t>
            </w:r>
            <w:r>
              <w:rPr>
                <w:rFonts w:hint="eastAsia" w:hAnsiTheme="minorEastAsia" w:eastAsiaTheme="minorEastAsia"/>
                <w:lang w:val="en-US" w:eastAsia="zh-CN"/>
              </w:rPr>
              <w:t>金属架子床</w:t>
            </w:r>
            <w:r>
              <w:rPr>
                <w:rFonts w:hint="eastAsia" w:eastAsiaTheme="minorEastAsia"/>
              </w:rPr>
              <w:t>1</w:t>
            </w:r>
            <w:r>
              <w:rPr>
                <w:rFonts w:eastAsiaTheme="minorEastAsia"/>
              </w:rPr>
              <w:t>0000</w:t>
            </w:r>
            <w:r>
              <w:rPr>
                <w:rFonts w:hint="eastAsia" w:hAnsiTheme="minorEastAsia" w:eastAsiaTheme="minorEastAsia"/>
                <w:lang w:val="en-US" w:eastAsia="zh-CN"/>
              </w:rPr>
              <w:t>套</w:t>
            </w:r>
            <w:r>
              <w:rPr>
                <w:rFonts w:hAnsiTheme="minorEastAsia" w:eastAsiaTheme="minorEastAsia"/>
              </w:rPr>
              <w:t>。</w:t>
            </w:r>
          </w:p>
          <w:p>
            <w:pPr>
              <w:ind w:firstLine="480"/>
              <w:rPr>
                <w:kern w:val="0"/>
              </w:rPr>
            </w:pPr>
            <w:r>
              <w:rPr>
                <w:rFonts w:hint="eastAsia"/>
              </w:rPr>
              <w:t>本项目已于2017年建成投产，</w:t>
            </w:r>
            <w:r>
              <w:rPr>
                <w:rFonts w:hint="eastAsia"/>
                <w:kern w:val="0"/>
              </w:rPr>
              <w:t>尚</w:t>
            </w:r>
            <w:r>
              <w:rPr>
                <w:kern w:val="0"/>
              </w:rPr>
              <w:t>未</w:t>
            </w:r>
            <w:r>
              <w:rPr>
                <w:rFonts w:hint="eastAsia"/>
                <w:kern w:val="0"/>
              </w:rPr>
              <w:t>办理环境影响评价手续</w:t>
            </w:r>
            <w:r>
              <w:rPr>
                <w:kern w:val="0"/>
              </w:rPr>
              <w:t>。</w:t>
            </w:r>
            <w:r>
              <w:t>根据《中华人民共和国环境保护法》、《中华人民共和国环境影响评价法》及《建设项目环境影响评价分类管理名录》（生态环境部令第44号）等有关法律、法规的规定，</w:t>
            </w:r>
            <w:r>
              <w:rPr>
                <w:rFonts w:hint="eastAsia" w:eastAsiaTheme="minorEastAsia"/>
                <w:lang w:val="zh-CN"/>
              </w:rPr>
              <w:t>西安</w:t>
            </w:r>
            <w:r>
              <w:rPr>
                <w:rFonts w:eastAsiaTheme="minorEastAsia"/>
                <w:lang w:val="zh-CN"/>
              </w:rPr>
              <w:t>铭帆家具有限公司</w:t>
            </w:r>
            <w:r>
              <w:rPr>
                <w:rFonts w:hint="eastAsia" w:eastAsiaTheme="minorEastAsia"/>
                <w:lang w:val="zh-CN"/>
              </w:rPr>
              <w:t>的金属架子床加工项目</w:t>
            </w:r>
            <w:r>
              <w:rPr>
                <w:rFonts w:hint="eastAsia"/>
              </w:rPr>
              <w:t>属于“十、家具制造业”中“27家具制造”的“其他”，故应进行环境影响评价并编制环境影响报告表。</w:t>
            </w:r>
          </w:p>
          <w:p>
            <w:pPr>
              <w:adjustRightInd w:val="0"/>
              <w:snapToGrid w:val="0"/>
              <w:ind w:firstLine="480"/>
              <w:rPr>
                <w:kern w:val="0"/>
              </w:rPr>
            </w:pPr>
            <w:r>
              <w:rPr>
                <w:kern w:val="0"/>
              </w:rPr>
              <w:t>为此，</w:t>
            </w:r>
            <w:r>
              <w:rPr>
                <w:rFonts w:hint="eastAsia" w:eastAsiaTheme="minorEastAsia"/>
                <w:lang w:val="zh-CN"/>
              </w:rPr>
              <w:t>西安</w:t>
            </w:r>
            <w:r>
              <w:rPr>
                <w:rFonts w:eastAsiaTheme="minorEastAsia"/>
                <w:lang w:val="zh-CN"/>
              </w:rPr>
              <w:t>铭帆家具有限公司</w:t>
            </w:r>
            <w:r>
              <w:rPr>
                <w:kern w:val="0"/>
              </w:rPr>
              <w:t>（以下简称建设单位）委托</w:t>
            </w:r>
            <w:r>
              <w:rPr>
                <w:rFonts w:hint="eastAsia"/>
                <w:kern w:val="0"/>
              </w:rPr>
              <w:t>我公司</w:t>
            </w:r>
            <w:r>
              <w:rPr>
                <w:kern w:val="0"/>
              </w:rPr>
              <w:t>（以下简称环评单位）承担该项目环境影响报告表的编制</w:t>
            </w:r>
            <w:r>
              <w:rPr>
                <w:rFonts w:hint="eastAsia"/>
                <w:kern w:val="0"/>
              </w:rPr>
              <w:t>，</w:t>
            </w:r>
            <w:r>
              <w:rPr>
                <w:kern w:val="0"/>
              </w:rPr>
              <w:t>详见附件1。接收委托后，我公司成立环境影响评价工作小组，在组织有关人员进行现场踏勘和资料收集的基础上，依据国家和地方相关法律法规及有关规定，严格按照环境影响评价技术导则要求，编制完成了《</w:t>
            </w:r>
            <w:r>
              <w:rPr>
                <w:rFonts w:hint="eastAsia" w:eastAsiaTheme="minorEastAsia"/>
                <w:lang w:val="zh-CN"/>
              </w:rPr>
              <w:t>金属架子床加工生产线项目</w:t>
            </w:r>
            <w:r>
              <w:rPr>
                <w:kern w:val="0"/>
              </w:rPr>
              <w:t>环境影响报告表》。</w:t>
            </w:r>
          </w:p>
          <w:p>
            <w:pPr>
              <w:ind w:firstLine="0" w:firstLineChars="0"/>
            </w:pPr>
            <w:r>
              <w:rPr>
                <w:rFonts w:hint="eastAsia"/>
                <w:b/>
                <w:sz w:val="28"/>
              </w:rPr>
              <w:t>二、</w:t>
            </w:r>
            <w:r>
              <w:rPr>
                <w:b/>
                <w:sz w:val="28"/>
              </w:rPr>
              <w:t>相关判定性分析</w:t>
            </w:r>
          </w:p>
          <w:p>
            <w:pPr>
              <w:ind w:firstLine="482"/>
              <w:rPr>
                <w:b/>
              </w:rPr>
            </w:pPr>
            <w:r>
              <w:rPr>
                <w:rFonts w:hint="eastAsia" w:ascii="宋体" w:hAnsi="宋体" w:cs="宋体"/>
                <w:b/>
              </w:rPr>
              <w:t>1、</w:t>
            </w:r>
            <w:r>
              <w:rPr>
                <w:b/>
              </w:rPr>
              <w:t>产业政策符合性</w:t>
            </w:r>
          </w:p>
          <w:p>
            <w:pPr>
              <w:ind w:firstLine="480"/>
            </w:pPr>
            <w:r>
              <w:rPr>
                <w:rFonts w:hAnsi="宋体"/>
              </w:rPr>
              <w:t>根据中华人民共和国国家发展和改革委员会第</w:t>
            </w:r>
            <w:r>
              <w:t>9</w:t>
            </w:r>
            <w:r>
              <w:rPr>
                <w:rFonts w:hAnsi="宋体"/>
              </w:rPr>
              <w:t>号令《产业结构调整指导目录（</w:t>
            </w:r>
            <w:r>
              <w:t>201</w:t>
            </w:r>
            <w:r>
              <w:rPr>
                <w:rFonts w:hint="eastAsia"/>
                <w:lang w:val="en-US" w:eastAsia="zh-CN"/>
              </w:rPr>
              <w:t>9</w:t>
            </w:r>
            <w:r>
              <w:rPr>
                <w:rFonts w:hAnsi="宋体"/>
              </w:rPr>
              <w:t>年）》，本项目不属于鼓励类、限制类和淘汰类项目，应属允许类。本项目不在《陕西省限制投资类产业指导目录》（陕发改产业</w:t>
            </w:r>
            <w:r>
              <w:t>[2007]97</w:t>
            </w:r>
            <w:r>
              <w:rPr>
                <w:rFonts w:hAnsi="宋体"/>
              </w:rPr>
              <w:t>号），也不在《市场准入负面清单（</w:t>
            </w:r>
            <w:r>
              <w:t>2018</w:t>
            </w:r>
            <w:r>
              <w:rPr>
                <w:rFonts w:hAnsi="宋体"/>
              </w:rPr>
              <w:t>版）》（发改经体【</w:t>
            </w:r>
            <w:r>
              <w:t>2018</w:t>
            </w:r>
            <w:r>
              <w:rPr>
                <w:rFonts w:hAnsi="宋体"/>
              </w:rPr>
              <w:t>】</w:t>
            </w:r>
            <w:r>
              <w:t>1892</w:t>
            </w:r>
            <w:r>
              <w:rPr>
                <w:rFonts w:hAnsi="宋体"/>
              </w:rPr>
              <w:t>号）负面清单内，因此本项目符合国家及陕西省现行的有关产业政策。</w:t>
            </w:r>
          </w:p>
          <w:p>
            <w:pPr>
              <w:spacing w:line="480" w:lineRule="exact"/>
              <w:ind w:firstLine="482"/>
              <w:rPr>
                <w:b/>
                <w:bCs/>
              </w:rPr>
            </w:pPr>
            <w:r>
              <w:rPr>
                <w:rFonts w:hint="eastAsia" w:ascii="宋体" w:hAnsi="宋体" w:cs="宋体"/>
                <w:b/>
                <w:lang w:val="en-US" w:eastAsia="zh-CN"/>
              </w:rPr>
              <w:t>2</w:t>
            </w:r>
            <w:r>
              <w:rPr>
                <w:rFonts w:hint="eastAsia" w:ascii="宋体" w:hAnsi="宋体" w:cs="宋体"/>
                <w:b/>
              </w:rPr>
              <w:t>、</w:t>
            </w:r>
            <w:r>
              <w:rPr>
                <w:rFonts w:hint="eastAsia" w:ascii="宋体" w:hAnsi="宋体"/>
                <w:b/>
                <w:bCs/>
              </w:rPr>
              <w:t>相关环境管理政策相符性分析</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rPr>
            </w:pPr>
            <w:r>
              <w:t>本项目与相关环境管理政策符合性分析见表</w:t>
            </w:r>
            <w:r>
              <w:rPr>
                <w:rFonts w:hint="eastAsia"/>
              </w:rPr>
              <w:t>1-1</w:t>
            </w:r>
            <w:r>
              <w:t>。</w:t>
            </w:r>
          </w:p>
          <w:p>
            <w:pPr>
              <w:keepNext w:val="0"/>
              <w:keepLines w:val="0"/>
              <w:pageBreakBefore w:val="0"/>
              <w:widowControl w:val="0"/>
              <w:kinsoku/>
              <w:wordWrap/>
              <w:overflowPunct/>
              <w:topLinePunct w:val="0"/>
              <w:autoSpaceDE/>
              <w:autoSpaceDN/>
              <w:bidi w:val="0"/>
              <w:adjustRightInd/>
              <w:snapToGrid/>
              <w:ind w:firstLine="482"/>
              <w:jc w:val="center"/>
              <w:textAlignment w:val="auto"/>
              <w:rPr>
                <w:rFonts w:hint="eastAsia"/>
                <w:b/>
                <w:bCs/>
                <w:szCs w:val="21"/>
              </w:rPr>
            </w:pPr>
            <w:r>
              <w:rPr>
                <w:rFonts w:hAnsi="宋体"/>
                <w:b/>
                <w:bCs/>
              </w:rPr>
              <w:t>表</w:t>
            </w:r>
            <w:r>
              <w:rPr>
                <w:rFonts w:hint="eastAsia"/>
                <w:b/>
                <w:bCs/>
              </w:rPr>
              <w:t>1-1</w:t>
            </w:r>
            <w:r>
              <w:rPr>
                <w:b/>
                <w:bCs/>
              </w:rPr>
              <w:t xml:space="preserve"> </w:t>
            </w:r>
            <w:r>
              <w:rPr>
                <w:rFonts w:hAnsi="宋体"/>
                <w:b/>
                <w:bCs/>
              </w:rPr>
              <w:t>本项目与相关环境管理政策符合性分析</w:t>
            </w:r>
          </w:p>
          <w:tbl>
            <w:tblPr>
              <w:tblStyle w:val="3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63"/>
              <w:gridCol w:w="3445"/>
              <w:gridCol w:w="255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序号</w:t>
                  </w:r>
                </w:p>
              </w:tc>
              <w:tc>
                <w:tcPr>
                  <w:tcW w:w="1163"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相关规划</w:t>
                  </w:r>
                </w:p>
              </w:tc>
              <w:tc>
                <w:tcPr>
                  <w:tcW w:w="3445"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内容及要求</w:t>
                  </w:r>
                </w:p>
              </w:tc>
              <w:tc>
                <w:tcPr>
                  <w:tcW w:w="255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本项目情况</w:t>
                  </w:r>
                </w:p>
              </w:tc>
              <w:tc>
                <w:tcPr>
                  <w:tcW w:w="66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670" w:type="dxa"/>
                  <w:vMerge w:val="restart"/>
                  <w:vAlign w:val="center"/>
                </w:tcPr>
                <w:p>
                  <w:pPr>
                    <w:pStyle w:val="207"/>
                    <w:spacing w:line="240" w:lineRule="auto"/>
                    <w:rPr>
                      <w:rFonts w:eastAsiaTheme="minorEastAsia"/>
                      <w:b w:val="0"/>
                      <w:bCs w:val="0"/>
                      <w:sz w:val="21"/>
                      <w:szCs w:val="21"/>
                    </w:rPr>
                  </w:pPr>
                  <w:r>
                    <w:rPr>
                      <w:rFonts w:eastAsiaTheme="minorEastAsia"/>
                      <w:b w:val="0"/>
                      <w:bCs w:val="0"/>
                      <w:sz w:val="21"/>
                      <w:szCs w:val="21"/>
                    </w:rPr>
                    <w:t>1</w:t>
                  </w:r>
                </w:p>
              </w:tc>
              <w:tc>
                <w:tcPr>
                  <w:tcW w:w="1163" w:type="dxa"/>
                  <w:vMerge w:val="restart"/>
                  <w:vAlign w:val="center"/>
                </w:tcPr>
                <w:p>
                  <w:pPr>
                    <w:pStyle w:val="207"/>
                    <w:spacing w:line="240" w:lineRule="auto"/>
                    <w:rPr>
                      <w:rFonts w:eastAsiaTheme="minorEastAsia"/>
                      <w:b w:val="0"/>
                      <w:bCs w:val="0"/>
                      <w:sz w:val="21"/>
                      <w:szCs w:val="21"/>
                    </w:rPr>
                  </w:pPr>
                  <w:r>
                    <w:rPr>
                      <w:rFonts w:eastAsiaTheme="minorEastAsia"/>
                      <w:b w:val="0"/>
                      <w:bCs w:val="0"/>
                      <w:sz w:val="21"/>
                      <w:szCs w:val="21"/>
                      <w:lang w:val="zh-CN"/>
                    </w:rPr>
                    <w:t>“</w:t>
                  </w:r>
                  <w:r>
                    <w:rPr>
                      <w:rFonts w:hAnsiTheme="minorEastAsia" w:eastAsiaTheme="minorEastAsia"/>
                      <w:b w:val="0"/>
                      <w:bCs w:val="0"/>
                      <w:sz w:val="21"/>
                      <w:szCs w:val="21"/>
                      <w:lang w:val="zh-CN"/>
                    </w:rPr>
                    <w:t>十三五</w:t>
                  </w:r>
                  <w:r>
                    <w:rPr>
                      <w:rFonts w:eastAsiaTheme="minorEastAsia"/>
                      <w:b w:val="0"/>
                      <w:bCs w:val="0"/>
                      <w:sz w:val="21"/>
                      <w:szCs w:val="21"/>
                      <w:lang w:val="zh-CN"/>
                    </w:rPr>
                    <w:t>”</w:t>
                  </w:r>
                  <w:r>
                    <w:rPr>
                      <w:rFonts w:hAnsiTheme="minorEastAsia" w:eastAsiaTheme="minorEastAsia"/>
                      <w:b w:val="0"/>
                      <w:bCs w:val="0"/>
                      <w:sz w:val="21"/>
                      <w:szCs w:val="21"/>
                      <w:lang w:val="zh-CN"/>
                    </w:rPr>
                    <w:t>挥发性有机物污染防治工作方案</w:t>
                  </w:r>
                </w:p>
              </w:tc>
              <w:tc>
                <w:tcPr>
                  <w:tcW w:w="3445"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新、改、扩建涉</w:t>
                  </w:r>
                  <w:r>
                    <w:rPr>
                      <w:rFonts w:eastAsiaTheme="minorEastAsia"/>
                      <w:sz w:val="21"/>
                      <w:szCs w:val="21"/>
                      <w:lang w:val="zh-CN"/>
                    </w:rPr>
                    <w:t>VOCs</w:t>
                  </w:r>
                  <w:r>
                    <w:rPr>
                      <w:rFonts w:hAnsiTheme="minorEastAsia" w:eastAsiaTheme="minorEastAsia"/>
                      <w:sz w:val="21"/>
                      <w:szCs w:val="21"/>
                      <w:lang w:val="zh-CN"/>
                    </w:rPr>
                    <w:t>排放项目，应从源头加强控制，使用低（无）</w:t>
                  </w:r>
                  <w:r>
                    <w:rPr>
                      <w:rFonts w:eastAsiaTheme="minorEastAsia"/>
                      <w:sz w:val="21"/>
                      <w:szCs w:val="21"/>
                      <w:lang w:val="zh-CN"/>
                    </w:rPr>
                    <w:t>VOCs</w:t>
                  </w:r>
                  <w:r>
                    <w:rPr>
                      <w:rFonts w:hAnsiTheme="minorEastAsia" w:eastAsiaTheme="minorEastAsia"/>
                      <w:sz w:val="21"/>
                      <w:szCs w:val="21"/>
                      <w:lang w:val="zh-CN"/>
                    </w:rPr>
                    <w:t>含量的原辅材料，加强废气收集，安装高效治理设施</w:t>
                  </w:r>
                </w:p>
              </w:tc>
              <w:tc>
                <w:tcPr>
                  <w:tcW w:w="2558" w:type="dxa"/>
                  <w:vAlign w:val="center"/>
                </w:tcPr>
                <w:p>
                  <w:pPr>
                    <w:spacing w:line="240" w:lineRule="auto"/>
                    <w:ind w:firstLine="0" w:firstLineChars="0"/>
                    <w:jc w:val="center"/>
                    <w:rPr>
                      <w:rFonts w:hint="eastAsia" w:eastAsiaTheme="minorEastAsia"/>
                      <w:sz w:val="21"/>
                      <w:szCs w:val="21"/>
                      <w:lang w:val="en-US" w:eastAsia="zh-CN"/>
                    </w:rPr>
                  </w:pPr>
                  <w:r>
                    <w:rPr>
                      <w:rFonts w:hAnsiTheme="minorEastAsia" w:eastAsiaTheme="minorEastAsia"/>
                      <w:sz w:val="21"/>
                      <w:szCs w:val="21"/>
                      <w:lang w:val="zh-CN"/>
                    </w:rPr>
                    <w:t>本项目位于西安市灞桥区</w:t>
                  </w:r>
                  <w:r>
                    <w:rPr>
                      <w:rFonts w:hint="eastAsia" w:hAnsiTheme="minorEastAsia" w:eastAsiaTheme="minorEastAsia"/>
                      <w:sz w:val="21"/>
                      <w:szCs w:val="21"/>
                      <w:lang w:val="zh-CN"/>
                    </w:rPr>
                    <w:t>，</w:t>
                  </w:r>
                  <w:r>
                    <w:rPr>
                      <w:rFonts w:hint="eastAsia" w:hAnsiTheme="minorEastAsia" w:eastAsiaTheme="minorEastAsia"/>
                      <w:sz w:val="21"/>
                      <w:szCs w:val="21"/>
                      <w:lang w:val="en-US" w:eastAsia="zh-CN"/>
                    </w:rPr>
                    <w:t>项目</w:t>
                  </w:r>
                  <w:r>
                    <w:rPr>
                      <w:rFonts w:hAnsiTheme="minorEastAsia" w:eastAsiaTheme="minorEastAsia"/>
                      <w:sz w:val="21"/>
                      <w:szCs w:val="21"/>
                      <w:lang w:val="zh-CN"/>
                    </w:rPr>
                    <w:t>已建</w:t>
                  </w:r>
                  <w:r>
                    <w:rPr>
                      <w:rFonts w:hint="eastAsia" w:hAnsiTheme="minorEastAsia" w:eastAsiaTheme="minorEastAsia"/>
                      <w:sz w:val="21"/>
                      <w:szCs w:val="21"/>
                      <w:lang w:val="en-US" w:eastAsia="zh-CN"/>
                    </w:rPr>
                    <w:t>成</w:t>
                  </w:r>
                </w:p>
              </w:tc>
              <w:tc>
                <w:tcPr>
                  <w:tcW w:w="66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Merge w:val="continue"/>
                  <w:vAlign w:val="center"/>
                </w:tcPr>
                <w:p>
                  <w:pPr>
                    <w:pStyle w:val="207"/>
                    <w:spacing w:line="240" w:lineRule="auto"/>
                    <w:rPr>
                      <w:rFonts w:eastAsiaTheme="minorEastAsia"/>
                      <w:b w:val="0"/>
                      <w:bCs w:val="0"/>
                      <w:sz w:val="21"/>
                      <w:szCs w:val="21"/>
                    </w:rPr>
                  </w:pPr>
                </w:p>
              </w:tc>
              <w:tc>
                <w:tcPr>
                  <w:tcW w:w="1163" w:type="dxa"/>
                  <w:vMerge w:val="continue"/>
                  <w:vAlign w:val="center"/>
                </w:tcPr>
                <w:p>
                  <w:pPr>
                    <w:pStyle w:val="207"/>
                    <w:spacing w:line="240" w:lineRule="auto"/>
                    <w:rPr>
                      <w:rFonts w:eastAsiaTheme="minorEastAsia"/>
                      <w:b w:val="0"/>
                      <w:bCs w:val="0"/>
                      <w:sz w:val="21"/>
                      <w:szCs w:val="21"/>
                    </w:rPr>
                  </w:pPr>
                </w:p>
              </w:tc>
              <w:tc>
                <w:tcPr>
                  <w:tcW w:w="3445"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提高</w:t>
                  </w:r>
                  <w:r>
                    <w:rPr>
                      <w:rFonts w:eastAsiaTheme="minorEastAsia"/>
                      <w:sz w:val="21"/>
                      <w:szCs w:val="21"/>
                      <w:lang w:val="zh-CN"/>
                    </w:rPr>
                    <w:t>VOCs</w:t>
                  </w:r>
                  <w:r>
                    <w:rPr>
                      <w:rFonts w:hAnsiTheme="minorEastAsia" w:eastAsiaTheme="minorEastAsia"/>
                      <w:sz w:val="21"/>
                      <w:szCs w:val="21"/>
                      <w:lang w:val="zh-CN"/>
                    </w:rPr>
                    <w:t>排放重点行业环保准入门槛，严格控制新增污染物排放量。重点地区要严格限制石化、化工、包装印刷、工业涂装等高</w:t>
                  </w:r>
                  <w:r>
                    <w:rPr>
                      <w:rFonts w:eastAsiaTheme="minorEastAsia"/>
                      <w:sz w:val="21"/>
                      <w:szCs w:val="21"/>
                      <w:lang w:val="zh-CN"/>
                    </w:rPr>
                    <w:t>VOCs</w:t>
                  </w:r>
                  <w:r>
                    <w:rPr>
                      <w:rFonts w:hAnsiTheme="minorEastAsia" w:eastAsiaTheme="minorEastAsia"/>
                      <w:sz w:val="21"/>
                      <w:szCs w:val="21"/>
                      <w:lang w:val="zh-CN"/>
                    </w:rPr>
                    <w:t>排放建设项目。新建涉</w:t>
                  </w:r>
                  <w:r>
                    <w:rPr>
                      <w:rFonts w:eastAsiaTheme="minorEastAsia"/>
                      <w:sz w:val="21"/>
                      <w:szCs w:val="21"/>
                      <w:lang w:val="zh-CN"/>
                    </w:rPr>
                    <w:t>VOCs</w:t>
                  </w:r>
                  <w:r>
                    <w:rPr>
                      <w:rFonts w:hAnsiTheme="minorEastAsia" w:eastAsiaTheme="minorEastAsia"/>
                      <w:sz w:val="21"/>
                      <w:szCs w:val="21"/>
                      <w:lang w:val="zh-CN"/>
                    </w:rPr>
                    <w:t>排放的工业企业要入园区。</w:t>
                  </w:r>
                </w:p>
              </w:tc>
              <w:tc>
                <w:tcPr>
                  <w:tcW w:w="2558" w:type="dxa"/>
                  <w:vAlign w:val="center"/>
                </w:tcPr>
                <w:p>
                  <w:pPr>
                    <w:spacing w:line="240" w:lineRule="auto"/>
                    <w:ind w:firstLine="0" w:firstLineChars="0"/>
                    <w:jc w:val="center"/>
                    <w:rPr>
                      <w:rFonts w:eastAsiaTheme="minorEastAsia"/>
                      <w:sz w:val="21"/>
                      <w:szCs w:val="21"/>
                    </w:rPr>
                  </w:pPr>
                  <w:r>
                    <w:rPr>
                      <w:rFonts w:hAnsiTheme="minorEastAsia" w:eastAsiaTheme="minorEastAsia"/>
                      <w:kern w:val="0"/>
                      <w:sz w:val="21"/>
                      <w:szCs w:val="21"/>
                    </w:rPr>
                    <w:t>本项目不属于重点项目，项目地属于重点地区，但本项目不属于高</w:t>
                  </w:r>
                  <w:r>
                    <w:rPr>
                      <w:rFonts w:eastAsiaTheme="minorEastAsia"/>
                      <w:sz w:val="21"/>
                      <w:szCs w:val="21"/>
                    </w:rPr>
                    <w:t>VOCs</w:t>
                  </w:r>
                  <w:r>
                    <w:rPr>
                      <w:rFonts w:hAnsiTheme="minorEastAsia" w:eastAsiaTheme="minorEastAsia"/>
                      <w:sz w:val="21"/>
                      <w:szCs w:val="21"/>
                    </w:rPr>
                    <w:t>排放建设项目。</w:t>
                  </w:r>
                  <w:r>
                    <w:rPr>
                      <w:rFonts w:hAnsiTheme="minorEastAsia" w:eastAsiaTheme="minorEastAsia"/>
                      <w:kern w:val="0"/>
                      <w:sz w:val="21"/>
                      <w:szCs w:val="21"/>
                    </w:rPr>
                    <w:t>本项目</w:t>
                  </w:r>
                  <w:r>
                    <w:rPr>
                      <w:rFonts w:hint="eastAsia" w:hAnsiTheme="minorEastAsia" w:eastAsiaTheme="minorEastAsia"/>
                      <w:kern w:val="0"/>
                      <w:sz w:val="21"/>
                      <w:szCs w:val="21"/>
                      <w:lang w:val="en-US" w:eastAsia="zh-CN"/>
                    </w:rPr>
                    <w:t>固化过程中</w:t>
                  </w:r>
                  <w:r>
                    <w:rPr>
                      <w:rFonts w:hAnsiTheme="minorEastAsia" w:eastAsiaTheme="minorEastAsia"/>
                      <w:kern w:val="0"/>
                      <w:sz w:val="21"/>
                      <w:szCs w:val="21"/>
                    </w:rPr>
                    <w:t>产生的有机废气</w:t>
                  </w:r>
                  <w:r>
                    <w:rPr>
                      <w:rFonts w:hAnsiTheme="minorEastAsia" w:eastAsiaTheme="minorEastAsia"/>
                      <w:sz w:val="21"/>
                      <w:szCs w:val="21"/>
                    </w:rPr>
                    <w:t>经收集后引致</w:t>
                  </w:r>
                  <w:r>
                    <w:rPr>
                      <w:rFonts w:eastAsiaTheme="minorEastAsia"/>
                      <w:sz w:val="21"/>
                      <w:szCs w:val="21"/>
                    </w:rPr>
                    <w:t>“UV</w:t>
                  </w:r>
                  <w:r>
                    <w:rPr>
                      <w:rFonts w:hAnsiTheme="minorEastAsia" w:eastAsiaTheme="minorEastAsia"/>
                      <w:sz w:val="21"/>
                      <w:szCs w:val="21"/>
                    </w:rPr>
                    <w:t>光解</w:t>
                  </w:r>
                  <w:r>
                    <w:rPr>
                      <w:rFonts w:eastAsiaTheme="minorEastAsia"/>
                      <w:sz w:val="21"/>
                      <w:szCs w:val="21"/>
                    </w:rPr>
                    <w:t>+</w:t>
                  </w:r>
                  <w:r>
                    <w:rPr>
                      <w:rFonts w:hint="eastAsia" w:hAnsiTheme="minorEastAsia" w:eastAsiaTheme="minorEastAsia"/>
                      <w:sz w:val="21"/>
                      <w:szCs w:val="21"/>
                      <w:lang w:eastAsia="zh-CN"/>
                    </w:rPr>
                    <w:t>活性炭吸附</w:t>
                  </w:r>
                  <w:r>
                    <w:rPr>
                      <w:rFonts w:eastAsiaTheme="minorEastAsia"/>
                      <w:sz w:val="21"/>
                      <w:szCs w:val="21"/>
                    </w:rPr>
                    <w:t>”</w:t>
                  </w:r>
                  <w:r>
                    <w:rPr>
                      <w:rFonts w:hAnsiTheme="minorEastAsia" w:eastAsiaTheme="minorEastAsia"/>
                      <w:sz w:val="21"/>
                      <w:szCs w:val="21"/>
                    </w:rPr>
                    <w:t>处理后</w:t>
                  </w:r>
                  <w:r>
                    <w:rPr>
                      <w:rFonts w:hAnsiTheme="minorEastAsia" w:eastAsiaTheme="minorEastAsia"/>
                      <w:kern w:val="0"/>
                      <w:sz w:val="21"/>
                      <w:szCs w:val="21"/>
                    </w:rPr>
                    <w:t>通过</w:t>
                  </w:r>
                  <w:r>
                    <w:rPr>
                      <w:rFonts w:eastAsiaTheme="minorEastAsia"/>
                      <w:kern w:val="0"/>
                      <w:sz w:val="21"/>
                      <w:szCs w:val="21"/>
                    </w:rPr>
                    <w:t>15m</w:t>
                  </w:r>
                  <w:r>
                    <w:rPr>
                      <w:rFonts w:hAnsiTheme="minorEastAsia" w:eastAsiaTheme="minorEastAsia"/>
                      <w:kern w:val="0"/>
                      <w:sz w:val="21"/>
                      <w:szCs w:val="21"/>
                    </w:rPr>
                    <w:t>高排气筒排放。</w:t>
                  </w:r>
                </w:p>
              </w:tc>
              <w:tc>
                <w:tcPr>
                  <w:tcW w:w="66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670" w:type="dxa"/>
                  <w:vMerge w:val="restart"/>
                  <w:vAlign w:val="center"/>
                </w:tcPr>
                <w:p>
                  <w:pPr>
                    <w:pStyle w:val="207"/>
                    <w:spacing w:line="240" w:lineRule="auto"/>
                    <w:rPr>
                      <w:rFonts w:eastAsiaTheme="minorEastAsia"/>
                      <w:b w:val="0"/>
                      <w:bCs w:val="0"/>
                      <w:sz w:val="21"/>
                      <w:szCs w:val="21"/>
                    </w:rPr>
                  </w:pPr>
                  <w:r>
                    <w:rPr>
                      <w:rFonts w:eastAsiaTheme="minorEastAsia"/>
                      <w:b w:val="0"/>
                      <w:bCs w:val="0"/>
                      <w:sz w:val="21"/>
                      <w:szCs w:val="21"/>
                    </w:rPr>
                    <w:t>2</w:t>
                  </w:r>
                </w:p>
              </w:tc>
              <w:tc>
                <w:tcPr>
                  <w:tcW w:w="1163" w:type="dxa"/>
                  <w:vMerge w:val="restart"/>
                  <w:vAlign w:val="center"/>
                </w:tcPr>
                <w:p>
                  <w:pPr>
                    <w:pStyle w:val="207"/>
                    <w:spacing w:line="240" w:lineRule="auto"/>
                    <w:rPr>
                      <w:rFonts w:eastAsiaTheme="minorEastAsia"/>
                      <w:b w:val="0"/>
                      <w:bCs w:val="0"/>
                      <w:sz w:val="21"/>
                      <w:szCs w:val="21"/>
                    </w:rPr>
                  </w:pPr>
                  <w:r>
                    <w:rPr>
                      <w:rFonts w:hAnsiTheme="minorEastAsia" w:eastAsiaTheme="minorEastAsia"/>
                      <w:b w:val="0"/>
                      <w:bCs w:val="0"/>
                      <w:sz w:val="21"/>
                      <w:szCs w:val="21"/>
                      <w:lang w:val="zh-CN"/>
                    </w:rPr>
                    <w:t>挥发性有机物（</w:t>
                  </w:r>
                  <w:r>
                    <w:rPr>
                      <w:rFonts w:eastAsiaTheme="minorEastAsia"/>
                      <w:b w:val="0"/>
                      <w:bCs w:val="0"/>
                      <w:sz w:val="21"/>
                      <w:szCs w:val="21"/>
                      <w:lang w:val="zh-CN"/>
                    </w:rPr>
                    <w:t>VOCs</w:t>
                  </w:r>
                  <w:r>
                    <w:rPr>
                      <w:rFonts w:hAnsiTheme="minorEastAsia" w:eastAsiaTheme="minorEastAsia"/>
                      <w:b w:val="0"/>
                      <w:bCs w:val="0"/>
                      <w:sz w:val="21"/>
                      <w:szCs w:val="21"/>
                      <w:lang w:val="zh-CN"/>
                    </w:rPr>
                    <w:t>）污染防治技术政策</w:t>
                  </w:r>
                </w:p>
              </w:tc>
              <w:tc>
                <w:tcPr>
                  <w:tcW w:w="3445"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rPr>
                    <w:t>含</w:t>
                  </w:r>
                  <w:r>
                    <w:rPr>
                      <w:rFonts w:eastAsiaTheme="minorEastAsia"/>
                      <w:sz w:val="21"/>
                      <w:szCs w:val="21"/>
                    </w:rPr>
                    <w:t>VOCs</w:t>
                  </w:r>
                  <w:r>
                    <w:rPr>
                      <w:rFonts w:hAnsiTheme="minorEastAsia" w:eastAsiaTheme="minorEastAsia"/>
                      <w:sz w:val="21"/>
                      <w:szCs w:val="21"/>
                    </w:rPr>
                    <w:t>产品的使用过程中，应采取废气收集措施，提高废气收集效率，减少废气的无组织排放与逸散，并对收集后的废气进行回收或处理后达标排放。</w:t>
                  </w:r>
                </w:p>
              </w:tc>
              <w:tc>
                <w:tcPr>
                  <w:tcW w:w="2558" w:type="dxa"/>
                  <w:vAlign w:val="center"/>
                </w:tcPr>
                <w:p>
                  <w:pPr>
                    <w:spacing w:line="240" w:lineRule="auto"/>
                    <w:ind w:firstLine="0" w:firstLineChars="0"/>
                    <w:jc w:val="center"/>
                    <w:rPr>
                      <w:rFonts w:eastAsiaTheme="minorEastAsia"/>
                      <w:kern w:val="0"/>
                      <w:sz w:val="21"/>
                      <w:szCs w:val="21"/>
                    </w:rPr>
                  </w:pPr>
                  <w:r>
                    <w:rPr>
                      <w:rFonts w:hAnsiTheme="minorEastAsia" w:eastAsiaTheme="minorEastAsia"/>
                      <w:sz w:val="21"/>
                      <w:szCs w:val="21"/>
                    </w:rPr>
                    <w:t>本项目固化工段</w:t>
                  </w:r>
                  <w:r>
                    <w:rPr>
                      <w:rFonts w:hint="eastAsia" w:hAnsiTheme="minorEastAsia" w:eastAsiaTheme="minorEastAsia"/>
                      <w:sz w:val="21"/>
                      <w:szCs w:val="21"/>
                      <w:lang w:val="en-US" w:eastAsia="zh-CN"/>
                    </w:rPr>
                    <w:t>产生</w:t>
                  </w:r>
                  <w:r>
                    <w:rPr>
                      <w:rFonts w:hAnsiTheme="minorEastAsia" w:eastAsiaTheme="minorEastAsia"/>
                      <w:sz w:val="21"/>
                      <w:szCs w:val="21"/>
                    </w:rPr>
                    <w:t>有机废气</w:t>
                  </w:r>
                  <w:r>
                    <w:rPr>
                      <w:rFonts w:hint="eastAsia" w:hAnsiTheme="minorEastAsia" w:eastAsiaTheme="minorEastAsia"/>
                      <w:sz w:val="21"/>
                      <w:szCs w:val="21"/>
                      <w:lang w:val="en-US" w:eastAsia="zh-CN"/>
                    </w:rPr>
                    <w:t>产生</w:t>
                  </w:r>
                  <w:r>
                    <w:rPr>
                      <w:rFonts w:hAnsiTheme="minorEastAsia" w:eastAsiaTheme="minorEastAsia"/>
                      <w:sz w:val="21"/>
                      <w:szCs w:val="21"/>
                    </w:rPr>
                    <w:t>，废气经设备</w:t>
                  </w:r>
                  <w:r>
                    <w:rPr>
                      <w:rFonts w:hint="eastAsia" w:hAnsiTheme="minorEastAsia" w:eastAsiaTheme="minorEastAsia"/>
                      <w:sz w:val="21"/>
                      <w:szCs w:val="21"/>
                      <w:lang w:val="en-US" w:eastAsia="zh-CN"/>
                    </w:rPr>
                    <w:t>自带的</w:t>
                  </w:r>
                  <w:r>
                    <w:rPr>
                      <w:rFonts w:eastAsiaTheme="minorEastAsia"/>
                      <w:sz w:val="21"/>
                      <w:szCs w:val="21"/>
                    </w:rPr>
                    <w:t>“UV</w:t>
                  </w:r>
                  <w:r>
                    <w:rPr>
                      <w:rFonts w:hAnsiTheme="minorEastAsia" w:eastAsiaTheme="minorEastAsia"/>
                      <w:sz w:val="21"/>
                      <w:szCs w:val="21"/>
                    </w:rPr>
                    <w:t>光解</w:t>
                  </w:r>
                  <w:r>
                    <w:rPr>
                      <w:rFonts w:eastAsiaTheme="minorEastAsia"/>
                      <w:sz w:val="21"/>
                      <w:szCs w:val="21"/>
                    </w:rPr>
                    <w:t>+</w:t>
                  </w:r>
                  <w:r>
                    <w:rPr>
                      <w:rFonts w:hint="eastAsia" w:hAnsiTheme="minorEastAsia" w:eastAsiaTheme="minorEastAsia"/>
                      <w:sz w:val="21"/>
                      <w:szCs w:val="21"/>
                      <w:lang w:eastAsia="zh-CN"/>
                    </w:rPr>
                    <w:t>活性炭吸附</w:t>
                  </w:r>
                  <w:r>
                    <w:rPr>
                      <w:rFonts w:eastAsiaTheme="minorEastAsia"/>
                      <w:sz w:val="21"/>
                      <w:szCs w:val="21"/>
                    </w:rPr>
                    <w:t>”</w:t>
                  </w:r>
                  <w:r>
                    <w:rPr>
                      <w:rFonts w:hAnsiTheme="minorEastAsia" w:eastAsiaTheme="minorEastAsia"/>
                      <w:sz w:val="21"/>
                      <w:szCs w:val="21"/>
                    </w:rPr>
                    <w:t>处理后，经</w:t>
                  </w:r>
                  <w:r>
                    <w:rPr>
                      <w:rFonts w:eastAsiaTheme="minorEastAsia"/>
                      <w:sz w:val="21"/>
                      <w:szCs w:val="21"/>
                    </w:rPr>
                    <w:t>15m</w:t>
                  </w:r>
                  <w:r>
                    <w:rPr>
                      <w:rFonts w:hAnsiTheme="minorEastAsia" w:eastAsiaTheme="minorEastAsia"/>
                      <w:sz w:val="21"/>
                      <w:szCs w:val="21"/>
                    </w:rPr>
                    <w:t>高排气筒排放，减少无组织排放</w:t>
                  </w:r>
                </w:p>
              </w:tc>
              <w:tc>
                <w:tcPr>
                  <w:tcW w:w="668"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Merge w:val="continue"/>
                  <w:vAlign w:val="center"/>
                </w:tcPr>
                <w:p>
                  <w:pPr>
                    <w:pStyle w:val="207"/>
                    <w:spacing w:line="240" w:lineRule="auto"/>
                    <w:rPr>
                      <w:rFonts w:eastAsiaTheme="minorEastAsia"/>
                      <w:b w:val="0"/>
                      <w:bCs w:val="0"/>
                      <w:sz w:val="21"/>
                      <w:szCs w:val="21"/>
                    </w:rPr>
                  </w:pPr>
                </w:p>
              </w:tc>
              <w:tc>
                <w:tcPr>
                  <w:tcW w:w="1163" w:type="dxa"/>
                  <w:vMerge w:val="continue"/>
                  <w:vAlign w:val="center"/>
                </w:tcPr>
                <w:p>
                  <w:pPr>
                    <w:pStyle w:val="207"/>
                    <w:spacing w:line="240" w:lineRule="auto"/>
                    <w:rPr>
                      <w:rFonts w:eastAsiaTheme="minorEastAsia"/>
                      <w:b w:val="0"/>
                      <w:bCs w:val="0"/>
                      <w:sz w:val="21"/>
                      <w:szCs w:val="21"/>
                    </w:rPr>
                  </w:pPr>
                </w:p>
              </w:tc>
              <w:tc>
                <w:tcPr>
                  <w:tcW w:w="3445"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rPr>
                    <w:t>对于含低浓度</w:t>
                  </w:r>
                  <w:r>
                    <w:rPr>
                      <w:rFonts w:eastAsiaTheme="minorEastAsia"/>
                      <w:sz w:val="21"/>
                      <w:szCs w:val="21"/>
                    </w:rPr>
                    <w:t>VOCs</w:t>
                  </w:r>
                  <w:r>
                    <w:rPr>
                      <w:rFonts w:hAnsiTheme="minorEastAsia" w:eastAsiaTheme="minorEastAsia"/>
                      <w:sz w:val="21"/>
                      <w:szCs w:val="21"/>
                    </w:rPr>
                    <w:t>的废气，有回收价值时可采用吸附技术、吸收技术对有机溶剂回收后达标排放；不宜回收时，可采用吸附浓缩燃烧技术、生物技术、吸收技术、等离子体技术或紫外光高级氧化技术等净化后达标排放。</w:t>
                  </w:r>
                </w:p>
              </w:tc>
              <w:tc>
                <w:tcPr>
                  <w:tcW w:w="2558" w:type="dxa"/>
                  <w:vMerge w:val="restart"/>
                  <w:vAlign w:val="center"/>
                </w:tcPr>
                <w:p>
                  <w:pPr>
                    <w:spacing w:line="240" w:lineRule="auto"/>
                    <w:ind w:firstLine="0" w:firstLineChars="0"/>
                    <w:jc w:val="center"/>
                    <w:rPr>
                      <w:rFonts w:eastAsiaTheme="minorEastAsia"/>
                      <w:kern w:val="0"/>
                      <w:sz w:val="21"/>
                      <w:szCs w:val="21"/>
                    </w:rPr>
                  </w:pPr>
                  <w:r>
                    <w:rPr>
                      <w:rFonts w:hint="eastAsia" w:hAnsiTheme="minorEastAsia" w:eastAsiaTheme="minorEastAsia"/>
                      <w:kern w:val="0"/>
                      <w:sz w:val="21"/>
                      <w:szCs w:val="21"/>
                      <w:lang w:val="en-US" w:eastAsia="zh-CN"/>
                    </w:rPr>
                    <w:t>本</w:t>
                  </w:r>
                  <w:r>
                    <w:rPr>
                      <w:rFonts w:hAnsiTheme="minorEastAsia" w:eastAsiaTheme="minorEastAsia"/>
                      <w:kern w:val="0"/>
                      <w:sz w:val="21"/>
                      <w:szCs w:val="21"/>
                    </w:rPr>
                    <w:t>项目固化产生的有机废气</w:t>
                  </w:r>
                  <w:r>
                    <w:rPr>
                      <w:rFonts w:hAnsiTheme="minorEastAsia" w:eastAsiaTheme="minorEastAsia"/>
                      <w:sz w:val="21"/>
                      <w:szCs w:val="21"/>
                    </w:rPr>
                    <w:t>经</w:t>
                  </w:r>
                  <w:r>
                    <w:rPr>
                      <w:rFonts w:eastAsiaTheme="minorEastAsia"/>
                      <w:sz w:val="21"/>
                      <w:szCs w:val="21"/>
                    </w:rPr>
                    <w:t>“UV</w:t>
                  </w:r>
                  <w:r>
                    <w:rPr>
                      <w:rFonts w:hAnsiTheme="minorEastAsia" w:eastAsiaTheme="minorEastAsia"/>
                      <w:sz w:val="21"/>
                      <w:szCs w:val="21"/>
                    </w:rPr>
                    <w:t>光解</w:t>
                  </w:r>
                  <w:r>
                    <w:rPr>
                      <w:rFonts w:eastAsiaTheme="minorEastAsia"/>
                      <w:sz w:val="21"/>
                      <w:szCs w:val="21"/>
                    </w:rPr>
                    <w:t>+</w:t>
                  </w:r>
                  <w:r>
                    <w:rPr>
                      <w:rFonts w:hint="eastAsia" w:hAnsiTheme="minorEastAsia" w:eastAsiaTheme="minorEastAsia"/>
                      <w:sz w:val="21"/>
                      <w:szCs w:val="21"/>
                      <w:lang w:eastAsia="zh-CN"/>
                    </w:rPr>
                    <w:t>活性炭吸附</w:t>
                  </w:r>
                  <w:r>
                    <w:rPr>
                      <w:rFonts w:eastAsiaTheme="minorEastAsia"/>
                      <w:sz w:val="21"/>
                      <w:szCs w:val="21"/>
                    </w:rPr>
                    <w:t>”</w:t>
                  </w:r>
                  <w:r>
                    <w:rPr>
                      <w:rFonts w:hAnsiTheme="minorEastAsia" w:eastAsiaTheme="minorEastAsia"/>
                      <w:sz w:val="21"/>
                      <w:szCs w:val="21"/>
                    </w:rPr>
                    <w:t>处理后</w:t>
                  </w:r>
                  <w:r>
                    <w:rPr>
                      <w:rFonts w:hAnsiTheme="minorEastAsia" w:eastAsiaTheme="minorEastAsia"/>
                      <w:kern w:val="0"/>
                      <w:sz w:val="21"/>
                      <w:szCs w:val="21"/>
                    </w:rPr>
                    <w:t>通过</w:t>
                  </w:r>
                  <w:r>
                    <w:rPr>
                      <w:rFonts w:eastAsiaTheme="minorEastAsia"/>
                      <w:kern w:val="0"/>
                      <w:sz w:val="21"/>
                      <w:szCs w:val="21"/>
                    </w:rPr>
                    <w:t>15m</w:t>
                  </w:r>
                  <w:r>
                    <w:rPr>
                      <w:rFonts w:hAnsiTheme="minorEastAsia" w:eastAsiaTheme="minorEastAsia"/>
                      <w:kern w:val="0"/>
                      <w:sz w:val="21"/>
                      <w:szCs w:val="21"/>
                    </w:rPr>
                    <w:t>高排气筒排放。</w:t>
                  </w:r>
                </w:p>
              </w:tc>
              <w:tc>
                <w:tcPr>
                  <w:tcW w:w="668"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670" w:type="dxa"/>
                  <w:vMerge w:val="continue"/>
                  <w:vAlign w:val="center"/>
                </w:tcPr>
                <w:p>
                  <w:pPr>
                    <w:pStyle w:val="207"/>
                    <w:spacing w:line="240" w:lineRule="auto"/>
                    <w:rPr>
                      <w:rFonts w:eastAsiaTheme="minorEastAsia"/>
                      <w:b w:val="0"/>
                      <w:bCs w:val="0"/>
                      <w:sz w:val="21"/>
                      <w:szCs w:val="21"/>
                    </w:rPr>
                  </w:pPr>
                </w:p>
              </w:tc>
              <w:tc>
                <w:tcPr>
                  <w:tcW w:w="1163" w:type="dxa"/>
                  <w:vMerge w:val="continue"/>
                  <w:vAlign w:val="center"/>
                </w:tcPr>
                <w:p>
                  <w:pPr>
                    <w:pStyle w:val="207"/>
                    <w:spacing w:line="240" w:lineRule="auto"/>
                    <w:rPr>
                      <w:rFonts w:eastAsiaTheme="minorEastAsia"/>
                      <w:b w:val="0"/>
                      <w:bCs w:val="0"/>
                      <w:sz w:val="21"/>
                      <w:szCs w:val="21"/>
                    </w:rPr>
                  </w:pPr>
                </w:p>
              </w:tc>
              <w:tc>
                <w:tcPr>
                  <w:tcW w:w="3445" w:type="dxa"/>
                  <w:vAlign w:val="center"/>
                </w:tcPr>
                <w:p>
                  <w:pPr>
                    <w:autoSpaceDE w:val="0"/>
                    <w:autoSpaceDN w:val="0"/>
                    <w:adjustRightInd w:val="0"/>
                    <w:snapToGrid w:val="0"/>
                    <w:spacing w:line="240" w:lineRule="auto"/>
                    <w:ind w:firstLine="0" w:firstLineChars="0"/>
                    <w:jc w:val="left"/>
                    <w:rPr>
                      <w:rFonts w:eastAsiaTheme="minorEastAsia"/>
                      <w:sz w:val="21"/>
                      <w:szCs w:val="21"/>
                    </w:rPr>
                  </w:pPr>
                  <w:r>
                    <w:rPr>
                      <w:rFonts w:hAnsiTheme="minorEastAsia" w:eastAsiaTheme="minorEastAsia"/>
                      <w:sz w:val="21"/>
                      <w:szCs w:val="21"/>
                    </w:rPr>
                    <w:t>严格控制</w:t>
                  </w:r>
                  <w:r>
                    <w:rPr>
                      <w:rFonts w:eastAsiaTheme="minorEastAsia"/>
                      <w:sz w:val="21"/>
                      <w:szCs w:val="21"/>
                    </w:rPr>
                    <w:t>VOCs</w:t>
                  </w:r>
                  <w:r>
                    <w:rPr>
                      <w:rFonts w:hAnsiTheme="minorEastAsia" w:eastAsiaTheme="minorEastAsia"/>
                      <w:sz w:val="21"/>
                      <w:szCs w:val="21"/>
                    </w:rPr>
                    <w:t>处理过程中产生的二次污染，对催化燃烧和热力焚烧过程中产生的含硫、氮、氟等无机废气，以及吸附、吸收、冷凝、生物等治理过程中产生的含有机物废水，应处理后达标排放</w:t>
                  </w:r>
                </w:p>
              </w:tc>
              <w:tc>
                <w:tcPr>
                  <w:tcW w:w="2558" w:type="dxa"/>
                  <w:vMerge w:val="continue"/>
                  <w:vAlign w:val="center"/>
                </w:tcPr>
                <w:p>
                  <w:pPr>
                    <w:autoSpaceDE w:val="0"/>
                    <w:autoSpaceDN w:val="0"/>
                    <w:adjustRightInd w:val="0"/>
                    <w:snapToGrid w:val="0"/>
                    <w:spacing w:line="240" w:lineRule="auto"/>
                    <w:ind w:firstLine="0" w:firstLineChars="0"/>
                    <w:rPr>
                      <w:rFonts w:eastAsiaTheme="minorEastAsia"/>
                      <w:kern w:val="0"/>
                      <w:sz w:val="21"/>
                      <w:szCs w:val="21"/>
                      <w:highlight w:val="yellow"/>
                    </w:rPr>
                  </w:pPr>
                </w:p>
              </w:tc>
              <w:tc>
                <w:tcPr>
                  <w:tcW w:w="668" w:type="dxa"/>
                  <w:vAlign w:val="center"/>
                </w:tcPr>
                <w:p>
                  <w:pPr>
                    <w:autoSpaceDE w:val="0"/>
                    <w:autoSpaceDN w:val="0"/>
                    <w:adjustRightInd w:val="0"/>
                    <w:snapToGrid w:val="0"/>
                    <w:spacing w:line="240" w:lineRule="auto"/>
                    <w:ind w:firstLine="0" w:firstLineChars="0"/>
                    <w:rPr>
                      <w:rFonts w:eastAsiaTheme="minorEastAsia"/>
                      <w:kern w:val="0"/>
                      <w:sz w:val="21"/>
                      <w:szCs w:val="21"/>
                    </w:rPr>
                  </w:pPr>
                  <w:r>
                    <w:rPr>
                      <w:rFonts w:hAnsiTheme="minorEastAsia" w:eastAsiaTheme="minorEastAsia"/>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Merge w:val="restart"/>
                  <w:vAlign w:val="center"/>
                </w:tcPr>
                <w:p>
                  <w:pPr>
                    <w:pStyle w:val="207"/>
                    <w:spacing w:line="240" w:lineRule="auto"/>
                    <w:rPr>
                      <w:rFonts w:eastAsiaTheme="minorEastAsia"/>
                      <w:b w:val="0"/>
                      <w:bCs w:val="0"/>
                      <w:sz w:val="21"/>
                      <w:szCs w:val="21"/>
                    </w:rPr>
                  </w:pPr>
                  <w:r>
                    <w:rPr>
                      <w:rFonts w:hint="eastAsia" w:eastAsiaTheme="minorEastAsia"/>
                      <w:b w:val="0"/>
                      <w:bCs w:val="0"/>
                      <w:sz w:val="21"/>
                      <w:szCs w:val="21"/>
                    </w:rPr>
                    <w:t>3</w:t>
                  </w:r>
                </w:p>
              </w:tc>
              <w:tc>
                <w:tcPr>
                  <w:tcW w:w="1163" w:type="dxa"/>
                  <w:vMerge w:val="restart"/>
                  <w:vAlign w:val="center"/>
                </w:tcPr>
                <w:p>
                  <w:pPr>
                    <w:pStyle w:val="207"/>
                    <w:spacing w:line="240" w:lineRule="auto"/>
                    <w:rPr>
                      <w:rFonts w:eastAsiaTheme="minorEastAsia"/>
                      <w:b w:val="0"/>
                      <w:bCs w:val="0"/>
                      <w:sz w:val="21"/>
                      <w:szCs w:val="21"/>
                    </w:rPr>
                  </w:pPr>
                  <w:r>
                    <w:rPr>
                      <w:rFonts w:hAnsiTheme="minorEastAsia" w:eastAsiaTheme="minorEastAsia"/>
                      <w:b w:val="0"/>
                      <w:sz w:val="21"/>
                      <w:szCs w:val="21"/>
                    </w:rPr>
                    <w:t>《重点行业挥发性有机物综合治理方案》</w:t>
                  </w:r>
                </w:p>
              </w:tc>
              <w:tc>
                <w:tcPr>
                  <w:tcW w:w="3445"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rPr>
                    <w:t>使用的原辅材料</w:t>
                  </w:r>
                  <w:r>
                    <w:rPr>
                      <w:rFonts w:eastAsiaTheme="minorEastAsia"/>
                      <w:sz w:val="21"/>
                      <w:szCs w:val="21"/>
                    </w:rPr>
                    <w:t>VOCs</w:t>
                  </w:r>
                  <w:r>
                    <w:rPr>
                      <w:rFonts w:hAnsiTheme="minorEastAsia" w:eastAsiaTheme="minorEastAsia"/>
                      <w:sz w:val="21"/>
                      <w:szCs w:val="21"/>
                    </w:rPr>
                    <w:t>含量（质量比）低于</w:t>
                  </w:r>
                  <w:r>
                    <w:rPr>
                      <w:rFonts w:eastAsiaTheme="minorEastAsia"/>
                      <w:sz w:val="21"/>
                      <w:szCs w:val="21"/>
                    </w:rPr>
                    <w:t>10%</w:t>
                  </w:r>
                  <w:r>
                    <w:rPr>
                      <w:rFonts w:hAnsiTheme="minorEastAsia" w:eastAsiaTheme="minorEastAsia"/>
                      <w:sz w:val="21"/>
                      <w:szCs w:val="21"/>
                    </w:rPr>
                    <w:t>的工序，可不要求采取无组织排放收集措施。</w:t>
                  </w:r>
                </w:p>
              </w:tc>
              <w:tc>
                <w:tcPr>
                  <w:tcW w:w="2558" w:type="dxa"/>
                  <w:vMerge w:val="restart"/>
                  <w:vAlign w:val="center"/>
                </w:tcPr>
                <w:p>
                  <w:pPr>
                    <w:spacing w:line="240" w:lineRule="auto"/>
                    <w:ind w:firstLine="0" w:firstLineChars="0"/>
                    <w:rPr>
                      <w:rFonts w:eastAsiaTheme="minorEastAsia"/>
                      <w:sz w:val="21"/>
                      <w:szCs w:val="21"/>
                      <w:highlight w:val="yellow"/>
                    </w:rPr>
                  </w:pPr>
                  <w:r>
                    <w:rPr>
                      <w:rFonts w:hAnsiTheme="minorEastAsia" w:eastAsiaTheme="minorEastAsia"/>
                      <w:sz w:val="21"/>
                      <w:szCs w:val="21"/>
                    </w:rPr>
                    <w:t>项目喷塑采用塑粉，</w:t>
                  </w:r>
                  <w:r>
                    <w:rPr>
                      <w:rFonts w:hAnsiTheme="minorEastAsia" w:eastAsiaTheme="minorEastAsia"/>
                      <w:kern w:val="0"/>
                      <w:sz w:val="21"/>
                      <w:szCs w:val="21"/>
                    </w:rPr>
                    <w:t>项目固化产生的有机废气</w:t>
                  </w:r>
                  <w:r>
                    <w:rPr>
                      <w:rFonts w:hint="eastAsia" w:hAnsiTheme="minorEastAsia" w:eastAsiaTheme="minorEastAsia"/>
                      <w:sz w:val="21"/>
                      <w:szCs w:val="21"/>
                      <w:lang w:val="en-US" w:eastAsia="zh-CN"/>
                    </w:rPr>
                    <w:t>采用</w:t>
                  </w:r>
                  <w:r>
                    <w:rPr>
                      <w:rFonts w:eastAsiaTheme="minorEastAsia"/>
                      <w:sz w:val="21"/>
                      <w:szCs w:val="21"/>
                    </w:rPr>
                    <w:t>“UV</w:t>
                  </w:r>
                  <w:r>
                    <w:rPr>
                      <w:rFonts w:hAnsiTheme="minorEastAsia" w:eastAsiaTheme="minorEastAsia"/>
                      <w:sz w:val="21"/>
                      <w:szCs w:val="21"/>
                    </w:rPr>
                    <w:t>光解</w:t>
                  </w:r>
                  <w:r>
                    <w:rPr>
                      <w:rFonts w:eastAsiaTheme="minorEastAsia"/>
                      <w:sz w:val="21"/>
                      <w:szCs w:val="21"/>
                    </w:rPr>
                    <w:t>+</w:t>
                  </w:r>
                  <w:r>
                    <w:rPr>
                      <w:rFonts w:hint="eastAsia" w:hAnsiTheme="minorEastAsia" w:eastAsiaTheme="minorEastAsia"/>
                      <w:sz w:val="21"/>
                      <w:szCs w:val="21"/>
                      <w:lang w:eastAsia="zh-CN"/>
                    </w:rPr>
                    <w:t>活性炭吸附</w:t>
                  </w:r>
                  <w:r>
                    <w:rPr>
                      <w:rFonts w:eastAsiaTheme="minorEastAsia"/>
                      <w:sz w:val="21"/>
                      <w:szCs w:val="21"/>
                    </w:rPr>
                    <w:t>”</w:t>
                  </w:r>
                  <w:r>
                    <w:rPr>
                      <w:rFonts w:hAnsiTheme="minorEastAsia" w:eastAsiaTheme="minorEastAsia"/>
                      <w:sz w:val="21"/>
                      <w:szCs w:val="21"/>
                    </w:rPr>
                    <w:t>处理后</w:t>
                  </w:r>
                  <w:r>
                    <w:rPr>
                      <w:rFonts w:hAnsiTheme="minorEastAsia" w:eastAsiaTheme="minorEastAsia"/>
                      <w:kern w:val="0"/>
                      <w:sz w:val="21"/>
                      <w:szCs w:val="21"/>
                    </w:rPr>
                    <w:t>通过</w:t>
                  </w:r>
                  <w:r>
                    <w:rPr>
                      <w:rFonts w:eastAsiaTheme="minorEastAsia"/>
                      <w:kern w:val="0"/>
                      <w:sz w:val="21"/>
                      <w:szCs w:val="21"/>
                    </w:rPr>
                    <w:t>15m</w:t>
                  </w:r>
                  <w:r>
                    <w:rPr>
                      <w:rFonts w:hAnsiTheme="minorEastAsia" w:eastAsiaTheme="minorEastAsia"/>
                      <w:kern w:val="0"/>
                      <w:sz w:val="21"/>
                      <w:szCs w:val="21"/>
                    </w:rPr>
                    <w:t>高排气筒排放</w:t>
                  </w:r>
                  <w:r>
                    <w:rPr>
                      <w:rFonts w:hAnsiTheme="minorEastAsia" w:eastAsiaTheme="minorEastAsia"/>
                      <w:sz w:val="21"/>
                      <w:szCs w:val="21"/>
                    </w:rPr>
                    <w:t>。</w:t>
                  </w:r>
                </w:p>
              </w:tc>
              <w:tc>
                <w:tcPr>
                  <w:tcW w:w="668"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Merge w:val="continue"/>
                  <w:vAlign w:val="center"/>
                </w:tcPr>
                <w:p>
                  <w:pPr>
                    <w:pStyle w:val="207"/>
                    <w:spacing w:line="240" w:lineRule="auto"/>
                    <w:rPr>
                      <w:rFonts w:eastAsiaTheme="minorEastAsia"/>
                      <w:b w:val="0"/>
                      <w:bCs w:val="0"/>
                      <w:sz w:val="21"/>
                      <w:szCs w:val="21"/>
                    </w:rPr>
                  </w:pPr>
                </w:p>
              </w:tc>
              <w:tc>
                <w:tcPr>
                  <w:tcW w:w="1163" w:type="dxa"/>
                  <w:vMerge w:val="continue"/>
                  <w:vAlign w:val="center"/>
                </w:tcPr>
                <w:p>
                  <w:pPr>
                    <w:pStyle w:val="207"/>
                    <w:spacing w:line="240" w:lineRule="auto"/>
                    <w:rPr>
                      <w:rFonts w:eastAsiaTheme="minorEastAsia"/>
                      <w:b w:val="0"/>
                      <w:bCs w:val="0"/>
                      <w:sz w:val="21"/>
                      <w:szCs w:val="21"/>
                    </w:rPr>
                  </w:pPr>
                </w:p>
              </w:tc>
              <w:tc>
                <w:tcPr>
                  <w:tcW w:w="3445"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rPr>
                    <w:t>鼓励企业采用多种技术的组合工艺，提高</w:t>
                  </w:r>
                  <w:r>
                    <w:rPr>
                      <w:rFonts w:eastAsiaTheme="minorEastAsia"/>
                      <w:sz w:val="21"/>
                      <w:szCs w:val="21"/>
                    </w:rPr>
                    <w:t>VOCs</w:t>
                  </w:r>
                  <w:r>
                    <w:rPr>
                      <w:rFonts w:hAnsiTheme="minorEastAsia" w:eastAsiaTheme="minorEastAsia"/>
                      <w:sz w:val="21"/>
                      <w:szCs w:val="21"/>
                    </w:rPr>
                    <w:t>治理效率。低浓度、大风量废气，宜采用沸石转轮吸附、活性炭吸附、减风增浓等浓缩技术，提高</w:t>
                  </w:r>
                  <w:r>
                    <w:rPr>
                      <w:rFonts w:eastAsiaTheme="minorEastAsia"/>
                      <w:sz w:val="21"/>
                      <w:szCs w:val="21"/>
                    </w:rPr>
                    <w:t>VOCs</w:t>
                  </w:r>
                  <w:r>
                    <w:rPr>
                      <w:rFonts w:hAnsiTheme="minorEastAsia" w:eastAsiaTheme="minorEastAsia"/>
                      <w:sz w:val="21"/>
                      <w:szCs w:val="21"/>
                    </w:rPr>
                    <w:t>浓度后净化处理；</w:t>
                  </w:r>
                </w:p>
              </w:tc>
              <w:tc>
                <w:tcPr>
                  <w:tcW w:w="2558" w:type="dxa"/>
                  <w:vMerge w:val="continue"/>
                  <w:vAlign w:val="center"/>
                </w:tcPr>
                <w:p>
                  <w:pPr>
                    <w:spacing w:line="240" w:lineRule="auto"/>
                    <w:ind w:firstLine="0" w:firstLineChars="0"/>
                    <w:rPr>
                      <w:rFonts w:eastAsiaTheme="minorEastAsia"/>
                      <w:sz w:val="21"/>
                      <w:szCs w:val="21"/>
                      <w:highlight w:val="yellow"/>
                    </w:rPr>
                  </w:pPr>
                </w:p>
              </w:tc>
              <w:tc>
                <w:tcPr>
                  <w:tcW w:w="668"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Merge w:val="continue"/>
                  <w:vAlign w:val="center"/>
                </w:tcPr>
                <w:p>
                  <w:pPr>
                    <w:pStyle w:val="207"/>
                    <w:spacing w:line="240" w:lineRule="auto"/>
                    <w:rPr>
                      <w:rFonts w:eastAsiaTheme="minorEastAsia"/>
                      <w:b w:val="0"/>
                      <w:bCs w:val="0"/>
                      <w:sz w:val="21"/>
                      <w:szCs w:val="21"/>
                    </w:rPr>
                  </w:pPr>
                </w:p>
              </w:tc>
              <w:tc>
                <w:tcPr>
                  <w:tcW w:w="1163" w:type="dxa"/>
                  <w:vMerge w:val="continue"/>
                  <w:vAlign w:val="center"/>
                </w:tcPr>
                <w:p>
                  <w:pPr>
                    <w:pStyle w:val="207"/>
                    <w:spacing w:line="240" w:lineRule="auto"/>
                    <w:rPr>
                      <w:rFonts w:eastAsiaTheme="minorEastAsia"/>
                      <w:b w:val="0"/>
                      <w:bCs w:val="0"/>
                      <w:sz w:val="21"/>
                      <w:szCs w:val="21"/>
                    </w:rPr>
                  </w:pPr>
                </w:p>
              </w:tc>
              <w:tc>
                <w:tcPr>
                  <w:tcW w:w="3445" w:type="dxa"/>
                  <w:vAlign w:val="center"/>
                </w:tcPr>
                <w:p>
                  <w:pPr>
                    <w:spacing w:line="240" w:lineRule="auto"/>
                    <w:ind w:firstLine="0" w:firstLineChars="0"/>
                    <w:rPr>
                      <w:rFonts w:eastAsiaTheme="minorEastAsia"/>
                      <w:sz w:val="21"/>
                      <w:szCs w:val="21"/>
                    </w:rPr>
                  </w:pPr>
                  <w:r>
                    <w:rPr>
                      <w:rFonts w:hAnsiTheme="minorEastAsia" w:eastAsiaTheme="minorEastAsia"/>
                      <w:sz w:val="21"/>
                      <w:szCs w:val="21"/>
                    </w:rPr>
                    <w:t>加大汽车、家具、集装箱、电子产品、工程机械等行业</w:t>
                  </w:r>
                  <w:r>
                    <w:rPr>
                      <w:rFonts w:eastAsiaTheme="minorEastAsia"/>
                      <w:sz w:val="21"/>
                      <w:szCs w:val="21"/>
                    </w:rPr>
                    <w:t>VOCs</w:t>
                  </w:r>
                  <w:r>
                    <w:rPr>
                      <w:rFonts w:hAnsiTheme="minorEastAsia" w:eastAsiaTheme="minorEastAsia"/>
                      <w:sz w:val="21"/>
                      <w:szCs w:val="21"/>
                    </w:rPr>
                    <w:t>治理力度，重点区域应结合本地产业特征，加快实施其他行业涂装</w:t>
                  </w:r>
                  <w:r>
                    <w:rPr>
                      <w:rFonts w:eastAsiaTheme="minorEastAsia"/>
                      <w:sz w:val="21"/>
                      <w:szCs w:val="21"/>
                    </w:rPr>
                    <w:t>VOCs</w:t>
                  </w:r>
                  <w:r>
                    <w:rPr>
                      <w:rFonts w:hAnsiTheme="minorEastAsia" w:eastAsiaTheme="minorEastAsia"/>
                      <w:sz w:val="21"/>
                      <w:szCs w:val="21"/>
                    </w:rPr>
                    <w:t>综合治理。</w:t>
                  </w:r>
                </w:p>
              </w:tc>
              <w:tc>
                <w:tcPr>
                  <w:tcW w:w="2558" w:type="dxa"/>
                  <w:vMerge w:val="continue"/>
                  <w:vAlign w:val="center"/>
                </w:tcPr>
                <w:p>
                  <w:pPr>
                    <w:spacing w:line="240" w:lineRule="auto"/>
                    <w:ind w:firstLine="0" w:firstLineChars="0"/>
                    <w:rPr>
                      <w:rFonts w:hint="eastAsia" w:eastAsiaTheme="minorEastAsia"/>
                      <w:sz w:val="21"/>
                      <w:szCs w:val="21"/>
                      <w:highlight w:val="yellow"/>
                      <w:lang w:eastAsia="zh-CN"/>
                    </w:rPr>
                  </w:pPr>
                </w:p>
              </w:tc>
              <w:tc>
                <w:tcPr>
                  <w:tcW w:w="668"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670" w:type="dxa"/>
                  <w:vMerge w:val="continue"/>
                  <w:vAlign w:val="center"/>
                </w:tcPr>
                <w:p>
                  <w:pPr>
                    <w:pStyle w:val="207"/>
                    <w:spacing w:line="240" w:lineRule="auto"/>
                    <w:rPr>
                      <w:rFonts w:eastAsiaTheme="minorEastAsia"/>
                      <w:b w:val="0"/>
                      <w:bCs w:val="0"/>
                      <w:sz w:val="21"/>
                      <w:szCs w:val="21"/>
                    </w:rPr>
                  </w:pPr>
                </w:p>
              </w:tc>
              <w:tc>
                <w:tcPr>
                  <w:tcW w:w="1163" w:type="dxa"/>
                  <w:vMerge w:val="continue"/>
                  <w:vAlign w:val="center"/>
                </w:tcPr>
                <w:p>
                  <w:pPr>
                    <w:pStyle w:val="207"/>
                    <w:spacing w:line="240" w:lineRule="auto"/>
                    <w:rPr>
                      <w:rFonts w:eastAsiaTheme="minorEastAsia"/>
                      <w:b w:val="0"/>
                      <w:bCs w:val="0"/>
                      <w:sz w:val="21"/>
                      <w:szCs w:val="21"/>
                    </w:rPr>
                  </w:pPr>
                </w:p>
              </w:tc>
              <w:tc>
                <w:tcPr>
                  <w:tcW w:w="3445" w:type="dxa"/>
                  <w:vAlign w:val="center"/>
                </w:tcPr>
                <w:p>
                  <w:pPr>
                    <w:spacing w:line="240" w:lineRule="auto"/>
                    <w:ind w:firstLine="0" w:firstLineChars="0"/>
                    <w:rPr>
                      <w:rFonts w:eastAsiaTheme="minorEastAsia"/>
                      <w:sz w:val="21"/>
                      <w:szCs w:val="21"/>
                    </w:rPr>
                  </w:pPr>
                  <w:r>
                    <w:rPr>
                      <w:rFonts w:hAnsiTheme="minorEastAsia" w:eastAsiaTheme="minorEastAsia"/>
                      <w:sz w:val="21"/>
                      <w:szCs w:val="21"/>
                    </w:rPr>
                    <w:t>加快推广紧凑式涂装工艺，先进涂装技术和设备。工程机械制造要提高室内涂装比例，鼓励采用自动喷涂、静电喷涂等技术。</w:t>
                  </w:r>
                </w:p>
              </w:tc>
              <w:tc>
                <w:tcPr>
                  <w:tcW w:w="2558" w:type="dxa"/>
                  <w:vAlign w:val="center"/>
                </w:tcPr>
                <w:p>
                  <w:pPr>
                    <w:spacing w:line="240" w:lineRule="auto"/>
                    <w:ind w:firstLine="0" w:firstLineChars="0"/>
                    <w:rPr>
                      <w:rFonts w:hint="eastAsia" w:eastAsiaTheme="minorEastAsia"/>
                      <w:sz w:val="21"/>
                      <w:szCs w:val="21"/>
                      <w:highlight w:val="yellow"/>
                      <w:lang w:eastAsia="zh-CN"/>
                    </w:rPr>
                  </w:pPr>
                  <w:r>
                    <w:rPr>
                      <w:rFonts w:hAnsiTheme="minorEastAsia" w:eastAsiaTheme="minorEastAsia"/>
                      <w:sz w:val="21"/>
                      <w:szCs w:val="21"/>
                    </w:rPr>
                    <w:t>项目采用</w:t>
                  </w:r>
                  <w:r>
                    <w:rPr>
                      <w:rFonts w:hAnsiTheme="minorEastAsia" w:eastAsiaTheme="minorEastAsia"/>
                      <w:kern w:val="0"/>
                      <w:sz w:val="21"/>
                      <w:szCs w:val="21"/>
                    </w:rPr>
                    <w:t>塑粉对金属表面采用静电喷涂</w:t>
                  </w:r>
                  <w:r>
                    <w:rPr>
                      <w:rFonts w:hint="eastAsia" w:hAnsiTheme="minorEastAsia" w:eastAsiaTheme="minorEastAsia"/>
                      <w:kern w:val="0"/>
                      <w:sz w:val="21"/>
                      <w:szCs w:val="21"/>
                      <w:lang w:eastAsia="zh-CN"/>
                    </w:rPr>
                    <w:t>。</w:t>
                  </w:r>
                </w:p>
              </w:tc>
              <w:tc>
                <w:tcPr>
                  <w:tcW w:w="668"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Align w:val="center"/>
                </w:tcPr>
                <w:p>
                  <w:pPr>
                    <w:spacing w:line="240" w:lineRule="auto"/>
                    <w:ind w:firstLine="0" w:firstLineChars="0"/>
                    <w:jc w:val="center"/>
                    <w:rPr>
                      <w:rFonts w:eastAsiaTheme="minorEastAsia"/>
                      <w:sz w:val="21"/>
                      <w:szCs w:val="21"/>
                    </w:rPr>
                  </w:pPr>
                  <w:r>
                    <w:rPr>
                      <w:rFonts w:hint="eastAsia" w:eastAsiaTheme="minorEastAsia"/>
                      <w:sz w:val="21"/>
                      <w:szCs w:val="21"/>
                      <w:lang w:val="zh-CN"/>
                    </w:rPr>
                    <w:t>4</w:t>
                  </w:r>
                </w:p>
              </w:tc>
              <w:tc>
                <w:tcPr>
                  <w:tcW w:w="1163"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西安市</w:t>
                  </w:r>
                  <w:r>
                    <w:rPr>
                      <w:rFonts w:eastAsiaTheme="minorEastAsia"/>
                      <w:sz w:val="21"/>
                      <w:szCs w:val="21"/>
                      <w:lang w:val="zh-CN"/>
                    </w:rPr>
                    <w:t>2018</w:t>
                  </w:r>
                  <w:r>
                    <w:rPr>
                      <w:rFonts w:hAnsiTheme="minorEastAsia" w:eastAsiaTheme="minorEastAsia"/>
                      <w:sz w:val="21"/>
                      <w:szCs w:val="21"/>
                      <w:lang w:val="zh-CN"/>
                    </w:rPr>
                    <w:t>年</w:t>
                  </w:r>
                  <w:r>
                    <w:rPr>
                      <w:rFonts w:eastAsiaTheme="minorEastAsia"/>
                      <w:sz w:val="21"/>
                      <w:szCs w:val="21"/>
                      <w:lang w:val="zh-CN"/>
                    </w:rPr>
                    <w:t>“</w:t>
                  </w:r>
                  <w:r>
                    <w:rPr>
                      <w:rFonts w:hAnsiTheme="minorEastAsia" w:eastAsiaTheme="minorEastAsia"/>
                      <w:sz w:val="21"/>
                      <w:szCs w:val="21"/>
                      <w:lang w:val="zh-CN"/>
                    </w:rPr>
                    <w:t>铁腕治霾</w:t>
                  </w:r>
                  <w:r>
                    <w:rPr>
                      <w:rFonts w:eastAsiaTheme="minorEastAsia"/>
                      <w:sz w:val="21"/>
                      <w:szCs w:val="21"/>
                      <w:lang w:val="zh-CN"/>
                    </w:rPr>
                    <w:t>▪</w:t>
                  </w:r>
                  <w:r>
                    <w:rPr>
                      <w:rFonts w:hAnsiTheme="minorEastAsia" w:eastAsiaTheme="minorEastAsia"/>
                      <w:sz w:val="21"/>
                      <w:szCs w:val="21"/>
                      <w:lang w:val="zh-CN"/>
                    </w:rPr>
                    <w:t>保卫蓝天</w:t>
                  </w:r>
                  <w:r>
                    <w:rPr>
                      <w:rFonts w:eastAsiaTheme="minorEastAsia"/>
                      <w:sz w:val="21"/>
                      <w:szCs w:val="21"/>
                      <w:lang w:val="zh-CN"/>
                    </w:rPr>
                    <w:t>”</w:t>
                  </w:r>
                  <w:r>
                    <w:rPr>
                      <w:rFonts w:hAnsiTheme="minorEastAsia" w:eastAsiaTheme="minorEastAsia"/>
                      <w:sz w:val="21"/>
                      <w:szCs w:val="21"/>
                      <w:lang w:val="zh-CN"/>
                    </w:rPr>
                    <w:t>挥发性有机物治理专项方案</w:t>
                  </w:r>
                </w:p>
              </w:tc>
              <w:tc>
                <w:tcPr>
                  <w:tcW w:w="3445" w:type="dxa"/>
                  <w:vAlign w:val="center"/>
                </w:tcPr>
                <w:p>
                  <w:pPr>
                    <w:spacing w:line="240" w:lineRule="auto"/>
                    <w:ind w:firstLine="0" w:firstLineChars="0"/>
                    <w:jc w:val="center"/>
                    <w:rPr>
                      <w:rFonts w:eastAsiaTheme="minorEastAsia"/>
                      <w:sz w:val="21"/>
                      <w:szCs w:val="21"/>
                      <w:lang w:val="zh-CN"/>
                    </w:rPr>
                  </w:pPr>
                  <w:r>
                    <w:rPr>
                      <w:rFonts w:hAnsiTheme="minorEastAsia" w:eastAsiaTheme="minorEastAsia"/>
                      <w:sz w:val="21"/>
                      <w:szCs w:val="21"/>
                      <w:lang w:val="zh-CN"/>
                    </w:rPr>
                    <w:t>（二）加大挥发性有机物源头削减力度</w:t>
                  </w:r>
                </w:p>
                <w:p>
                  <w:pPr>
                    <w:spacing w:line="240" w:lineRule="auto"/>
                    <w:ind w:firstLine="0" w:firstLineChars="0"/>
                    <w:jc w:val="center"/>
                    <w:rPr>
                      <w:rFonts w:eastAsiaTheme="minorEastAsia"/>
                      <w:sz w:val="21"/>
                      <w:szCs w:val="21"/>
                    </w:rPr>
                  </w:pPr>
                  <w:r>
                    <w:rPr>
                      <w:rFonts w:eastAsiaTheme="minorEastAsia"/>
                      <w:sz w:val="21"/>
                      <w:szCs w:val="21"/>
                      <w:lang w:val="zh-CN"/>
                    </w:rPr>
                    <w:t>3.</w:t>
                  </w:r>
                  <w:r>
                    <w:rPr>
                      <w:rFonts w:hAnsiTheme="minorEastAsia" w:eastAsiaTheme="minorEastAsia"/>
                      <w:sz w:val="21"/>
                      <w:szCs w:val="21"/>
                      <w:lang w:val="zh-CN"/>
                    </w:rPr>
                    <w:t>对农药、涂料、油墨、胶黏剂等行业实行原料替代，确保低</w:t>
                  </w:r>
                  <w:r>
                    <w:rPr>
                      <w:rFonts w:eastAsiaTheme="minorEastAsia"/>
                      <w:sz w:val="21"/>
                      <w:szCs w:val="21"/>
                      <w:lang w:val="zh-CN"/>
                    </w:rPr>
                    <w:t>VOCs</w:t>
                  </w:r>
                  <w:r>
                    <w:rPr>
                      <w:rFonts w:hAnsiTheme="minorEastAsia" w:eastAsiaTheme="minorEastAsia"/>
                      <w:sz w:val="21"/>
                      <w:szCs w:val="21"/>
                      <w:lang w:val="zh-CN"/>
                    </w:rPr>
                    <w:t>农药制剂、涂料、油墨、黏粘剂比例分别达到</w:t>
                  </w:r>
                  <w:r>
                    <w:rPr>
                      <w:rFonts w:eastAsiaTheme="minorEastAsia"/>
                      <w:sz w:val="21"/>
                      <w:szCs w:val="21"/>
                      <w:lang w:val="zh-CN"/>
                    </w:rPr>
                    <w:t>70%</w:t>
                  </w:r>
                  <w:r>
                    <w:rPr>
                      <w:rFonts w:hAnsiTheme="minorEastAsia" w:eastAsiaTheme="minorEastAsia"/>
                      <w:sz w:val="21"/>
                      <w:szCs w:val="21"/>
                      <w:lang w:val="zh-CN"/>
                    </w:rPr>
                    <w:t>、</w:t>
                  </w:r>
                  <w:r>
                    <w:rPr>
                      <w:rFonts w:eastAsiaTheme="minorEastAsia"/>
                      <w:sz w:val="21"/>
                      <w:szCs w:val="21"/>
                      <w:lang w:val="zh-CN"/>
                    </w:rPr>
                    <w:t>60%</w:t>
                  </w:r>
                  <w:r>
                    <w:rPr>
                      <w:rFonts w:hAnsiTheme="minorEastAsia" w:eastAsiaTheme="minorEastAsia"/>
                      <w:sz w:val="21"/>
                      <w:szCs w:val="21"/>
                      <w:lang w:val="zh-CN"/>
                    </w:rPr>
                    <w:t>、</w:t>
                  </w:r>
                  <w:r>
                    <w:rPr>
                      <w:rFonts w:eastAsiaTheme="minorEastAsia"/>
                      <w:sz w:val="21"/>
                      <w:szCs w:val="21"/>
                      <w:lang w:val="zh-CN"/>
                    </w:rPr>
                    <w:t>70%</w:t>
                  </w:r>
                  <w:r>
                    <w:rPr>
                      <w:rFonts w:hAnsiTheme="minorEastAsia" w:eastAsiaTheme="minorEastAsia"/>
                      <w:sz w:val="21"/>
                      <w:szCs w:val="21"/>
                      <w:lang w:val="zh-CN"/>
                    </w:rPr>
                    <w:t>、</w:t>
                  </w:r>
                  <w:r>
                    <w:rPr>
                      <w:rFonts w:eastAsiaTheme="minorEastAsia"/>
                      <w:sz w:val="21"/>
                      <w:szCs w:val="21"/>
                      <w:lang w:val="zh-CN"/>
                    </w:rPr>
                    <w:t>85%</w:t>
                  </w:r>
                  <w:r>
                    <w:rPr>
                      <w:rFonts w:hAnsiTheme="minorEastAsia" w:eastAsiaTheme="minorEastAsia"/>
                      <w:sz w:val="21"/>
                      <w:szCs w:val="21"/>
                      <w:lang w:val="zh-CN"/>
                    </w:rPr>
                    <w:t>以上。</w:t>
                  </w:r>
                </w:p>
              </w:tc>
              <w:tc>
                <w:tcPr>
                  <w:tcW w:w="255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本项目不属于生产和使用高</w:t>
                  </w:r>
                  <w:r>
                    <w:rPr>
                      <w:rFonts w:eastAsiaTheme="minorEastAsia"/>
                      <w:sz w:val="21"/>
                      <w:szCs w:val="21"/>
                      <w:lang w:val="zh-CN"/>
                    </w:rPr>
                    <w:t>VOCs</w:t>
                  </w:r>
                  <w:r>
                    <w:rPr>
                      <w:rFonts w:hAnsiTheme="minorEastAsia" w:eastAsiaTheme="minorEastAsia"/>
                      <w:sz w:val="21"/>
                      <w:szCs w:val="21"/>
                      <w:lang w:val="zh-CN"/>
                    </w:rPr>
                    <w:t>含量的溶剂型涂料、油墨、胶黏剂项目，有机废气通过</w:t>
                  </w:r>
                  <w:r>
                    <w:rPr>
                      <w:rFonts w:eastAsiaTheme="minorEastAsia"/>
                      <w:sz w:val="21"/>
                      <w:szCs w:val="21"/>
                    </w:rPr>
                    <w:t>“UV</w:t>
                  </w:r>
                  <w:r>
                    <w:rPr>
                      <w:rFonts w:hAnsiTheme="minorEastAsia" w:eastAsiaTheme="minorEastAsia"/>
                      <w:sz w:val="21"/>
                      <w:szCs w:val="21"/>
                    </w:rPr>
                    <w:t>光解</w:t>
                  </w:r>
                  <w:r>
                    <w:rPr>
                      <w:rFonts w:eastAsiaTheme="minorEastAsia"/>
                      <w:sz w:val="21"/>
                      <w:szCs w:val="21"/>
                    </w:rPr>
                    <w:t>+</w:t>
                  </w:r>
                  <w:r>
                    <w:rPr>
                      <w:rFonts w:hint="eastAsia" w:hAnsiTheme="minorEastAsia" w:eastAsiaTheme="minorEastAsia"/>
                      <w:sz w:val="21"/>
                      <w:szCs w:val="21"/>
                      <w:lang w:eastAsia="zh-CN"/>
                    </w:rPr>
                    <w:t>活性炭吸附</w:t>
                  </w:r>
                  <w:r>
                    <w:rPr>
                      <w:rFonts w:eastAsiaTheme="minorEastAsia"/>
                      <w:sz w:val="21"/>
                      <w:szCs w:val="21"/>
                    </w:rPr>
                    <w:t>”</w:t>
                  </w:r>
                  <w:r>
                    <w:rPr>
                      <w:rFonts w:eastAsiaTheme="minorEastAsia"/>
                      <w:sz w:val="21"/>
                      <w:szCs w:val="21"/>
                      <w:lang w:val="zh-CN"/>
                    </w:rPr>
                    <w:t xml:space="preserve">+ 15m </w:t>
                  </w:r>
                  <w:r>
                    <w:rPr>
                      <w:rFonts w:hAnsiTheme="minorEastAsia" w:eastAsiaTheme="minorEastAsia"/>
                      <w:sz w:val="21"/>
                      <w:szCs w:val="21"/>
                      <w:lang w:val="zh-CN"/>
                    </w:rPr>
                    <w:t>高的排气筒达标排放。</w:t>
                  </w:r>
                </w:p>
              </w:tc>
              <w:tc>
                <w:tcPr>
                  <w:tcW w:w="66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Merge w:val="restart"/>
                  <w:vAlign w:val="center"/>
                </w:tcPr>
                <w:p>
                  <w:pPr>
                    <w:spacing w:line="240" w:lineRule="auto"/>
                    <w:ind w:firstLine="0" w:firstLineChars="0"/>
                    <w:jc w:val="center"/>
                    <w:rPr>
                      <w:rFonts w:eastAsiaTheme="minorEastAsia"/>
                      <w:sz w:val="21"/>
                      <w:szCs w:val="21"/>
                    </w:rPr>
                  </w:pPr>
                  <w:r>
                    <w:rPr>
                      <w:rFonts w:hint="eastAsia" w:eastAsiaTheme="minorEastAsia"/>
                      <w:sz w:val="21"/>
                      <w:szCs w:val="21"/>
                      <w:lang w:val="zh-CN"/>
                    </w:rPr>
                    <w:t>5</w:t>
                  </w:r>
                </w:p>
              </w:tc>
              <w:tc>
                <w:tcPr>
                  <w:tcW w:w="1163" w:type="dxa"/>
                  <w:vMerge w:val="restart"/>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《陕西省铁腕治霾打赢蓝天保卫战三年行动计划（</w:t>
                  </w:r>
                  <w:r>
                    <w:rPr>
                      <w:rFonts w:eastAsiaTheme="minorEastAsia"/>
                      <w:sz w:val="21"/>
                      <w:szCs w:val="21"/>
                      <w:lang w:val="zh-CN"/>
                    </w:rPr>
                    <w:t xml:space="preserve">2018-2020 </w:t>
                  </w:r>
                  <w:r>
                    <w:rPr>
                      <w:rFonts w:hAnsiTheme="minorEastAsia" w:eastAsiaTheme="minorEastAsia"/>
                      <w:sz w:val="21"/>
                      <w:szCs w:val="21"/>
                      <w:lang w:val="zh-CN"/>
                    </w:rPr>
                    <w:t>年）（修订版）》</w:t>
                  </w:r>
                </w:p>
              </w:tc>
              <w:tc>
                <w:tcPr>
                  <w:tcW w:w="3445"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（九）推进重点行业污染治理升级改造。关中地区二氧化硫、氮氧化物、颗粒物、挥发性有机物（</w:t>
                  </w:r>
                  <w:r>
                    <w:rPr>
                      <w:rFonts w:eastAsiaTheme="minorEastAsia"/>
                      <w:sz w:val="21"/>
                      <w:szCs w:val="21"/>
                      <w:lang w:val="zh-CN"/>
                    </w:rPr>
                    <w:t>VOCs</w:t>
                  </w:r>
                  <w:r>
                    <w:rPr>
                      <w:rFonts w:hAnsiTheme="minorEastAsia" w:eastAsiaTheme="minorEastAsia"/>
                      <w:sz w:val="21"/>
                      <w:szCs w:val="21"/>
                      <w:lang w:val="zh-CN"/>
                    </w:rPr>
                    <w:t>）全面执行大气污染物特别排放限值。</w:t>
                  </w:r>
                </w:p>
              </w:tc>
              <w:tc>
                <w:tcPr>
                  <w:tcW w:w="255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本项目有机废气采用的</w:t>
                  </w:r>
                  <w:r>
                    <w:rPr>
                      <w:rFonts w:eastAsiaTheme="minorEastAsia"/>
                      <w:sz w:val="21"/>
                      <w:szCs w:val="21"/>
                    </w:rPr>
                    <w:t>“UV</w:t>
                  </w:r>
                  <w:r>
                    <w:rPr>
                      <w:rFonts w:hAnsiTheme="minorEastAsia" w:eastAsiaTheme="minorEastAsia"/>
                      <w:sz w:val="21"/>
                      <w:szCs w:val="21"/>
                    </w:rPr>
                    <w:t>光解</w:t>
                  </w:r>
                  <w:r>
                    <w:rPr>
                      <w:rFonts w:eastAsiaTheme="minorEastAsia"/>
                      <w:sz w:val="21"/>
                      <w:szCs w:val="21"/>
                    </w:rPr>
                    <w:t>+</w:t>
                  </w:r>
                  <w:r>
                    <w:rPr>
                      <w:rFonts w:hint="eastAsia" w:hAnsiTheme="minorEastAsia" w:eastAsiaTheme="minorEastAsia"/>
                      <w:sz w:val="21"/>
                      <w:szCs w:val="21"/>
                      <w:lang w:eastAsia="zh-CN"/>
                    </w:rPr>
                    <w:t>活性炭吸附</w:t>
                  </w:r>
                  <w:r>
                    <w:rPr>
                      <w:rFonts w:eastAsiaTheme="minorEastAsia"/>
                      <w:sz w:val="21"/>
                      <w:szCs w:val="21"/>
                    </w:rPr>
                    <w:t>”</w:t>
                  </w:r>
                  <w:r>
                    <w:rPr>
                      <w:rFonts w:hAnsiTheme="minorEastAsia" w:eastAsiaTheme="minorEastAsia"/>
                      <w:sz w:val="21"/>
                      <w:szCs w:val="21"/>
                      <w:lang w:val="zh-CN"/>
                    </w:rPr>
                    <w:t>处理后达标排放</w:t>
                  </w:r>
                  <w:r>
                    <w:rPr>
                      <w:rFonts w:hint="eastAsia" w:hAnsiTheme="minorEastAsia" w:eastAsiaTheme="minorEastAsia"/>
                      <w:sz w:val="21"/>
                      <w:szCs w:val="21"/>
                      <w:lang w:val="zh-CN"/>
                    </w:rPr>
                    <w:t>。</w:t>
                  </w:r>
                </w:p>
              </w:tc>
              <w:tc>
                <w:tcPr>
                  <w:tcW w:w="66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670" w:type="dxa"/>
                  <w:vMerge w:val="continue"/>
                  <w:vAlign w:val="center"/>
                </w:tcPr>
                <w:p>
                  <w:pPr>
                    <w:pStyle w:val="207"/>
                    <w:spacing w:line="240" w:lineRule="auto"/>
                    <w:rPr>
                      <w:rFonts w:eastAsiaTheme="minorEastAsia"/>
                      <w:b w:val="0"/>
                      <w:bCs w:val="0"/>
                      <w:sz w:val="21"/>
                      <w:szCs w:val="21"/>
                    </w:rPr>
                  </w:pPr>
                </w:p>
              </w:tc>
              <w:tc>
                <w:tcPr>
                  <w:tcW w:w="1163" w:type="dxa"/>
                  <w:vMerge w:val="continue"/>
                  <w:vAlign w:val="center"/>
                </w:tcPr>
                <w:p>
                  <w:pPr>
                    <w:pStyle w:val="207"/>
                    <w:spacing w:line="240" w:lineRule="auto"/>
                    <w:rPr>
                      <w:rFonts w:eastAsiaTheme="minorEastAsia"/>
                      <w:b w:val="0"/>
                      <w:bCs w:val="0"/>
                      <w:sz w:val="21"/>
                      <w:szCs w:val="21"/>
                    </w:rPr>
                  </w:pPr>
                </w:p>
              </w:tc>
              <w:tc>
                <w:tcPr>
                  <w:tcW w:w="3445"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严控</w:t>
                  </w:r>
                  <w:r>
                    <w:rPr>
                      <w:rFonts w:eastAsiaTheme="minorEastAsia"/>
                      <w:sz w:val="21"/>
                      <w:szCs w:val="21"/>
                      <w:lang w:val="zh-CN"/>
                    </w:rPr>
                    <w:t>“</w:t>
                  </w:r>
                  <w:r>
                    <w:rPr>
                      <w:rFonts w:hAnsiTheme="minorEastAsia" w:eastAsiaTheme="minorEastAsia"/>
                      <w:sz w:val="21"/>
                      <w:szCs w:val="21"/>
                      <w:lang w:val="zh-CN"/>
                    </w:rPr>
                    <w:t>两高</w:t>
                  </w:r>
                  <w:r>
                    <w:rPr>
                      <w:rFonts w:eastAsiaTheme="minorEastAsia"/>
                      <w:sz w:val="21"/>
                      <w:szCs w:val="21"/>
                      <w:lang w:val="zh-CN"/>
                    </w:rPr>
                    <w:t>”</w:t>
                  </w:r>
                  <w:r>
                    <w:rPr>
                      <w:rFonts w:hAnsiTheme="minorEastAsia" w:eastAsiaTheme="minorEastAsia"/>
                      <w:sz w:val="21"/>
                      <w:szCs w:val="21"/>
                      <w:lang w:val="zh-CN"/>
                    </w:rPr>
                    <w:t>行业产能。制订关中地区高耗能、高排放行业企业退出工作方案，加快城市建成区重污染企业搬迁改造或关闭退出，各地已确定的退城企业，要明确时间表，逾期不退城的予以停产。</w:t>
                  </w:r>
                </w:p>
              </w:tc>
              <w:tc>
                <w:tcPr>
                  <w:tcW w:w="255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本项目不</w:t>
                  </w:r>
                  <w:r>
                    <w:rPr>
                      <w:rFonts w:hAnsiTheme="minorEastAsia" w:eastAsiaTheme="minorEastAsia"/>
                      <w:sz w:val="21"/>
                      <w:szCs w:val="21"/>
                    </w:rPr>
                    <w:t>属于</w:t>
                  </w:r>
                  <w:r>
                    <w:rPr>
                      <w:rFonts w:hAnsiTheme="minorEastAsia" w:eastAsiaTheme="minorEastAsia"/>
                      <w:sz w:val="21"/>
                      <w:szCs w:val="21"/>
                      <w:lang w:val="zh-CN"/>
                    </w:rPr>
                    <w:t>高耗能、高排放的行业。项目工艺各工序污染源采取相应的污染控制措施后，均可实现达标排放。</w:t>
                  </w:r>
                </w:p>
              </w:tc>
              <w:tc>
                <w:tcPr>
                  <w:tcW w:w="66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Merge w:val="restart"/>
                  <w:vAlign w:val="center"/>
                </w:tcPr>
                <w:p>
                  <w:pPr>
                    <w:spacing w:line="240" w:lineRule="auto"/>
                    <w:ind w:firstLine="0" w:firstLineChars="0"/>
                    <w:jc w:val="center"/>
                    <w:rPr>
                      <w:rFonts w:eastAsiaTheme="minorEastAsia"/>
                      <w:sz w:val="21"/>
                      <w:szCs w:val="21"/>
                    </w:rPr>
                  </w:pPr>
                  <w:r>
                    <w:rPr>
                      <w:rFonts w:hint="eastAsia" w:eastAsiaTheme="minorEastAsia"/>
                      <w:sz w:val="21"/>
                      <w:szCs w:val="21"/>
                      <w:lang w:val="zh-CN"/>
                    </w:rPr>
                    <w:t>6</w:t>
                  </w:r>
                </w:p>
              </w:tc>
              <w:tc>
                <w:tcPr>
                  <w:tcW w:w="1163" w:type="dxa"/>
                  <w:vMerge w:val="restart"/>
                  <w:vAlign w:val="center"/>
                </w:tcPr>
                <w:p>
                  <w:pPr>
                    <w:spacing w:line="240" w:lineRule="auto"/>
                    <w:ind w:firstLine="0" w:firstLineChars="0"/>
                    <w:jc w:val="center"/>
                    <w:rPr>
                      <w:rFonts w:eastAsiaTheme="minorEastAsia"/>
                      <w:sz w:val="21"/>
                      <w:szCs w:val="21"/>
                    </w:rPr>
                  </w:pPr>
                  <w:r>
                    <w:rPr>
                      <w:rFonts w:hAnsiTheme="minorEastAsia" w:eastAsiaTheme="minorEastAsia"/>
                      <w:kern w:val="0"/>
                      <w:sz w:val="21"/>
                      <w:szCs w:val="21"/>
                    </w:rPr>
                    <w:t>《</w:t>
                  </w:r>
                  <w:r>
                    <w:rPr>
                      <w:rFonts w:hAnsiTheme="minorEastAsia" w:eastAsiaTheme="minorEastAsia"/>
                      <w:bCs/>
                      <w:sz w:val="21"/>
                      <w:szCs w:val="21"/>
                    </w:rPr>
                    <w:t>西安市</w:t>
                  </w:r>
                  <w:r>
                    <w:rPr>
                      <w:rFonts w:eastAsiaTheme="minorEastAsia"/>
                      <w:bCs/>
                      <w:sz w:val="21"/>
                      <w:szCs w:val="21"/>
                    </w:rPr>
                    <w:t>2019</w:t>
                  </w:r>
                  <w:r>
                    <w:rPr>
                      <w:rFonts w:hAnsiTheme="minorEastAsia" w:eastAsiaTheme="minorEastAsia"/>
                      <w:bCs/>
                      <w:sz w:val="21"/>
                      <w:szCs w:val="21"/>
                    </w:rPr>
                    <w:t>年挥发性有机物污染治理专项方案</w:t>
                  </w:r>
                  <w:r>
                    <w:rPr>
                      <w:rFonts w:hAnsiTheme="minorEastAsia" w:eastAsiaTheme="minorEastAsia"/>
                      <w:kern w:val="0"/>
                      <w:sz w:val="21"/>
                      <w:szCs w:val="21"/>
                    </w:rPr>
                    <w:t>》</w:t>
                  </w:r>
                </w:p>
              </w:tc>
              <w:tc>
                <w:tcPr>
                  <w:tcW w:w="3445"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rPr>
                    <w:t>严格建设项目环境准入。提高涉</w:t>
                  </w:r>
                  <w:r>
                    <w:rPr>
                      <w:rFonts w:eastAsiaTheme="minorEastAsia"/>
                      <w:sz w:val="21"/>
                      <w:szCs w:val="21"/>
                    </w:rPr>
                    <w:t>VOCs</w:t>
                  </w:r>
                  <w:r>
                    <w:rPr>
                      <w:rFonts w:hAnsiTheme="minorEastAsia" w:eastAsiaTheme="minorEastAsia"/>
                      <w:sz w:val="21"/>
                      <w:szCs w:val="21"/>
                    </w:rPr>
                    <w:t>企业准入门槛，禁止新建、扩建燃煤发电、燃煤热电联产、燃煤集中供热、石油化工、煤化工、水泥和焦化等高污染项目；禁止建设，生产和使用高</w:t>
                  </w:r>
                  <w:r>
                    <w:rPr>
                      <w:rFonts w:eastAsiaTheme="minorEastAsia"/>
                      <w:sz w:val="21"/>
                      <w:szCs w:val="21"/>
                    </w:rPr>
                    <w:t>VOCs</w:t>
                  </w:r>
                  <w:r>
                    <w:rPr>
                      <w:rFonts w:hAnsiTheme="minorEastAsia" w:eastAsiaTheme="minorEastAsia"/>
                      <w:sz w:val="21"/>
                      <w:szCs w:val="21"/>
                    </w:rPr>
                    <w:t>含量的溶剂型涂料、油墨、胶粘剂等项目。其他涉</w:t>
                  </w:r>
                  <w:r>
                    <w:rPr>
                      <w:rFonts w:eastAsiaTheme="minorEastAsia"/>
                      <w:sz w:val="21"/>
                      <w:szCs w:val="21"/>
                    </w:rPr>
                    <w:t>VOCs</w:t>
                  </w:r>
                  <w:r>
                    <w:rPr>
                      <w:rFonts w:hAnsiTheme="minorEastAsia" w:eastAsiaTheme="minorEastAsia"/>
                      <w:sz w:val="21"/>
                      <w:szCs w:val="21"/>
                    </w:rPr>
                    <w:t>项目必须使用低</w:t>
                  </w:r>
                  <w:r>
                    <w:rPr>
                      <w:rFonts w:eastAsiaTheme="minorEastAsia"/>
                      <w:sz w:val="21"/>
                      <w:szCs w:val="21"/>
                    </w:rPr>
                    <w:t>VOCs</w:t>
                  </w:r>
                  <w:r>
                    <w:rPr>
                      <w:rFonts w:hAnsiTheme="minorEastAsia" w:eastAsiaTheme="minorEastAsia"/>
                      <w:sz w:val="21"/>
                      <w:szCs w:val="21"/>
                    </w:rPr>
                    <w:t>含量的环保型涂料、油墨、胶粘剂、稀释剂等。严格控制新增</w:t>
                  </w:r>
                  <w:r>
                    <w:rPr>
                      <w:rFonts w:eastAsiaTheme="minorEastAsia"/>
                      <w:sz w:val="21"/>
                      <w:szCs w:val="21"/>
                    </w:rPr>
                    <w:t>VOCs</w:t>
                  </w:r>
                  <w:r>
                    <w:rPr>
                      <w:rFonts w:hAnsiTheme="minorEastAsia" w:eastAsiaTheme="minorEastAsia"/>
                      <w:sz w:val="21"/>
                      <w:szCs w:val="21"/>
                    </w:rPr>
                    <w:t>排放量，加强</w:t>
                  </w:r>
                  <w:r>
                    <w:rPr>
                      <w:rFonts w:eastAsiaTheme="minorEastAsia"/>
                      <w:sz w:val="21"/>
                      <w:szCs w:val="21"/>
                    </w:rPr>
                    <w:t>VOCs</w:t>
                  </w:r>
                  <w:r>
                    <w:rPr>
                      <w:rFonts w:hAnsiTheme="minorEastAsia" w:eastAsiaTheme="minorEastAsia"/>
                      <w:sz w:val="21"/>
                      <w:szCs w:val="21"/>
                    </w:rPr>
                    <w:t>项目废气收集，安装高效治理设施。</w:t>
                  </w:r>
                </w:p>
              </w:tc>
              <w:tc>
                <w:tcPr>
                  <w:tcW w:w="2558" w:type="dxa"/>
                  <w:vAlign w:val="center"/>
                </w:tcPr>
                <w:p>
                  <w:pPr>
                    <w:spacing w:line="240" w:lineRule="auto"/>
                    <w:ind w:firstLine="0" w:firstLineChars="0"/>
                    <w:jc w:val="center"/>
                    <w:rPr>
                      <w:rFonts w:eastAsiaTheme="minorEastAsia"/>
                      <w:sz w:val="21"/>
                      <w:szCs w:val="21"/>
                    </w:rPr>
                  </w:pPr>
                  <w:r>
                    <w:rPr>
                      <w:rFonts w:hAnsiTheme="minorEastAsia" w:eastAsiaTheme="minorEastAsia"/>
                      <w:kern w:val="0"/>
                      <w:sz w:val="21"/>
                      <w:szCs w:val="21"/>
                    </w:rPr>
                    <w:t>本项目不属于高污染类项目，项目固化工程产生的有机废气</w:t>
                  </w:r>
                  <w:r>
                    <w:rPr>
                      <w:rFonts w:hAnsiTheme="minorEastAsia" w:eastAsiaTheme="minorEastAsia"/>
                      <w:sz w:val="21"/>
                      <w:szCs w:val="21"/>
                    </w:rPr>
                    <w:t>经设备上方设置的集气罩收集后引致</w:t>
                  </w:r>
                  <w:r>
                    <w:rPr>
                      <w:rFonts w:eastAsiaTheme="minorEastAsia"/>
                      <w:sz w:val="21"/>
                      <w:szCs w:val="21"/>
                    </w:rPr>
                    <w:t>“UV</w:t>
                  </w:r>
                  <w:r>
                    <w:rPr>
                      <w:rFonts w:hAnsiTheme="minorEastAsia" w:eastAsiaTheme="minorEastAsia"/>
                      <w:sz w:val="21"/>
                      <w:szCs w:val="21"/>
                    </w:rPr>
                    <w:t>光解</w:t>
                  </w:r>
                  <w:r>
                    <w:rPr>
                      <w:rFonts w:eastAsiaTheme="minorEastAsia"/>
                      <w:sz w:val="21"/>
                      <w:szCs w:val="21"/>
                    </w:rPr>
                    <w:t>+</w:t>
                  </w:r>
                  <w:r>
                    <w:rPr>
                      <w:rFonts w:hint="eastAsia" w:hAnsiTheme="minorEastAsia" w:eastAsiaTheme="minorEastAsia"/>
                      <w:sz w:val="21"/>
                      <w:szCs w:val="21"/>
                      <w:lang w:eastAsia="zh-CN"/>
                    </w:rPr>
                    <w:t>活性炭吸附</w:t>
                  </w:r>
                  <w:r>
                    <w:rPr>
                      <w:rFonts w:eastAsiaTheme="minorEastAsia"/>
                      <w:sz w:val="21"/>
                      <w:szCs w:val="21"/>
                    </w:rPr>
                    <w:t>”</w:t>
                  </w:r>
                  <w:r>
                    <w:rPr>
                      <w:rFonts w:hAnsiTheme="minorEastAsia" w:eastAsiaTheme="minorEastAsia"/>
                      <w:sz w:val="21"/>
                      <w:szCs w:val="21"/>
                    </w:rPr>
                    <w:t>处理后</w:t>
                  </w:r>
                  <w:r>
                    <w:rPr>
                      <w:rFonts w:hAnsiTheme="minorEastAsia" w:eastAsiaTheme="minorEastAsia"/>
                      <w:kern w:val="0"/>
                      <w:sz w:val="21"/>
                      <w:szCs w:val="21"/>
                    </w:rPr>
                    <w:t>通过</w:t>
                  </w:r>
                  <w:r>
                    <w:rPr>
                      <w:rFonts w:eastAsiaTheme="minorEastAsia"/>
                      <w:kern w:val="0"/>
                      <w:sz w:val="21"/>
                      <w:szCs w:val="21"/>
                    </w:rPr>
                    <w:t>15m</w:t>
                  </w:r>
                  <w:r>
                    <w:rPr>
                      <w:rFonts w:hAnsiTheme="minorEastAsia" w:eastAsiaTheme="minorEastAsia"/>
                      <w:kern w:val="0"/>
                      <w:sz w:val="21"/>
                      <w:szCs w:val="21"/>
                    </w:rPr>
                    <w:t>高排气筒排放。</w:t>
                  </w:r>
                </w:p>
              </w:tc>
              <w:tc>
                <w:tcPr>
                  <w:tcW w:w="66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 w:type="dxa"/>
                  <w:vMerge w:val="continue"/>
                  <w:vAlign w:val="center"/>
                </w:tcPr>
                <w:p>
                  <w:pPr>
                    <w:pStyle w:val="207"/>
                    <w:spacing w:line="240" w:lineRule="auto"/>
                    <w:rPr>
                      <w:rFonts w:eastAsiaTheme="minorEastAsia"/>
                      <w:b w:val="0"/>
                      <w:bCs w:val="0"/>
                      <w:sz w:val="21"/>
                      <w:szCs w:val="21"/>
                    </w:rPr>
                  </w:pPr>
                </w:p>
              </w:tc>
              <w:tc>
                <w:tcPr>
                  <w:tcW w:w="1163" w:type="dxa"/>
                  <w:vMerge w:val="continue"/>
                  <w:vAlign w:val="center"/>
                </w:tcPr>
                <w:p>
                  <w:pPr>
                    <w:pStyle w:val="207"/>
                    <w:spacing w:line="240" w:lineRule="auto"/>
                    <w:rPr>
                      <w:rFonts w:eastAsiaTheme="minorEastAsia"/>
                      <w:b w:val="0"/>
                      <w:bCs w:val="0"/>
                      <w:sz w:val="21"/>
                      <w:szCs w:val="21"/>
                    </w:rPr>
                  </w:pPr>
                </w:p>
              </w:tc>
              <w:tc>
                <w:tcPr>
                  <w:tcW w:w="3445"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rPr>
                    <w:t>全面推进（汽车、木质家具、工程机械、钢结构、卷材、交通设备、电子、家用电器制造等）工业涂装、化工、包装印刷、制鞋、纺织印染、木材加工等行业</w:t>
                  </w:r>
                  <w:r>
                    <w:rPr>
                      <w:rFonts w:eastAsiaTheme="minorEastAsia"/>
                      <w:sz w:val="21"/>
                      <w:szCs w:val="21"/>
                    </w:rPr>
                    <w:t>VOCs</w:t>
                  </w:r>
                  <w:r>
                    <w:rPr>
                      <w:rFonts w:hAnsiTheme="minorEastAsia" w:eastAsiaTheme="minorEastAsia"/>
                      <w:sz w:val="21"/>
                      <w:szCs w:val="21"/>
                    </w:rPr>
                    <w:t>排放控制，</w:t>
                  </w:r>
                  <w:r>
                    <w:rPr>
                      <w:rFonts w:eastAsiaTheme="minorEastAsia"/>
                      <w:sz w:val="21"/>
                      <w:szCs w:val="21"/>
                    </w:rPr>
                    <w:t>5</w:t>
                  </w:r>
                  <w:r>
                    <w:rPr>
                      <w:rFonts w:hAnsiTheme="minorEastAsia" w:eastAsiaTheme="minorEastAsia"/>
                      <w:sz w:val="21"/>
                      <w:szCs w:val="21"/>
                    </w:rPr>
                    <w:t>月底前完成重点企业</w:t>
                  </w:r>
                  <w:r>
                    <w:rPr>
                      <w:rFonts w:eastAsiaTheme="minorEastAsia"/>
                      <w:sz w:val="21"/>
                      <w:szCs w:val="21"/>
                    </w:rPr>
                    <w:t>VOCs</w:t>
                  </w:r>
                  <w:r>
                    <w:rPr>
                      <w:rFonts w:hAnsiTheme="minorEastAsia" w:eastAsiaTheme="minorEastAsia"/>
                      <w:sz w:val="21"/>
                      <w:szCs w:val="21"/>
                    </w:rPr>
                    <w:t>废气收集处理，严格执行《陕西省挥发性有机物排放控制标准》（</w:t>
                  </w:r>
                  <w:r>
                    <w:rPr>
                      <w:rFonts w:eastAsiaTheme="minorEastAsia"/>
                      <w:sz w:val="21"/>
                      <w:szCs w:val="21"/>
                    </w:rPr>
                    <w:t>DB61/T1061-2017</w:t>
                  </w:r>
                  <w:r>
                    <w:rPr>
                      <w:rFonts w:hAnsiTheme="minorEastAsia" w:eastAsiaTheme="minorEastAsia"/>
                      <w:sz w:val="21"/>
                      <w:szCs w:val="21"/>
                    </w:rPr>
                    <w:t>），确保稳定达标排放。</w:t>
                  </w:r>
                </w:p>
              </w:tc>
              <w:tc>
                <w:tcPr>
                  <w:tcW w:w="2558" w:type="dxa"/>
                  <w:vAlign w:val="center"/>
                </w:tcPr>
                <w:p>
                  <w:pPr>
                    <w:spacing w:line="240" w:lineRule="auto"/>
                    <w:ind w:firstLine="0" w:firstLineChars="0"/>
                    <w:jc w:val="center"/>
                    <w:rPr>
                      <w:rFonts w:eastAsiaTheme="minorEastAsia"/>
                      <w:sz w:val="21"/>
                      <w:szCs w:val="21"/>
                    </w:rPr>
                  </w:pPr>
                  <w:r>
                    <w:rPr>
                      <w:rFonts w:hAnsiTheme="minorEastAsia" w:eastAsiaTheme="minorEastAsia"/>
                      <w:kern w:val="0"/>
                      <w:sz w:val="21"/>
                      <w:szCs w:val="21"/>
                    </w:rPr>
                    <w:t>项目固化产生的有机废气</w:t>
                  </w:r>
                  <w:r>
                    <w:rPr>
                      <w:rFonts w:hAnsiTheme="minorEastAsia" w:eastAsiaTheme="minorEastAsia"/>
                      <w:sz w:val="21"/>
                      <w:szCs w:val="21"/>
                    </w:rPr>
                    <w:t>经设备上方设置的集气罩收集后引至</w:t>
                  </w:r>
                  <w:r>
                    <w:rPr>
                      <w:rFonts w:eastAsiaTheme="minorEastAsia"/>
                      <w:sz w:val="21"/>
                      <w:szCs w:val="21"/>
                    </w:rPr>
                    <w:t>“UV</w:t>
                  </w:r>
                  <w:r>
                    <w:rPr>
                      <w:rFonts w:hAnsiTheme="minorEastAsia" w:eastAsiaTheme="minorEastAsia"/>
                      <w:sz w:val="21"/>
                      <w:szCs w:val="21"/>
                    </w:rPr>
                    <w:t>光解</w:t>
                  </w:r>
                  <w:r>
                    <w:rPr>
                      <w:rFonts w:eastAsiaTheme="minorEastAsia"/>
                      <w:sz w:val="21"/>
                      <w:szCs w:val="21"/>
                    </w:rPr>
                    <w:t>+</w:t>
                  </w:r>
                  <w:r>
                    <w:rPr>
                      <w:rFonts w:hint="eastAsia" w:hAnsiTheme="minorEastAsia" w:eastAsiaTheme="minorEastAsia"/>
                      <w:sz w:val="21"/>
                      <w:szCs w:val="21"/>
                      <w:lang w:eastAsia="zh-CN"/>
                    </w:rPr>
                    <w:t>活性炭吸附</w:t>
                  </w:r>
                  <w:r>
                    <w:rPr>
                      <w:rFonts w:eastAsiaTheme="minorEastAsia"/>
                      <w:sz w:val="21"/>
                      <w:szCs w:val="21"/>
                    </w:rPr>
                    <w:t>”</w:t>
                  </w:r>
                  <w:r>
                    <w:rPr>
                      <w:rFonts w:hAnsiTheme="minorEastAsia" w:eastAsiaTheme="minorEastAsia"/>
                      <w:sz w:val="21"/>
                      <w:szCs w:val="21"/>
                    </w:rPr>
                    <w:t>处理后</w:t>
                  </w:r>
                  <w:r>
                    <w:rPr>
                      <w:rFonts w:hAnsiTheme="minorEastAsia" w:eastAsiaTheme="minorEastAsia"/>
                      <w:kern w:val="0"/>
                      <w:sz w:val="21"/>
                      <w:szCs w:val="21"/>
                    </w:rPr>
                    <w:t>通过</w:t>
                  </w:r>
                  <w:r>
                    <w:rPr>
                      <w:rFonts w:eastAsiaTheme="minorEastAsia"/>
                      <w:kern w:val="0"/>
                      <w:sz w:val="21"/>
                      <w:szCs w:val="21"/>
                    </w:rPr>
                    <w:t>15m</w:t>
                  </w:r>
                  <w:r>
                    <w:rPr>
                      <w:rFonts w:hAnsiTheme="minorEastAsia" w:eastAsiaTheme="minorEastAsia"/>
                      <w:kern w:val="0"/>
                      <w:sz w:val="21"/>
                      <w:szCs w:val="21"/>
                    </w:rPr>
                    <w:t>高排气筒排放，能够满足</w:t>
                  </w:r>
                  <w:r>
                    <w:rPr>
                      <w:rFonts w:hAnsiTheme="minorEastAsia" w:eastAsiaTheme="minorEastAsia"/>
                      <w:sz w:val="21"/>
                      <w:szCs w:val="21"/>
                    </w:rPr>
                    <w:t>《陕西省挥发性有机物排放控制标准》（</w:t>
                  </w:r>
                  <w:r>
                    <w:rPr>
                      <w:rFonts w:eastAsiaTheme="minorEastAsia"/>
                      <w:sz w:val="21"/>
                      <w:szCs w:val="21"/>
                    </w:rPr>
                    <w:t>DB61/T1061-2017</w:t>
                  </w:r>
                  <w:r>
                    <w:rPr>
                      <w:rFonts w:hAnsiTheme="minorEastAsia" w:eastAsiaTheme="minorEastAsia"/>
                      <w:sz w:val="21"/>
                      <w:szCs w:val="21"/>
                    </w:rPr>
                    <w:t>）。</w:t>
                  </w:r>
                </w:p>
              </w:tc>
              <w:tc>
                <w:tcPr>
                  <w:tcW w:w="668" w:type="dxa"/>
                  <w:vAlign w:val="center"/>
                </w:tcPr>
                <w:p>
                  <w:pPr>
                    <w:spacing w:line="240" w:lineRule="auto"/>
                    <w:ind w:firstLine="0" w:firstLineChars="0"/>
                    <w:jc w:val="center"/>
                    <w:rPr>
                      <w:rFonts w:eastAsiaTheme="minorEastAsia"/>
                      <w:sz w:val="21"/>
                      <w:szCs w:val="21"/>
                    </w:rPr>
                  </w:pPr>
                  <w:r>
                    <w:rPr>
                      <w:rFonts w:hAnsiTheme="minorEastAsia" w:eastAsiaTheme="minorEastAsia"/>
                      <w:sz w:val="21"/>
                      <w:szCs w:val="21"/>
                      <w:lang w:val="zh-CN"/>
                    </w:rPr>
                    <w:t>符合</w:t>
                  </w:r>
                </w:p>
              </w:tc>
            </w:tr>
          </w:tbl>
          <w:p>
            <w:pPr>
              <w:spacing w:line="480" w:lineRule="exact"/>
              <w:ind w:firstLine="482"/>
            </w:pPr>
            <w:r>
              <w:rPr>
                <w:rFonts w:hint="eastAsia" w:ascii="宋体" w:hAnsi="宋体" w:cs="宋体"/>
                <w:b/>
                <w:lang w:val="en-US" w:eastAsia="zh-CN"/>
              </w:rPr>
              <w:t>3</w:t>
            </w:r>
            <w:r>
              <w:rPr>
                <w:rFonts w:hint="eastAsia" w:ascii="宋体" w:hAnsi="宋体" w:cs="宋体"/>
                <w:b/>
              </w:rPr>
              <w:t>、选址合理性</w:t>
            </w:r>
          </w:p>
          <w:p>
            <w:pPr>
              <w:autoSpaceDE w:val="0"/>
              <w:autoSpaceDN w:val="0"/>
              <w:adjustRightInd w:val="0"/>
              <w:ind w:firstLine="480"/>
              <w:jc w:val="left"/>
            </w:pPr>
            <w:r>
              <w:rPr>
                <w:rFonts w:hint="eastAsia"/>
              </w:rPr>
              <w:t>本项目选址于</w:t>
            </w:r>
            <w:r>
              <w:rPr>
                <w:rFonts w:eastAsiaTheme="minorEastAsia"/>
                <w:lang w:val="zh-CN"/>
              </w:rPr>
              <w:t>西安市灞桥区狄寨街道夏寨村南3号</w:t>
            </w:r>
            <w:r>
              <w:rPr>
                <w:rFonts w:hint="eastAsia" w:eastAsiaTheme="minorEastAsia"/>
                <w:lang w:val="zh-CN"/>
              </w:rPr>
              <w:t>，</w:t>
            </w:r>
            <w:r>
              <w:rPr>
                <w:rFonts w:hint="eastAsia"/>
              </w:rPr>
              <w:t>租用西安市灞桥区狄寨街道办夏寨村委会工矿用地（租赁合同见附件</w:t>
            </w:r>
            <w:r>
              <w:rPr>
                <w:rFonts w:hint="eastAsia"/>
                <w:lang w:val="en-US" w:eastAsia="zh-CN"/>
              </w:rPr>
              <w:t>4</w:t>
            </w:r>
            <w:r>
              <w:rPr>
                <w:rFonts w:hint="eastAsia"/>
              </w:rPr>
              <w:t>）</w:t>
            </w:r>
            <w:r>
              <w:t>，因此项目的建设符合国家土地利用政策的要求。</w:t>
            </w:r>
          </w:p>
          <w:p>
            <w:pPr>
              <w:autoSpaceDE w:val="0"/>
              <w:autoSpaceDN w:val="0"/>
              <w:adjustRightInd w:val="0"/>
              <w:ind w:left="0" w:leftChars="0" w:firstLine="0" w:firstLineChars="0"/>
              <w:jc w:val="left"/>
              <w:rPr>
                <w:rFonts w:hint="eastAsia"/>
              </w:rPr>
            </w:pPr>
            <w:r>
              <w:rPr>
                <w:rFonts w:hint="eastAsia"/>
                <w:color w:val="000000" w:themeColor="text1"/>
              </w:rPr>
              <w:t>根据现场勘查，厂区地势平坦，地理位置优越，东侧为农田，南侧为农田，西侧为家具加工厂，北侧为农田</w:t>
            </w:r>
            <w:r>
              <w:rPr>
                <w:rFonts w:hint="eastAsia"/>
                <w:color w:val="000000" w:themeColor="text1"/>
                <w:lang w:eastAsia="zh-CN"/>
              </w:rPr>
              <w:t>，</w:t>
            </w:r>
            <w:r>
              <w:rPr>
                <w:rFonts w:hint="eastAsia"/>
                <w:color w:val="000000" w:themeColor="text1"/>
              </w:rPr>
              <w:t>基础设施完善。</w:t>
            </w:r>
            <w:r>
              <w:t>对照国土资源部国家发展和改革委员会关于发布实施的《限制用地项目目录（2012年本）》和《禁止用地项目目录（2012年本）》可知，本项目用地不在限制和禁止用地范围内。</w:t>
            </w:r>
          </w:p>
          <w:p>
            <w:pPr>
              <w:widowControl/>
              <w:snapToGrid w:val="0"/>
              <w:ind w:firstLine="480"/>
              <w:jc w:val="left"/>
              <w:rPr>
                <w:color w:val="000000" w:themeColor="text1"/>
              </w:rPr>
            </w:pPr>
            <w:r>
              <w:rPr>
                <w:rFonts w:hint="eastAsia"/>
                <w:color w:val="000000" w:themeColor="text1"/>
              </w:rPr>
              <w:t>项目运营期间产生的各类污染物经采取有效的治理措施后，均能达标排放，对外环境的影响较小。建设单位承诺，当项目选址、布局、规模等不符合相关法定规划时，企业自愿搬迁。因此，环境保护角度来看，本项目选址合理可行。</w:t>
            </w:r>
          </w:p>
          <w:p>
            <w:pPr>
              <w:ind w:firstLine="0" w:firstLineChars="0"/>
              <w:rPr>
                <w:b/>
                <w:sz w:val="28"/>
              </w:rPr>
            </w:pPr>
            <w:r>
              <w:rPr>
                <w:rFonts w:hint="eastAsia"/>
                <w:b/>
                <w:sz w:val="28"/>
              </w:rPr>
              <w:t>三、</w:t>
            </w:r>
            <w:r>
              <w:rPr>
                <w:b/>
                <w:sz w:val="28"/>
              </w:rPr>
              <w:t>工程内容及建设规模</w:t>
            </w:r>
          </w:p>
          <w:p>
            <w:pPr>
              <w:ind w:firstLine="480"/>
            </w:pPr>
            <w:r>
              <w:rPr>
                <w:rFonts w:hint="eastAsia"/>
              </w:rPr>
              <w:t>1、</w:t>
            </w:r>
            <w:r>
              <w:t>项目基本概况</w:t>
            </w:r>
          </w:p>
          <w:p>
            <w:pPr>
              <w:ind w:firstLine="480"/>
            </w:pPr>
            <w:r>
              <w:t>项目名称：</w:t>
            </w:r>
            <w:r>
              <w:rPr>
                <w:rFonts w:hint="eastAsia" w:eastAsiaTheme="minorEastAsia"/>
                <w:lang w:val="zh-CN"/>
              </w:rPr>
              <w:t>金属架子床加工</w:t>
            </w:r>
            <w:r>
              <w:rPr>
                <w:rFonts w:hint="eastAsia" w:eastAsiaTheme="minorEastAsia"/>
                <w:lang w:val="en-US" w:eastAsia="zh-CN"/>
              </w:rPr>
              <w:t>生产线</w:t>
            </w:r>
            <w:r>
              <w:rPr>
                <w:rFonts w:hint="eastAsia" w:eastAsiaTheme="minorEastAsia"/>
                <w:lang w:val="zh-CN"/>
              </w:rPr>
              <w:t>项目</w:t>
            </w:r>
          </w:p>
          <w:p>
            <w:pPr>
              <w:ind w:firstLine="480"/>
              <w:rPr>
                <w:rFonts w:eastAsiaTheme="minorEastAsia"/>
                <w:lang w:val="zh-CN"/>
              </w:rPr>
            </w:pPr>
            <w:r>
              <w:t>建设单位：</w:t>
            </w:r>
            <w:r>
              <w:rPr>
                <w:rFonts w:hint="eastAsia" w:eastAsiaTheme="minorEastAsia"/>
                <w:lang w:val="zh-CN"/>
              </w:rPr>
              <w:t>西安</w:t>
            </w:r>
            <w:r>
              <w:rPr>
                <w:rFonts w:eastAsiaTheme="minorEastAsia"/>
                <w:lang w:val="zh-CN"/>
              </w:rPr>
              <w:t>铭帆家具有限公司</w:t>
            </w:r>
          </w:p>
          <w:p>
            <w:pPr>
              <w:ind w:firstLine="480"/>
            </w:pPr>
            <w:r>
              <w:t>建设性质：</w:t>
            </w:r>
            <w:r>
              <w:rPr>
                <w:rFonts w:hint="eastAsia"/>
              </w:rPr>
              <w:t>新建（补办环评）</w:t>
            </w:r>
          </w:p>
          <w:p>
            <w:pPr>
              <w:ind w:firstLine="480"/>
            </w:pPr>
            <w:r>
              <w:t>总投资：</w:t>
            </w:r>
            <w:r>
              <w:rPr>
                <w:rFonts w:hint="eastAsia"/>
              </w:rPr>
              <w:t>5</w:t>
            </w:r>
            <w:r>
              <w:t>00万元</w:t>
            </w:r>
          </w:p>
          <w:p>
            <w:pPr>
              <w:ind w:firstLine="480"/>
              <w:rPr>
                <w:rFonts w:eastAsiaTheme="minorEastAsia"/>
                <w:lang w:val="zh-CN"/>
              </w:rPr>
            </w:pPr>
            <w:r>
              <w:t>建设地点：</w:t>
            </w:r>
            <w:r>
              <w:rPr>
                <w:rFonts w:eastAsiaTheme="minorEastAsia"/>
                <w:lang w:val="zh-CN"/>
              </w:rPr>
              <w:t>西安市灞桥区狄寨街道夏寨村南3号</w:t>
            </w:r>
          </w:p>
          <w:p>
            <w:pPr>
              <w:ind w:firstLine="480"/>
            </w:pPr>
            <w:r>
              <w:rPr>
                <w:rFonts w:hint="eastAsia"/>
                <w:lang w:val="en-US" w:eastAsia="zh-CN"/>
              </w:rPr>
              <w:t>2、</w:t>
            </w:r>
            <w:r>
              <w:t>建设地点及周边关系</w:t>
            </w:r>
          </w:p>
          <w:p>
            <w:pPr>
              <w:ind w:firstLine="480"/>
              <w:rPr>
                <w:rFonts w:eastAsiaTheme="minorEastAsia"/>
                <w:lang w:val="zh-CN"/>
              </w:rPr>
            </w:pPr>
            <w:r>
              <w:t>本项目</w:t>
            </w:r>
            <w:r>
              <w:rPr>
                <w:rFonts w:hint="eastAsia"/>
              </w:rPr>
              <w:t>位于</w:t>
            </w:r>
            <w:r>
              <w:rPr>
                <w:rFonts w:eastAsiaTheme="minorEastAsia"/>
                <w:lang w:val="zh-CN"/>
              </w:rPr>
              <w:t>西安市灞桥区狄寨街道夏寨村南3号</w:t>
            </w:r>
            <w:r>
              <w:t>，</w:t>
            </w:r>
            <w:r>
              <w:rPr>
                <w:rFonts w:hint="eastAsia"/>
              </w:rPr>
              <w:t>项目中心地理坐标</w:t>
            </w:r>
            <w:r>
              <w:t>为N：34.200242</w:t>
            </w:r>
            <w:r>
              <w:rPr>
                <w:rFonts w:hint="eastAsia"/>
              </w:rPr>
              <w:t>°</w:t>
            </w:r>
            <w:r>
              <w:t>，E：109.119344</w:t>
            </w:r>
            <w:r>
              <w:rPr>
                <w:rFonts w:hint="eastAsia"/>
              </w:rPr>
              <w:t>°，</w:t>
            </w:r>
            <w:r>
              <w:t>项目地理位置见附图1。</w:t>
            </w:r>
          </w:p>
          <w:p>
            <w:pPr>
              <w:ind w:firstLine="480"/>
            </w:pPr>
            <w:r>
              <w:rPr>
                <w:rFonts w:hint="eastAsia"/>
              </w:rPr>
              <w:t>项目地</w:t>
            </w:r>
            <w:r>
              <w:rPr>
                <w:rFonts w:hint="eastAsia"/>
                <w:color w:val="000000" w:themeColor="text1"/>
              </w:rPr>
              <w:t>东侧为农田，南侧为农田，西侧为家具加工厂，北侧为农田</w:t>
            </w:r>
            <w:r>
              <w:rPr>
                <w:rFonts w:hint="eastAsia"/>
                <w:lang w:eastAsia="zh-CN"/>
              </w:rPr>
              <w:t>，</w:t>
            </w:r>
            <w:r>
              <w:rPr>
                <w:rFonts w:hint="eastAsia"/>
              </w:rPr>
              <w:t>项目</w:t>
            </w:r>
            <w:r>
              <w:t>四邻关系图见附图2。</w:t>
            </w:r>
          </w:p>
          <w:p>
            <w:pPr>
              <w:ind w:firstLine="480"/>
            </w:pPr>
            <w:r>
              <w:rPr>
                <w:rFonts w:hint="eastAsia"/>
                <w:lang w:val="en-US" w:eastAsia="zh-CN"/>
              </w:rPr>
              <w:t>3、</w:t>
            </w:r>
            <w:r>
              <w:t>项目建设内容和规模</w:t>
            </w:r>
          </w:p>
          <w:p>
            <w:pPr>
              <w:spacing w:line="360" w:lineRule="auto"/>
              <w:ind w:firstLine="482"/>
              <w:rPr>
                <w:rStyle w:val="232"/>
                <w:rFonts w:hint="eastAsia"/>
                <w:i w:val="0"/>
                <w:sz w:val="24"/>
              </w:rPr>
            </w:pPr>
            <w:r>
              <w:rPr>
                <w:sz w:val="24"/>
              </w:rPr>
              <w:t>项目占地面积</w:t>
            </w:r>
            <w:r>
              <w:rPr>
                <w:rFonts w:hint="eastAsia"/>
                <w:sz w:val="24"/>
                <w:lang w:val="en-US" w:eastAsia="zh-CN"/>
              </w:rPr>
              <w:t>5880</w:t>
            </w:r>
            <w:r>
              <w:rPr>
                <w:sz w:val="24"/>
              </w:rPr>
              <w:t>m</w:t>
            </w:r>
            <w:r>
              <w:rPr>
                <w:sz w:val="24"/>
                <w:vertAlign w:val="superscript"/>
              </w:rPr>
              <w:t>2</w:t>
            </w:r>
            <w:r>
              <w:rPr>
                <w:rFonts w:hint="eastAsia"/>
                <w:sz w:val="24"/>
              </w:rPr>
              <w:t>，</w:t>
            </w:r>
            <w:r>
              <w:rPr>
                <w:rFonts w:hint="eastAsia"/>
                <w:sz w:val="24"/>
                <w:lang w:val="en-US" w:eastAsia="zh-CN"/>
              </w:rPr>
              <w:t>建设</w:t>
            </w:r>
            <w:r>
              <w:rPr>
                <w:rFonts w:hint="eastAsia" w:eastAsiaTheme="minorEastAsia"/>
                <w:lang w:val="zh-CN"/>
              </w:rPr>
              <w:t>金属架子床加工生产线</w:t>
            </w:r>
            <w:r>
              <w:rPr>
                <w:rFonts w:hint="eastAsia" w:eastAsiaTheme="minorEastAsia"/>
                <w:kern w:val="0"/>
                <w:sz w:val="24"/>
                <w:szCs w:val="22"/>
                <w:lang w:eastAsia="zh-CN"/>
              </w:rPr>
              <w:t>。</w:t>
            </w:r>
            <w:r>
              <w:rPr>
                <w:rFonts w:hint="eastAsia" w:eastAsiaTheme="minorEastAsia"/>
                <w:kern w:val="0"/>
                <w:sz w:val="24"/>
                <w:szCs w:val="22"/>
                <w:lang w:val="en-US" w:eastAsia="zh-CN"/>
              </w:rPr>
              <w:t>项目</w:t>
            </w:r>
            <w:r>
              <w:rPr>
                <w:rFonts w:hint="eastAsia"/>
                <w:kern w:val="0"/>
                <w:sz w:val="24"/>
                <w:szCs w:val="22"/>
                <w:lang w:val="en-US" w:eastAsia="zh-CN"/>
              </w:rPr>
              <w:t>建设有</w:t>
            </w:r>
            <w:r>
              <w:rPr>
                <w:rFonts w:hint="eastAsia"/>
                <w:snapToGrid w:val="0"/>
                <w:szCs w:val="21"/>
              </w:rPr>
              <w:t>砖混</w:t>
            </w:r>
            <w:r>
              <w:rPr>
                <w:rFonts w:hint="eastAsia"/>
                <w:snapToGrid w:val="0"/>
                <w:szCs w:val="21"/>
                <w:lang w:val="en-US" w:eastAsia="zh-CN"/>
              </w:rPr>
              <w:t>结构</w:t>
            </w:r>
            <w:r>
              <w:rPr>
                <w:rFonts w:hint="eastAsia"/>
                <w:kern w:val="0"/>
                <w:sz w:val="24"/>
                <w:szCs w:val="22"/>
              </w:rPr>
              <w:t>生产厂房和办公楼及其附属设施。</w:t>
            </w:r>
            <w:r>
              <w:rPr>
                <w:rStyle w:val="232"/>
                <w:i w:val="0"/>
                <w:sz w:val="24"/>
              </w:rPr>
              <w:t>项目组成及建设内容详见表</w:t>
            </w:r>
            <w:r>
              <w:rPr>
                <w:rStyle w:val="232"/>
                <w:rFonts w:hint="eastAsia"/>
                <w:i w:val="0"/>
                <w:sz w:val="24"/>
                <w:lang w:val="en-US" w:eastAsia="zh-CN"/>
              </w:rPr>
              <w:t>1-2</w:t>
            </w:r>
            <w:r>
              <w:rPr>
                <w:rStyle w:val="232"/>
                <w:i w:val="0"/>
                <w:sz w:val="24"/>
              </w:rPr>
              <w:t>：</w:t>
            </w:r>
          </w:p>
          <w:p>
            <w:pPr>
              <w:pStyle w:val="207"/>
              <w:ind w:firstLine="482" w:firstLineChars="200"/>
            </w:pPr>
            <w:r>
              <w:t>表1-</w:t>
            </w:r>
            <w:r>
              <w:rPr>
                <w:rFonts w:hint="eastAsia"/>
                <w:lang w:val="en-US" w:eastAsia="zh-CN"/>
              </w:rPr>
              <w:t>2</w:t>
            </w:r>
            <w:r>
              <w:t xml:space="preserve"> 工程内容一览表</w:t>
            </w:r>
          </w:p>
          <w:tbl>
            <w:tblPr>
              <w:tblStyle w:val="33"/>
              <w:tblW w:w="8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7"/>
              <w:gridCol w:w="817"/>
              <w:gridCol w:w="1016"/>
              <w:gridCol w:w="4980"/>
              <w:gridCol w:w="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工程</w:t>
                  </w:r>
                </w:p>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分类</w:t>
                  </w:r>
                </w:p>
              </w:tc>
              <w:tc>
                <w:tcPr>
                  <w:tcW w:w="1833" w:type="dxa"/>
                  <w:gridSpan w:val="2"/>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项目</w:t>
                  </w: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工程内容</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主体</w:t>
                  </w:r>
                </w:p>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工程</w:t>
                  </w:r>
                </w:p>
              </w:tc>
              <w:tc>
                <w:tcPr>
                  <w:tcW w:w="1833" w:type="dxa"/>
                  <w:gridSpan w:val="2"/>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生产</w:t>
                  </w:r>
                </w:p>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车间</w:t>
                  </w: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静电喷塑区，位于车间中部，建筑面积为320m</w:t>
                  </w:r>
                  <w:r>
                    <w:rPr>
                      <w:rFonts w:hint="default" w:ascii="Times New Roman" w:hAnsi="Times New Roman" w:eastAsia="宋体" w:cs="Times New Roman"/>
                      <w:sz w:val="21"/>
                      <w:szCs w:val="21"/>
                      <w:vertAlign w:val="superscript"/>
                      <w:lang w:val="zh-CN"/>
                    </w:rPr>
                    <w:t>2</w:t>
                  </w:r>
                  <w:r>
                    <w:rPr>
                      <w:rFonts w:hint="default" w:ascii="Times New Roman" w:hAnsi="Times New Roman" w:eastAsia="宋体" w:cs="Times New Roman"/>
                      <w:sz w:val="21"/>
                      <w:szCs w:val="21"/>
                      <w:lang w:val="zh-CN"/>
                    </w:rPr>
                    <w:t>，主要设备包括1条喷塑生产线</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833" w:type="dxa"/>
                  <w:gridSpan w:val="2"/>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焊接区域，位于车间东部，建筑面积为</w:t>
                  </w:r>
                  <w:r>
                    <w:rPr>
                      <w:rFonts w:hint="default"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lang w:val="zh-CN"/>
                    </w:rPr>
                    <w:t>00 m</w:t>
                  </w:r>
                  <w:r>
                    <w:rPr>
                      <w:rFonts w:hint="default" w:ascii="Times New Roman" w:hAnsi="Times New Roman" w:eastAsia="宋体" w:cs="Times New Roman"/>
                      <w:sz w:val="21"/>
                      <w:szCs w:val="21"/>
                      <w:vertAlign w:val="superscript"/>
                      <w:lang w:val="zh-CN"/>
                    </w:rPr>
                    <w:t>2</w:t>
                  </w:r>
                  <w:r>
                    <w:rPr>
                      <w:rFonts w:hint="default" w:ascii="Times New Roman" w:hAnsi="Times New Roman" w:eastAsia="宋体" w:cs="Times New Roman"/>
                      <w:sz w:val="21"/>
                      <w:szCs w:val="21"/>
                      <w:lang w:val="zh-CN"/>
                    </w:rPr>
                    <w:t>，主要包括二保焊</w:t>
                  </w:r>
                  <w:r>
                    <w:rPr>
                      <w:rFonts w:hint="eastAsia" w:cs="Times New Roman"/>
                      <w:sz w:val="21"/>
                      <w:szCs w:val="21"/>
                      <w:lang w:val="en-US" w:eastAsia="zh-CN"/>
                    </w:rPr>
                    <w:t>机</w:t>
                  </w:r>
                  <w:r>
                    <w:rPr>
                      <w:rFonts w:hint="default" w:ascii="Times New Roman" w:hAnsi="Times New Roman" w:eastAsia="宋体" w:cs="Times New Roman"/>
                      <w:sz w:val="21"/>
                      <w:szCs w:val="21"/>
                      <w:lang w:val="zh-CN"/>
                    </w:rPr>
                    <w:t>8台</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833" w:type="dxa"/>
                  <w:gridSpan w:val="2"/>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下料区，位于车间东南部，建筑面积为</w:t>
                  </w:r>
                  <w:r>
                    <w:rPr>
                      <w:rFonts w:hint="eastAsia" w:cs="Times New Roman"/>
                      <w:sz w:val="21"/>
                      <w:szCs w:val="21"/>
                      <w:lang w:val="en-US" w:eastAsia="zh-CN"/>
                    </w:rPr>
                    <w:t>5</w:t>
                  </w:r>
                  <w:r>
                    <w:rPr>
                      <w:rFonts w:hint="default" w:ascii="Times New Roman" w:hAnsi="Times New Roman" w:eastAsia="宋体" w:cs="Times New Roman"/>
                      <w:sz w:val="21"/>
                      <w:szCs w:val="21"/>
                      <w:lang w:val="zh-CN"/>
                    </w:rPr>
                    <w:t>00m</w:t>
                  </w:r>
                  <w:r>
                    <w:rPr>
                      <w:rFonts w:hint="default" w:ascii="Times New Roman" w:hAnsi="Times New Roman" w:eastAsia="宋体" w:cs="Times New Roman"/>
                      <w:sz w:val="21"/>
                      <w:szCs w:val="21"/>
                      <w:vertAlign w:val="superscript"/>
                      <w:lang w:val="zh-CN"/>
                    </w:rPr>
                    <w:t>2</w:t>
                  </w:r>
                  <w:r>
                    <w:rPr>
                      <w:rFonts w:hint="default" w:ascii="Times New Roman" w:hAnsi="Times New Roman" w:eastAsia="宋体" w:cs="Times New Roman"/>
                      <w:sz w:val="21"/>
                      <w:szCs w:val="21"/>
                      <w:lang w:val="zh-CN"/>
                    </w:rPr>
                    <w:t>，为湿切割</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833" w:type="dxa"/>
                  <w:gridSpan w:val="2"/>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床板加工区，位于车间南部，建筑面积5</w:t>
                  </w:r>
                  <w:r>
                    <w:rPr>
                      <w:rFonts w:hint="default" w:ascii="Times New Roman" w:hAnsi="Times New Roman" w:eastAsia="宋体" w:cs="Times New Roman"/>
                      <w:sz w:val="21"/>
                      <w:szCs w:val="21"/>
                      <w:lang w:val="zh-CN"/>
                    </w:rPr>
                    <w:t>00m</w:t>
                  </w:r>
                  <w:r>
                    <w:rPr>
                      <w:rFonts w:hint="default" w:ascii="Times New Roman" w:hAnsi="Times New Roman" w:eastAsia="宋体" w:cs="Times New Roman"/>
                      <w:sz w:val="21"/>
                      <w:szCs w:val="21"/>
                      <w:vertAlign w:val="superscript"/>
                      <w:lang w:val="zh-CN"/>
                    </w:rPr>
                    <w:t>2</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833" w:type="dxa"/>
                  <w:gridSpan w:val="2"/>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成品区，位于车间西部，建筑面积为</w:t>
                  </w:r>
                  <w:r>
                    <w:rPr>
                      <w:rFonts w:hint="default"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lang w:val="zh-CN"/>
                    </w:rPr>
                    <w:t>00m</w:t>
                  </w:r>
                  <w:r>
                    <w:rPr>
                      <w:rFonts w:hint="default" w:ascii="Times New Roman" w:hAnsi="Times New Roman" w:eastAsia="宋体" w:cs="Times New Roman"/>
                      <w:sz w:val="21"/>
                      <w:szCs w:val="21"/>
                      <w:vertAlign w:val="superscript"/>
                      <w:lang w:val="zh-CN"/>
                    </w:rPr>
                    <w:t>2</w:t>
                  </w:r>
                  <w:r>
                    <w:rPr>
                      <w:rFonts w:hint="default" w:ascii="Times New Roman" w:hAnsi="Times New Roman" w:eastAsia="宋体" w:cs="Times New Roman"/>
                      <w:sz w:val="21"/>
                      <w:szCs w:val="21"/>
                      <w:lang w:val="zh-CN"/>
                    </w:rPr>
                    <w:t>，用于成品存放</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辅助</w:t>
                  </w:r>
                </w:p>
                <w:p>
                  <w:pPr>
                    <w:keepNext w:val="0"/>
                    <w:keepLines w:val="0"/>
                    <w:pageBreakBefore w:val="0"/>
                    <w:widowControl w:val="0"/>
                    <w:kinsoku/>
                    <w:wordWrap/>
                    <w:overflowPunct/>
                    <w:topLinePunct w:val="0"/>
                    <w:autoSpaceDE/>
                    <w:bidi w:val="0"/>
                    <w:adjustRightInd/>
                    <w:snapToGrid/>
                    <w:spacing w:line="240" w:lineRule="auto"/>
                    <w:ind w:firstLine="105" w:firstLineChars="5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工程</w:t>
                  </w:r>
                </w:p>
              </w:tc>
              <w:tc>
                <w:tcPr>
                  <w:tcW w:w="1833" w:type="dxa"/>
                  <w:gridSpan w:val="2"/>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办公区</w:t>
                  </w: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napToGrid w:val="0"/>
                      <w:sz w:val="21"/>
                      <w:szCs w:val="21"/>
                      <w:lang w:val="en-US" w:eastAsia="zh-CN"/>
                    </w:rPr>
                    <w:t>2F</w:t>
                  </w:r>
                  <w:r>
                    <w:rPr>
                      <w:rFonts w:hint="default" w:ascii="Times New Roman" w:hAnsi="Times New Roman" w:eastAsia="宋体" w:cs="Times New Roman"/>
                      <w:snapToGrid w:val="0"/>
                      <w:sz w:val="21"/>
                      <w:szCs w:val="21"/>
                    </w:rPr>
                    <w:t>砖混</w:t>
                  </w:r>
                  <w:r>
                    <w:rPr>
                      <w:rFonts w:hint="eastAsia" w:cs="Times New Roman"/>
                      <w:snapToGrid w:val="0"/>
                      <w:sz w:val="21"/>
                      <w:szCs w:val="21"/>
                      <w:lang w:val="en-US" w:eastAsia="zh-CN"/>
                    </w:rPr>
                    <w:t>结构</w:t>
                  </w:r>
                  <w:r>
                    <w:rPr>
                      <w:rFonts w:hint="default" w:ascii="Times New Roman" w:hAnsi="Times New Roman" w:eastAsia="宋体" w:cs="Times New Roman"/>
                      <w:snapToGrid w:val="0"/>
                      <w:sz w:val="21"/>
                      <w:szCs w:val="21"/>
                      <w:lang w:eastAsia="zh-CN"/>
                    </w:rPr>
                    <w:t>，</w:t>
                  </w:r>
                  <w:r>
                    <w:rPr>
                      <w:rFonts w:hint="default" w:ascii="Times New Roman" w:hAnsi="Times New Roman" w:eastAsia="宋体" w:cs="Times New Roman"/>
                      <w:sz w:val="21"/>
                      <w:szCs w:val="21"/>
                      <w:lang w:val="zh-CN"/>
                    </w:rPr>
                    <w:t>建筑面积约为500m</w:t>
                  </w:r>
                  <w:r>
                    <w:rPr>
                      <w:rFonts w:hint="default" w:ascii="Times New Roman" w:hAnsi="Times New Roman" w:eastAsia="宋体" w:cs="Times New Roman"/>
                      <w:sz w:val="21"/>
                      <w:szCs w:val="21"/>
                      <w:vertAlign w:val="superscript"/>
                      <w:lang w:val="zh-CN"/>
                    </w:rPr>
                    <w:t>2</w:t>
                  </w:r>
                  <w:r>
                    <w:rPr>
                      <w:rFonts w:hint="default" w:ascii="Times New Roman" w:hAnsi="Times New Roman" w:eastAsia="宋体" w:cs="Times New Roman"/>
                      <w:sz w:val="21"/>
                      <w:szCs w:val="21"/>
                      <w:lang w:val="zh-CN"/>
                    </w:rPr>
                    <w:t>，</w:t>
                  </w:r>
                  <w:r>
                    <w:rPr>
                      <w:rFonts w:hint="default" w:ascii="Times New Roman" w:hAnsi="Times New Roman" w:eastAsia="宋体" w:cs="Times New Roman"/>
                      <w:snapToGrid w:val="0"/>
                      <w:sz w:val="21"/>
                      <w:szCs w:val="21"/>
                    </w:rPr>
                    <w:t>1F主要用于员工办公，2F主要用于</w:t>
                  </w:r>
                  <w:r>
                    <w:rPr>
                      <w:rFonts w:hint="eastAsia" w:cs="Times New Roman"/>
                      <w:snapToGrid w:val="0"/>
                      <w:sz w:val="21"/>
                      <w:szCs w:val="21"/>
                      <w:lang w:val="en-US" w:eastAsia="zh-CN"/>
                    </w:rPr>
                    <w:t>工人休息</w:t>
                  </w:r>
                  <w:r>
                    <w:rPr>
                      <w:rFonts w:hint="default" w:ascii="Times New Roman" w:hAnsi="Times New Roman" w:eastAsia="宋体" w:cs="Times New Roman"/>
                      <w:snapToGrid w:val="0"/>
                      <w:sz w:val="21"/>
                      <w:szCs w:val="21"/>
                      <w:lang w:eastAsia="zh-CN"/>
                    </w:rPr>
                    <w:t>，</w:t>
                  </w:r>
                  <w:r>
                    <w:rPr>
                      <w:rFonts w:hint="default" w:ascii="Times New Roman" w:hAnsi="Times New Roman" w:eastAsia="宋体" w:cs="Times New Roman"/>
                      <w:sz w:val="21"/>
                      <w:szCs w:val="21"/>
                      <w:lang w:val="zh-CN"/>
                    </w:rPr>
                    <w:t>办公室位于厂区西东北侧</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105" w:firstLineChars="50"/>
                    <w:jc w:val="center"/>
                    <w:textAlignment w:val="auto"/>
                    <w:rPr>
                      <w:rFonts w:hint="default" w:ascii="Times New Roman" w:hAnsi="Times New Roman" w:eastAsia="宋体" w:cs="Times New Roman"/>
                      <w:sz w:val="21"/>
                      <w:szCs w:val="21"/>
                      <w:lang w:val="zh-CN"/>
                    </w:rPr>
                  </w:pPr>
                </w:p>
              </w:tc>
              <w:tc>
                <w:tcPr>
                  <w:tcW w:w="1833" w:type="dxa"/>
                  <w:gridSpan w:val="2"/>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ind w:firstLine="105" w:firstLineChars="5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rPr>
                    <w:t>储气房</w:t>
                  </w:r>
                </w:p>
              </w:tc>
              <w:tc>
                <w:tcPr>
                  <w:tcW w:w="498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snapToGrid w:val="0"/>
                      <w:sz w:val="21"/>
                      <w:szCs w:val="21"/>
                      <w:lang w:val="en-US" w:eastAsia="zh-CN"/>
                    </w:rPr>
                  </w:pPr>
                  <w:r>
                    <w:rPr>
                      <w:rFonts w:hint="default" w:ascii="Times New Roman" w:hAnsi="Times New Roman" w:eastAsia="宋体" w:cs="Times New Roman"/>
                      <w:snapToGrid w:val="0"/>
                      <w:sz w:val="21"/>
                      <w:szCs w:val="21"/>
                      <w:lang w:val="en-US" w:eastAsia="zh-CN"/>
                    </w:rPr>
                    <w:t>位于成品库西北角，</w:t>
                  </w:r>
                  <w:r>
                    <w:rPr>
                      <w:rFonts w:hint="default" w:ascii="Times New Roman" w:hAnsi="Times New Roman" w:eastAsia="宋体" w:cs="Times New Roman"/>
                      <w:snapToGrid w:val="0"/>
                      <w:sz w:val="21"/>
                      <w:szCs w:val="21"/>
                    </w:rPr>
                    <w:t>主要用于储存液化天然气，设置</w:t>
                  </w:r>
                  <w:r>
                    <w:rPr>
                      <w:rFonts w:hint="default" w:ascii="Times New Roman" w:hAnsi="Times New Roman" w:eastAsia="宋体" w:cs="Times New Roman"/>
                      <w:snapToGrid w:val="0"/>
                      <w:sz w:val="21"/>
                      <w:szCs w:val="21"/>
                      <w:lang w:val="en-US" w:eastAsia="zh-CN"/>
                    </w:rPr>
                    <w:t>四</w:t>
                  </w:r>
                  <w:r>
                    <w:rPr>
                      <w:rFonts w:hint="default" w:ascii="Times New Roman" w:hAnsi="Times New Roman" w:eastAsia="宋体" w:cs="Times New Roman"/>
                      <w:snapToGrid w:val="0"/>
                      <w:sz w:val="21"/>
                      <w:szCs w:val="21"/>
                    </w:rPr>
                    <w:t>个</w:t>
                  </w:r>
                  <w:r>
                    <w:rPr>
                      <w:rFonts w:hint="default" w:ascii="Times New Roman" w:hAnsi="Times New Roman" w:eastAsia="宋体" w:cs="Times New Roman"/>
                      <w:snapToGrid w:val="0"/>
                      <w:sz w:val="21"/>
                      <w:szCs w:val="21"/>
                      <w:lang w:val="en-US" w:eastAsia="zh-CN"/>
                    </w:rPr>
                    <w:t>5</w:t>
                  </w:r>
                  <w:r>
                    <w:rPr>
                      <w:rFonts w:hint="default" w:ascii="Times New Roman" w:hAnsi="Times New Roman" w:eastAsia="宋体" w:cs="Times New Roman"/>
                      <w:snapToGrid w:val="0"/>
                      <w:sz w:val="21"/>
                      <w:szCs w:val="21"/>
                    </w:rPr>
                    <w:t>0kg的储气罐</w:t>
                  </w:r>
                  <w:r>
                    <w:rPr>
                      <w:rFonts w:hint="default" w:ascii="Times New Roman" w:hAnsi="Times New Roman" w:eastAsia="宋体" w:cs="Times New Roman"/>
                      <w:snapToGrid w:val="0"/>
                      <w:sz w:val="21"/>
                      <w:szCs w:val="21"/>
                      <w:lang w:eastAsia="zh-CN"/>
                    </w:rPr>
                    <w:t>，</w:t>
                  </w:r>
                  <w:r>
                    <w:rPr>
                      <w:rFonts w:hint="default" w:ascii="Times New Roman" w:hAnsi="Times New Roman" w:eastAsia="宋体" w:cs="Times New Roman"/>
                      <w:snapToGrid w:val="0"/>
                      <w:sz w:val="21"/>
                      <w:szCs w:val="21"/>
                      <w:lang w:val="en-US" w:eastAsia="zh-CN"/>
                    </w:rPr>
                    <w:t>三用一备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最大储存量为</w:t>
                  </w:r>
                  <w:r>
                    <w:rPr>
                      <w:rFonts w:hint="eastAsia" w:ascii="Times New Roman" w:hAnsi="Times New Roman" w:cs="Times New Roman"/>
                      <w:sz w:val="21"/>
                      <w:szCs w:val="21"/>
                      <w:lang w:val="en-US" w:eastAsia="zh-CN"/>
                    </w:rPr>
                    <w:t>15</w:t>
                  </w:r>
                  <w:r>
                    <w:rPr>
                      <w:rFonts w:hint="default" w:ascii="Times New Roman" w:hAnsi="Times New Roman" w:eastAsia="宋体" w:cs="Times New Roman"/>
                      <w:sz w:val="21"/>
                      <w:szCs w:val="21"/>
                      <w:lang w:val="en-US" w:eastAsia="zh-CN"/>
                    </w:rPr>
                    <w:t>0kg，风险物质为</w:t>
                  </w:r>
                  <w:r>
                    <w:rPr>
                      <w:rFonts w:hint="eastAsia" w:ascii="Times New Roman" w:hAnsi="Times New Roman" w:cs="Times New Roman"/>
                      <w:sz w:val="21"/>
                      <w:szCs w:val="21"/>
                      <w:lang w:val="en-US" w:eastAsia="zh-CN"/>
                    </w:rPr>
                    <w:t>液化天然气（甲烷）</w:t>
                  </w:r>
                </w:p>
              </w:tc>
              <w:tc>
                <w:tcPr>
                  <w:tcW w:w="805" w:type="dxa"/>
                  <w:tcBorders>
                    <w:tl2br w:val="nil"/>
                    <w:tr2bl w:val="nil"/>
                  </w:tcBorders>
                  <w:vAlign w:val="center"/>
                </w:tcPr>
                <w:p>
                  <w:pPr>
                    <w:pStyle w:val="10"/>
                    <w:keepNext w:val="0"/>
                    <w:keepLines w:val="0"/>
                    <w:pageBreakBefore w:val="0"/>
                    <w:widowControl w:val="0"/>
                    <w:kinsoku/>
                    <w:wordWrap/>
                    <w:overflowPunct/>
                    <w:topLinePunct w:val="0"/>
                    <w:autoSpaceDE/>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val="en-US" w:eastAsia="zh-CN" w:bidi="ar-SA"/>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105" w:firstLineChars="50"/>
                    <w:jc w:val="center"/>
                    <w:textAlignment w:val="auto"/>
                    <w:rPr>
                      <w:rFonts w:hint="default" w:ascii="Times New Roman" w:hAnsi="Times New Roman" w:eastAsia="宋体" w:cs="Times New Roman"/>
                      <w:sz w:val="21"/>
                      <w:szCs w:val="21"/>
                      <w:lang w:val="zh-CN"/>
                    </w:rPr>
                  </w:pPr>
                </w:p>
              </w:tc>
              <w:tc>
                <w:tcPr>
                  <w:tcW w:w="1833" w:type="dxa"/>
                  <w:gridSpan w:val="2"/>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ind w:firstLine="105" w:firstLineChar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杂物间</w:t>
                  </w:r>
                </w:p>
              </w:tc>
              <w:tc>
                <w:tcPr>
                  <w:tcW w:w="4980" w:type="dxa"/>
                  <w:tcBorders>
                    <w:tl2br w:val="nil"/>
                    <w:tr2bl w:val="nil"/>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snapToGrid w:val="0"/>
                      <w:sz w:val="21"/>
                      <w:szCs w:val="21"/>
                      <w:lang w:eastAsia="zh-CN"/>
                    </w:rPr>
                  </w:pPr>
                  <w:r>
                    <w:rPr>
                      <w:rFonts w:hint="default" w:ascii="Times New Roman" w:hAnsi="Times New Roman" w:eastAsia="宋体" w:cs="Times New Roman"/>
                      <w:snapToGrid w:val="0"/>
                      <w:sz w:val="21"/>
                      <w:szCs w:val="21"/>
                    </w:rPr>
                    <w:t>1F，层高3m，砖混结构，建筑面积</w:t>
                  </w:r>
                  <w:r>
                    <w:rPr>
                      <w:rFonts w:hint="default" w:ascii="Times New Roman" w:hAnsi="Times New Roman" w:eastAsia="宋体" w:cs="Times New Roman"/>
                      <w:snapToGrid w:val="0"/>
                      <w:sz w:val="21"/>
                      <w:szCs w:val="21"/>
                      <w:lang w:val="en-US" w:eastAsia="zh-CN"/>
                    </w:rPr>
                    <w:t>50</w:t>
                  </w:r>
                  <w:r>
                    <w:rPr>
                      <w:rFonts w:hint="default" w:ascii="Times New Roman" w:hAnsi="Times New Roman" w:eastAsia="宋体" w:cs="Times New Roman"/>
                      <w:snapToGrid w:val="0"/>
                      <w:sz w:val="21"/>
                      <w:szCs w:val="21"/>
                    </w:rPr>
                    <w:t>m</w:t>
                  </w:r>
                  <w:r>
                    <w:rPr>
                      <w:rFonts w:hint="default" w:ascii="Times New Roman" w:hAnsi="Times New Roman" w:eastAsia="宋体" w:cs="Times New Roman"/>
                      <w:snapToGrid w:val="0"/>
                      <w:sz w:val="21"/>
                      <w:szCs w:val="21"/>
                      <w:vertAlign w:val="superscript"/>
                    </w:rPr>
                    <w:t>2</w:t>
                  </w:r>
                  <w:r>
                    <w:rPr>
                      <w:rFonts w:hint="default" w:ascii="Times New Roman" w:hAnsi="Times New Roman" w:eastAsia="宋体" w:cs="Times New Roman"/>
                      <w:snapToGrid w:val="0"/>
                      <w:sz w:val="21"/>
                      <w:szCs w:val="21"/>
                    </w:rPr>
                    <w:t>，主要用于</w:t>
                  </w:r>
                  <w:r>
                    <w:rPr>
                      <w:rFonts w:hint="eastAsia" w:cs="Times New Roman"/>
                      <w:snapToGrid w:val="0"/>
                      <w:sz w:val="21"/>
                      <w:szCs w:val="21"/>
                      <w:lang w:val="en-US" w:eastAsia="zh-CN"/>
                    </w:rPr>
                    <w:t>存储杂物</w:t>
                  </w:r>
                </w:p>
              </w:tc>
              <w:tc>
                <w:tcPr>
                  <w:tcW w:w="805" w:type="dxa"/>
                  <w:tcBorders>
                    <w:tl2br w:val="nil"/>
                    <w:tr2bl w:val="nil"/>
                  </w:tcBorders>
                  <w:vAlign w:val="center"/>
                </w:tcPr>
                <w:p>
                  <w:pPr>
                    <w:pStyle w:val="10"/>
                    <w:keepNext w:val="0"/>
                    <w:keepLines w:val="0"/>
                    <w:pageBreakBefore w:val="0"/>
                    <w:widowControl w:val="0"/>
                    <w:kinsoku/>
                    <w:wordWrap/>
                    <w:overflowPunct/>
                    <w:topLinePunct w:val="0"/>
                    <w:autoSpaceDE/>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snapToGrid w:val="0"/>
                      <w:sz w:val="21"/>
                      <w:szCs w:val="21"/>
                      <w:lang w:eastAsia="zh-CN"/>
                    </w:rPr>
                  </w:pPr>
                  <w:r>
                    <w:rPr>
                      <w:rFonts w:hint="default" w:ascii="Times New Roman" w:hAnsi="Times New Roman" w:eastAsia="宋体" w:cs="Times New Roman"/>
                      <w:snapToGrid w:val="0"/>
                      <w:sz w:val="21"/>
                      <w:szCs w:val="21"/>
                      <w:lang w:val="en-US" w:eastAsia="zh-CN"/>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restart"/>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公用</w:t>
                  </w:r>
                </w:p>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工程</w:t>
                  </w:r>
                </w:p>
              </w:tc>
              <w:tc>
                <w:tcPr>
                  <w:tcW w:w="1833" w:type="dxa"/>
                  <w:gridSpan w:val="2"/>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给水系统</w:t>
                  </w: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项目地原有水井</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833" w:type="dxa"/>
                  <w:gridSpan w:val="2"/>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供热</w:t>
                  </w: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zh-CN"/>
                    </w:rPr>
                    <w:t>烘烤室采用天然气燃烧机加热</w:t>
                  </w:r>
                  <w:r>
                    <w:rPr>
                      <w:rFonts w:hint="eastAsia" w:ascii="Times New Roman" w:hAnsi="Times New Roman" w:eastAsia="宋体" w:cs="Times New Roman"/>
                      <w:sz w:val="21"/>
                      <w:szCs w:val="21"/>
                      <w:lang w:val="zh-CN" w:eastAsia="zh-CN"/>
                    </w:rPr>
                    <w:t>，</w:t>
                  </w:r>
                  <w:r>
                    <w:rPr>
                      <w:rFonts w:hint="eastAsia" w:ascii="Times New Roman" w:hAnsi="Times New Roman" w:eastAsia="宋体" w:cs="Times New Roman"/>
                      <w:sz w:val="21"/>
                      <w:szCs w:val="21"/>
                      <w:lang w:val="en-US" w:eastAsia="zh-CN"/>
                    </w:rPr>
                    <w:t>最高温度为200℃</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833" w:type="dxa"/>
                  <w:gridSpan w:val="2"/>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供电系统</w:t>
                  </w:r>
                </w:p>
              </w:tc>
              <w:tc>
                <w:tcPr>
                  <w:tcW w:w="4980"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依托当地市政供电管网</w:t>
                  </w:r>
                </w:p>
              </w:tc>
              <w:tc>
                <w:tcPr>
                  <w:tcW w:w="805" w:type="dxa"/>
                  <w:tcBorders>
                    <w:tl2br w:val="nil"/>
                    <w:tr2bl w:val="nil"/>
                  </w:tcBorders>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环保</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工程</w:t>
                  </w:r>
                </w:p>
              </w:tc>
              <w:tc>
                <w:tcPr>
                  <w:tcW w:w="1833" w:type="dxa"/>
                  <w:gridSpan w:val="2"/>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废水处理</w:t>
                  </w:r>
                </w:p>
              </w:tc>
              <w:tc>
                <w:tcPr>
                  <w:tcW w:w="4980"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项目实行雨污分流，雨水顺厂区自流入厂区外；</w:t>
                  </w:r>
                  <w:r>
                    <w:rPr>
                      <w:rFonts w:hint="eastAsia" w:cs="Times New Roman"/>
                      <w:sz w:val="21"/>
                      <w:szCs w:val="21"/>
                      <w:lang w:val="en-US" w:eastAsia="zh-CN"/>
                    </w:rPr>
                    <w:t>项目</w:t>
                  </w:r>
                  <w:r>
                    <w:rPr>
                      <w:rFonts w:hint="default" w:ascii="Times New Roman" w:hAnsi="Times New Roman" w:eastAsia="宋体" w:cs="Times New Roman"/>
                      <w:sz w:val="21"/>
                      <w:szCs w:val="21"/>
                      <w:lang w:val="zh-CN"/>
                    </w:rPr>
                    <w:t>无生产废水，</w:t>
                  </w:r>
                  <w:r>
                    <w:rPr>
                      <w:rFonts w:hint="eastAsia" w:cs="Times New Roman"/>
                      <w:sz w:val="21"/>
                      <w:szCs w:val="21"/>
                      <w:lang w:val="en-US" w:eastAsia="zh-CN"/>
                    </w:rPr>
                    <w:t>生活废水排入厂区旱厕，</w:t>
                  </w:r>
                  <w:r>
                    <w:rPr>
                      <w:rFonts w:hint="default" w:ascii="Times New Roman" w:hAnsi="Times New Roman" w:eastAsia="宋体" w:cs="Times New Roman"/>
                      <w:sz w:val="21"/>
                      <w:szCs w:val="21"/>
                      <w:lang w:val="zh-CN"/>
                    </w:rPr>
                    <w:t>定期清掏</w:t>
                  </w:r>
                  <w:r>
                    <w:rPr>
                      <w:rFonts w:hint="eastAsia" w:cs="Times New Roman"/>
                      <w:sz w:val="21"/>
                      <w:szCs w:val="21"/>
                      <w:lang w:val="zh-CN"/>
                    </w:rPr>
                    <w:t>，</w:t>
                  </w:r>
                  <w:r>
                    <w:rPr>
                      <w:rFonts w:hint="default" w:ascii="Times New Roman" w:hAnsi="Times New Roman" w:eastAsia="宋体" w:cs="Times New Roman"/>
                      <w:sz w:val="21"/>
                      <w:szCs w:val="21"/>
                      <w:lang w:val="zh-CN"/>
                    </w:rPr>
                    <w:t>不外排</w:t>
                  </w:r>
                </w:p>
              </w:tc>
              <w:tc>
                <w:tcPr>
                  <w:tcW w:w="805"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eastAsia" w:ascii="Times New Roman" w:hAnsi="Times New Roman" w:eastAsia="宋体" w:cs="Times New Roman"/>
                      <w:sz w:val="21"/>
                      <w:szCs w:val="21"/>
                      <w:lang w:val="zh-CN" w:eastAsia="zh-CN"/>
                    </w:rPr>
                  </w:pPr>
                  <w:r>
                    <w:rPr>
                      <w:rFonts w:hint="eastAsia" w:cs="Times New Roman"/>
                      <w:sz w:val="21"/>
                      <w:szCs w:val="21"/>
                      <w:lang w:val="en-US" w:eastAsia="zh-CN"/>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88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833" w:type="dxa"/>
                  <w:gridSpan w:val="2"/>
                  <w:vMerge w:val="restart"/>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废气</w:t>
                  </w:r>
                </w:p>
              </w:tc>
              <w:tc>
                <w:tcPr>
                  <w:tcW w:w="4980"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喷塑粉尘经过除尘器收尘装置处理后经15m排气筒排放；固化</w:t>
                  </w:r>
                  <w:r>
                    <w:rPr>
                      <w:rFonts w:hint="eastAsia" w:cs="Times New Roman"/>
                      <w:sz w:val="21"/>
                      <w:szCs w:val="21"/>
                      <w:lang w:val="en-US" w:eastAsia="zh-CN"/>
                    </w:rPr>
                    <w:t>产生有机废气</w:t>
                  </w:r>
                  <w:r>
                    <w:rPr>
                      <w:rFonts w:hint="default" w:ascii="Times New Roman" w:hAnsi="Times New Roman" w:eastAsia="宋体" w:cs="Times New Roman"/>
                      <w:sz w:val="21"/>
                      <w:szCs w:val="21"/>
                    </w:rPr>
                    <w:t>经过UV光解+活性炭吸附装置处理后通过15m排气筒排放；焊接烟尘经</w:t>
                  </w:r>
                  <w:r>
                    <w:rPr>
                      <w:rFonts w:hint="eastAsia" w:cs="Times New Roman"/>
                      <w:sz w:val="21"/>
                      <w:szCs w:val="21"/>
                      <w:lang w:val="en-US" w:eastAsia="zh-CN"/>
                    </w:rPr>
                    <w:t>集气罩收集采用布袋</w:t>
                  </w:r>
                  <w:r>
                    <w:rPr>
                      <w:rFonts w:hint="default" w:ascii="Times New Roman" w:hAnsi="Times New Roman" w:eastAsia="宋体" w:cs="Times New Roman"/>
                      <w:sz w:val="21"/>
                      <w:szCs w:val="21"/>
                    </w:rPr>
                    <w:t>除尘器处理后</w:t>
                  </w:r>
                  <w:r>
                    <w:rPr>
                      <w:rFonts w:hint="eastAsia" w:cs="Times New Roman"/>
                      <w:sz w:val="21"/>
                      <w:szCs w:val="21"/>
                      <w:lang w:val="en-US" w:eastAsia="zh-CN"/>
                    </w:rPr>
                    <w:t>经15m高排气筒</w:t>
                  </w:r>
                  <w:r>
                    <w:rPr>
                      <w:rFonts w:hint="default" w:ascii="Times New Roman" w:hAnsi="Times New Roman" w:eastAsia="宋体" w:cs="Times New Roman"/>
                      <w:sz w:val="21"/>
                      <w:szCs w:val="21"/>
                    </w:rPr>
                    <w:t>排放</w:t>
                  </w:r>
                </w:p>
              </w:tc>
              <w:tc>
                <w:tcPr>
                  <w:tcW w:w="805"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eastAsia" w:ascii="Times New Roman" w:hAnsi="Times New Roman" w:eastAsia="宋体" w:cs="Times New Roman"/>
                      <w:sz w:val="21"/>
                      <w:szCs w:val="21"/>
                      <w:lang w:val="zh-CN" w:eastAsia="zh-CN"/>
                    </w:rPr>
                  </w:pPr>
                  <w:r>
                    <w:rPr>
                      <w:rFonts w:hint="eastAsia" w:cs="Times New Roman"/>
                      <w:sz w:val="21"/>
                      <w:szCs w:val="21"/>
                      <w:lang w:val="en-US" w:eastAsia="zh-CN"/>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8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833" w:type="dxa"/>
                  <w:gridSpan w:val="2"/>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4980"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rPr>
                  </w:pPr>
                  <w:r>
                    <w:rPr>
                      <w:rFonts w:hint="eastAsia" w:cs="Times New Roman"/>
                      <w:sz w:val="21"/>
                      <w:szCs w:val="21"/>
                      <w:lang w:val="en-US" w:eastAsia="zh-CN"/>
                    </w:rPr>
                    <w:t>固化天然气燃烧机产生废气经集气罩收集后经15m排气筒排放</w:t>
                  </w:r>
                </w:p>
              </w:tc>
              <w:tc>
                <w:tcPr>
                  <w:tcW w:w="805"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eastAsia" w:cs="Times New Roman"/>
                      <w:sz w:val="21"/>
                      <w:szCs w:val="21"/>
                      <w:lang w:val="en-US" w:eastAsia="zh-CN"/>
                    </w:rPr>
                  </w:pPr>
                  <w:r>
                    <w:rPr>
                      <w:rFonts w:hint="eastAsia" w:cs="Times New Roman"/>
                      <w:sz w:val="21"/>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8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833" w:type="dxa"/>
                  <w:gridSpan w:val="2"/>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4980"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eastAsia" w:eastAsia="宋体" w:cs="Times New Roman"/>
                      <w:sz w:val="21"/>
                      <w:szCs w:val="21"/>
                      <w:lang w:val="en-US" w:eastAsia="zh-CN"/>
                    </w:rPr>
                  </w:pPr>
                  <w:r>
                    <w:rPr>
                      <w:rFonts w:hint="eastAsia" w:cs="Times New Roman"/>
                      <w:sz w:val="21"/>
                      <w:szCs w:val="21"/>
                      <w:lang w:val="en-US" w:eastAsia="zh-CN"/>
                    </w:rPr>
                    <w:t>木板切割产生的颗粒物经双桶除尘器处理后无组织排放；封边产生的有机废气经集气罩收集后和固化废气一块经</w:t>
                  </w:r>
                  <w:r>
                    <w:rPr>
                      <w:rFonts w:hint="default" w:ascii="Times New Roman" w:hAnsi="Times New Roman" w:eastAsia="宋体" w:cs="Times New Roman"/>
                      <w:sz w:val="21"/>
                      <w:szCs w:val="21"/>
                    </w:rPr>
                    <w:t>UV光解+活性炭吸附装置处理后通过15m排气筒排放</w:t>
                  </w:r>
                </w:p>
              </w:tc>
              <w:tc>
                <w:tcPr>
                  <w:tcW w:w="805"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cs="Times New Roman"/>
                      <w:sz w:val="21"/>
                      <w:szCs w:val="21"/>
                      <w:lang w:val="en-US" w:eastAsia="zh-CN"/>
                    </w:rPr>
                  </w:pPr>
                  <w:r>
                    <w:rPr>
                      <w:rFonts w:hint="eastAsia" w:cs="Times New Roman"/>
                      <w:sz w:val="21"/>
                      <w:szCs w:val="21"/>
                      <w:lang w:val="en-US" w:eastAsia="zh-CN"/>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8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817"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噪声</w:t>
                  </w:r>
                </w:p>
              </w:tc>
              <w:tc>
                <w:tcPr>
                  <w:tcW w:w="1016"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设备</w:t>
                  </w:r>
                </w:p>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噪声</w:t>
                  </w:r>
                </w:p>
              </w:tc>
              <w:tc>
                <w:tcPr>
                  <w:tcW w:w="4980"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选用低噪声设备、车间内合理布局、加强设备维护、建筑物隔声等措施</w:t>
                  </w:r>
                </w:p>
              </w:tc>
              <w:tc>
                <w:tcPr>
                  <w:tcW w:w="805"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817" w:type="dxa"/>
                  <w:vMerge w:val="restart"/>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固废</w:t>
                  </w:r>
                </w:p>
              </w:tc>
              <w:tc>
                <w:tcPr>
                  <w:tcW w:w="1016"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生活</w:t>
                  </w:r>
                </w:p>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垃圾</w:t>
                  </w:r>
                </w:p>
              </w:tc>
              <w:tc>
                <w:tcPr>
                  <w:tcW w:w="4980"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生活垃圾集中收集后交由当地环卫部门处置</w:t>
                  </w:r>
                </w:p>
              </w:tc>
              <w:tc>
                <w:tcPr>
                  <w:tcW w:w="805"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88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81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016"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生产</w:t>
                  </w:r>
                </w:p>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固废</w:t>
                  </w:r>
                </w:p>
              </w:tc>
              <w:tc>
                <w:tcPr>
                  <w:tcW w:w="4980"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eastAsia" w:ascii="Times New Roman" w:hAnsi="Times New Roman" w:eastAsia="宋体" w:cs="Times New Roman"/>
                      <w:sz w:val="21"/>
                      <w:szCs w:val="21"/>
                      <w:lang w:val="zh-CN" w:eastAsia="zh-CN"/>
                    </w:rPr>
                  </w:pPr>
                  <w:r>
                    <w:rPr>
                      <w:rFonts w:hint="default" w:ascii="Times New Roman" w:hAnsi="Times New Roman" w:eastAsia="宋体" w:cs="Times New Roman"/>
                      <w:sz w:val="21"/>
                      <w:szCs w:val="21"/>
                    </w:rPr>
                    <w:t>项目喷塑收尘回用于生产，</w:t>
                  </w:r>
                  <w:r>
                    <w:rPr>
                      <w:rFonts w:hint="eastAsia" w:cs="Times New Roman"/>
                      <w:sz w:val="21"/>
                      <w:szCs w:val="21"/>
                      <w:lang w:val="en-US" w:eastAsia="zh-CN"/>
                    </w:rPr>
                    <w:t>切割废料</w:t>
                  </w:r>
                  <w:r>
                    <w:rPr>
                      <w:rFonts w:hint="default" w:ascii="Times New Roman" w:hAnsi="Times New Roman" w:eastAsia="宋体" w:cs="Times New Roman"/>
                      <w:sz w:val="21"/>
                      <w:szCs w:val="21"/>
                    </w:rPr>
                    <w:t>经收集后出售给专门回收单位</w:t>
                  </w:r>
                </w:p>
              </w:tc>
              <w:tc>
                <w:tcPr>
                  <w:tcW w:w="805"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eastAsia" w:ascii="Times New Roman" w:hAnsi="Times New Roman" w:eastAsia="宋体" w:cs="Times New Roman"/>
                      <w:sz w:val="21"/>
                      <w:szCs w:val="21"/>
                      <w:lang w:val="zh-CN" w:eastAsia="zh-CN"/>
                    </w:rPr>
                  </w:pPr>
                  <w:r>
                    <w:rPr>
                      <w:rFonts w:hint="eastAsia" w:cs="Times New Roman"/>
                      <w:sz w:val="21"/>
                      <w:szCs w:val="21"/>
                      <w:lang w:val="en-US" w:eastAsia="zh-CN"/>
                    </w:rPr>
                    <w:t>已建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81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p>
              </w:tc>
              <w:tc>
                <w:tcPr>
                  <w:tcW w:w="1016"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危险</w:t>
                  </w:r>
                </w:p>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废物</w:t>
                  </w:r>
                </w:p>
              </w:tc>
              <w:tc>
                <w:tcPr>
                  <w:tcW w:w="4980"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napToGrid w:val="0"/>
                      <w:sz w:val="21"/>
                      <w:szCs w:val="21"/>
                    </w:rPr>
                    <w:t>建筑面积</w:t>
                  </w:r>
                  <w:r>
                    <w:rPr>
                      <w:rFonts w:hint="eastAsia" w:cs="Times New Roman"/>
                      <w:snapToGrid w:val="0"/>
                      <w:sz w:val="21"/>
                      <w:szCs w:val="21"/>
                      <w:lang w:val="en-US" w:eastAsia="zh-CN"/>
                    </w:rPr>
                    <w:t>1</w:t>
                  </w:r>
                  <w:r>
                    <w:rPr>
                      <w:rFonts w:hint="default" w:ascii="Times New Roman" w:hAnsi="Times New Roman" w:eastAsia="宋体" w:cs="Times New Roman"/>
                      <w:snapToGrid w:val="0"/>
                      <w:sz w:val="21"/>
                      <w:szCs w:val="21"/>
                      <w:lang w:val="en-US" w:eastAsia="zh-CN"/>
                    </w:rPr>
                    <w:t>0</w:t>
                  </w:r>
                  <w:r>
                    <w:rPr>
                      <w:rFonts w:hint="default" w:ascii="Times New Roman" w:hAnsi="Times New Roman" w:eastAsia="宋体" w:cs="Times New Roman"/>
                      <w:snapToGrid w:val="0"/>
                      <w:sz w:val="21"/>
                      <w:szCs w:val="21"/>
                    </w:rPr>
                    <w:t>m</w:t>
                  </w:r>
                  <w:r>
                    <w:rPr>
                      <w:rFonts w:hint="default" w:ascii="Times New Roman" w:hAnsi="Times New Roman" w:eastAsia="宋体" w:cs="Times New Roman"/>
                      <w:snapToGrid w:val="0"/>
                      <w:sz w:val="21"/>
                      <w:szCs w:val="21"/>
                      <w:vertAlign w:val="superscript"/>
                    </w:rPr>
                    <w:t>2</w:t>
                  </w:r>
                  <w:r>
                    <w:rPr>
                      <w:rFonts w:hint="eastAsia" w:cs="Times New Roman"/>
                      <w:snapToGrid w:val="0"/>
                      <w:sz w:val="21"/>
                      <w:szCs w:val="21"/>
                      <w:vertAlign w:val="baseline"/>
                      <w:lang w:eastAsia="zh-CN"/>
                    </w:rPr>
                    <w:t>，</w:t>
                  </w:r>
                  <w:r>
                    <w:rPr>
                      <w:rFonts w:hint="default" w:ascii="Times New Roman" w:hAnsi="Times New Roman" w:eastAsia="宋体" w:cs="Times New Roman"/>
                      <w:sz w:val="21"/>
                      <w:szCs w:val="21"/>
                    </w:rPr>
                    <w:t>废活性炭、废灯管等集中收集于废暂存柜内，后交由有资质的单位进行处理</w:t>
                  </w:r>
                </w:p>
              </w:tc>
              <w:tc>
                <w:tcPr>
                  <w:tcW w:w="805" w:type="dxa"/>
                  <w:vAlign w:val="center"/>
                </w:tcPr>
                <w:p>
                  <w:pPr>
                    <w:keepNext w:val="0"/>
                    <w:keepLines w:val="0"/>
                    <w:pageBreakBefore w:val="0"/>
                    <w:widowControl w:val="0"/>
                    <w:kinsoku/>
                    <w:wordWrap/>
                    <w:overflowPunct/>
                    <w:topLinePunct w:val="0"/>
                    <w:autoSpaceDE/>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已建</w:t>
                  </w:r>
                </w:p>
              </w:tc>
            </w:tr>
          </w:tbl>
          <w:p>
            <w:pPr>
              <w:ind w:firstLine="0" w:firstLineChars="0"/>
              <w:rPr>
                <w:rFonts w:hint="eastAsia"/>
                <w:b/>
                <w:sz w:val="28"/>
              </w:rPr>
            </w:pPr>
            <w:r>
              <w:rPr>
                <w:rFonts w:hint="eastAsia"/>
                <w:b/>
                <w:sz w:val="28"/>
                <w:lang w:val="en-US" w:eastAsia="zh-CN"/>
              </w:rPr>
              <w:t>四、</w:t>
            </w:r>
            <w:r>
              <w:rPr>
                <w:rFonts w:hint="eastAsia"/>
                <w:b/>
                <w:sz w:val="28"/>
              </w:rPr>
              <w:t>产品规模</w:t>
            </w:r>
          </w:p>
          <w:p>
            <w:pPr>
              <w:ind w:firstLine="480"/>
              <w:rPr>
                <w:lang w:val="zh-CN"/>
              </w:rPr>
            </w:pPr>
            <w:r>
              <w:t>本项目产品方案见表1</w:t>
            </w:r>
            <w:r>
              <w:rPr>
                <w:rFonts w:hint="eastAsia"/>
              </w:rPr>
              <w:t>-</w:t>
            </w:r>
            <w:r>
              <w:rPr>
                <w:rFonts w:hint="eastAsia"/>
                <w:lang w:val="en-US" w:eastAsia="zh-CN"/>
              </w:rPr>
              <w:t>3</w:t>
            </w:r>
            <w:r>
              <w:t>。</w:t>
            </w:r>
          </w:p>
          <w:p>
            <w:pPr>
              <w:pStyle w:val="207"/>
              <w:rPr>
                <w:lang w:val="zh-CN"/>
              </w:rPr>
            </w:pPr>
            <w:r>
              <w:rPr>
                <w:lang w:val="zh-CN"/>
              </w:rPr>
              <w:t>表</w:t>
            </w:r>
            <w:r>
              <w:t>1</w:t>
            </w:r>
            <w:r>
              <w:rPr>
                <w:rFonts w:hint="eastAsia"/>
              </w:rPr>
              <w:t>-</w:t>
            </w:r>
            <w:r>
              <w:rPr>
                <w:rFonts w:hint="eastAsia"/>
                <w:lang w:val="en-US" w:eastAsia="zh-CN"/>
              </w:rPr>
              <w:t>3</w:t>
            </w:r>
            <w:r>
              <w:rPr>
                <w:lang w:val="zh-CN"/>
              </w:rPr>
              <w:t xml:space="preserve"> 项目主要产品一览表</w:t>
            </w:r>
          </w:p>
          <w:tbl>
            <w:tblPr>
              <w:tblStyle w:val="34"/>
              <w:tblW w:w="8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2127"/>
              <w:gridCol w:w="2127"/>
              <w:gridCol w:w="2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4" w:type="dxa"/>
                  <w:tcBorders>
                    <w:tl2br w:val="nil"/>
                    <w:tr2bl w:val="nil"/>
                  </w:tcBorders>
                  <w:vAlign w:val="center"/>
                </w:tcPr>
                <w:p>
                  <w:pPr>
                    <w:spacing w:line="320" w:lineRule="exact"/>
                    <w:ind w:firstLine="0" w:firstLineChars="0"/>
                    <w:jc w:val="center"/>
                    <w:rPr>
                      <w:rFonts w:eastAsiaTheme="minorEastAsia"/>
                      <w:sz w:val="21"/>
                      <w:szCs w:val="21"/>
                      <w:lang w:val="zh-CN"/>
                    </w:rPr>
                  </w:pPr>
                  <w:r>
                    <w:rPr>
                      <w:rFonts w:hint="eastAsia" w:eastAsiaTheme="minorEastAsia"/>
                      <w:sz w:val="21"/>
                      <w:szCs w:val="21"/>
                      <w:lang w:val="zh-CN"/>
                    </w:rPr>
                    <w:t>序号</w:t>
                  </w:r>
                </w:p>
              </w:tc>
              <w:tc>
                <w:tcPr>
                  <w:tcW w:w="2127" w:type="dxa"/>
                  <w:tcBorders>
                    <w:tl2br w:val="nil"/>
                    <w:tr2bl w:val="nil"/>
                  </w:tcBorders>
                  <w:vAlign w:val="center"/>
                </w:tcPr>
                <w:p>
                  <w:pPr>
                    <w:spacing w:line="320" w:lineRule="exact"/>
                    <w:ind w:firstLine="0" w:firstLineChars="0"/>
                    <w:jc w:val="center"/>
                    <w:rPr>
                      <w:rFonts w:eastAsiaTheme="minorEastAsia"/>
                      <w:sz w:val="21"/>
                      <w:szCs w:val="21"/>
                      <w:lang w:val="zh-CN"/>
                    </w:rPr>
                  </w:pPr>
                  <w:r>
                    <w:rPr>
                      <w:rFonts w:hint="eastAsia" w:eastAsiaTheme="minorEastAsia"/>
                      <w:sz w:val="21"/>
                      <w:szCs w:val="21"/>
                      <w:lang w:val="zh-CN"/>
                    </w:rPr>
                    <w:t>名称</w:t>
                  </w:r>
                </w:p>
              </w:tc>
              <w:tc>
                <w:tcPr>
                  <w:tcW w:w="2127" w:type="dxa"/>
                  <w:tcBorders>
                    <w:tl2br w:val="nil"/>
                    <w:tr2bl w:val="nil"/>
                  </w:tcBorders>
                  <w:vAlign w:val="center"/>
                </w:tcPr>
                <w:p>
                  <w:pPr>
                    <w:spacing w:line="320" w:lineRule="exact"/>
                    <w:ind w:firstLine="0" w:firstLineChars="0"/>
                    <w:jc w:val="center"/>
                    <w:rPr>
                      <w:rFonts w:eastAsiaTheme="minorEastAsia"/>
                      <w:sz w:val="21"/>
                      <w:szCs w:val="21"/>
                      <w:lang w:val="zh-CN"/>
                    </w:rPr>
                  </w:pPr>
                  <w:r>
                    <w:rPr>
                      <w:rFonts w:hint="eastAsia" w:eastAsiaTheme="minorEastAsia"/>
                      <w:sz w:val="21"/>
                      <w:szCs w:val="21"/>
                      <w:lang w:val="zh-CN"/>
                    </w:rPr>
                    <w:t>年产量</w:t>
                  </w:r>
                </w:p>
              </w:tc>
              <w:tc>
                <w:tcPr>
                  <w:tcW w:w="2127" w:type="dxa"/>
                  <w:tcBorders>
                    <w:tl2br w:val="nil"/>
                    <w:tr2bl w:val="nil"/>
                  </w:tcBorders>
                  <w:vAlign w:val="center"/>
                </w:tcPr>
                <w:p>
                  <w:pPr>
                    <w:spacing w:line="320" w:lineRule="exact"/>
                    <w:ind w:firstLine="0" w:firstLineChars="0"/>
                    <w:jc w:val="center"/>
                    <w:rPr>
                      <w:rFonts w:eastAsiaTheme="minorEastAsia"/>
                      <w:sz w:val="21"/>
                      <w:szCs w:val="21"/>
                      <w:lang w:val="zh-CN"/>
                    </w:rPr>
                  </w:pPr>
                  <w:r>
                    <w:rPr>
                      <w:rFonts w:hint="eastAsia" w:eastAsiaTheme="minorEastAsia"/>
                      <w:sz w:val="21"/>
                      <w:szCs w:val="21"/>
                      <w:lang w:val="zh-CN"/>
                    </w:rPr>
                    <w:t>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4" w:type="dxa"/>
                  <w:tcBorders>
                    <w:tl2br w:val="nil"/>
                    <w:tr2bl w:val="nil"/>
                  </w:tcBorders>
                  <w:vAlign w:val="center"/>
                </w:tcPr>
                <w:p>
                  <w:pPr>
                    <w:spacing w:line="320" w:lineRule="exact"/>
                    <w:ind w:firstLine="0" w:firstLineChars="0"/>
                    <w:jc w:val="center"/>
                    <w:rPr>
                      <w:rFonts w:eastAsiaTheme="minorEastAsia"/>
                      <w:sz w:val="21"/>
                      <w:szCs w:val="21"/>
                      <w:lang w:val="zh-CN"/>
                    </w:rPr>
                  </w:pPr>
                  <w:r>
                    <w:rPr>
                      <w:rFonts w:hint="eastAsia" w:eastAsiaTheme="minorEastAsia"/>
                      <w:sz w:val="21"/>
                      <w:szCs w:val="21"/>
                      <w:lang w:val="zh-CN"/>
                    </w:rPr>
                    <w:t>1</w:t>
                  </w:r>
                </w:p>
              </w:tc>
              <w:tc>
                <w:tcPr>
                  <w:tcW w:w="2127" w:type="dxa"/>
                  <w:tcBorders>
                    <w:tl2br w:val="nil"/>
                    <w:tr2bl w:val="nil"/>
                  </w:tcBorders>
                  <w:vAlign w:val="center"/>
                </w:tcPr>
                <w:p>
                  <w:pPr>
                    <w:spacing w:line="320" w:lineRule="exact"/>
                    <w:ind w:firstLine="0" w:firstLineChars="0"/>
                    <w:jc w:val="center"/>
                    <w:rPr>
                      <w:rFonts w:eastAsiaTheme="minorEastAsia"/>
                      <w:sz w:val="21"/>
                      <w:szCs w:val="21"/>
                      <w:lang w:val="zh-CN"/>
                    </w:rPr>
                  </w:pPr>
                  <w:r>
                    <w:rPr>
                      <w:rFonts w:hint="eastAsia" w:eastAsiaTheme="minorEastAsia"/>
                      <w:sz w:val="21"/>
                      <w:szCs w:val="21"/>
                      <w:lang w:val="zh-CN"/>
                    </w:rPr>
                    <w:t>架子床</w:t>
                  </w:r>
                </w:p>
              </w:tc>
              <w:tc>
                <w:tcPr>
                  <w:tcW w:w="2127" w:type="dxa"/>
                  <w:tcBorders>
                    <w:tl2br w:val="nil"/>
                    <w:tr2bl w:val="nil"/>
                  </w:tcBorders>
                  <w:vAlign w:val="center"/>
                </w:tcPr>
                <w:p>
                  <w:pPr>
                    <w:spacing w:line="320" w:lineRule="exact"/>
                    <w:ind w:firstLine="0" w:firstLineChars="0"/>
                    <w:jc w:val="center"/>
                    <w:rPr>
                      <w:rFonts w:eastAsiaTheme="minorEastAsia"/>
                      <w:sz w:val="21"/>
                      <w:szCs w:val="21"/>
                      <w:lang w:val="zh-CN"/>
                    </w:rPr>
                  </w:pPr>
                  <w:r>
                    <w:rPr>
                      <w:rFonts w:hint="eastAsia" w:eastAsiaTheme="minorEastAsia"/>
                      <w:sz w:val="21"/>
                      <w:szCs w:val="21"/>
                      <w:lang w:val="zh-CN"/>
                    </w:rPr>
                    <w:t>10000套</w:t>
                  </w:r>
                </w:p>
              </w:tc>
              <w:tc>
                <w:tcPr>
                  <w:tcW w:w="2127" w:type="dxa"/>
                  <w:tcBorders>
                    <w:tl2br w:val="nil"/>
                    <w:tr2bl w:val="nil"/>
                  </w:tcBorders>
                  <w:vAlign w:val="center"/>
                </w:tcPr>
                <w:p>
                  <w:pPr>
                    <w:spacing w:line="320" w:lineRule="exact"/>
                    <w:ind w:firstLine="0" w:firstLineChars="0"/>
                    <w:jc w:val="center"/>
                    <w:rPr>
                      <w:rFonts w:eastAsiaTheme="minorEastAsia"/>
                      <w:sz w:val="21"/>
                      <w:szCs w:val="21"/>
                      <w:lang w:val="zh-CN"/>
                    </w:rPr>
                  </w:pPr>
                  <w:r>
                    <w:rPr>
                      <w:rFonts w:hint="eastAsia" w:eastAsiaTheme="minorEastAsia"/>
                      <w:sz w:val="21"/>
                      <w:szCs w:val="21"/>
                      <w:lang w:val="zh-CN"/>
                    </w:rPr>
                    <w:t>按客户需求定制</w:t>
                  </w:r>
                </w:p>
              </w:tc>
            </w:tr>
          </w:tbl>
          <w:p>
            <w:pPr>
              <w:pStyle w:val="4"/>
              <w:ind w:firstLine="0" w:firstLineChars="0"/>
            </w:pPr>
            <w:r>
              <w:rPr>
                <w:rFonts w:hint="eastAsia"/>
                <w:lang w:val="en-US" w:eastAsia="zh-CN"/>
              </w:rPr>
              <w:t>五、</w:t>
            </w:r>
            <w:r>
              <w:t>项目主要设备</w:t>
            </w:r>
          </w:p>
          <w:p>
            <w:pPr>
              <w:ind w:firstLine="480"/>
              <w:rPr>
                <w:lang w:val="zh-CN"/>
              </w:rPr>
            </w:pPr>
            <w:r>
              <w:rPr>
                <w:rFonts w:hint="eastAsia"/>
              </w:rPr>
              <w:t>项目主要设备见表</w:t>
            </w:r>
            <w:r>
              <w:rPr>
                <w:rFonts w:hint="eastAsia"/>
                <w:lang w:val="en-US" w:eastAsia="zh-CN"/>
              </w:rPr>
              <w:t>1-4</w:t>
            </w:r>
            <w:r>
              <w:rPr>
                <w:rFonts w:hint="eastAsia"/>
              </w:rPr>
              <w:t>。</w:t>
            </w:r>
          </w:p>
          <w:p>
            <w:pPr>
              <w:pStyle w:val="207"/>
              <w:keepNext w:val="0"/>
              <w:keepLines w:val="0"/>
              <w:pageBreakBefore w:val="0"/>
              <w:widowControl w:val="0"/>
              <w:kinsoku/>
              <w:wordWrap/>
              <w:overflowPunct/>
              <w:topLinePunct w:val="0"/>
              <w:autoSpaceDE/>
              <w:autoSpaceDN/>
              <w:bidi w:val="0"/>
              <w:adjustRightInd/>
              <w:snapToGrid/>
              <w:textAlignment w:val="auto"/>
              <w:rPr>
                <w:lang w:val="zh-CN"/>
              </w:rPr>
            </w:pPr>
            <w:r>
              <w:rPr>
                <w:lang w:val="zh-CN"/>
              </w:rPr>
              <w:t>表</w:t>
            </w:r>
            <w:r>
              <w:rPr>
                <w:rFonts w:hint="eastAsia"/>
              </w:rPr>
              <w:t>1</w:t>
            </w:r>
            <w:r>
              <w:rPr>
                <w:rFonts w:hint="eastAsia"/>
                <w:lang w:val="en-US" w:eastAsia="zh-CN"/>
              </w:rPr>
              <w:t>-</w:t>
            </w:r>
            <w:r>
              <w:rPr>
                <w:rFonts w:hint="eastAsia"/>
              </w:rPr>
              <w:t>4</w:t>
            </w:r>
            <w:r>
              <w:rPr>
                <w:lang w:val="zh-CN"/>
              </w:rPr>
              <w:t xml:space="preserve"> 项目主要设备一览表</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3055"/>
              <w:gridCol w:w="1763"/>
              <w:gridCol w:w="2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序号</w:t>
                  </w:r>
                </w:p>
              </w:tc>
              <w:tc>
                <w:tcPr>
                  <w:tcW w:w="3055" w:type="dxa"/>
                  <w:tcBorders>
                    <w:tl2br w:val="nil"/>
                    <w:tr2bl w:val="nil"/>
                  </w:tcBorders>
                  <w:noWrap w:val="0"/>
                  <w:vAlign w:val="center"/>
                </w:tcPr>
                <w:p>
                  <w:pPr>
                    <w:pStyle w:val="168"/>
                    <w:jc w:val="center"/>
                    <w:rPr>
                      <w:rFonts w:ascii="Times New Roman"/>
                      <w:sz w:val="21"/>
                      <w:szCs w:val="21"/>
                    </w:rPr>
                  </w:pPr>
                  <w:r>
                    <w:rPr>
                      <w:rFonts w:ascii="Times New Roman"/>
                      <w:sz w:val="21"/>
                      <w:szCs w:val="21"/>
                    </w:rPr>
                    <w:t>设备名称</w:t>
                  </w:r>
                </w:p>
              </w:tc>
              <w:tc>
                <w:tcPr>
                  <w:tcW w:w="1763"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单位</w:t>
                  </w:r>
                </w:p>
              </w:tc>
              <w:tc>
                <w:tcPr>
                  <w:tcW w:w="2194"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1</w:t>
                  </w:r>
                </w:p>
              </w:tc>
              <w:tc>
                <w:tcPr>
                  <w:tcW w:w="3055" w:type="dxa"/>
                  <w:tcBorders>
                    <w:tl2br w:val="nil"/>
                    <w:tr2bl w:val="nil"/>
                  </w:tcBorders>
                  <w:noWrap w:val="0"/>
                  <w:vAlign w:val="center"/>
                </w:tcPr>
                <w:p>
                  <w:pPr>
                    <w:pStyle w:val="168"/>
                    <w:jc w:val="center"/>
                    <w:rPr>
                      <w:rFonts w:ascii="Times New Roman"/>
                      <w:sz w:val="21"/>
                      <w:szCs w:val="21"/>
                    </w:rPr>
                  </w:pPr>
                  <w:r>
                    <w:rPr>
                      <w:rFonts w:ascii="Times New Roman"/>
                      <w:sz w:val="21"/>
                      <w:szCs w:val="21"/>
                    </w:rPr>
                    <w:t>静电喷枪</w:t>
                  </w:r>
                </w:p>
              </w:tc>
              <w:tc>
                <w:tcPr>
                  <w:tcW w:w="1763"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台</w:t>
                  </w:r>
                </w:p>
              </w:tc>
              <w:tc>
                <w:tcPr>
                  <w:tcW w:w="2194"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4</w:t>
                  </w:r>
                  <w:r>
                    <w:rPr>
                      <w:rFonts w:ascii="Times New Roman" w:hAnsi="宋体"/>
                      <w:sz w:val="21"/>
                      <w:szCs w:val="21"/>
                    </w:rPr>
                    <w:t>（</w:t>
                  </w:r>
                  <w:r>
                    <w:rPr>
                      <w:rFonts w:ascii="Times New Roman"/>
                      <w:sz w:val="21"/>
                      <w:szCs w:val="21"/>
                    </w:rPr>
                    <w:t>2</w:t>
                  </w:r>
                  <w:r>
                    <w:rPr>
                      <w:rFonts w:ascii="Times New Roman" w:hAnsi="宋体"/>
                      <w:sz w:val="21"/>
                      <w:szCs w:val="21"/>
                    </w:rPr>
                    <w:t>用</w:t>
                  </w:r>
                  <w:r>
                    <w:rPr>
                      <w:rFonts w:ascii="Times New Roman"/>
                      <w:sz w:val="21"/>
                      <w:szCs w:val="21"/>
                    </w:rPr>
                    <w:t>2</w:t>
                  </w:r>
                  <w:r>
                    <w:rPr>
                      <w:rFonts w:ascii="Times New Roman" w:hAnsi="宋体"/>
                      <w:sz w:val="21"/>
                      <w:szCs w:val="21"/>
                    </w:rPr>
                    <w:t>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2</w:t>
                  </w:r>
                </w:p>
              </w:tc>
              <w:tc>
                <w:tcPr>
                  <w:tcW w:w="3055" w:type="dxa"/>
                  <w:tcBorders>
                    <w:tl2br w:val="nil"/>
                    <w:tr2bl w:val="nil"/>
                  </w:tcBorders>
                  <w:noWrap w:val="0"/>
                  <w:vAlign w:val="center"/>
                </w:tcPr>
                <w:p>
                  <w:pPr>
                    <w:pStyle w:val="168"/>
                    <w:jc w:val="center"/>
                    <w:rPr>
                      <w:rFonts w:ascii="Times New Roman"/>
                      <w:sz w:val="21"/>
                      <w:szCs w:val="21"/>
                    </w:rPr>
                  </w:pPr>
                  <w:r>
                    <w:rPr>
                      <w:rFonts w:ascii="Times New Roman"/>
                      <w:sz w:val="21"/>
                      <w:szCs w:val="21"/>
                    </w:rPr>
                    <w:t>烤箱</w:t>
                  </w:r>
                </w:p>
              </w:tc>
              <w:tc>
                <w:tcPr>
                  <w:tcW w:w="1763"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台</w:t>
                  </w:r>
                </w:p>
              </w:tc>
              <w:tc>
                <w:tcPr>
                  <w:tcW w:w="2194"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3</w:t>
                  </w:r>
                </w:p>
              </w:tc>
              <w:tc>
                <w:tcPr>
                  <w:tcW w:w="3055" w:type="dxa"/>
                  <w:tcBorders>
                    <w:tl2br w:val="nil"/>
                    <w:tr2bl w:val="nil"/>
                  </w:tcBorders>
                  <w:noWrap w:val="0"/>
                  <w:vAlign w:val="center"/>
                </w:tcPr>
                <w:p>
                  <w:pPr>
                    <w:pStyle w:val="168"/>
                    <w:jc w:val="center"/>
                    <w:rPr>
                      <w:rFonts w:ascii="Times New Roman"/>
                      <w:sz w:val="21"/>
                      <w:szCs w:val="21"/>
                    </w:rPr>
                  </w:pPr>
                  <w:r>
                    <w:rPr>
                      <w:rFonts w:ascii="Times New Roman"/>
                      <w:sz w:val="21"/>
                      <w:szCs w:val="21"/>
                    </w:rPr>
                    <w:t>天然气燃烧机</w:t>
                  </w:r>
                </w:p>
              </w:tc>
              <w:tc>
                <w:tcPr>
                  <w:tcW w:w="1763"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台</w:t>
                  </w:r>
                </w:p>
              </w:tc>
              <w:tc>
                <w:tcPr>
                  <w:tcW w:w="2194" w:type="dxa"/>
                  <w:tcBorders>
                    <w:tl2br w:val="nil"/>
                    <w:tr2bl w:val="nil"/>
                  </w:tcBorders>
                  <w:noWrap w:val="0"/>
                  <w:vAlign w:val="center"/>
                </w:tcPr>
                <w:p>
                  <w:pPr>
                    <w:pStyle w:val="168"/>
                    <w:ind w:left="0" w:leftChars="0" w:firstLine="0" w:firstLineChars="0"/>
                    <w:jc w:val="center"/>
                    <w:rPr>
                      <w:rFonts w:hint="eastAsia" w:ascii="Times New Roman" w:eastAsia="宋体"/>
                      <w:sz w:val="21"/>
                      <w:szCs w:val="21"/>
                      <w:lang w:eastAsia="zh-CN"/>
                    </w:rPr>
                  </w:pPr>
                  <w:r>
                    <w:rPr>
                      <w:rFonts w:hint="eastAsia" w:ascii="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4</w:t>
                  </w:r>
                </w:p>
              </w:tc>
              <w:tc>
                <w:tcPr>
                  <w:tcW w:w="3055" w:type="dxa"/>
                  <w:tcBorders>
                    <w:tl2br w:val="nil"/>
                    <w:tr2bl w:val="nil"/>
                  </w:tcBorders>
                  <w:noWrap w:val="0"/>
                  <w:vAlign w:val="center"/>
                </w:tcPr>
                <w:p>
                  <w:pPr>
                    <w:pStyle w:val="168"/>
                    <w:jc w:val="center"/>
                    <w:rPr>
                      <w:rFonts w:ascii="Times New Roman"/>
                      <w:sz w:val="21"/>
                      <w:szCs w:val="21"/>
                    </w:rPr>
                  </w:pPr>
                  <w:r>
                    <w:rPr>
                      <w:rFonts w:ascii="Times New Roman"/>
                      <w:sz w:val="21"/>
                      <w:szCs w:val="21"/>
                    </w:rPr>
                    <w:t>二保焊机</w:t>
                  </w:r>
                </w:p>
              </w:tc>
              <w:tc>
                <w:tcPr>
                  <w:tcW w:w="1763"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台</w:t>
                  </w:r>
                </w:p>
              </w:tc>
              <w:tc>
                <w:tcPr>
                  <w:tcW w:w="2194" w:type="dxa"/>
                  <w:tcBorders>
                    <w:tl2br w:val="nil"/>
                    <w:tr2bl w:val="nil"/>
                  </w:tcBorders>
                  <w:noWrap w:val="0"/>
                  <w:vAlign w:val="center"/>
                </w:tcPr>
                <w:p>
                  <w:pPr>
                    <w:pStyle w:val="168"/>
                    <w:ind w:left="0" w:leftChars="0" w:firstLine="0" w:firstLineChars="0"/>
                    <w:jc w:val="center"/>
                    <w:rPr>
                      <w:rFonts w:hint="eastAsia" w:ascii="Times New Roman" w:eastAsia="宋体"/>
                      <w:sz w:val="21"/>
                      <w:szCs w:val="21"/>
                      <w:lang w:eastAsia="zh-CN"/>
                    </w:rPr>
                  </w:pPr>
                  <w:r>
                    <w:rPr>
                      <w:rFonts w:hint="eastAsia" w:ascii="Times New Roman"/>
                      <w:sz w:val="21"/>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5</w:t>
                  </w:r>
                </w:p>
              </w:tc>
              <w:tc>
                <w:tcPr>
                  <w:tcW w:w="3055" w:type="dxa"/>
                  <w:tcBorders>
                    <w:tl2br w:val="nil"/>
                    <w:tr2bl w:val="nil"/>
                  </w:tcBorders>
                  <w:noWrap w:val="0"/>
                  <w:vAlign w:val="center"/>
                </w:tcPr>
                <w:p>
                  <w:pPr>
                    <w:pStyle w:val="168"/>
                    <w:jc w:val="center"/>
                    <w:rPr>
                      <w:rFonts w:hint="default" w:ascii="Times New Roman" w:eastAsia="宋体"/>
                      <w:sz w:val="21"/>
                      <w:szCs w:val="21"/>
                      <w:lang w:val="en-US" w:eastAsia="zh-CN"/>
                    </w:rPr>
                  </w:pPr>
                  <w:r>
                    <w:rPr>
                      <w:rFonts w:hint="eastAsia" w:ascii="Times New Roman"/>
                      <w:sz w:val="21"/>
                      <w:szCs w:val="21"/>
                      <w:lang w:val="en-US" w:eastAsia="zh-CN"/>
                    </w:rPr>
                    <w:t>切割机</w:t>
                  </w:r>
                </w:p>
              </w:tc>
              <w:tc>
                <w:tcPr>
                  <w:tcW w:w="1763"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台</w:t>
                  </w:r>
                </w:p>
              </w:tc>
              <w:tc>
                <w:tcPr>
                  <w:tcW w:w="2194" w:type="dxa"/>
                  <w:tcBorders>
                    <w:tl2br w:val="nil"/>
                    <w:tr2bl w:val="nil"/>
                  </w:tcBorders>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6</w:t>
                  </w:r>
                </w:p>
              </w:tc>
              <w:tc>
                <w:tcPr>
                  <w:tcW w:w="3055" w:type="dxa"/>
                  <w:tcBorders>
                    <w:tl2br w:val="nil"/>
                    <w:tr2bl w:val="nil"/>
                  </w:tcBorders>
                  <w:noWrap w:val="0"/>
                  <w:vAlign w:val="center"/>
                </w:tcPr>
                <w:p>
                  <w:pPr>
                    <w:pStyle w:val="168"/>
                    <w:jc w:val="center"/>
                    <w:rPr>
                      <w:rFonts w:ascii="Times New Roman"/>
                      <w:sz w:val="21"/>
                      <w:szCs w:val="21"/>
                    </w:rPr>
                  </w:pPr>
                  <w:r>
                    <w:rPr>
                      <w:rFonts w:ascii="Times New Roman"/>
                      <w:sz w:val="21"/>
                      <w:szCs w:val="21"/>
                    </w:rPr>
                    <w:t>空压机</w:t>
                  </w:r>
                </w:p>
              </w:tc>
              <w:tc>
                <w:tcPr>
                  <w:tcW w:w="1763"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台</w:t>
                  </w:r>
                </w:p>
              </w:tc>
              <w:tc>
                <w:tcPr>
                  <w:tcW w:w="2194"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ascii="Times New Roman"/>
                      <w:sz w:val="21"/>
                      <w:szCs w:val="21"/>
                    </w:rPr>
                  </w:pPr>
                  <w:r>
                    <w:rPr>
                      <w:rFonts w:hint="eastAsia" w:ascii="Times New Roman"/>
                      <w:sz w:val="21"/>
                      <w:szCs w:val="21"/>
                    </w:rPr>
                    <w:t>7</w:t>
                  </w:r>
                </w:p>
              </w:tc>
              <w:tc>
                <w:tcPr>
                  <w:tcW w:w="3055" w:type="dxa"/>
                  <w:tcBorders>
                    <w:tl2br w:val="nil"/>
                    <w:tr2bl w:val="nil"/>
                  </w:tcBorders>
                  <w:noWrap w:val="0"/>
                  <w:vAlign w:val="center"/>
                </w:tcPr>
                <w:p>
                  <w:pPr>
                    <w:pStyle w:val="168"/>
                    <w:jc w:val="center"/>
                    <w:rPr>
                      <w:rFonts w:ascii="Times New Roman"/>
                      <w:sz w:val="21"/>
                      <w:szCs w:val="21"/>
                    </w:rPr>
                  </w:pPr>
                  <w:r>
                    <w:rPr>
                      <w:rFonts w:ascii="Times New Roman"/>
                      <w:sz w:val="21"/>
                      <w:szCs w:val="21"/>
                    </w:rPr>
                    <w:t>风机</w:t>
                  </w:r>
                </w:p>
              </w:tc>
              <w:tc>
                <w:tcPr>
                  <w:tcW w:w="1763"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台</w:t>
                  </w:r>
                </w:p>
              </w:tc>
              <w:tc>
                <w:tcPr>
                  <w:tcW w:w="2194"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hint="eastAsia" w:ascii="Times New Roman" w:eastAsia="宋体"/>
                      <w:sz w:val="21"/>
                      <w:szCs w:val="21"/>
                      <w:lang w:eastAsia="zh-CN"/>
                    </w:rPr>
                  </w:pPr>
                  <w:r>
                    <w:rPr>
                      <w:rFonts w:hint="eastAsia" w:ascii="Times New Roman"/>
                      <w:sz w:val="21"/>
                      <w:szCs w:val="21"/>
                      <w:lang w:val="en-US" w:eastAsia="zh-CN"/>
                    </w:rPr>
                    <w:t>8</w:t>
                  </w:r>
                </w:p>
              </w:tc>
              <w:tc>
                <w:tcPr>
                  <w:tcW w:w="3055" w:type="dxa"/>
                  <w:tcBorders>
                    <w:tl2br w:val="nil"/>
                    <w:tr2bl w:val="nil"/>
                  </w:tcBorders>
                  <w:noWrap w:val="0"/>
                  <w:vAlign w:val="center"/>
                </w:tcPr>
                <w:p>
                  <w:pPr>
                    <w:pStyle w:val="168"/>
                    <w:jc w:val="center"/>
                    <w:rPr>
                      <w:rFonts w:ascii="Times New Roman"/>
                      <w:sz w:val="21"/>
                      <w:szCs w:val="21"/>
                    </w:rPr>
                  </w:pPr>
                  <w:r>
                    <w:rPr>
                      <w:rFonts w:hint="eastAsia" w:ascii="Times New Roman"/>
                      <w:sz w:val="21"/>
                      <w:szCs w:val="21"/>
                      <w:lang w:val="en-US" w:eastAsia="zh-CN"/>
                    </w:rPr>
                    <w:t>LNG</w:t>
                  </w:r>
                  <w:r>
                    <w:rPr>
                      <w:rFonts w:ascii="Times New Roman"/>
                      <w:sz w:val="21"/>
                      <w:szCs w:val="21"/>
                    </w:rPr>
                    <w:t>储罐</w:t>
                  </w:r>
                  <w:r>
                    <w:rPr>
                      <w:rFonts w:hint="eastAsia" w:ascii="Times New Roman"/>
                      <w:sz w:val="21"/>
                      <w:szCs w:val="21"/>
                    </w:rPr>
                    <w:t>（</w:t>
                  </w:r>
                  <w:r>
                    <w:rPr>
                      <w:rFonts w:hint="eastAsia" w:ascii="Times New Roman"/>
                      <w:sz w:val="21"/>
                      <w:szCs w:val="21"/>
                      <w:lang w:val="en-US" w:eastAsia="zh-CN"/>
                    </w:rPr>
                    <w:t>5</w:t>
                  </w:r>
                  <w:r>
                    <w:rPr>
                      <w:rFonts w:hint="eastAsia" w:ascii="Times New Roman"/>
                      <w:sz w:val="21"/>
                      <w:szCs w:val="21"/>
                    </w:rPr>
                    <w:t>0kg）</w:t>
                  </w:r>
                </w:p>
              </w:tc>
              <w:tc>
                <w:tcPr>
                  <w:tcW w:w="1763" w:type="dxa"/>
                  <w:tcBorders>
                    <w:tl2br w:val="nil"/>
                    <w:tr2bl w:val="nil"/>
                  </w:tcBorders>
                  <w:noWrap w:val="0"/>
                  <w:vAlign w:val="center"/>
                </w:tcPr>
                <w:p>
                  <w:pPr>
                    <w:pStyle w:val="168"/>
                    <w:ind w:left="0" w:leftChars="0" w:firstLine="0" w:firstLineChars="0"/>
                    <w:jc w:val="center"/>
                    <w:rPr>
                      <w:rFonts w:ascii="Times New Roman"/>
                      <w:sz w:val="21"/>
                      <w:szCs w:val="21"/>
                    </w:rPr>
                  </w:pPr>
                  <w:r>
                    <w:rPr>
                      <w:rFonts w:ascii="Times New Roman"/>
                      <w:sz w:val="21"/>
                      <w:szCs w:val="21"/>
                    </w:rPr>
                    <w:t>个</w:t>
                  </w:r>
                </w:p>
              </w:tc>
              <w:tc>
                <w:tcPr>
                  <w:tcW w:w="2194" w:type="dxa"/>
                  <w:tcBorders>
                    <w:tl2br w:val="nil"/>
                    <w:tr2bl w:val="nil"/>
                  </w:tcBorders>
                  <w:noWrap w:val="0"/>
                  <w:vAlign w:val="center"/>
                </w:tcPr>
                <w:p>
                  <w:pPr>
                    <w:pStyle w:val="168"/>
                    <w:ind w:left="0" w:leftChars="0" w:firstLine="0" w:firstLineChars="0"/>
                    <w:jc w:val="center"/>
                    <w:rPr>
                      <w:rFonts w:ascii="Times New Roman"/>
                      <w:sz w:val="21"/>
                      <w:szCs w:val="21"/>
                    </w:rPr>
                  </w:pPr>
                  <w:r>
                    <w:rPr>
                      <w:rFonts w:hint="eastAsia" w:ascii="Times New Roman"/>
                      <w:sz w:val="21"/>
                      <w:szCs w:val="21"/>
                      <w:lang w:val="en-US" w:eastAsia="zh-CN"/>
                    </w:rPr>
                    <w:t>4</w:t>
                  </w:r>
                  <w:r>
                    <w:rPr>
                      <w:rFonts w:ascii="Times New Roman" w:hAnsi="宋体"/>
                      <w:sz w:val="21"/>
                      <w:szCs w:val="21"/>
                    </w:rPr>
                    <w:t>（</w:t>
                  </w:r>
                  <w:r>
                    <w:rPr>
                      <w:rFonts w:hint="eastAsia" w:ascii="Times New Roman"/>
                      <w:sz w:val="21"/>
                      <w:szCs w:val="21"/>
                      <w:lang w:val="en-US" w:eastAsia="zh-CN"/>
                    </w:rPr>
                    <w:t>3</w:t>
                  </w:r>
                  <w:r>
                    <w:rPr>
                      <w:rFonts w:ascii="Times New Roman" w:hAnsi="宋体"/>
                      <w:sz w:val="21"/>
                      <w:szCs w:val="21"/>
                    </w:rPr>
                    <w:t>用</w:t>
                  </w:r>
                  <w:r>
                    <w:rPr>
                      <w:rFonts w:hint="eastAsia" w:ascii="Times New Roman"/>
                      <w:sz w:val="21"/>
                      <w:szCs w:val="21"/>
                    </w:rPr>
                    <w:t>1</w:t>
                  </w:r>
                  <w:r>
                    <w:rPr>
                      <w:rFonts w:ascii="Times New Roman" w:hAnsi="宋体"/>
                      <w:sz w:val="21"/>
                      <w:szCs w:val="21"/>
                    </w:rPr>
                    <w:t>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9</w:t>
                  </w:r>
                </w:p>
              </w:tc>
              <w:tc>
                <w:tcPr>
                  <w:tcW w:w="3055" w:type="dxa"/>
                  <w:tcBorders>
                    <w:tl2br w:val="nil"/>
                    <w:tr2bl w:val="nil"/>
                  </w:tcBorders>
                  <w:noWrap w:val="0"/>
                  <w:vAlign w:val="center"/>
                </w:tcPr>
                <w:p>
                  <w:pPr>
                    <w:pStyle w:val="168"/>
                    <w:jc w:val="center"/>
                    <w:rPr>
                      <w:rFonts w:hint="default" w:ascii="Times New Roman"/>
                      <w:sz w:val="21"/>
                      <w:szCs w:val="21"/>
                      <w:lang w:val="en-US" w:eastAsia="zh-CN"/>
                    </w:rPr>
                  </w:pPr>
                  <w:r>
                    <w:rPr>
                      <w:rFonts w:hint="eastAsia" w:ascii="Times New Roman"/>
                      <w:sz w:val="21"/>
                      <w:szCs w:val="21"/>
                      <w:lang w:val="en-US" w:eastAsia="zh-CN"/>
                    </w:rPr>
                    <w:t>推台锯</w:t>
                  </w:r>
                </w:p>
              </w:tc>
              <w:tc>
                <w:tcPr>
                  <w:tcW w:w="1763" w:type="dxa"/>
                  <w:tcBorders>
                    <w:tl2br w:val="nil"/>
                    <w:tr2bl w:val="nil"/>
                  </w:tcBorders>
                  <w:noWrap w:val="0"/>
                  <w:vAlign w:val="center"/>
                </w:tcPr>
                <w:p>
                  <w:pPr>
                    <w:pStyle w:val="168"/>
                    <w:ind w:left="0" w:leftChars="0" w:firstLine="0" w:firstLineChars="0"/>
                    <w:jc w:val="center"/>
                    <w:rPr>
                      <w:rFonts w:hint="eastAsia" w:ascii="Times New Roman" w:eastAsia="宋体"/>
                      <w:sz w:val="21"/>
                      <w:szCs w:val="21"/>
                      <w:lang w:val="en-US" w:eastAsia="zh-CN"/>
                    </w:rPr>
                  </w:pPr>
                  <w:r>
                    <w:rPr>
                      <w:rFonts w:hint="eastAsia" w:ascii="Times New Roman"/>
                      <w:sz w:val="21"/>
                      <w:szCs w:val="21"/>
                      <w:lang w:val="en-US" w:eastAsia="zh-CN"/>
                    </w:rPr>
                    <w:t>台</w:t>
                  </w:r>
                </w:p>
              </w:tc>
              <w:tc>
                <w:tcPr>
                  <w:tcW w:w="2194" w:type="dxa"/>
                  <w:tcBorders>
                    <w:tl2br w:val="nil"/>
                    <w:tr2bl w:val="nil"/>
                  </w:tcBorders>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10</w:t>
                  </w:r>
                </w:p>
              </w:tc>
              <w:tc>
                <w:tcPr>
                  <w:tcW w:w="3055" w:type="dxa"/>
                  <w:tcBorders>
                    <w:tl2br w:val="nil"/>
                    <w:tr2bl w:val="nil"/>
                  </w:tcBorders>
                  <w:noWrap w:val="0"/>
                  <w:vAlign w:val="center"/>
                </w:tcPr>
                <w:p>
                  <w:pPr>
                    <w:pStyle w:val="168"/>
                    <w:jc w:val="center"/>
                    <w:rPr>
                      <w:rFonts w:hint="default" w:ascii="Times New Roman"/>
                      <w:sz w:val="21"/>
                      <w:szCs w:val="21"/>
                      <w:lang w:val="en-US" w:eastAsia="zh-CN"/>
                    </w:rPr>
                  </w:pPr>
                  <w:r>
                    <w:rPr>
                      <w:rFonts w:hint="eastAsia" w:ascii="Times New Roman"/>
                      <w:sz w:val="21"/>
                      <w:szCs w:val="21"/>
                      <w:lang w:val="en-US" w:eastAsia="zh-CN"/>
                    </w:rPr>
                    <w:t>排钻</w:t>
                  </w:r>
                </w:p>
              </w:tc>
              <w:tc>
                <w:tcPr>
                  <w:tcW w:w="1763" w:type="dxa"/>
                  <w:tcBorders>
                    <w:tl2br w:val="nil"/>
                    <w:tr2bl w:val="nil"/>
                  </w:tcBorders>
                  <w:noWrap w:val="0"/>
                  <w:vAlign w:val="center"/>
                </w:tcPr>
                <w:p>
                  <w:pPr>
                    <w:pStyle w:val="168"/>
                    <w:ind w:left="0" w:leftChars="0" w:firstLine="0" w:firstLineChars="0"/>
                    <w:jc w:val="center"/>
                    <w:rPr>
                      <w:rFonts w:hint="eastAsia" w:ascii="Times New Roman" w:eastAsia="宋体"/>
                      <w:sz w:val="21"/>
                      <w:szCs w:val="21"/>
                      <w:lang w:val="en-US" w:eastAsia="zh-CN"/>
                    </w:rPr>
                  </w:pPr>
                  <w:r>
                    <w:rPr>
                      <w:rFonts w:hint="eastAsia" w:ascii="Times New Roman"/>
                      <w:sz w:val="21"/>
                      <w:szCs w:val="21"/>
                      <w:lang w:val="en-US" w:eastAsia="zh-CN"/>
                    </w:rPr>
                    <w:t>台</w:t>
                  </w:r>
                </w:p>
              </w:tc>
              <w:tc>
                <w:tcPr>
                  <w:tcW w:w="2194" w:type="dxa"/>
                  <w:tcBorders>
                    <w:tl2br w:val="nil"/>
                    <w:tr2bl w:val="nil"/>
                  </w:tcBorders>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jc w:val="center"/>
              </w:trPr>
              <w:tc>
                <w:tcPr>
                  <w:tcW w:w="1492" w:type="dxa"/>
                  <w:tcBorders>
                    <w:tl2br w:val="nil"/>
                    <w:tr2bl w:val="nil"/>
                  </w:tcBorders>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11</w:t>
                  </w:r>
                </w:p>
              </w:tc>
              <w:tc>
                <w:tcPr>
                  <w:tcW w:w="3055" w:type="dxa"/>
                  <w:tcBorders>
                    <w:tl2br w:val="nil"/>
                    <w:tr2bl w:val="nil"/>
                  </w:tcBorders>
                  <w:noWrap w:val="0"/>
                  <w:vAlign w:val="center"/>
                </w:tcPr>
                <w:p>
                  <w:pPr>
                    <w:pStyle w:val="168"/>
                    <w:jc w:val="center"/>
                    <w:rPr>
                      <w:rFonts w:hint="default" w:ascii="Times New Roman"/>
                      <w:sz w:val="21"/>
                      <w:szCs w:val="21"/>
                      <w:lang w:val="en-US" w:eastAsia="zh-CN"/>
                    </w:rPr>
                  </w:pPr>
                  <w:r>
                    <w:rPr>
                      <w:rFonts w:hint="eastAsia" w:ascii="Times New Roman"/>
                      <w:sz w:val="21"/>
                      <w:szCs w:val="21"/>
                      <w:lang w:val="en-US" w:eastAsia="zh-CN"/>
                    </w:rPr>
                    <w:t>封边机</w:t>
                  </w:r>
                </w:p>
              </w:tc>
              <w:tc>
                <w:tcPr>
                  <w:tcW w:w="1763" w:type="dxa"/>
                  <w:tcBorders>
                    <w:tl2br w:val="nil"/>
                    <w:tr2bl w:val="nil"/>
                  </w:tcBorders>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台</w:t>
                  </w:r>
                </w:p>
              </w:tc>
              <w:tc>
                <w:tcPr>
                  <w:tcW w:w="2194" w:type="dxa"/>
                  <w:tcBorders>
                    <w:tl2br w:val="nil"/>
                    <w:tr2bl w:val="nil"/>
                  </w:tcBorders>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1</w:t>
                  </w:r>
                </w:p>
              </w:tc>
            </w:tr>
          </w:tbl>
          <w:p>
            <w:pPr>
              <w:pStyle w:val="4"/>
              <w:ind w:firstLine="0" w:firstLineChars="0"/>
            </w:pPr>
            <w:r>
              <w:rPr>
                <w:rFonts w:hint="eastAsia"/>
                <w:lang w:val="en-US" w:eastAsia="zh-CN"/>
              </w:rPr>
              <w:t>六、</w:t>
            </w:r>
            <w:r>
              <w:t>项目原辅材料</w:t>
            </w:r>
            <w:r>
              <w:rPr>
                <w:rFonts w:hint="eastAsia"/>
              </w:rPr>
              <w:t>及能源消耗</w:t>
            </w:r>
          </w:p>
          <w:p>
            <w:pPr>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eastAsia="宋体" w:cs="Times New Roman"/>
              </w:rPr>
            </w:pPr>
            <w:r>
              <w:rPr>
                <w:rFonts w:hint="default" w:ascii="Times New Roman" w:hAnsi="Times New Roman" w:eastAsia="宋体" w:cs="Times New Roman"/>
              </w:rPr>
              <w:t>根据项目生产能力，项目</w:t>
            </w:r>
            <w:r>
              <w:rPr>
                <w:rFonts w:hint="default" w:ascii="Times New Roman" w:hAnsi="Times New Roman" w:eastAsia="宋体" w:cs="Times New Roman"/>
                <w:lang w:val="en-US" w:eastAsia="zh-CN"/>
              </w:rPr>
              <w:t>原辅材料消耗件</w:t>
            </w:r>
            <w:r>
              <w:rPr>
                <w:rFonts w:hint="default" w:ascii="Times New Roman" w:hAnsi="Times New Roman" w:eastAsia="宋体" w:cs="Times New Roman"/>
              </w:rPr>
              <w:t>表1</w:t>
            </w:r>
            <w:r>
              <w:rPr>
                <w:rFonts w:hint="default" w:ascii="Times New Roman" w:hAnsi="Times New Roman" w:eastAsia="宋体" w:cs="Times New Roman"/>
                <w:lang w:val="en-US" w:eastAsia="zh-CN"/>
              </w:rPr>
              <w:t>-</w:t>
            </w:r>
            <w:r>
              <w:rPr>
                <w:rFonts w:hint="default" w:ascii="Times New Roman" w:hAnsi="Times New Roman" w:eastAsia="宋体" w:cs="Times New Roman"/>
              </w:rPr>
              <w:t>5所示。</w:t>
            </w:r>
          </w:p>
          <w:p>
            <w:pPr>
              <w:pStyle w:val="207"/>
              <w:keepNext w:val="0"/>
              <w:keepLines w:val="0"/>
              <w:pageBreakBefore w:val="0"/>
              <w:widowControl w:val="0"/>
              <w:kinsoku/>
              <w:wordWrap/>
              <w:overflowPunct/>
              <w:topLinePunct w:val="0"/>
              <w:autoSpaceDE/>
              <w:autoSpaceDN/>
              <w:bidi w:val="0"/>
              <w:adjustRightInd/>
              <w:snapToGrid/>
              <w:textAlignment w:val="auto"/>
              <w:rPr>
                <w:rFonts w:hint="default"/>
                <w:lang w:val="zh-CN"/>
              </w:rPr>
            </w:pPr>
            <w:r>
              <w:rPr>
                <w:rFonts w:hint="default"/>
                <w:lang w:val="zh-CN"/>
              </w:rPr>
              <w:t>表1</w:t>
            </w:r>
            <w:r>
              <w:rPr>
                <w:rFonts w:hint="default"/>
                <w:lang w:val="en-US" w:eastAsia="zh-CN"/>
              </w:rPr>
              <w:t>-</w:t>
            </w:r>
            <w:r>
              <w:rPr>
                <w:rFonts w:hint="default"/>
                <w:lang w:val="zh-CN"/>
              </w:rPr>
              <w:t>5 项目主要原辅材料及动力消耗情况</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853"/>
              <w:gridCol w:w="2298"/>
              <w:gridCol w:w="1239"/>
              <w:gridCol w:w="1404"/>
              <w:gridCol w:w="27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序号</w:t>
                  </w:r>
                </w:p>
              </w:tc>
              <w:tc>
                <w:tcPr>
                  <w:tcW w:w="2298"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名称</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单位</w:t>
                  </w:r>
                </w:p>
              </w:tc>
              <w:tc>
                <w:tcPr>
                  <w:tcW w:w="1404"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消耗量</w:t>
                  </w:r>
                </w:p>
              </w:tc>
              <w:tc>
                <w:tcPr>
                  <w:tcW w:w="2710"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lang w:val="en-US" w:eastAsia="zh-CN"/>
                    </w:rPr>
                  </w:pPr>
                  <w:r>
                    <w:rPr>
                      <w:rFonts w:hint="default" w:ascii="Times New Roman" w:hAnsi="Times New Roman" w:eastAsia="宋体" w:cs="Times New Roman"/>
                      <w:spacing w:val="8"/>
                      <w:kern w:val="24"/>
                      <w:sz w:val="21"/>
                      <w:szCs w:val="21"/>
                      <w:lang w:val="en-US" w:eastAsia="zh-CN"/>
                    </w:rPr>
                    <w:t>1</w:t>
                  </w:r>
                </w:p>
              </w:tc>
              <w:tc>
                <w:tcPr>
                  <w:tcW w:w="2298"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lang w:val="en-US" w:eastAsia="zh-CN"/>
                    </w:rPr>
                  </w:pPr>
                  <w:r>
                    <w:rPr>
                      <w:rFonts w:hint="eastAsia" w:cs="Times New Roman"/>
                      <w:spacing w:val="8"/>
                      <w:kern w:val="24"/>
                      <w:sz w:val="21"/>
                      <w:szCs w:val="21"/>
                      <w:lang w:val="en-US" w:eastAsia="zh-CN"/>
                    </w:rPr>
                    <w:t>钢管</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t/a</w:t>
                  </w:r>
                </w:p>
              </w:tc>
              <w:tc>
                <w:tcPr>
                  <w:tcW w:w="1404"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lang w:val="en-US" w:eastAsia="zh-CN"/>
                    </w:rPr>
                  </w:pPr>
                  <w:r>
                    <w:rPr>
                      <w:rFonts w:hint="default" w:ascii="Times New Roman" w:hAnsi="Times New Roman" w:eastAsia="宋体" w:cs="Times New Roman"/>
                      <w:spacing w:val="8"/>
                      <w:kern w:val="24"/>
                      <w:sz w:val="21"/>
                      <w:szCs w:val="21"/>
                      <w:lang w:val="en-US" w:eastAsia="zh-CN"/>
                    </w:rPr>
                    <w:t>200</w:t>
                  </w:r>
                </w:p>
              </w:tc>
              <w:tc>
                <w:tcPr>
                  <w:tcW w:w="2710"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lang w:val="en-US" w:eastAsia="zh-CN"/>
                    </w:rPr>
                    <w:t>45#碳钢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eastAsia" w:ascii="Times New Roman" w:hAnsi="Times New Roman" w:eastAsia="宋体" w:cs="Times New Roman"/>
                      <w:kern w:val="24"/>
                      <w:sz w:val="21"/>
                      <w:szCs w:val="21"/>
                      <w:lang w:eastAsia="zh-CN"/>
                    </w:rPr>
                  </w:pPr>
                  <w:r>
                    <w:rPr>
                      <w:rFonts w:hint="eastAsia" w:cs="Times New Roman"/>
                      <w:kern w:val="24"/>
                      <w:sz w:val="21"/>
                      <w:szCs w:val="21"/>
                      <w:lang w:val="en-US" w:eastAsia="zh-CN"/>
                    </w:rPr>
                    <w:t>2</w:t>
                  </w:r>
                </w:p>
              </w:tc>
              <w:tc>
                <w:tcPr>
                  <w:tcW w:w="2298" w:type="dxa"/>
                  <w:tcBorders>
                    <w:tl2br w:val="nil"/>
                    <w:tr2bl w:val="nil"/>
                  </w:tcBorders>
                  <w:noWrap w:val="0"/>
                  <w:vAlign w:val="center"/>
                </w:tcPr>
                <w:p>
                  <w:pPr>
                    <w:pStyle w:val="168"/>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静电粉末涂料</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t/a</w:t>
                  </w:r>
                </w:p>
              </w:tc>
              <w:tc>
                <w:tcPr>
                  <w:tcW w:w="1404" w:type="dxa"/>
                  <w:tcBorders>
                    <w:tl2br w:val="nil"/>
                    <w:tr2bl w:val="nil"/>
                  </w:tcBorders>
                  <w:noWrap w:val="0"/>
                  <w:vAlign w:val="center"/>
                </w:tcPr>
                <w:p>
                  <w:pPr>
                    <w:pStyle w:val="168"/>
                    <w:ind w:left="0" w:lef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5</w:t>
                  </w:r>
                </w:p>
              </w:tc>
              <w:tc>
                <w:tcPr>
                  <w:tcW w:w="2710" w:type="dxa"/>
                  <w:tcBorders>
                    <w:tl2br w:val="nil"/>
                    <w:tr2bl w:val="nil"/>
                  </w:tcBorders>
                  <w:noWrap w:val="0"/>
                  <w:vAlign w:val="center"/>
                </w:tcPr>
                <w:p>
                  <w:pPr>
                    <w:autoSpaceDN w:val="0"/>
                    <w:spacing w:line="30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外购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kern w:val="24"/>
                      <w:sz w:val="21"/>
                      <w:szCs w:val="21"/>
                    </w:rPr>
                  </w:pPr>
                  <w:r>
                    <w:rPr>
                      <w:rFonts w:hint="default" w:ascii="Times New Roman" w:hAnsi="Times New Roman" w:eastAsia="宋体" w:cs="Times New Roman"/>
                      <w:kern w:val="24"/>
                      <w:sz w:val="21"/>
                      <w:szCs w:val="21"/>
                    </w:rPr>
                    <w:t>3</w:t>
                  </w:r>
                </w:p>
              </w:tc>
              <w:tc>
                <w:tcPr>
                  <w:tcW w:w="2298" w:type="dxa"/>
                  <w:tcBorders>
                    <w:tl2br w:val="nil"/>
                    <w:tr2bl w:val="nil"/>
                  </w:tcBorders>
                  <w:noWrap w:val="0"/>
                  <w:vAlign w:val="center"/>
                </w:tcPr>
                <w:p>
                  <w:pPr>
                    <w:pStyle w:val="168"/>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焊丝</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t/a</w:t>
                  </w:r>
                </w:p>
              </w:tc>
              <w:tc>
                <w:tcPr>
                  <w:tcW w:w="1404" w:type="dxa"/>
                  <w:tcBorders>
                    <w:tl2br w:val="nil"/>
                    <w:tr2bl w:val="nil"/>
                  </w:tcBorders>
                  <w:noWrap w:val="0"/>
                  <w:vAlign w:val="center"/>
                </w:tcPr>
                <w:p>
                  <w:pPr>
                    <w:pStyle w:val="168"/>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2710" w:type="dxa"/>
                  <w:tcBorders>
                    <w:tl2br w:val="nil"/>
                    <w:tr2bl w:val="nil"/>
                  </w:tcBorders>
                  <w:noWrap w:val="0"/>
                  <w:vAlign w:val="center"/>
                </w:tcPr>
                <w:p>
                  <w:pPr>
                    <w:autoSpaceDN w:val="0"/>
                    <w:spacing w:line="300" w:lineRule="auto"/>
                    <w:ind w:left="0" w:leftChars="0"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实芯1.0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kern w:val="24"/>
                      <w:sz w:val="21"/>
                      <w:szCs w:val="21"/>
                      <w:lang w:val="en-US" w:eastAsia="zh-CN" w:bidi="ar-SA"/>
                    </w:rPr>
                  </w:pPr>
                  <w:r>
                    <w:rPr>
                      <w:rFonts w:hint="default" w:ascii="Times New Roman" w:hAnsi="Times New Roman" w:eastAsia="宋体" w:cs="Times New Roman"/>
                      <w:kern w:val="24"/>
                      <w:sz w:val="21"/>
                      <w:szCs w:val="21"/>
                    </w:rPr>
                    <w:t>4</w:t>
                  </w:r>
                </w:p>
              </w:tc>
              <w:tc>
                <w:tcPr>
                  <w:tcW w:w="2298" w:type="dxa"/>
                  <w:tcBorders>
                    <w:tl2br w:val="nil"/>
                    <w:tr2bl w:val="nil"/>
                  </w:tcBorders>
                  <w:noWrap w:val="0"/>
                  <w:vAlign w:val="center"/>
                </w:tcPr>
                <w:p>
                  <w:pPr>
                    <w:pStyle w:val="168"/>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颗粒板</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eastAsia" w:cs="Times New Roman"/>
                      <w:spacing w:val="8"/>
                      <w:kern w:val="24"/>
                      <w:sz w:val="21"/>
                      <w:szCs w:val="21"/>
                      <w:lang w:val="en-US" w:eastAsia="zh-CN"/>
                    </w:rPr>
                    <w:t>m</w:t>
                  </w:r>
                  <w:r>
                    <w:rPr>
                      <w:rFonts w:hint="eastAsia" w:cs="Times New Roman"/>
                      <w:spacing w:val="8"/>
                      <w:kern w:val="24"/>
                      <w:sz w:val="21"/>
                      <w:szCs w:val="21"/>
                      <w:vertAlign w:val="superscript"/>
                      <w:lang w:val="en-US" w:eastAsia="zh-CN"/>
                    </w:rPr>
                    <w:t>3</w:t>
                  </w:r>
                  <w:r>
                    <w:rPr>
                      <w:rFonts w:hint="default" w:ascii="Times New Roman" w:hAnsi="Times New Roman" w:eastAsia="宋体" w:cs="Times New Roman"/>
                      <w:spacing w:val="8"/>
                      <w:kern w:val="24"/>
                      <w:sz w:val="21"/>
                      <w:szCs w:val="21"/>
                    </w:rPr>
                    <w:t>/a</w:t>
                  </w:r>
                </w:p>
              </w:tc>
              <w:tc>
                <w:tcPr>
                  <w:tcW w:w="1404" w:type="dxa"/>
                  <w:tcBorders>
                    <w:tl2br w:val="nil"/>
                    <w:tr2bl w:val="nil"/>
                  </w:tcBorders>
                  <w:noWrap w:val="0"/>
                  <w:vAlign w:val="center"/>
                </w:tcPr>
                <w:p>
                  <w:pPr>
                    <w:pStyle w:val="168"/>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1000</w:t>
                  </w:r>
                </w:p>
              </w:tc>
              <w:tc>
                <w:tcPr>
                  <w:tcW w:w="2710" w:type="dxa"/>
                  <w:tcBorders>
                    <w:tl2br w:val="nil"/>
                    <w:tr2bl w:val="nil"/>
                  </w:tcBorders>
                  <w:noWrap w:val="0"/>
                  <w:vAlign w:val="center"/>
                </w:tcPr>
                <w:p>
                  <w:pPr>
                    <w:autoSpaceDN w:val="0"/>
                    <w:spacing w:line="300" w:lineRule="auto"/>
                    <w:ind w:left="0" w:leftChars="0" w:firstLine="0" w:firstLineChars="0"/>
                    <w:jc w:val="center"/>
                    <w:rPr>
                      <w:rFonts w:hint="default" w:cs="Times New Roman"/>
                      <w:sz w:val="21"/>
                      <w:szCs w:val="21"/>
                      <w:lang w:val="en-US" w:eastAsia="zh-CN"/>
                    </w:rPr>
                  </w:pPr>
                  <w:r>
                    <w:rPr>
                      <w:rFonts w:hint="eastAsia" w:cs="Times New Roman"/>
                      <w:sz w:val="21"/>
                      <w:szCs w:val="21"/>
                      <w:lang w:val="en-US" w:eastAsia="zh-CN"/>
                    </w:rPr>
                    <w:t>外购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kern w:val="24"/>
                      <w:sz w:val="21"/>
                      <w:szCs w:val="21"/>
                      <w:lang w:val="en-US" w:eastAsia="zh-CN" w:bidi="ar-SA"/>
                    </w:rPr>
                  </w:pPr>
                  <w:r>
                    <w:rPr>
                      <w:rFonts w:hint="eastAsia" w:cs="Times New Roman"/>
                      <w:kern w:val="24"/>
                      <w:sz w:val="21"/>
                      <w:szCs w:val="21"/>
                      <w:lang w:val="en-US" w:eastAsia="zh-CN"/>
                    </w:rPr>
                    <w:t>5</w:t>
                  </w:r>
                </w:p>
              </w:tc>
              <w:tc>
                <w:tcPr>
                  <w:tcW w:w="2298" w:type="dxa"/>
                  <w:tcBorders>
                    <w:tl2br w:val="nil"/>
                    <w:tr2bl w:val="nil"/>
                  </w:tcBorders>
                  <w:noWrap w:val="0"/>
                  <w:vAlign w:val="center"/>
                </w:tcPr>
                <w:p>
                  <w:pPr>
                    <w:pStyle w:val="168"/>
                    <w:ind w:left="0" w:leftChars="0"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热熔胶</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eastAsia" w:cs="Times New Roman"/>
                      <w:spacing w:val="8"/>
                      <w:kern w:val="24"/>
                      <w:sz w:val="21"/>
                      <w:szCs w:val="21"/>
                      <w:lang w:val="en-US" w:eastAsia="zh-CN"/>
                    </w:rPr>
                  </w:pPr>
                  <w:r>
                    <w:rPr>
                      <w:rFonts w:hint="default" w:ascii="Times New Roman" w:hAnsi="Times New Roman" w:eastAsia="宋体" w:cs="Times New Roman"/>
                      <w:spacing w:val="8"/>
                      <w:kern w:val="24"/>
                      <w:sz w:val="21"/>
                      <w:szCs w:val="21"/>
                    </w:rPr>
                    <w:t>t/a</w:t>
                  </w:r>
                </w:p>
              </w:tc>
              <w:tc>
                <w:tcPr>
                  <w:tcW w:w="1404" w:type="dxa"/>
                  <w:tcBorders>
                    <w:tl2br w:val="nil"/>
                    <w:tr2bl w:val="nil"/>
                  </w:tcBorders>
                  <w:noWrap w:val="0"/>
                  <w:vAlign w:val="center"/>
                </w:tcPr>
                <w:p>
                  <w:pPr>
                    <w:pStyle w:val="168"/>
                    <w:ind w:left="0" w:leftChars="0"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0.020</w:t>
                  </w:r>
                </w:p>
              </w:tc>
              <w:tc>
                <w:tcPr>
                  <w:tcW w:w="2710" w:type="dxa"/>
                  <w:tcBorders>
                    <w:tl2br w:val="nil"/>
                    <w:tr2bl w:val="nil"/>
                  </w:tcBorders>
                  <w:noWrap w:val="0"/>
                  <w:vAlign w:val="center"/>
                </w:tcPr>
                <w:p>
                  <w:pPr>
                    <w:autoSpaceDN w:val="0"/>
                    <w:spacing w:line="300" w:lineRule="auto"/>
                    <w:ind w:left="0" w:leftChars="0" w:firstLine="0" w:firstLineChars="0"/>
                    <w:jc w:val="center"/>
                    <w:rPr>
                      <w:rFonts w:hint="default" w:cs="Times New Roman"/>
                      <w:sz w:val="21"/>
                      <w:szCs w:val="21"/>
                      <w:lang w:val="en-US" w:eastAsia="zh-CN"/>
                    </w:rPr>
                  </w:pPr>
                  <w:r>
                    <w:rPr>
                      <w:rFonts w:hint="eastAsia" w:cs="Times New Roman"/>
                      <w:sz w:val="21"/>
                      <w:szCs w:val="21"/>
                      <w:lang w:val="en-US" w:eastAsia="zh-CN"/>
                    </w:rPr>
                    <w:t>外购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eastAsia" w:ascii="Times New Roman" w:hAnsi="Times New Roman" w:eastAsia="宋体" w:cs="Times New Roman"/>
                      <w:kern w:val="24"/>
                      <w:sz w:val="21"/>
                      <w:szCs w:val="21"/>
                      <w:lang w:val="en-US" w:eastAsia="zh-CN" w:bidi="ar-SA"/>
                    </w:rPr>
                  </w:pPr>
                  <w:r>
                    <w:rPr>
                      <w:rFonts w:hint="eastAsia" w:cs="Times New Roman"/>
                      <w:kern w:val="24"/>
                      <w:sz w:val="21"/>
                      <w:szCs w:val="21"/>
                      <w:lang w:val="en-US" w:eastAsia="zh-CN"/>
                    </w:rPr>
                    <w:t>6</w:t>
                  </w:r>
                </w:p>
              </w:tc>
              <w:tc>
                <w:tcPr>
                  <w:tcW w:w="2298" w:type="dxa"/>
                  <w:tcBorders>
                    <w:tl2br w:val="nil"/>
                    <w:tr2bl w:val="nil"/>
                  </w:tcBorders>
                  <w:noWrap w:val="0"/>
                  <w:vAlign w:val="center"/>
                </w:tcPr>
                <w:p>
                  <w:pPr>
                    <w:pStyle w:val="168"/>
                    <w:ind w:left="0" w:leftChars="0"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封边条</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eastAsia" w:cs="Times New Roman"/>
                      <w:spacing w:val="8"/>
                      <w:kern w:val="24"/>
                      <w:sz w:val="21"/>
                      <w:szCs w:val="21"/>
                      <w:lang w:val="en-US" w:eastAsia="zh-CN"/>
                    </w:rPr>
                    <w:t>m</w:t>
                  </w:r>
                  <w:r>
                    <w:rPr>
                      <w:rFonts w:hint="default" w:ascii="Times New Roman" w:hAnsi="Times New Roman" w:eastAsia="宋体" w:cs="Times New Roman"/>
                      <w:spacing w:val="8"/>
                      <w:kern w:val="24"/>
                      <w:sz w:val="21"/>
                      <w:szCs w:val="21"/>
                    </w:rPr>
                    <w:t>/a</w:t>
                  </w:r>
                </w:p>
              </w:tc>
              <w:tc>
                <w:tcPr>
                  <w:tcW w:w="1404" w:type="dxa"/>
                  <w:tcBorders>
                    <w:tl2br w:val="nil"/>
                    <w:tr2bl w:val="nil"/>
                  </w:tcBorders>
                  <w:noWrap w:val="0"/>
                  <w:vAlign w:val="center"/>
                </w:tcPr>
                <w:p>
                  <w:pPr>
                    <w:pStyle w:val="168"/>
                    <w:ind w:left="0" w:leftChars="0"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1000</w:t>
                  </w:r>
                </w:p>
              </w:tc>
              <w:tc>
                <w:tcPr>
                  <w:tcW w:w="2710" w:type="dxa"/>
                  <w:tcBorders>
                    <w:tl2br w:val="nil"/>
                    <w:tr2bl w:val="nil"/>
                  </w:tcBorders>
                  <w:noWrap w:val="0"/>
                  <w:vAlign w:val="center"/>
                </w:tcPr>
                <w:p>
                  <w:pPr>
                    <w:autoSpaceDN w:val="0"/>
                    <w:spacing w:line="300" w:lineRule="auto"/>
                    <w:ind w:left="0" w:leftChars="0" w:firstLine="0" w:firstLineChars="0"/>
                    <w:jc w:val="center"/>
                    <w:rPr>
                      <w:rFonts w:hint="default" w:cs="Times New Roman"/>
                      <w:sz w:val="21"/>
                      <w:szCs w:val="21"/>
                      <w:lang w:val="en-US" w:eastAsia="zh-CN"/>
                    </w:rPr>
                  </w:pPr>
                  <w:r>
                    <w:rPr>
                      <w:rFonts w:hint="eastAsia" w:cs="Times New Roman"/>
                      <w:sz w:val="21"/>
                      <w:szCs w:val="21"/>
                      <w:lang w:val="en-US" w:eastAsia="zh-CN"/>
                    </w:rPr>
                    <w:t>外购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kern w:val="24"/>
                      <w:sz w:val="21"/>
                      <w:szCs w:val="21"/>
                      <w:lang w:val="en-US" w:eastAsia="zh-CN" w:bidi="ar-SA"/>
                    </w:rPr>
                  </w:pPr>
                  <w:r>
                    <w:rPr>
                      <w:rFonts w:hint="eastAsia" w:cs="Times New Roman"/>
                      <w:kern w:val="24"/>
                      <w:sz w:val="21"/>
                      <w:szCs w:val="21"/>
                      <w:lang w:val="en-US" w:eastAsia="zh-CN"/>
                    </w:rPr>
                    <w:t>7</w:t>
                  </w:r>
                </w:p>
              </w:tc>
              <w:tc>
                <w:tcPr>
                  <w:tcW w:w="2298" w:type="dxa"/>
                  <w:tcBorders>
                    <w:tl2br w:val="nil"/>
                    <w:tr2bl w:val="nil"/>
                  </w:tcBorders>
                  <w:noWrap w:val="0"/>
                  <w:vAlign w:val="center"/>
                </w:tcPr>
                <w:p>
                  <w:pPr>
                    <w:pStyle w:val="168"/>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液化天然气</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t/a</w:t>
                  </w:r>
                </w:p>
              </w:tc>
              <w:tc>
                <w:tcPr>
                  <w:tcW w:w="1404" w:type="dxa"/>
                  <w:tcBorders>
                    <w:tl2br w:val="nil"/>
                    <w:tr2bl w:val="nil"/>
                  </w:tcBorders>
                  <w:noWrap w:val="0"/>
                  <w:vAlign w:val="center"/>
                </w:tcPr>
                <w:p>
                  <w:pPr>
                    <w:pStyle w:val="168"/>
                    <w:ind w:left="0" w:leftChars="0"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5</w:t>
                  </w:r>
                </w:p>
              </w:tc>
              <w:tc>
                <w:tcPr>
                  <w:tcW w:w="2710" w:type="dxa"/>
                  <w:tcBorders>
                    <w:tl2br w:val="nil"/>
                    <w:tr2bl w:val="nil"/>
                  </w:tcBorders>
                  <w:noWrap w:val="0"/>
                  <w:vAlign w:val="center"/>
                </w:tcPr>
                <w:p>
                  <w:pPr>
                    <w:autoSpaceDN w:val="0"/>
                    <w:spacing w:line="30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外购，最大储存量为</w:t>
                  </w:r>
                  <w:r>
                    <w:rPr>
                      <w:rFonts w:hint="eastAsia" w:cs="Times New Roman"/>
                      <w:sz w:val="21"/>
                      <w:szCs w:val="21"/>
                      <w:lang w:val="en-US" w:eastAsia="zh-CN"/>
                    </w:rPr>
                    <w:t>1</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0kg</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eastAsia" w:ascii="Times New Roman" w:hAnsi="Times New Roman" w:eastAsia="宋体" w:cs="Times New Roman"/>
                      <w:kern w:val="24"/>
                      <w:sz w:val="21"/>
                      <w:szCs w:val="21"/>
                      <w:lang w:val="en-US" w:eastAsia="zh-CN" w:bidi="ar-SA"/>
                    </w:rPr>
                  </w:pPr>
                  <w:r>
                    <w:rPr>
                      <w:rFonts w:hint="eastAsia" w:cs="Times New Roman"/>
                      <w:kern w:val="24"/>
                      <w:sz w:val="21"/>
                      <w:szCs w:val="21"/>
                      <w:lang w:val="en-US" w:eastAsia="zh-CN"/>
                    </w:rPr>
                    <w:t>8</w:t>
                  </w:r>
                </w:p>
              </w:tc>
              <w:tc>
                <w:tcPr>
                  <w:tcW w:w="2298"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kern w:val="24"/>
                      <w:sz w:val="21"/>
                      <w:szCs w:val="21"/>
                    </w:rPr>
                  </w:pPr>
                  <w:r>
                    <w:rPr>
                      <w:rFonts w:hint="default" w:ascii="Times New Roman" w:hAnsi="Times New Roman" w:eastAsia="宋体" w:cs="Times New Roman"/>
                      <w:kern w:val="24"/>
                      <w:sz w:val="21"/>
                      <w:szCs w:val="21"/>
                    </w:rPr>
                    <w:t>水</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t/a</w:t>
                  </w:r>
                </w:p>
              </w:tc>
              <w:tc>
                <w:tcPr>
                  <w:tcW w:w="1404"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kern w:val="0"/>
                      <w:sz w:val="21"/>
                      <w:szCs w:val="21"/>
                    </w:rPr>
                    <w:t>111</w:t>
                  </w:r>
                </w:p>
              </w:tc>
              <w:tc>
                <w:tcPr>
                  <w:tcW w:w="2710"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rPr>
                    <w:t>由当地供水管网提供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53"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kern w:val="24"/>
                      <w:sz w:val="21"/>
                      <w:szCs w:val="21"/>
                      <w:lang w:val="en-US" w:eastAsia="zh-CN"/>
                    </w:rPr>
                  </w:pPr>
                  <w:r>
                    <w:rPr>
                      <w:rFonts w:hint="eastAsia" w:cs="Times New Roman"/>
                      <w:kern w:val="24"/>
                      <w:sz w:val="21"/>
                      <w:szCs w:val="21"/>
                      <w:lang w:val="en-US" w:eastAsia="zh-CN"/>
                    </w:rPr>
                    <w:t>9</w:t>
                  </w:r>
                </w:p>
              </w:tc>
              <w:tc>
                <w:tcPr>
                  <w:tcW w:w="2298"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kern w:val="24"/>
                      <w:sz w:val="21"/>
                      <w:szCs w:val="21"/>
                    </w:rPr>
                  </w:pPr>
                  <w:r>
                    <w:rPr>
                      <w:rFonts w:hint="default" w:ascii="Times New Roman" w:hAnsi="Times New Roman" w:eastAsia="宋体" w:cs="Times New Roman"/>
                      <w:kern w:val="24"/>
                      <w:sz w:val="21"/>
                      <w:szCs w:val="21"/>
                    </w:rPr>
                    <w:t>电</w:t>
                  </w:r>
                </w:p>
              </w:tc>
              <w:tc>
                <w:tcPr>
                  <w:tcW w:w="1239"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eastAsia" w:ascii="Times New Roman" w:hAnsi="Times New Roman" w:eastAsia="宋体" w:cs="Times New Roman"/>
                      <w:spacing w:val="8"/>
                      <w:kern w:val="24"/>
                      <w:sz w:val="21"/>
                      <w:szCs w:val="21"/>
                      <w:lang w:val="en-US" w:eastAsia="zh-CN"/>
                    </w:rPr>
                  </w:pPr>
                  <w:r>
                    <w:rPr>
                      <w:rFonts w:hint="eastAsia" w:cs="Times New Roman"/>
                      <w:spacing w:val="8"/>
                      <w:kern w:val="24"/>
                      <w:sz w:val="21"/>
                      <w:szCs w:val="21"/>
                      <w:lang w:val="en-US" w:eastAsia="zh-CN"/>
                    </w:rPr>
                    <w:t>度</w:t>
                  </w:r>
                </w:p>
              </w:tc>
              <w:tc>
                <w:tcPr>
                  <w:tcW w:w="1404"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pacing w:val="8"/>
                      <w:kern w:val="24"/>
                      <w:sz w:val="21"/>
                      <w:szCs w:val="21"/>
                    </w:rPr>
                  </w:pPr>
                  <w:r>
                    <w:rPr>
                      <w:rFonts w:hint="default" w:ascii="Times New Roman" w:hAnsi="Times New Roman" w:eastAsia="宋体" w:cs="Times New Roman"/>
                      <w:spacing w:val="8"/>
                      <w:kern w:val="24"/>
                      <w:sz w:val="21"/>
                      <w:szCs w:val="21"/>
                    </w:rPr>
                    <w:t>2.5万</w:t>
                  </w:r>
                </w:p>
              </w:tc>
              <w:tc>
                <w:tcPr>
                  <w:tcW w:w="2710" w:type="dxa"/>
                  <w:tcBorders>
                    <w:tl2br w:val="nil"/>
                    <w:tr2bl w:val="nil"/>
                  </w:tcBorders>
                  <w:noWrap w:val="0"/>
                  <w:vAlign w:val="center"/>
                </w:tcPr>
                <w:p>
                  <w:pPr>
                    <w:autoSpaceDE w:val="0"/>
                    <w:autoSpaceDN w:val="0"/>
                    <w:adjustRightInd w:val="0"/>
                    <w:spacing w:line="260" w:lineRule="exact"/>
                    <w:ind w:left="0" w:leftChars="0" w:firstLine="0" w:firstLineChars="0"/>
                    <w:jc w:val="center"/>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rPr>
                    <w:t>由当地供电管网提供</w:t>
                  </w:r>
                </w:p>
              </w:tc>
            </w:tr>
          </w:tbl>
          <w:p>
            <w:pPr>
              <w:keepNext w:val="0"/>
              <w:keepLines w:val="0"/>
              <w:pageBreakBefore w:val="0"/>
              <w:widowControl w:val="0"/>
              <w:kinsoku/>
              <w:wordWrap/>
              <w:overflowPunct/>
              <w:topLinePunct w:val="0"/>
              <w:autoSpaceDE/>
              <w:autoSpaceDN w:val="0"/>
              <w:bidi w:val="0"/>
              <w:adjustRightInd/>
              <w:snapToGrid/>
              <w:spacing w:line="360" w:lineRule="auto"/>
              <w:jc w:val="left"/>
              <w:textAlignment w:val="auto"/>
              <w:rPr>
                <w:rFonts w:hint="eastAsia"/>
                <w:szCs w:val="21"/>
                <w:lang w:val="en-US" w:eastAsia="zh-CN"/>
              </w:rPr>
            </w:pPr>
            <w:r>
              <w:rPr>
                <w:rFonts w:hint="eastAsia"/>
                <w:szCs w:val="21"/>
                <w:lang w:val="en-US" w:eastAsia="zh-CN"/>
              </w:rPr>
              <w:t>项目所用部分原材料理化性质：</w:t>
            </w:r>
          </w:p>
          <w:p>
            <w:pPr>
              <w:keepNext w:val="0"/>
              <w:keepLines w:val="0"/>
              <w:pageBreakBefore w:val="0"/>
              <w:widowControl w:val="0"/>
              <w:kinsoku/>
              <w:wordWrap/>
              <w:overflowPunct/>
              <w:topLinePunct w:val="0"/>
              <w:autoSpaceDE/>
              <w:autoSpaceDN w:val="0"/>
              <w:bidi w:val="0"/>
              <w:adjustRightInd/>
              <w:snapToGrid/>
              <w:spacing w:line="360" w:lineRule="auto"/>
              <w:ind w:left="0" w:leftChars="0"/>
              <w:jc w:val="left"/>
              <w:textAlignment w:val="auto"/>
              <w:rPr>
                <w:rFonts w:hint="default" w:ascii="Times New Roman" w:hAnsi="Times New Roman" w:eastAsia="宋体" w:cs="Times New Roman"/>
              </w:rPr>
            </w:pPr>
            <w:r>
              <w:rPr>
                <w:rFonts w:hint="default" w:ascii="Times New Roman" w:hAnsi="Times New Roman" w:eastAsia="宋体" w:cs="Times New Roman"/>
                <w:szCs w:val="21"/>
              </w:rPr>
              <w:t>静电粉末涂料</w:t>
            </w:r>
            <w:r>
              <w:rPr>
                <w:rFonts w:hint="default" w:ascii="Times New Roman" w:hAnsi="Times New Roman" w:eastAsia="宋体" w:cs="Times New Roman"/>
                <w:szCs w:val="21"/>
                <w:lang w:eastAsia="zh-CN"/>
              </w:rPr>
              <w:t>：</w:t>
            </w:r>
            <w:r>
              <w:rPr>
                <w:rFonts w:hint="default" w:ascii="Times New Roman" w:hAnsi="Times New Roman" w:eastAsia="宋体" w:cs="Times New Roman"/>
              </w:rPr>
              <w:t>本项目采用的塑粉是热固型</w:t>
            </w:r>
            <w:r>
              <w:rPr>
                <w:rFonts w:hint="default" w:ascii="Times New Roman" w:hAnsi="Times New Roman" w:eastAsia="宋体" w:cs="Times New Roman"/>
                <w:lang w:val="en-US" w:eastAsia="zh-CN"/>
              </w:rPr>
              <w:t>塑粉</w:t>
            </w:r>
            <w:r>
              <w:rPr>
                <w:rFonts w:hint="default" w:ascii="Times New Roman" w:hAnsi="Times New Roman" w:eastAsia="宋体" w:cs="Times New Roman"/>
              </w:rPr>
              <w:t>，该塑粉为无毒环保耐活性型粉末，对人体无毒害，具有涂膜附着力优良、坚韧、耐用等特点，为绿色环保粉末产品。本项目使用的塑粉由环氧聚酯树脂、固化剂、颜料、填料、助剂组成。粉末主要成分为环氧树脂60%，填料33%、固化剂(异氰尿酸三缩水甘油酯)5%，助剂（聚乙烯）1%及颜料1%。</w:t>
            </w:r>
          </w:p>
          <w:p>
            <w:pPr>
              <w:keepNext w:val="0"/>
              <w:keepLines w:val="0"/>
              <w:pageBreakBefore w:val="0"/>
              <w:widowControl w:val="0"/>
              <w:kinsoku/>
              <w:wordWrap/>
              <w:overflowPunct/>
              <w:topLinePunct w:val="0"/>
              <w:autoSpaceDE/>
              <w:bidi w:val="0"/>
              <w:adjustRightInd/>
              <w:snapToGrid/>
              <w:ind w:left="0" w:leftChars="0"/>
              <w:textAlignment w:val="auto"/>
              <w:rPr>
                <w:rFonts w:hint="eastAsia" w:cs="Times New Roman"/>
                <w:kern w:val="0"/>
                <w:lang w:eastAsia="zh-CN"/>
              </w:rPr>
            </w:pPr>
            <w:r>
              <w:rPr>
                <w:rFonts w:hint="default" w:ascii="Times New Roman" w:hAnsi="Times New Roman" w:eastAsia="宋体" w:cs="Times New Roman"/>
                <w:szCs w:val="21"/>
              </w:rPr>
              <w:t>液化天然气</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LNG</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shd w:val="clear" w:color="auto" w:fill="FFFFFF"/>
              </w:rPr>
              <w:t>主要由甲烷(85%)和少量乙烷(9%)、丙烷(3%)、氮(2%)和丁烷(1%)组成。主要用作燃料，也用于制造乙醛、乙炔、氨、碳黑、乙醇、甲醛、</w:t>
            </w:r>
            <w:r>
              <w:rPr>
                <w:rFonts w:hint="default" w:ascii="Times New Roman" w:hAnsi="Times New Roman" w:eastAsia="宋体" w:cs="Times New Roman"/>
                <w:szCs w:val="21"/>
              </w:rPr>
              <w:fldChar w:fldCharType="begin"/>
            </w:r>
            <w:r>
              <w:rPr>
                <w:rFonts w:hint="default" w:ascii="Times New Roman" w:hAnsi="Times New Roman" w:eastAsia="宋体" w:cs="Times New Roman"/>
                <w:szCs w:val="21"/>
              </w:rPr>
              <w:instrText xml:space="preserve"> HYPERLINK "https://baike.sogou.com/lemma/ShowInnerLink.htm?lemmaId=72303599&amp;ss_c=ssc.citiao.link" \t "_blank" </w:instrText>
            </w:r>
            <w:r>
              <w:rPr>
                <w:rFonts w:hint="default" w:ascii="Times New Roman" w:hAnsi="Times New Roman" w:eastAsia="宋体" w:cs="Times New Roman"/>
                <w:szCs w:val="21"/>
              </w:rPr>
              <w:fldChar w:fldCharType="separate"/>
            </w:r>
            <w:r>
              <w:rPr>
                <w:rStyle w:val="43"/>
                <w:rFonts w:hint="default" w:ascii="Times New Roman" w:hAnsi="Times New Roman" w:eastAsia="宋体" w:cs="Times New Roman"/>
                <w:color w:val="auto"/>
                <w:szCs w:val="21"/>
                <w:u w:val="none"/>
                <w:shd w:val="clear" w:color="auto" w:fill="FFFFFF"/>
              </w:rPr>
              <w:t>烃类燃料</w:t>
            </w:r>
            <w:r>
              <w:rPr>
                <w:rFonts w:hint="default" w:ascii="Times New Roman" w:hAnsi="Times New Roman" w:eastAsia="宋体" w:cs="Times New Roman"/>
                <w:szCs w:val="21"/>
              </w:rPr>
              <w:fldChar w:fldCharType="end"/>
            </w:r>
            <w:r>
              <w:rPr>
                <w:rFonts w:hint="default" w:ascii="Times New Roman" w:hAnsi="Times New Roman" w:eastAsia="宋体" w:cs="Times New Roman"/>
                <w:szCs w:val="21"/>
                <w:shd w:val="clear" w:color="auto" w:fill="FFFFFF"/>
              </w:rPr>
              <w:t>、</w:t>
            </w:r>
            <w:r>
              <w:rPr>
                <w:rFonts w:hint="default" w:ascii="Times New Roman" w:hAnsi="Times New Roman" w:eastAsia="宋体" w:cs="Times New Roman"/>
                <w:szCs w:val="21"/>
              </w:rPr>
              <w:fldChar w:fldCharType="begin"/>
            </w:r>
            <w:r>
              <w:rPr>
                <w:rFonts w:hint="default" w:ascii="Times New Roman" w:hAnsi="Times New Roman" w:eastAsia="宋体" w:cs="Times New Roman"/>
                <w:szCs w:val="21"/>
              </w:rPr>
              <w:instrText xml:space="preserve"> HYPERLINK "https://baike.sogou.com/lemma/ShowInnerLink.htm?lemmaId=747461&amp;ss_c=ssc.citiao.link" \t "_blank" </w:instrText>
            </w:r>
            <w:r>
              <w:rPr>
                <w:rFonts w:hint="default" w:ascii="Times New Roman" w:hAnsi="Times New Roman" w:eastAsia="宋体" w:cs="Times New Roman"/>
                <w:szCs w:val="21"/>
              </w:rPr>
              <w:fldChar w:fldCharType="separate"/>
            </w:r>
            <w:r>
              <w:rPr>
                <w:rStyle w:val="43"/>
                <w:rFonts w:hint="default" w:ascii="Times New Roman" w:hAnsi="Times New Roman" w:eastAsia="宋体" w:cs="Times New Roman"/>
                <w:color w:val="auto"/>
                <w:szCs w:val="21"/>
                <w:u w:val="none"/>
                <w:shd w:val="clear" w:color="auto" w:fill="FFFFFF"/>
              </w:rPr>
              <w:t>氢化油</w:t>
            </w:r>
            <w:r>
              <w:rPr>
                <w:rFonts w:hint="default" w:ascii="Times New Roman" w:hAnsi="Times New Roman" w:eastAsia="宋体" w:cs="Times New Roman"/>
                <w:szCs w:val="21"/>
              </w:rPr>
              <w:fldChar w:fldCharType="end"/>
            </w:r>
            <w:r>
              <w:rPr>
                <w:rFonts w:hint="default" w:ascii="Times New Roman" w:hAnsi="Times New Roman" w:eastAsia="宋体" w:cs="Times New Roman"/>
                <w:szCs w:val="21"/>
                <w:shd w:val="clear" w:color="auto" w:fill="FFFFFF"/>
              </w:rPr>
              <w:t>、甲醇、硝酸、</w:t>
            </w:r>
            <w:r>
              <w:rPr>
                <w:rFonts w:hint="default" w:ascii="Times New Roman" w:hAnsi="Times New Roman" w:eastAsia="宋体" w:cs="Times New Roman"/>
                <w:szCs w:val="21"/>
              </w:rPr>
              <w:fldChar w:fldCharType="begin"/>
            </w:r>
            <w:r>
              <w:rPr>
                <w:rFonts w:hint="default" w:ascii="Times New Roman" w:hAnsi="Times New Roman" w:eastAsia="宋体" w:cs="Times New Roman"/>
                <w:szCs w:val="21"/>
              </w:rPr>
              <w:instrText xml:space="preserve"> HYPERLINK "https://baike.sogou.com/lemma/ShowInnerLink.htm?lemmaId=7716281&amp;ss_c=ssc.citiao.link" \t "_blank" </w:instrText>
            </w:r>
            <w:r>
              <w:rPr>
                <w:rFonts w:hint="default" w:ascii="Times New Roman" w:hAnsi="Times New Roman" w:eastAsia="宋体" w:cs="Times New Roman"/>
                <w:szCs w:val="21"/>
              </w:rPr>
              <w:fldChar w:fldCharType="separate"/>
            </w:r>
            <w:r>
              <w:rPr>
                <w:rStyle w:val="43"/>
                <w:rFonts w:hint="default" w:ascii="Times New Roman" w:hAnsi="Times New Roman" w:eastAsia="宋体" w:cs="Times New Roman"/>
                <w:color w:val="auto"/>
                <w:szCs w:val="21"/>
                <w:u w:val="none"/>
                <w:shd w:val="clear" w:color="auto" w:fill="FFFFFF"/>
              </w:rPr>
              <w:t>合成气</w:t>
            </w:r>
            <w:r>
              <w:rPr>
                <w:rFonts w:hint="default" w:ascii="Times New Roman" w:hAnsi="Times New Roman" w:eastAsia="宋体" w:cs="Times New Roman"/>
                <w:szCs w:val="21"/>
              </w:rPr>
              <w:fldChar w:fldCharType="end"/>
            </w:r>
            <w:r>
              <w:rPr>
                <w:rFonts w:hint="default" w:ascii="Times New Roman" w:hAnsi="Times New Roman" w:eastAsia="宋体" w:cs="Times New Roman"/>
                <w:szCs w:val="21"/>
                <w:shd w:val="clear" w:color="auto" w:fill="FFFFFF"/>
              </w:rPr>
              <w:t>和氯乙烯等化学物的原料。</w:t>
            </w:r>
            <w:r>
              <w:rPr>
                <w:rFonts w:hint="default" w:ascii="Times New Roman" w:hAnsi="Times New Roman" w:eastAsia="宋体" w:cs="Times New Roman"/>
                <w:kern w:val="0"/>
              </w:rPr>
              <w:t>外观</w:t>
            </w:r>
            <w:r>
              <w:rPr>
                <w:rFonts w:hint="default" w:ascii="Times New Roman" w:hAnsi="Times New Roman" w:eastAsia="宋体" w:cs="Times New Roman"/>
                <w:shd w:val="clear" w:color="auto" w:fill="FFFFFF"/>
              </w:rPr>
              <w:t>无色无臭液体</w:t>
            </w:r>
            <w:r>
              <w:rPr>
                <w:rFonts w:hint="eastAsia" w:cs="Times New Roman"/>
                <w:shd w:val="clear" w:color="auto" w:fill="FFFFFF"/>
                <w:lang w:eastAsia="zh-CN"/>
              </w:rPr>
              <w:t>，</w:t>
            </w:r>
            <w:r>
              <w:rPr>
                <w:rFonts w:hint="default" w:ascii="Times New Roman" w:hAnsi="Times New Roman" w:eastAsia="宋体" w:cs="Times New Roman"/>
                <w:kern w:val="0"/>
              </w:rPr>
              <w:t>易燃</w:t>
            </w:r>
            <w:r>
              <w:rPr>
                <w:rFonts w:hint="eastAsia" w:cs="Times New Roman"/>
                <w:kern w:val="0"/>
                <w:lang w:eastAsia="zh-CN"/>
              </w:rPr>
              <w:t>。</w:t>
            </w:r>
          </w:p>
          <w:p>
            <w:pPr>
              <w:ind w:firstLine="480"/>
              <w:rPr>
                <w:rFonts w:hint="eastAsia"/>
                <w:lang w:val="en-US" w:eastAsia="zh-CN"/>
              </w:rPr>
            </w:pPr>
            <w:r>
              <w:rPr>
                <w:rFonts w:hint="eastAsia"/>
                <w:color w:val="000000" w:themeColor="text1"/>
              </w:rPr>
              <w:t>热熔胶：白色固体，具刺激性气味，熔点77~87℃，沸点&gt;220℃,20℃时不溶于水。成分组成：EVA共聚物（60%）、氢化树脂类（17%）、石蜡（10%）、抗氧剂（2%）、填料（11%）。</w:t>
            </w:r>
          </w:p>
          <w:p>
            <w:pPr>
              <w:pStyle w:val="4"/>
              <w:ind w:firstLine="0" w:firstLineChars="0"/>
            </w:pPr>
            <w:r>
              <w:rPr>
                <w:rFonts w:hint="eastAsia"/>
                <w:lang w:val="en-US" w:eastAsia="zh-CN"/>
              </w:rPr>
              <w:t>七、</w:t>
            </w:r>
            <w:r>
              <w:t>公用工程</w:t>
            </w:r>
          </w:p>
          <w:p>
            <w:pPr>
              <w:keepNext w:val="0"/>
              <w:keepLines w:val="0"/>
              <w:pageBreakBefore w:val="0"/>
              <w:widowControl w:val="0"/>
              <w:kinsoku/>
              <w:wordWrap/>
              <w:overflowPunct/>
              <w:topLinePunct w:val="0"/>
              <w:bidi w:val="0"/>
              <w:ind w:left="0" w:leftChars="0"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给排水</w:t>
            </w:r>
          </w:p>
          <w:p>
            <w:pPr>
              <w:pStyle w:val="32"/>
              <w:keepNext w:val="0"/>
              <w:keepLines w:val="0"/>
              <w:pageBreakBefore w:val="0"/>
              <w:widowControl w:val="0"/>
              <w:kinsoku/>
              <w:wordWrap/>
              <w:overflowPunct/>
              <w:topLinePunct w:val="0"/>
              <w:bidi w:val="0"/>
              <w:spacing w:before="0" w:after="0"/>
              <w:ind w:left="0" w:lef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给水</w:t>
            </w:r>
          </w:p>
          <w:p>
            <w:pPr>
              <w:keepNext w:val="0"/>
              <w:keepLines w:val="0"/>
              <w:pageBreakBefore w:val="0"/>
              <w:widowControl w:val="0"/>
              <w:kinsoku/>
              <w:wordWrap/>
              <w:overflowPunct/>
              <w:topLinePunct w:val="0"/>
              <w:bidi w:val="0"/>
              <w:ind w:left="0" w:leftChars="0"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根据建设单位提供的资料，本项目用水主要为</w:t>
            </w:r>
            <w:r>
              <w:rPr>
                <w:rFonts w:hint="default" w:ascii="Times New Roman" w:hAnsi="Times New Roman" w:eastAsia="宋体" w:cs="Times New Roman"/>
                <w:sz w:val="24"/>
                <w:szCs w:val="24"/>
                <w:lang w:val="en-US" w:eastAsia="zh-CN"/>
              </w:rPr>
              <w:t>切割冷却用水和</w:t>
            </w:r>
            <w:r>
              <w:rPr>
                <w:rFonts w:hint="default" w:ascii="Times New Roman" w:hAnsi="Times New Roman" w:eastAsia="宋体" w:cs="Times New Roman"/>
                <w:sz w:val="24"/>
                <w:szCs w:val="24"/>
              </w:rPr>
              <w:t>员工生活用水。项目用水</w:t>
            </w:r>
            <w:r>
              <w:rPr>
                <w:rFonts w:hint="default" w:ascii="Times New Roman" w:hAnsi="Times New Roman" w:eastAsia="宋体" w:cs="Times New Roman"/>
                <w:sz w:val="24"/>
                <w:szCs w:val="24"/>
                <w:lang w:val="en-US" w:eastAsia="zh-CN"/>
              </w:rPr>
              <w:t>为</w:t>
            </w:r>
            <w:r>
              <w:rPr>
                <w:rFonts w:hint="default" w:ascii="Times New Roman" w:hAnsi="Times New Roman" w:eastAsia="宋体" w:cs="Times New Roman"/>
                <w:sz w:val="24"/>
                <w:szCs w:val="24"/>
                <w:lang w:val="zh-CN"/>
              </w:rPr>
              <w:t>项目地原有水井</w:t>
            </w:r>
            <w:r>
              <w:rPr>
                <w:rFonts w:hint="default" w:ascii="Times New Roman" w:hAnsi="Times New Roman" w:eastAsia="宋体" w:cs="Times New Roman"/>
                <w:sz w:val="24"/>
                <w:szCs w:val="24"/>
              </w:rPr>
              <w:t>，可满足项目用水需求。</w:t>
            </w:r>
          </w:p>
          <w:p>
            <w:pPr>
              <w:keepNext w:val="0"/>
              <w:keepLines w:val="0"/>
              <w:pageBreakBefore w:val="0"/>
              <w:widowControl w:val="0"/>
              <w:kinsoku/>
              <w:wordWrap/>
              <w:overflowPunct/>
              <w:topLinePunct w:val="0"/>
              <w:autoSpaceDE w:val="0"/>
              <w:autoSpaceDN w:val="0"/>
              <w:bidi w:val="0"/>
              <w:adjustRightInd w:val="0"/>
              <w:snapToGrid w:val="0"/>
              <w:ind w:left="0" w:leftChars="0" w:firstLine="480"/>
              <w:textAlignment w:val="auto"/>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zh-CN"/>
              </w:rPr>
              <w:t>）排水</w:t>
            </w:r>
          </w:p>
          <w:p>
            <w:pPr>
              <w:keepNext w:val="0"/>
              <w:keepLines w:val="0"/>
              <w:pageBreakBefore w:val="0"/>
              <w:widowControl w:val="0"/>
              <w:kinsoku/>
              <w:wordWrap/>
              <w:overflowPunct/>
              <w:topLinePunct w:val="0"/>
              <w:bidi w:val="0"/>
              <w:ind w:left="0" w:leftChars="0"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zh-CN"/>
              </w:rPr>
              <w:t>厂区实行雨、污分流制，雨水</w:t>
            </w:r>
            <w:r>
              <w:rPr>
                <w:rFonts w:hint="default" w:ascii="Times New Roman" w:hAnsi="Times New Roman" w:eastAsia="宋体" w:cs="Times New Roman"/>
                <w:sz w:val="24"/>
                <w:szCs w:val="24"/>
                <w:lang w:val="en-US" w:eastAsia="zh-CN"/>
              </w:rPr>
              <w:t>顺厂区自流</w:t>
            </w: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lang w:val="en-US" w:eastAsia="zh-CN"/>
              </w:rPr>
              <w:t>进入附近农田。</w:t>
            </w:r>
            <w:r>
              <w:rPr>
                <w:rFonts w:hint="default" w:ascii="Times New Roman" w:hAnsi="Times New Roman" w:eastAsia="宋体" w:cs="Times New Roman"/>
                <w:sz w:val="24"/>
                <w:szCs w:val="24"/>
                <w:lang w:val="zh-CN"/>
              </w:rPr>
              <w:t>根据建设单位提供的资料，项目废水</w:t>
            </w:r>
            <w:r>
              <w:rPr>
                <w:rFonts w:hint="default" w:ascii="Times New Roman" w:hAnsi="Times New Roman" w:eastAsia="宋体" w:cs="Times New Roman"/>
                <w:sz w:val="24"/>
                <w:szCs w:val="24"/>
              </w:rPr>
              <w:t>主要为</w:t>
            </w:r>
            <w:r>
              <w:rPr>
                <w:rFonts w:hint="default" w:ascii="Times New Roman" w:hAnsi="Times New Roman" w:eastAsia="宋体" w:cs="Times New Roman"/>
                <w:sz w:val="24"/>
                <w:szCs w:val="24"/>
                <w:lang w:val="en-US" w:eastAsia="zh-CN"/>
              </w:rPr>
              <w:t>切割冷却用水和</w:t>
            </w:r>
            <w:r>
              <w:rPr>
                <w:rFonts w:hint="default" w:ascii="Times New Roman" w:hAnsi="Times New Roman" w:eastAsia="宋体" w:cs="Times New Roman"/>
                <w:sz w:val="24"/>
                <w:szCs w:val="24"/>
              </w:rPr>
              <w:t>生活污水。</w:t>
            </w:r>
            <w:r>
              <w:rPr>
                <w:rFonts w:hint="default" w:ascii="Times New Roman" w:hAnsi="Times New Roman" w:eastAsia="宋体" w:cs="Times New Roman"/>
                <w:sz w:val="24"/>
                <w:szCs w:val="24"/>
                <w:lang w:val="en-US" w:eastAsia="zh-CN"/>
              </w:rPr>
              <w:t>冷却用水循环利用，不外排；</w:t>
            </w:r>
            <w:r>
              <w:rPr>
                <w:rFonts w:hint="eastAsia" w:cs="Times New Roman"/>
                <w:sz w:val="24"/>
                <w:szCs w:val="24"/>
                <w:lang w:val="en-US" w:eastAsia="zh-CN"/>
              </w:rPr>
              <w:t>职工洗漱废水洒在厂区降尘，入厕废水</w:t>
            </w:r>
            <w:r>
              <w:rPr>
                <w:rFonts w:hint="default" w:ascii="Times New Roman" w:hAnsi="Times New Roman" w:eastAsia="宋体" w:cs="Times New Roman"/>
                <w:sz w:val="24"/>
                <w:szCs w:val="24"/>
                <w:lang w:val="en-US" w:eastAsia="zh-CN"/>
              </w:rPr>
              <w:t>进入</w:t>
            </w:r>
            <w:r>
              <w:rPr>
                <w:rFonts w:hint="eastAsia" w:cs="Times New Roman"/>
                <w:sz w:val="24"/>
                <w:szCs w:val="24"/>
                <w:lang w:val="en-US" w:eastAsia="zh-CN"/>
              </w:rPr>
              <w:t>旱厕</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定期清掏</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val="0"/>
              <w:autoSpaceDN w:val="0"/>
              <w:bidi w:val="0"/>
              <w:adjustRightInd w:val="0"/>
              <w:ind w:left="0" w:leftChars="0" w:firstLine="48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供配电</w:t>
            </w:r>
          </w:p>
          <w:p>
            <w:pPr>
              <w:keepNext w:val="0"/>
              <w:keepLines w:val="0"/>
              <w:pageBreakBefore w:val="0"/>
              <w:widowControl w:val="0"/>
              <w:kinsoku/>
              <w:wordWrap/>
              <w:overflowPunct/>
              <w:topLinePunct w:val="0"/>
              <w:autoSpaceDE w:val="0"/>
              <w:autoSpaceDN w:val="0"/>
              <w:bidi w:val="0"/>
              <w:adjustRightInd w:val="0"/>
              <w:ind w:left="0" w:leftChars="0" w:firstLine="480"/>
              <w:jc w:val="left"/>
              <w:textAlignment w:val="auto"/>
              <w:rPr>
                <w:rFonts w:hint="default" w:ascii="Times New Roman" w:hAnsi="Times New Roman" w:eastAsia="宋体" w:cs="Times New Roman"/>
                <w:sz w:val="24"/>
                <w:szCs w:val="24"/>
              </w:rPr>
            </w:pPr>
            <w:bookmarkStart w:id="1" w:name="_Toc249192803"/>
            <w:bookmarkStart w:id="2" w:name="_Toc494104099"/>
            <w:r>
              <w:rPr>
                <w:rFonts w:hint="default" w:ascii="Times New Roman" w:hAnsi="Times New Roman" w:eastAsia="宋体" w:cs="Times New Roman"/>
                <w:sz w:val="24"/>
                <w:szCs w:val="24"/>
              </w:rPr>
              <w:t>由</w:t>
            </w:r>
            <w:r>
              <w:rPr>
                <w:rFonts w:hint="default" w:ascii="Times New Roman" w:hAnsi="Times New Roman" w:eastAsia="宋体" w:cs="Times New Roman"/>
                <w:sz w:val="24"/>
                <w:szCs w:val="24"/>
                <w:lang w:val="en-US" w:eastAsia="zh-CN"/>
              </w:rPr>
              <w:t>当地</w:t>
            </w:r>
            <w:r>
              <w:rPr>
                <w:rFonts w:hint="default" w:ascii="Times New Roman" w:hAnsi="Times New Roman" w:eastAsia="宋体" w:cs="Times New Roman"/>
                <w:sz w:val="24"/>
                <w:szCs w:val="24"/>
              </w:rPr>
              <w:t>电管网提供。</w:t>
            </w:r>
          </w:p>
          <w:p>
            <w:pPr>
              <w:keepNext w:val="0"/>
              <w:keepLines w:val="0"/>
              <w:pageBreakBefore w:val="0"/>
              <w:widowControl w:val="0"/>
              <w:kinsoku/>
              <w:wordWrap/>
              <w:overflowPunct/>
              <w:topLinePunct w:val="0"/>
              <w:autoSpaceDE w:val="0"/>
              <w:autoSpaceDN w:val="0"/>
              <w:bidi w:val="0"/>
              <w:adjustRightInd w:val="0"/>
              <w:ind w:left="0" w:leftChars="0" w:firstLine="48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供暖、制冷</w:t>
            </w:r>
          </w:p>
          <w:p>
            <w:pPr>
              <w:keepNext w:val="0"/>
              <w:keepLines w:val="0"/>
              <w:pageBreakBefore w:val="0"/>
              <w:widowControl w:val="0"/>
              <w:kinsoku/>
              <w:wordWrap/>
              <w:overflowPunct/>
              <w:topLinePunct w:val="0"/>
              <w:autoSpaceDE w:val="0"/>
              <w:autoSpaceDN w:val="0"/>
              <w:bidi w:val="0"/>
              <w:adjustRightInd w:val="0"/>
              <w:ind w:left="0" w:leftChars="0" w:firstLine="48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本项目厂房不采暖，办公室采用空调采暖。</w:t>
            </w:r>
          </w:p>
          <w:bookmarkEnd w:id="1"/>
          <w:bookmarkEnd w:id="2"/>
          <w:p>
            <w:pPr>
              <w:pStyle w:val="4"/>
              <w:ind w:firstLine="0" w:firstLineChars="0"/>
              <w:rPr>
                <w:rFonts w:hint="eastAsia"/>
                <w:lang w:val="en-US" w:eastAsia="zh-CN"/>
              </w:rPr>
            </w:pPr>
            <w:bookmarkStart w:id="3" w:name="_Toc25838"/>
            <w:r>
              <w:rPr>
                <w:rFonts w:hint="eastAsia"/>
                <w:lang w:val="en-US" w:eastAsia="zh-CN"/>
              </w:rPr>
              <w:t>八、劳动定员与工作制度</w:t>
            </w:r>
          </w:p>
          <w:bookmarkEnd w:id="3"/>
          <w:p>
            <w:pPr>
              <w:autoSpaceDN w:val="0"/>
              <w:spacing w:line="360" w:lineRule="auto"/>
              <w:ind w:firstLine="480" w:firstLineChars="200"/>
            </w:pPr>
            <w:r>
              <w:rPr>
                <w:rFonts w:hint="eastAsia"/>
                <w:sz w:val="24"/>
              </w:rPr>
              <w:t>项目营运后，劳动定员</w:t>
            </w:r>
            <w:r>
              <w:rPr>
                <w:rFonts w:hint="eastAsia"/>
                <w:sz w:val="24"/>
                <w:lang w:val="en-US" w:eastAsia="zh-CN"/>
              </w:rPr>
              <w:t>12</w:t>
            </w:r>
            <w:r>
              <w:rPr>
                <w:rFonts w:hint="eastAsia"/>
                <w:sz w:val="24"/>
              </w:rPr>
              <w:t>人，工作300</w:t>
            </w:r>
            <w:r>
              <w:rPr>
                <w:sz w:val="24"/>
              </w:rPr>
              <w:t>d</w:t>
            </w:r>
            <w:r>
              <w:rPr>
                <w:rFonts w:hint="eastAsia"/>
                <w:sz w:val="24"/>
              </w:rPr>
              <w:t>，每天生产</w:t>
            </w:r>
            <w:r>
              <w:rPr>
                <w:sz w:val="24"/>
              </w:rPr>
              <w:t>8</w:t>
            </w:r>
            <w:r>
              <w:rPr>
                <w:rFonts w:hint="eastAsia"/>
                <w:sz w:val="24"/>
              </w:rPr>
              <w:t>h，夜间不生产</w:t>
            </w:r>
            <w:r>
              <w:rPr>
                <w:rFonts w:hint="eastAsia"/>
                <w:sz w:val="24"/>
                <w:lang w:eastAsia="zh-CN"/>
              </w:rPr>
              <w:t>，</w:t>
            </w:r>
            <w:r>
              <w:rPr>
                <w:rFonts w:hint="eastAsia"/>
                <w:sz w:val="24"/>
                <w:lang w:val="en-US" w:eastAsia="zh-CN"/>
              </w:rPr>
              <w:t>不设食宿</w:t>
            </w:r>
            <w:r>
              <w:rPr>
                <w:rFonts w:hint="eastAsia"/>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3" w:hRule="atLeast"/>
        </w:trPr>
        <w:tc>
          <w:tcPr>
            <w:tcW w:w="9356" w:type="dxa"/>
            <w:gridSpan w:val="9"/>
            <w:tcBorders>
              <w:top w:val="single" w:color="auto" w:sz="12" w:space="0"/>
              <w:left w:val="single" w:color="auto" w:sz="12" w:space="0"/>
              <w:bottom w:val="single" w:color="auto" w:sz="12" w:space="0"/>
              <w:right w:val="single" w:color="auto" w:sz="12" w:space="0"/>
            </w:tcBorders>
            <w:vAlign w:val="center"/>
          </w:tcPr>
          <w:p>
            <w:pPr>
              <w:ind w:firstLine="0" w:firstLineChars="0"/>
            </w:pPr>
            <w:r>
              <w:rPr>
                <w:rFonts w:hint="eastAsia"/>
                <w:b/>
                <w:bCs/>
              </w:rPr>
              <w:t>与本项目有关的原有污染情况及主要环境问题</w:t>
            </w:r>
          </w:p>
          <w:p>
            <w:pPr>
              <w:pStyle w:val="49"/>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1、项目现状</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本项目已于2017年开始建成并</w:t>
            </w:r>
            <w:r>
              <w:rPr>
                <w:rFonts w:hint="eastAsia" w:cs="Times New Roman"/>
                <w:lang w:val="en-US" w:eastAsia="zh-CN"/>
              </w:rPr>
              <w:t>投</w:t>
            </w:r>
            <w:r>
              <w:rPr>
                <w:rFonts w:hint="default" w:ascii="Times New Roman" w:hAnsi="Times New Roman" w:eastAsia="宋体" w:cs="Times New Roman"/>
              </w:rPr>
              <w:t>入运营，</w:t>
            </w:r>
            <w:r>
              <w:rPr>
                <w:rFonts w:hint="eastAsia" w:cs="Times New Roman"/>
                <w:sz w:val="24"/>
                <w:lang w:val="en-US" w:eastAsia="zh-CN"/>
              </w:rPr>
              <w:t>尚</w:t>
            </w:r>
            <w:r>
              <w:rPr>
                <w:rFonts w:hint="default" w:ascii="Times New Roman" w:hAnsi="Times New Roman" w:eastAsia="宋体" w:cs="Times New Roman"/>
                <w:sz w:val="24"/>
                <w:lang w:val="en-US" w:eastAsia="zh-CN"/>
              </w:rPr>
              <w:t>未办理环评手续</w:t>
            </w:r>
            <w:r>
              <w:rPr>
                <w:rFonts w:hint="default" w:ascii="Times New Roman" w:hAnsi="Times New Roman" w:eastAsia="宋体" w:cs="Times New Roman"/>
                <w:sz w:val="24"/>
                <w:lang w:eastAsia="zh-CN"/>
              </w:rPr>
              <w:t>。</w:t>
            </w:r>
          </w:p>
          <w:p>
            <w:pPr>
              <w:pStyle w:val="49"/>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2、存在的环保问题</w:t>
            </w:r>
          </w:p>
          <w:p>
            <w:pPr>
              <w:pStyle w:val="49"/>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eastAsia="宋体" w:cs="Times New Roman"/>
                <w:lang w:val="en-US" w:eastAsia="zh-CN"/>
              </w:rPr>
            </w:pPr>
            <w:r>
              <w:rPr>
                <w:rFonts w:hint="eastAsia" w:ascii="Times New Roman" w:eastAsia="宋体" w:cs="Times New Roman"/>
                <w:lang w:eastAsia="zh-CN"/>
              </w:rPr>
              <w:t>（</w:t>
            </w:r>
            <w:r>
              <w:rPr>
                <w:rFonts w:hint="eastAsia" w:ascii="Times New Roman" w:eastAsia="宋体" w:cs="Times New Roman"/>
                <w:lang w:val="en-US" w:eastAsia="zh-CN"/>
              </w:rPr>
              <w:t>1</w:t>
            </w:r>
            <w:r>
              <w:rPr>
                <w:rFonts w:hint="eastAsia" w:ascii="Times New Roman" w:eastAsia="宋体" w:cs="Times New Roman"/>
                <w:lang w:eastAsia="zh-CN"/>
              </w:rPr>
              <w:t>）</w:t>
            </w:r>
            <w:r>
              <w:rPr>
                <w:rFonts w:hint="eastAsia" w:ascii="Times New Roman" w:eastAsia="宋体" w:cs="Times New Roman"/>
                <w:lang w:val="en-US" w:eastAsia="zh-CN"/>
              </w:rPr>
              <w:t>未与有资质单位签订危废处置合同；</w:t>
            </w:r>
          </w:p>
          <w:p>
            <w:pPr>
              <w:pStyle w:val="49"/>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eastAsia="宋体" w:cs="Times New Roman"/>
                <w:lang w:val="en-US" w:eastAsia="zh-CN"/>
              </w:rPr>
            </w:pPr>
            <w:r>
              <w:rPr>
                <w:rFonts w:hint="eastAsia" w:ascii="Times New Roman" w:eastAsia="宋体" w:cs="Times New Roman"/>
                <w:lang w:val="en-US" w:eastAsia="zh-CN"/>
              </w:rPr>
              <w:t>（2）目前采用生物质锅炉对烤箱加热。</w:t>
            </w:r>
          </w:p>
          <w:p>
            <w:pPr>
              <w:pStyle w:val="49"/>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3、环评要求</w:t>
            </w:r>
          </w:p>
          <w:p>
            <w:pPr>
              <w:pStyle w:val="49"/>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eastAsia="宋体" w:cs="Times New Roman"/>
                <w:lang w:val="en-US" w:eastAsia="zh-CN"/>
              </w:rPr>
            </w:pPr>
            <w:r>
              <w:rPr>
                <w:rFonts w:hint="eastAsia" w:ascii="Times New Roman" w:eastAsia="宋体" w:cs="Times New Roman"/>
                <w:lang w:eastAsia="zh-CN"/>
              </w:rPr>
              <w:t>（</w:t>
            </w:r>
            <w:r>
              <w:rPr>
                <w:rFonts w:hint="eastAsia" w:ascii="Times New Roman" w:eastAsia="宋体" w:cs="Times New Roman"/>
                <w:lang w:val="en-US" w:eastAsia="zh-CN"/>
              </w:rPr>
              <w:t>1</w:t>
            </w:r>
            <w:r>
              <w:rPr>
                <w:rFonts w:hint="eastAsia" w:ascii="Times New Roman" w:eastAsia="宋体" w:cs="Times New Roman"/>
                <w:lang w:eastAsia="zh-CN"/>
              </w:rPr>
              <w:t>）</w:t>
            </w:r>
            <w:r>
              <w:rPr>
                <w:rFonts w:hint="eastAsia" w:ascii="Times New Roman" w:eastAsia="宋体" w:cs="Times New Roman"/>
                <w:lang w:val="en-US" w:eastAsia="zh-CN"/>
              </w:rPr>
              <w:t>与有资质的危险废物处置单位签订危废处置合同；</w:t>
            </w:r>
          </w:p>
          <w:p>
            <w:pPr>
              <w:pStyle w:val="49"/>
              <w:keepNext w:val="0"/>
              <w:keepLines w:val="0"/>
              <w:pageBreakBefore w:val="0"/>
              <w:widowControl w:val="0"/>
              <w:kinsoku/>
              <w:wordWrap/>
              <w:overflowPunct/>
              <w:topLinePunct w:val="0"/>
              <w:bidi w:val="0"/>
              <w:snapToGrid/>
              <w:spacing w:line="360" w:lineRule="auto"/>
              <w:ind w:firstLine="480" w:firstLineChars="200"/>
              <w:textAlignment w:val="auto"/>
            </w:pPr>
            <w:r>
              <w:rPr>
                <w:rFonts w:hint="eastAsia" w:ascii="Times New Roman" w:eastAsia="宋体" w:cs="Times New Roman"/>
                <w:lang w:val="en-US" w:eastAsia="zh-CN"/>
              </w:rPr>
              <w:t>（2）经与建设单位协商，将生物质锅炉更换为液化天然气燃烧机，降低燃料燃烧产生污染物的排放。</w:t>
            </w: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tc>
      </w:tr>
    </w:tbl>
    <w:p>
      <w:pPr>
        <w:spacing w:line="240" w:lineRule="auto"/>
        <w:ind w:firstLine="0" w:firstLineChars="0"/>
        <w:jc w:val="left"/>
        <w:outlineLvl w:val="0"/>
        <w:rPr>
          <w:rFonts w:ascii="Times New Roman" w:hAnsi="Times New Roman" w:eastAsia="黑体" w:cs="Times New Roman"/>
          <w:sz w:val="32"/>
        </w:rPr>
      </w:pPr>
      <w:r>
        <w:rPr>
          <w:rFonts w:hint="eastAsia" w:ascii="Times New Roman" w:hAnsi="Times New Roman" w:eastAsia="黑体" w:cs="Times New Roman"/>
          <w:sz w:val="32"/>
        </w:rPr>
        <w:t>二、建设项目所在地自然环境简况</w:t>
      </w:r>
    </w:p>
    <w:tbl>
      <w:tblPr>
        <w:tblStyle w:val="33"/>
        <w:tblW w:w="9354"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91" w:hRule="atLeast"/>
          <w:jc w:val="center"/>
        </w:trPr>
        <w:tc>
          <w:tcPr>
            <w:tcW w:w="9354" w:type="dxa"/>
            <w:vAlign w:val="top"/>
          </w:tcPr>
          <w:p>
            <w:pPr>
              <w:ind w:firstLine="0" w:firstLineChars="0"/>
              <w:rPr>
                <w:rFonts w:hint="eastAsia"/>
                <w:b w:val="0"/>
                <w:bCs w:val="0"/>
                <w:lang w:val="zh-CN"/>
              </w:rPr>
            </w:pPr>
            <w:r>
              <w:rPr>
                <w:rFonts w:hint="eastAsia"/>
                <w:b w:val="0"/>
                <w:bCs w:val="0"/>
                <w:lang w:val="zh-CN"/>
              </w:rPr>
              <w:t>自然环境简况(地形、地貌、地质、气候、气象、水文、植被、生物多样性等)</w:t>
            </w:r>
            <w:bookmarkStart w:id="4" w:name="_Toc75852260"/>
            <w:bookmarkStart w:id="5" w:name="_Toc58121771"/>
            <w:bookmarkStart w:id="6" w:name="_Toc74908560"/>
            <w:bookmarkStart w:id="7" w:name="_Toc73527663"/>
            <w:bookmarkStart w:id="8" w:name="_Toc73348467"/>
            <w:bookmarkStart w:id="9" w:name="_Toc88211867"/>
            <w:bookmarkStart w:id="10" w:name="_Toc74908350"/>
            <w:bookmarkStart w:id="11" w:name="_Toc75688475"/>
            <w:bookmarkStart w:id="12" w:name="_Toc74908706"/>
            <w:bookmarkStart w:id="13" w:name="_Toc75423663"/>
            <w:bookmarkStart w:id="14" w:name="_Toc20896"/>
            <w:bookmarkStart w:id="15" w:name="_Toc74300420"/>
            <w:bookmarkStart w:id="16" w:name="_Toc59965643"/>
            <w:bookmarkStart w:id="17" w:name="_Toc59682783"/>
            <w:bookmarkStart w:id="18" w:name="_Toc60035519"/>
            <w:bookmarkStart w:id="19" w:name="_Toc59851095"/>
            <w:bookmarkStart w:id="20" w:name="_Toc58491008"/>
            <w:bookmarkStart w:id="21" w:name="_Toc80254296"/>
            <w:bookmarkStart w:id="22" w:name="_Toc58810449"/>
            <w:bookmarkStart w:id="23" w:name="_Toc73349380"/>
            <w:bookmarkStart w:id="24" w:name="_Toc27709"/>
            <w:bookmarkStart w:id="25" w:name="_Toc58810536"/>
            <w:bookmarkStart w:id="26" w:name="_Toc73527815"/>
            <w:bookmarkStart w:id="27" w:name="_Toc73522864"/>
            <w:bookmarkStart w:id="28" w:name="_Toc5019"/>
            <w:bookmarkStart w:id="29" w:name="_Toc58646767"/>
            <w:bookmarkStart w:id="30" w:name="_Toc74300274"/>
            <w:bookmarkStart w:id="31" w:name="_Toc72826727"/>
            <w:bookmarkStart w:id="32" w:name="_Toc73352241"/>
            <w:bookmarkStart w:id="33" w:name="_Toc58731254"/>
            <w:bookmarkStart w:id="34" w:name="_Toc58641487"/>
            <w:bookmarkStart w:id="35" w:name="_Toc58816639"/>
            <w:bookmarkStart w:id="36" w:name="_Toc60024595"/>
            <w:bookmarkStart w:id="37" w:name="_Toc58314436"/>
            <w:bookmarkStart w:id="38" w:name="_Toc75688769"/>
            <w:bookmarkStart w:id="39" w:name="_Toc73348619"/>
            <w:bookmarkStart w:id="40" w:name="_Toc73503860"/>
            <w:bookmarkStart w:id="41" w:name="_Toc58229300"/>
            <w:bookmarkStart w:id="42" w:name="_Toc13874"/>
            <w:bookmarkStart w:id="43" w:name="_Toc88211721"/>
            <w:bookmarkStart w:id="44" w:name="_Toc80254150"/>
            <w:bookmarkStart w:id="45" w:name="_Toc59266584"/>
            <w:bookmarkStart w:id="46" w:name="_Toc15908_WPSOffice_Level3"/>
            <w:bookmarkStart w:id="47" w:name="_Toc58643188"/>
            <w:bookmarkStart w:id="48" w:name="_Toc58041088"/>
            <w:bookmarkStart w:id="49" w:name="_Toc75688915"/>
            <w:bookmarkStart w:id="50" w:name="_Toc31808"/>
            <w:bookmarkStart w:id="51" w:name="_Toc74307536"/>
            <w:bookmarkStart w:id="52" w:name="_Toc88209379"/>
            <w:bookmarkStart w:id="53" w:name="_Toc58638876"/>
            <w:bookmarkStart w:id="54" w:name="_Toc71616965"/>
            <w:bookmarkStart w:id="55" w:name="_Toc57868320"/>
            <w:bookmarkStart w:id="56" w:name="_Toc8862"/>
            <w:bookmarkStart w:id="57" w:name="_Toc58124705"/>
            <w:bookmarkStart w:id="58" w:name="_Toc75688623"/>
          </w:p>
          <w:p>
            <w:pPr>
              <w:pStyle w:val="4"/>
              <w:ind w:firstLine="0" w:firstLineChars="0"/>
              <w:rPr>
                <w:rFonts w:hint="eastAsia"/>
                <w:lang w:val="en-US" w:eastAsia="zh-CN"/>
              </w:rPr>
            </w:pPr>
            <w:bookmarkStart w:id="59" w:name="_Toc176866611"/>
            <w:bookmarkStart w:id="60" w:name="_Toc176769143"/>
            <w:r>
              <w:rPr>
                <w:rFonts w:hint="eastAsia"/>
                <w:lang w:val="en-US" w:eastAsia="zh-CN"/>
              </w:rPr>
              <w:t>一、地理位置</w:t>
            </w:r>
            <w:bookmarkEnd w:id="59"/>
            <w:bookmarkEnd w:id="60"/>
          </w:p>
          <w:p>
            <w:pPr>
              <w:pStyle w:val="233"/>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2"/>
              <w:rPr>
                <w:rFonts w:hint="default" w:ascii="Times New Roman" w:hAnsi="Times New Roman" w:eastAsia="宋体" w:cs="Times New Roman"/>
                <w:color w:val="000000" w:themeColor="text1"/>
                <w:kern w:val="0"/>
              </w:rPr>
            </w:pPr>
            <w:r>
              <w:rPr>
                <w:rFonts w:hint="default" w:ascii="Times New Roman" w:hAnsi="Times New Roman" w:eastAsia="宋体" w:cs="Times New Roman"/>
                <w:color w:val="000000" w:themeColor="text1"/>
                <w:kern w:val="0"/>
              </w:rPr>
              <w:t>西安市灞桥区地处陕西关中盆地中部，西安城东部，系西安市辖区之一。区政府位于西安市东郊12公里处。区称因境内有灞河古桥而得名。地理坐标为东经108°59′～ 109°16′，北纬34°10′～34°27′。东与临潼、蓝田两县接壤，西与雁塔、新城、未央三区相连，南与长安区为邻，北以渭河与高陵区相望。</w:t>
            </w:r>
          </w:p>
          <w:p>
            <w:pPr>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本项目厂址位于西安市</w:t>
            </w:r>
            <w:r>
              <w:rPr>
                <w:rFonts w:hint="default" w:ascii="Times New Roman" w:hAnsi="Times New Roman" w:eastAsia="宋体" w:cs="Times New Roman"/>
                <w:color w:val="000000" w:themeColor="text1"/>
                <w:lang w:val="zh-CN"/>
              </w:rPr>
              <w:t>西安市灞桥区狄寨街道夏寨村南3号</w:t>
            </w:r>
            <w:r>
              <w:rPr>
                <w:rFonts w:hint="default" w:ascii="Times New Roman" w:hAnsi="Times New Roman" w:eastAsia="宋体" w:cs="Times New Roman"/>
                <w:color w:val="000000" w:themeColor="text1"/>
              </w:rPr>
              <w:t>，项目中心地理坐标为N：34.200242°，E：109.119344°，项目地理位置见附图1。</w:t>
            </w:r>
          </w:p>
          <w:p>
            <w:pPr>
              <w:pStyle w:val="4"/>
              <w:ind w:firstLine="0" w:firstLineChars="0"/>
              <w:rPr>
                <w:rFonts w:hint="eastAsia"/>
                <w:lang w:val="en-US" w:eastAsia="zh-CN"/>
              </w:rPr>
            </w:pPr>
            <w:r>
              <w:rPr>
                <w:rFonts w:hint="eastAsia"/>
                <w:lang w:val="en-US" w:eastAsia="zh-CN"/>
              </w:rPr>
              <w:t>二、地形地貌</w:t>
            </w:r>
          </w:p>
          <w:p>
            <w:pPr>
              <w:pStyle w:val="233"/>
              <w:keepNext w:val="0"/>
              <w:keepLines w:val="0"/>
              <w:pageBreakBefore w:val="0"/>
              <w:widowControl w:val="0"/>
              <w:kinsoku/>
              <w:wordWrap/>
              <w:overflowPunct/>
              <w:topLinePunct w:val="0"/>
              <w:autoSpaceDE/>
              <w:bidi w:val="0"/>
              <w:adjustRightInd/>
              <w:snapToGrid w:val="0"/>
              <w:spacing w:line="360" w:lineRule="auto"/>
              <w:ind w:firstLine="480"/>
              <w:textAlignment w:val="auto"/>
              <w:outlineLvl w:val="2"/>
              <w:rPr>
                <w:rFonts w:hint="default" w:ascii="Times New Roman" w:hAnsi="Times New Roman" w:eastAsia="宋体" w:cs="Times New Roman"/>
                <w:kern w:val="0"/>
              </w:rPr>
            </w:pPr>
            <w:r>
              <w:rPr>
                <w:rFonts w:hint="default" w:ascii="Times New Roman" w:hAnsi="Times New Roman" w:eastAsia="宋体" w:cs="Times New Roman"/>
                <w:kern w:val="0"/>
              </w:rPr>
              <w:t>灞桥区地处陕西关中盆地中部，西安城东部，系西安市城六区之一，地理坐标为34°10′~34°27′，东经108°59′~109°19′。地形地貌复杂。东游骊山丘陵，南有狄寨台塬，浐、灞、渭三河穿境而过。地势高低悬殊，相对高差882.8m。地貌以渭河冲积平原为主，川、山、原、坡俱全。可划分为北部渭河冲积平原、东部低山丘陵区和东南部台塬区。白鹿塬区域地质构造属于渭河断陷形成的阶梯式下降复式地堑，阶地台塬沟壑内以砂卵石、砾石及土状堆积物为主，并有丰厚的新生代沉积。台塬上区地形平缓，地势北高南低，以农业用地为主，地形由南向北依次递减至沟沿，沟顶海拔600m~750m，沟底海拔160m~600m之间，长度约3km，坡度约30°左右，地面切割成的沟谷长度约为1000m~2000m/km</w:t>
            </w:r>
            <w:r>
              <w:rPr>
                <w:rFonts w:hint="default" w:ascii="Times New Roman" w:hAnsi="Times New Roman" w:eastAsia="宋体" w:cs="Times New Roman"/>
                <w:kern w:val="0"/>
                <w:vertAlign w:val="superscript"/>
              </w:rPr>
              <w:t>2</w:t>
            </w:r>
            <w:r>
              <w:rPr>
                <w:rFonts w:hint="default" w:ascii="Times New Roman" w:hAnsi="Times New Roman" w:eastAsia="宋体" w:cs="Times New Roman"/>
                <w:kern w:val="0"/>
              </w:rPr>
              <w:t>。土壤类型以黄垩土、白垩土、褐色土以及少量的红色土，有机质丰富。</w:t>
            </w:r>
          </w:p>
          <w:p>
            <w:pPr>
              <w:keepNext w:val="0"/>
              <w:keepLines w:val="0"/>
              <w:pageBreakBefore w:val="0"/>
              <w:widowControl w:val="0"/>
              <w:kinsoku/>
              <w:wordWrap/>
              <w:overflowPunct/>
              <w:topLinePunct w:val="0"/>
              <w:autoSpaceDE/>
              <w:autoSpaceDN w:val="0"/>
              <w:bidi w:val="0"/>
              <w:adjustRightInd/>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根据现场勘查，本项目所在区域地势平坦。</w:t>
            </w:r>
          </w:p>
          <w:p>
            <w:pPr>
              <w:pStyle w:val="4"/>
              <w:ind w:firstLine="0" w:firstLineChars="0"/>
              <w:rPr>
                <w:rFonts w:hint="eastAsia"/>
                <w:lang w:val="en-US" w:eastAsia="zh-CN"/>
              </w:rPr>
            </w:pPr>
            <w:r>
              <w:rPr>
                <w:rFonts w:hint="eastAsia"/>
                <w:lang w:val="en-US" w:eastAsia="zh-CN"/>
              </w:rPr>
              <w:t>三、气候气象</w:t>
            </w:r>
          </w:p>
          <w:p>
            <w:pPr>
              <w:pStyle w:val="233"/>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kern w:val="0"/>
              </w:rPr>
            </w:pPr>
            <w:r>
              <w:rPr>
                <w:rFonts w:hint="default" w:ascii="Times New Roman" w:hAnsi="Times New Roman" w:eastAsia="宋体" w:cs="Times New Roman"/>
                <w:kern w:val="0"/>
              </w:rPr>
              <w:t>灞桥区属于暖温带半湿润大陆性季风区，光、热、水、气、土等自然条件优越，年平均降雨量635mm，日照时间为2026~2719h，年平均气温为12~13.3℃，极端最高气温为41.7℃，绝对最低气温为-20.6℃。年大于10℃的有效积温为3650~4325℃，年无霜期202~208天。年初霜日期为11月1日以后，终霜期为4月1日以后。风向频率（静风频率）为30%左右，平均风速为2m/s，多东北风，年平均相对湿度为70%左右。</w:t>
            </w:r>
          </w:p>
          <w:p>
            <w:pPr>
              <w:pStyle w:val="4"/>
              <w:ind w:firstLine="0" w:firstLineChars="0"/>
              <w:rPr>
                <w:rFonts w:hint="eastAsia"/>
                <w:lang w:val="en-US" w:eastAsia="zh-CN"/>
              </w:rPr>
            </w:pPr>
            <w:r>
              <w:rPr>
                <w:rFonts w:hint="eastAsia"/>
                <w:lang w:val="en-US" w:eastAsia="zh-CN"/>
              </w:rPr>
              <w:t>四、水文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textAlignment w:val="auto"/>
              <w:rPr>
                <w:rFonts w:hint="default" w:ascii="Times New Roman" w:hAnsi="Times New Roman" w:eastAsia="宋体" w:cs="Times New Roman"/>
              </w:rPr>
            </w:pPr>
            <w:r>
              <w:rPr>
                <w:rFonts w:hint="default" w:ascii="Times New Roman" w:hAnsi="Times New Roman" w:eastAsia="宋体" w:cs="Times New Roman"/>
              </w:rPr>
              <w:t>“八水绕长安，灞桥据其三”，灞桥区内灞、浐、渭三河交汇常流，流长60km，流域面积170多km</w:t>
            </w:r>
            <w:r>
              <w:rPr>
                <w:rFonts w:hint="default" w:ascii="Times New Roman" w:hAnsi="Times New Roman" w:eastAsia="宋体" w:cs="Times New Roman"/>
                <w:vertAlign w:val="superscript"/>
              </w:rPr>
              <w:t>2</w:t>
            </w:r>
            <w:r>
              <w:rPr>
                <w:rFonts w:hint="default" w:ascii="Times New Roman" w:hAnsi="Times New Roman" w:eastAsia="宋体" w:cs="Times New Roman"/>
              </w:rPr>
              <w:t>。其中，渭河在区内流长约10km，流域面积10.4km</w:t>
            </w:r>
            <w:r>
              <w:rPr>
                <w:rFonts w:hint="default" w:ascii="Times New Roman" w:hAnsi="Times New Roman" w:eastAsia="宋体" w:cs="Times New Roman"/>
                <w:vertAlign w:val="superscript"/>
              </w:rPr>
              <w:t>2</w:t>
            </w:r>
            <w:r>
              <w:rPr>
                <w:rFonts w:hint="default" w:ascii="Times New Roman" w:hAnsi="Times New Roman" w:eastAsia="宋体" w:cs="Times New Roman"/>
              </w:rPr>
              <w:t>；灞河在境内流长约34km，流域面积125km</w:t>
            </w:r>
            <w:r>
              <w:rPr>
                <w:rFonts w:hint="default" w:ascii="Times New Roman" w:hAnsi="Times New Roman" w:eastAsia="宋体" w:cs="Times New Roman"/>
                <w:vertAlign w:val="superscript"/>
              </w:rPr>
              <w:t>2</w:t>
            </w:r>
            <w:r>
              <w:rPr>
                <w:rFonts w:hint="default" w:ascii="Times New Roman" w:hAnsi="Times New Roman" w:eastAsia="宋体" w:cs="Times New Roman"/>
              </w:rPr>
              <w:t>；浐河在区内流长约11km，流域面积40km</w:t>
            </w:r>
            <w:r>
              <w:rPr>
                <w:rFonts w:hint="default" w:ascii="Times New Roman" w:hAnsi="Times New Roman" w:eastAsia="宋体" w:cs="Times New Roman"/>
                <w:vertAlign w:val="superscript"/>
              </w:rPr>
              <w:t>2</w:t>
            </w:r>
            <w:r>
              <w:rPr>
                <w:rFonts w:hint="default" w:ascii="Times New Roman" w:hAnsi="Times New Roman" w:eastAsia="宋体" w:cs="Times New Roman"/>
              </w:rPr>
              <w:t>。区内浐、灞、渭三水是西安市水源地之一，年过境客水总量达64.02亿m</w:t>
            </w:r>
            <w:r>
              <w:rPr>
                <w:rFonts w:hint="default" w:ascii="Times New Roman" w:hAnsi="Times New Roman" w:eastAsia="宋体" w:cs="Times New Roman"/>
                <w:vertAlign w:val="superscript"/>
              </w:rPr>
              <w:t>3</w:t>
            </w:r>
            <w:r>
              <w:rPr>
                <w:rFonts w:hint="default" w:ascii="Times New Roman" w:hAnsi="Times New Roman" w:eastAsia="宋体" w:cs="Times New Roman"/>
              </w:rPr>
              <w:t>，加上1.8亿m</w:t>
            </w:r>
            <w:r>
              <w:rPr>
                <w:rFonts w:hint="default" w:ascii="Times New Roman" w:hAnsi="Times New Roman" w:eastAsia="宋体" w:cs="Times New Roman"/>
                <w:vertAlign w:val="superscript"/>
              </w:rPr>
              <w:t>3</w:t>
            </w:r>
            <w:r>
              <w:rPr>
                <w:rFonts w:hint="default" w:ascii="Times New Roman" w:hAnsi="Times New Roman" w:eastAsia="宋体" w:cs="Times New Roman"/>
              </w:rPr>
              <w:t>的地下水储量，累计65.82亿m</w:t>
            </w:r>
            <w:r>
              <w:rPr>
                <w:rFonts w:hint="default" w:ascii="Times New Roman" w:hAnsi="Times New Roman" w:eastAsia="宋体" w:cs="Times New Roman"/>
                <w:vertAlign w:val="superscript"/>
              </w:rPr>
              <w:t>3</w:t>
            </w:r>
            <w:r>
              <w:rPr>
                <w:rFonts w:hint="default" w:ascii="Times New Roman" w:hAnsi="Times New Roman" w:eastAsia="宋体" w:cs="Times New Roman"/>
              </w:rPr>
              <w:t>的水资源总量。白鹿塬矿泉水资源丰富，水质纯净，有用矿物质含量高，有益元素含量达到国家规定标准，具有广阔的开发前景。</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Pr>
              <w:pStyle w:val="4"/>
              <w:ind w:firstLine="0" w:firstLineChars="0"/>
              <w:rPr>
                <w:rFonts w:hint="eastAsia"/>
                <w:lang w:val="en-US" w:eastAsia="zh-CN"/>
              </w:rPr>
            </w:pPr>
            <w:r>
              <w:rPr>
                <w:rFonts w:hint="eastAsia"/>
                <w:lang w:val="en-US" w:eastAsia="zh-CN"/>
              </w:rPr>
              <w:t>五、土壤植被</w:t>
            </w:r>
          </w:p>
          <w:p>
            <w:pPr>
              <w:ind w:firstLine="480"/>
              <w:rPr>
                <w:rFonts w:hint="default" w:ascii="Times New Roman" w:hAnsi="Times New Roman" w:eastAsia="宋体" w:cs="Times New Roman"/>
              </w:rPr>
            </w:pPr>
            <w:r>
              <w:rPr>
                <w:rFonts w:hint="default" w:ascii="Times New Roman" w:hAnsi="Times New Roman" w:eastAsia="宋体" w:cs="Times New Roman"/>
              </w:rPr>
              <w:t>灞桥区土壤类型以轻、中、重盐化潮土和盐土为主，土质粘重，土壤养分低，平均有机质含量0.872%，全氮0.0532%；农作物有小麦、玉米、豆类等农作物以及蔬菜、瓜果、药材等经济作物；树木以梨树、杨树、柳树、苦楝树等耐碱树种为主，草类以水飞蓟、苍耳、芦苇、青蒿等水生和半水生植物为主。项目所在区域动物以家畜为主，无濒危、珍稀的野生动植物。</w:t>
            </w:r>
          </w:p>
          <w:p>
            <w:pPr>
              <w:ind w:firstLine="480"/>
              <w:rPr>
                <w:rFonts w:eastAsiaTheme="minorEastAsia"/>
              </w:rPr>
            </w:pPr>
          </w:p>
          <w:p>
            <w:pPr>
              <w:pStyle w:val="49"/>
              <w:spacing w:line="360" w:lineRule="auto"/>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spacing w:line="360" w:lineRule="auto"/>
              <w:ind w:firstLine="480" w:firstLineChars="200"/>
              <w:jc w:val="both"/>
              <w:rPr>
                <w:rFonts w:ascii="Times New Roman" w:cs="Times New Roman" w:eastAsiaTheme="minorEastAsia"/>
              </w:rPr>
            </w:pPr>
          </w:p>
          <w:p>
            <w:pPr>
              <w:pStyle w:val="49"/>
            </w:pPr>
          </w:p>
          <w:p>
            <w:pPr>
              <w:pStyle w:val="49"/>
            </w:pPr>
          </w:p>
          <w:p>
            <w:pPr>
              <w:pStyle w:val="49"/>
            </w:pPr>
          </w:p>
          <w:p>
            <w:pPr>
              <w:pStyle w:val="49"/>
            </w:pPr>
          </w:p>
        </w:tc>
      </w:tr>
    </w:tbl>
    <w:p>
      <w:pPr>
        <w:spacing w:line="240" w:lineRule="auto"/>
        <w:ind w:firstLine="0" w:firstLineChars="0"/>
        <w:jc w:val="left"/>
        <w:outlineLvl w:val="0"/>
        <w:rPr>
          <w:rFonts w:hint="eastAsia" w:ascii="Times New Roman" w:hAnsi="Times New Roman" w:eastAsia="黑体" w:cs="Times New Roman"/>
          <w:sz w:val="32"/>
        </w:rPr>
      </w:pPr>
      <w:r>
        <w:rPr>
          <w:rFonts w:hint="eastAsia" w:ascii="Times New Roman" w:hAnsi="Times New Roman" w:eastAsia="黑体" w:cs="Times New Roman"/>
          <w:sz w:val="32"/>
        </w:rPr>
        <w:t>三、环境质量状况</w:t>
      </w:r>
    </w:p>
    <w:tbl>
      <w:tblPr>
        <w:tblStyle w:val="33"/>
        <w:tblW w:w="935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19" w:hRule="atLeast"/>
        </w:trPr>
        <w:tc>
          <w:tcPr>
            <w:tcW w:w="9354" w:type="dxa"/>
            <w:vAlign w:val="top"/>
          </w:tcPr>
          <w:p>
            <w:pPr>
              <w:ind w:firstLine="0" w:firstLineChars="0"/>
              <w:rPr>
                <w:lang w:val="zh-CN"/>
              </w:rPr>
            </w:pPr>
            <w:r>
              <w:rPr>
                <w:lang w:val="zh-CN"/>
              </w:rPr>
              <w:t>建设项目所在地区域环境质量现状及主要环境问题(环境空气、地面水、地下水、声环境、生态环境等)</w:t>
            </w:r>
          </w:p>
          <w:p>
            <w:pPr>
              <w:pStyle w:val="4"/>
              <w:ind w:firstLine="0" w:firstLineChars="0"/>
              <w:jc w:val="both"/>
            </w:pPr>
            <w:bookmarkStart w:id="61" w:name="_Toc31570"/>
            <w:r>
              <w:rPr>
                <w:rFonts w:hint="eastAsia"/>
                <w:lang w:val="en-US" w:eastAsia="zh-CN"/>
              </w:rPr>
              <w:t>一、</w:t>
            </w:r>
            <w:r>
              <w:t>环境空气质量现状</w:t>
            </w:r>
            <w:bookmarkEnd w:id="61"/>
          </w:p>
          <w:p>
            <w:pPr>
              <w:ind w:firstLine="482"/>
              <w:rPr>
                <w:b/>
                <w:bCs/>
              </w:rPr>
            </w:pPr>
            <w:bookmarkStart w:id="62" w:name="_Toc68684089"/>
            <w:bookmarkStart w:id="63" w:name="_Toc58816645"/>
            <w:bookmarkStart w:id="64" w:name="_Toc58641493"/>
            <w:bookmarkStart w:id="65" w:name="_Toc60035525"/>
            <w:bookmarkStart w:id="66" w:name="_Toc60024601"/>
            <w:bookmarkStart w:id="67" w:name="_Toc58314442"/>
            <w:bookmarkStart w:id="68" w:name="_Toc58731260"/>
            <w:bookmarkStart w:id="69" w:name="_Toc58121777"/>
            <w:bookmarkStart w:id="70" w:name="_Toc58491014"/>
            <w:bookmarkStart w:id="71" w:name="_Toc59682789"/>
            <w:bookmarkStart w:id="72" w:name="_Toc58810542"/>
            <w:bookmarkStart w:id="73" w:name="_Toc59851101"/>
            <w:bookmarkStart w:id="74" w:name="_Toc68749951"/>
            <w:bookmarkStart w:id="75" w:name="_Toc58646773"/>
            <w:bookmarkStart w:id="76" w:name="_Toc58643194"/>
            <w:bookmarkStart w:id="77" w:name="_Toc58041094"/>
            <w:bookmarkStart w:id="78" w:name="_Toc68686395"/>
            <w:bookmarkStart w:id="79" w:name="_Toc58229306"/>
            <w:bookmarkStart w:id="80" w:name="_Toc58810455"/>
            <w:bookmarkStart w:id="81" w:name="_Toc61861954"/>
            <w:bookmarkStart w:id="82" w:name="_Toc100071049"/>
            <w:bookmarkStart w:id="83" w:name="_Toc68766602"/>
            <w:bookmarkStart w:id="84" w:name="_Toc68847870"/>
            <w:bookmarkStart w:id="85" w:name="_Toc68348238"/>
            <w:bookmarkStart w:id="86" w:name="_Toc68582481"/>
            <w:bookmarkStart w:id="87" w:name="_Toc68507198"/>
            <w:bookmarkStart w:id="88" w:name="_Toc68676526"/>
            <w:bookmarkStart w:id="89" w:name="_Toc68774027"/>
            <w:bookmarkStart w:id="90" w:name="_Toc59266590"/>
            <w:bookmarkStart w:id="91" w:name="_Toc57868326"/>
            <w:bookmarkStart w:id="92" w:name="_Toc58124711"/>
            <w:bookmarkStart w:id="93" w:name="_Toc59965649"/>
            <w:bookmarkStart w:id="94" w:name="_Toc58638882"/>
            <w:r>
              <w:rPr>
                <w:rFonts w:hint="eastAsia"/>
                <w:b/>
                <w:bCs/>
                <w:lang w:val="en-US" w:eastAsia="zh-CN"/>
              </w:rPr>
              <w:t>1、</w:t>
            </w:r>
            <w:r>
              <w:rPr>
                <w:b/>
                <w:bCs/>
              </w:rPr>
              <w:t>区域环境质量</w:t>
            </w:r>
          </w:p>
          <w:p>
            <w:pPr>
              <w:ind w:firstLine="480"/>
            </w:pPr>
            <w:r>
              <w:rPr>
                <w:rFonts w:hint="eastAsia"/>
              </w:rPr>
              <w:t>本项目位于</w:t>
            </w:r>
            <w:r>
              <w:rPr>
                <w:rFonts w:hint="default" w:ascii="Times New Roman" w:hAnsi="Times New Roman" w:eastAsia="宋体" w:cs="Times New Roman"/>
              </w:rPr>
              <w:t>西安市</w:t>
            </w:r>
            <w:r>
              <w:rPr>
                <w:rFonts w:hint="default" w:ascii="Times New Roman" w:hAnsi="Times New Roman" w:eastAsia="宋体" w:cs="Times New Roman"/>
                <w:lang w:val="zh-CN"/>
              </w:rPr>
              <w:t>灞桥区狄寨街道夏寨村南3号</w:t>
            </w:r>
            <w:r>
              <w:rPr>
                <w:rFonts w:hint="eastAsia" w:cs="Times New Roman"/>
                <w:lang w:val="zh-CN"/>
              </w:rPr>
              <w:t>，</w:t>
            </w:r>
            <w:r>
              <w:rPr>
                <w:rFonts w:hint="eastAsia"/>
              </w:rPr>
              <w:t>根据大气功能区划，本项目所在地为二类功能区，环境空气质量标准执行《环境空气质量标准》（GB3095</w:t>
            </w:r>
            <w:r>
              <w:rPr>
                <w:rFonts w:hint="eastAsia"/>
              </w:rPr>
              <w:softHyphen/>
            </w:r>
            <w:r>
              <w:rPr>
                <w:rFonts w:hint="eastAsia"/>
              </w:rPr>
              <w:t>-2012）二级标准要求。</w:t>
            </w:r>
          </w:p>
          <w:p>
            <w:pPr>
              <w:keepNext w:val="0"/>
              <w:keepLines w:val="0"/>
              <w:pageBreakBefore w:val="0"/>
              <w:widowControl w:val="0"/>
              <w:kinsoku/>
              <w:wordWrap/>
              <w:overflowPunct/>
              <w:topLinePunct w:val="0"/>
              <w:autoSpaceDE/>
              <w:autoSpaceDN/>
              <w:bidi w:val="0"/>
              <w:adjustRightInd/>
              <w:snapToGrid/>
              <w:ind w:firstLine="480"/>
              <w:textAlignment w:val="auto"/>
            </w:pPr>
            <w:r>
              <w:rPr>
                <w:rFonts w:hint="eastAsia"/>
              </w:rPr>
              <w:t>根据陕西省生态环境厅办公室《环保快报》中2018年1~12月全省环境空气质量状况分析空气常规六项污染物统计数据，西安市灞桥区基本污染物统计结果如表</w:t>
            </w:r>
            <w:r>
              <w:rPr>
                <w:rFonts w:hint="eastAsia"/>
                <w:lang w:val="en-US" w:eastAsia="zh-CN"/>
              </w:rPr>
              <w:t>3-1</w:t>
            </w:r>
            <w:r>
              <w:rPr>
                <w:rFonts w:hint="eastAsia"/>
              </w:rPr>
              <w:t>所示。</w:t>
            </w:r>
          </w:p>
          <w:p>
            <w:pPr>
              <w:keepNext w:val="0"/>
              <w:keepLines w:val="0"/>
              <w:pageBreakBefore w:val="0"/>
              <w:widowControl w:val="0"/>
              <w:kinsoku/>
              <w:wordWrap/>
              <w:overflowPunct/>
              <w:topLinePunct w:val="0"/>
              <w:autoSpaceDE/>
              <w:autoSpaceDN/>
              <w:bidi w:val="0"/>
              <w:adjustRightInd/>
              <w:snapToGrid/>
              <w:ind w:firstLine="482"/>
              <w:jc w:val="center"/>
              <w:textAlignment w:val="auto"/>
              <w:rPr>
                <w:b/>
                <w:bCs/>
              </w:rPr>
            </w:pPr>
            <w:r>
              <w:rPr>
                <w:rFonts w:hint="eastAsia"/>
                <w:b/>
                <w:bCs/>
              </w:rPr>
              <w:t>表3-1 基本污染物环境质量现状</w:t>
            </w:r>
          </w:p>
          <w:tbl>
            <w:tblPr>
              <w:tblStyle w:val="34"/>
              <w:tblW w:w="850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96"/>
              <w:gridCol w:w="1808"/>
              <w:gridCol w:w="1540"/>
              <w:gridCol w:w="1616"/>
              <w:gridCol w:w="1322"/>
              <w:gridCol w:w="132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6" w:type="dxa"/>
                  <w:vMerge w:val="restart"/>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1808" w:type="dxa"/>
                  <w:vMerge w:val="restart"/>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评价指标</w:t>
                  </w:r>
                </w:p>
              </w:tc>
              <w:tc>
                <w:tcPr>
                  <w:tcW w:w="1540" w:type="dxa"/>
                  <w:vMerge w:val="restart"/>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评价标准/（μg/m³）</w:t>
                  </w:r>
                </w:p>
              </w:tc>
              <w:tc>
                <w:tcPr>
                  <w:tcW w:w="1616" w:type="dxa"/>
                  <w:vMerge w:val="restart"/>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现状浓度/（μg/m³）</w:t>
                  </w:r>
                </w:p>
              </w:tc>
              <w:tc>
                <w:tcPr>
                  <w:tcW w:w="1322" w:type="dxa"/>
                  <w:vMerge w:val="restart"/>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c>
                <w:tcPr>
                  <w:tcW w:w="1322" w:type="dxa"/>
                  <w:vMerge w:val="restart"/>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6" w:type="dxa"/>
                  <w:vMerge w:val="continue"/>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p>
              </w:tc>
              <w:tc>
                <w:tcPr>
                  <w:tcW w:w="1808" w:type="dxa"/>
                  <w:vMerge w:val="continue"/>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p>
              </w:tc>
              <w:tc>
                <w:tcPr>
                  <w:tcW w:w="1540" w:type="dxa"/>
                  <w:vMerge w:val="continue"/>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p>
              </w:tc>
              <w:tc>
                <w:tcPr>
                  <w:tcW w:w="1616" w:type="dxa"/>
                  <w:vMerge w:val="continue"/>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p>
              </w:tc>
              <w:tc>
                <w:tcPr>
                  <w:tcW w:w="1322" w:type="dxa"/>
                  <w:vMerge w:val="continue"/>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p>
              </w:tc>
              <w:tc>
                <w:tcPr>
                  <w:tcW w:w="1322" w:type="dxa"/>
                  <w:vMerge w:val="continue"/>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6"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p>
              </w:tc>
              <w:tc>
                <w:tcPr>
                  <w:tcW w:w="1808"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年平均质量浓度</w:t>
                  </w:r>
                </w:p>
              </w:tc>
              <w:tc>
                <w:tcPr>
                  <w:tcW w:w="1540"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616"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117</w:t>
                  </w:r>
                </w:p>
              </w:tc>
              <w:tc>
                <w:tcPr>
                  <w:tcW w:w="1322"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167</w:t>
                  </w:r>
                </w:p>
              </w:tc>
              <w:tc>
                <w:tcPr>
                  <w:tcW w:w="1322"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6"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2.5</w:t>
                  </w:r>
                </w:p>
              </w:tc>
              <w:tc>
                <w:tcPr>
                  <w:tcW w:w="1808"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年平均质量浓度</w:t>
                  </w:r>
                </w:p>
              </w:tc>
              <w:tc>
                <w:tcPr>
                  <w:tcW w:w="1540"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1616"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63</w:t>
                  </w:r>
                </w:p>
              </w:tc>
              <w:tc>
                <w:tcPr>
                  <w:tcW w:w="1322"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180</w:t>
                  </w:r>
                </w:p>
              </w:tc>
              <w:tc>
                <w:tcPr>
                  <w:tcW w:w="1322"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6"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808"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年平均质量浓度</w:t>
                  </w:r>
                </w:p>
              </w:tc>
              <w:tc>
                <w:tcPr>
                  <w:tcW w:w="1540"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1616"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1322"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28.3</w:t>
                  </w:r>
                </w:p>
              </w:tc>
              <w:tc>
                <w:tcPr>
                  <w:tcW w:w="1322"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6"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p>
              </w:tc>
              <w:tc>
                <w:tcPr>
                  <w:tcW w:w="1808"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年平均质量浓度</w:t>
                  </w:r>
                </w:p>
              </w:tc>
              <w:tc>
                <w:tcPr>
                  <w:tcW w:w="1540"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1616"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w:t>
                  </w:r>
                </w:p>
              </w:tc>
              <w:tc>
                <w:tcPr>
                  <w:tcW w:w="1322"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140</w:t>
                  </w:r>
                </w:p>
              </w:tc>
              <w:tc>
                <w:tcPr>
                  <w:tcW w:w="1322"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6"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w:t>
                  </w:r>
                </w:p>
              </w:tc>
              <w:tc>
                <w:tcPr>
                  <w:tcW w:w="1808"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第95%百分位数24小时均值</w:t>
                  </w:r>
                </w:p>
              </w:tc>
              <w:tc>
                <w:tcPr>
                  <w:tcW w:w="1540"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4.0mg/m</w:t>
                  </w:r>
                  <w:r>
                    <w:rPr>
                      <w:rFonts w:hint="default" w:ascii="Times New Roman" w:hAnsi="Times New Roman" w:eastAsia="宋体" w:cs="Times New Roman"/>
                      <w:sz w:val="21"/>
                      <w:szCs w:val="21"/>
                      <w:vertAlign w:val="superscript"/>
                    </w:rPr>
                    <w:t>3</w:t>
                  </w:r>
                </w:p>
              </w:tc>
              <w:tc>
                <w:tcPr>
                  <w:tcW w:w="1616"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2.5mg/m</w:t>
                  </w:r>
                  <w:r>
                    <w:rPr>
                      <w:rFonts w:hint="default" w:ascii="Times New Roman" w:hAnsi="Times New Roman" w:eastAsia="宋体" w:cs="Times New Roman"/>
                      <w:sz w:val="21"/>
                      <w:szCs w:val="21"/>
                      <w:vertAlign w:val="superscript"/>
                    </w:rPr>
                    <w:t>3</w:t>
                  </w:r>
                </w:p>
              </w:tc>
              <w:tc>
                <w:tcPr>
                  <w:tcW w:w="1322"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62.5</w:t>
                  </w:r>
                </w:p>
              </w:tc>
              <w:tc>
                <w:tcPr>
                  <w:tcW w:w="1322"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6"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p>
              </w:tc>
              <w:tc>
                <w:tcPr>
                  <w:tcW w:w="1808"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第95%百分位数8小时平均</w:t>
                  </w:r>
                </w:p>
              </w:tc>
              <w:tc>
                <w:tcPr>
                  <w:tcW w:w="1540"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160</w:t>
                  </w:r>
                </w:p>
              </w:tc>
              <w:tc>
                <w:tcPr>
                  <w:tcW w:w="1616"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162</w:t>
                  </w:r>
                </w:p>
              </w:tc>
              <w:tc>
                <w:tcPr>
                  <w:tcW w:w="1322" w:type="dxa"/>
                  <w:tcBorders>
                    <w:tl2br w:val="nil"/>
                    <w:tr2bl w:val="nil"/>
                  </w:tcBorders>
                  <w:vAlign w:val="center"/>
                </w:tcPr>
                <w:p>
                  <w:pPr>
                    <w:adjustRightInd w:val="0"/>
                    <w:snapToGrid w:val="0"/>
                    <w:spacing w:line="36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101.3</w:t>
                  </w:r>
                </w:p>
              </w:tc>
              <w:tc>
                <w:tcPr>
                  <w:tcW w:w="1322" w:type="dxa"/>
                  <w:tcBorders>
                    <w:tl2br w:val="nil"/>
                    <w:tr2bl w:val="nil"/>
                  </w:tcBorders>
                  <w:vAlign w:val="center"/>
                </w:tcPr>
                <w:p>
                  <w:pPr>
                    <w:widowControl/>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不达标</w:t>
                  </w:r>
                </w:p>
              </w:tc>
            </w:tr>
          </w:tbl>
          <w:p>
            <w:pPr>
              <w:keepNext w:val="0"/>
              <w:keepLines w:val="0"/>
              <w:pageBreakBefore w:val="0"/>
              <w:widowControl w:val="0"/>
              <w:kinsoku/>
              <w:wordWrap/>
              <w:overflowPunct/>
              <w:topLinePunct w:val="0"/>
              <w:autoSpaceDE/>
              <w:autoSpaceDN/>
              <w:bidi w:val="0"/>
              <w:adjustRightInd/>
              <w:snapToGrid/>
              <w:ind w:firstLine="480"/>
              <w:jc w:val="left"/>
              <w:textAlignment w:val="auto"/>
              <w:rPr>
                <w:rFonts w:hint="default" w:ascii="Times New Roman" w:hAnsi="Times New Roman" w:eastAsia="宋体" w:cs="Times New Roman"/>
              </w:rPr>
            </w:pPr>
            <w:r>
              <w:rPr>
                <w:rFonts w:hint="default" w:ascii="Times New Roman" w:hAnsi="Times New Roman" w:eastAsia="宋体" w:cs="Times New Roman"/>
              </w:rPr>
              <w:t>由上表可知，灞桥区环境空气6个监测项目中，SO</w:t>
            </w:r>
            <w:r>
              <w:rPr>
                <w:rFonts w:hint="default" w:ascii="Times New Roman" w:hAnsi="Times New Roman" w:eastAsia="宋体" w:cs="Times New Roman"/>
                <w:vertAlign w:val="subscript"/>
              </w:rPr>
              <w:t>2</w:t>
            </w:r>
            <w:r>
              <w:rPr>
                <w:rFonts w:hint="default" w:ascii="Times New Roman" w:hAnsi="Times New Roman" w:eastAsia="宋体" w:cs="Times New Roman"/>
              </w:rPr>
              <w:t>、CO 24小时均值第95百分位数浓度低于国家环境空气质量二级标准；PM</w:t>
            </w:r>
            <w:r>
              <w:rPr>
                <w:rFonts w:hint="default" w:ascii="Times New Roman" w:hAnsi="Times New Roman" w:eastAsia="宋体" w:cs="Times New Roman"/>
                <w:vertAlign w:val="subscript"/>
              </w:rPr>
              <w:t>10</w:t>
            </w:r>
            <w:r>
              <w:rPr>
                <w:rFonts w:hint="default" w:ascii="Times New Roman" w:hAnsi="Times New Roman" w:eastAsia="宋体" w:cs="Times New Roman"/>
              </w:rPr>
              <w:t>、PM</w:t>
            </w:r>
            <w:r>
              <w:rPr>
                <w:rFonts w:hint="default" w:ascii="Times New Roman" w:hAnsi="Times New Roman" w:eastAsia="宋体" w:cs="Times New Roman"/>
                <w:vertAlign w:val="subscript"/>
              </w:rPr>
              <w:t>2.5</w:t>
            </w:r>
            <w:r>
              <w:rPr>
                <w:rFonts w:hint="default" w:ascii="Times New Roman" w:hAnsi="Times New Roman" w:eastAsia="宋体" w:cs="Times New Roman"/>
              </w:rPr>
              <w:t>、NO</w:t>
            </w:r>
            <w:r>
              <w:rPr>
                <w:rFonts w:hint="default" w:ascii="Times New Roman" w:hAnsi="Times New Roman" w:eastAsia="宋体" w:cs="Times New Roman"/>
                <w:vertAlign w:val="subscript"/>
              </w:rPr>
              <w:t>2</w:t>
            </w:r>
            <w:r>
              <w:rPr>
                <w:rFonts w:hint="default" w:ascii="Times New Roman" w:hAnsi="Times New Roman" w:eastAsia="宋体" w:cs="Times New Roman"/>
              </w:rPr>
              <w:t>年均浓度值、O</w:t>
            </w:r>
            <w:r>
              <w:rPr>
                <w:rFonts w:hint="default" w:ascii="Times New Roman" w:hAnsi="Times New Roman" w:eastAsia="宋体" w:cs="Times New Roman"/>
                <w:vertAlign w:val="subscript"/>
              </w:rPr>
              <w:t>3</w:t>
            </w:r>
            <w:r>
              <w:rPr>
                <w:rFonts w:hint="default" w:ascii="Times New Roman" w:hAnsi="Times New Roman" w:eastAsia="宋体" w:cs="Times New Roman"/>
              </w:rPr>
              <w:t>最大8小时平均值第90百分位数值均高于国家环境空气质量二级标准；根据《环境影响评价技术导则—大气环境》（HJ2.2</w:t>
            </w:r>
            <w:r>
              <w:rPr>
                <w:rFonts w:hint="default" w:ascii="Times New Roman" w:hAnsi="Times New Roman" w:eastAsia="宋体" w:cs="Times New Roman"/>
              </w:rPr>
              <w:softHyphen/>
            </w:r>
            <w:r>
              <w:rPr>
                <w:rFonts w:hint="default" w:ascii="Times New Roman" w:hAnsi="Times New Roman" w:eastAsia="宋体" w:cs="Times New Roman"/>
              </w:rPr>
              <w:t>2018），城市环境空气质量达标情况评价指标为SO</w:t>
            </w:r>
            <w:r>
              <w:rPr>
                <w:rFonts w:hint="default" w:ascii="Times New Roman" w:hAnsi="Times New Roman" w:eastAsia="宋体" w:cs="Times New Roman"/>
                <w:vertAlign w:val="subscript"/>
              </w:rPr>
              <w:t>2</w:t>
            </w:r>
            <w:r>
              <w:rPr>
                <w:rFonts w:hint="default" w:ascii="Times New Roman" w:hAnsi="Times New Roman" w:eastAsia="宋体" w:cs="Times New Roman"/>
              </w:rPr>
              <w:t>、NO</w:t>
            </w:r>
            <w:r>
              <w:rPr>
                <w:rFonts w:hint="default" w:ascii="Times New Roman" w:hAnsi="Times New Roman" w:eastAsia="宋体" w:cs="Times New Roman"/>
                <w:vertAlign w:val="subscript"/>
              </w:rPr>
              <w:t>2</w:t>
            </w:r>
            <w:r>
              <w:rPr>
                <w:rFonts w:hint="default" w:ascii="Times New Roman" w:hAnsi="Times New Roman" w:eastAsia="宋体" w:cs="Times New Roman"/>
              </w:rPr>
              <w:t>、PM</w:t>
            </w:r>
            <w:r>
              <w:rPr>
                <w:rFonts w:hint="default" w:ascii="Times New Roman" w:hAnsi="Times New Roman" w:eastAsia="宋体" w:cs="Times New Roman"/>
                <w:vertAlign w:val="subscript"/>
              </w:rPr>
              <w:t>10</w:t>
            </w:r>
            <w:r>
              <w:rPr>
                <w:rFonts w:hint="default" w:ascii="Times New Roman" w:hAnsi="Times New Roman" w:eastAsia="宋体" w:cs="Times New Roman"/>
              </w:rPr>
              <w:t>、PM</w:t>
            </w:r>
            <w:r>
              <w:rPr>
                <w:rFonts w:hint="default" w:ascii="Times New Roman" w:hAnsi="Times New Roman" w:eastAsia="宋体" w:cs="Times New Roman"/>
                <w:vertAlign w:val="subscript"/>
              </w:rPr>
              <w:t>2.5</w:t>
            </w:r>
            <w:r>
              <w:rPr>
                <w:rFonts w:hint="default" w:ascii="Times New Roman" w:hAnsi="Times New Roman" w:eastAsia="宋体" w:cs="Times New Roman"/>
              </w:rPr>
              <w:t>、CO、O</w:t>
            </w:r>
            <w:r>
              <w:rPr>
                <w:rFonts w:hint="default" w:ascii="Times New Roman" w:hAnsi="Times New Roman" w:eastAsia="宋体" w:cs="Times New Roman"/>
                <w:vertAlign w:val="subscript"/>
              </w:rPr>
              <w:t>3</w:t>
            </w:r>
            <w:r>
              <w:rPr>
                <w:rFonts w:hint="default" w:ascii="Times New Roman" w:hAnsi="Times New Roman" w:eastAsia="宋体" w:cs="Times New Roman"/>
              </w:rPr>
              <w:t>，六项污染物年评价指标全部达标即为城市环境空气质量达标。因此，本项目所在区域属于不达标区域。</w:t>
            </w:r>
          </w:p>
          <w:p>
            <w:pPr>
              <w:ind w:firstLine="482"/>
              <w:rPr>
                <w:b/>
                <w:bCs/>
                <w:color w:val="000000" w:themeColor="text1"/>
              </w:rPr>
            </w:pPr>
            <w:r>
              <w:rPr>
                <w:rFonts w:hint="eastAsia"/>
                <w:b/>
                <w:bCs/>
                <w:color w:val="000000" w:themeColor="text1"/>
                <w:lang w:val="en-US" w:eastAsia="zh-CN"/>
              </w:rPr>
              <w:t>2、</w:t>
            </w:r>
            <w:r>
              <w:rPr>
                <w:rFonts w:hint="eastAsia"/>
                <w:b/>
                <w:bCs/>
                <w:color w:val="000000" w:themeColor="text1"/>
              </w:rPr>
              <w:t>特征污染物环境质量现状</w:t>
            </w:r>
          </w:p>
          <w:p>
            <w:pPr>
              <w:ind w:firstLine="480"/>
              <w:rPr>
                <w:color w:val="000000" w:themeColor="text1"/>
              </w:rPr>
            </w:pPr>
            <w:r>
              <w:rPr>
                <w:rFonts w:ascii="宋体" w:hAnsi="宋体"/>
                <w:color w:val="000000" w:themeColor="text1"/>
                <w:sz w:val="24"/>
              </w:rPr>
              <w:t>项目所在区域的环境空气中</w:t>
            </w:r>
            <w:r>
              <w:rPr>
                <w:rFonts w:hint="eastAsia" w:ascii="宋体" w:hAnsi="宋体"/>
                <w:color w:val="000000" w:themeColor="text1"/>
                <w:sz w:val="24"/>
                <w:lang w:val="en-US" w:eastAsia="zh-CN"/>
              </w:rPr>
              <w:t>特征污染物非甲烷总烃引用陕西林泉检测技术有限公司提供的《西安市居家格调家具有限公司木质家具生产线建设项目环境质量检测》数据（林泉检（综）字2019第178号）</w:t>
            </w:r>
            <w:r>
              <w:rPr>
                <w:rFonts w:ascii="宋体" w:hAnsi="宋体"/>
                <w:color w:val="000000" w:themeColor="text1"/>
                <w:sz w:val="24"/>
              </w:rPr>
              <w:t>，监测结</w:t>
            </w:r>
            <w:r>
              <w:rPr>
                <w:rFonts w:hint="default" w:ascii="Times New Roman" w:hAnsi="Times New Roman" w:cs="Times New Roman"/>
                <w:color w:val="000000" w:themeColor="text1"/>
                <w:sz w:val="24"/>
              </w:rPr>
              <w:t>果见表</w:t>
            </w:r>
            <w:r>
              <w:rPr>
                <w:rFonts w:hint="default" w:ascii="Times New Roman" w:hAnsi="Times New Roman" w:cs="Times New Roman"/>
                <w:color w:val="000000" w:themeColor="text1"/>
                <w:sz w:val="24"/>
                <w:lang w:val="en-US" w:eastAsia="zh-CN"/>
              </w:rPr>
              <w:t>3-2</w:t>
            </w:r>
            <w:r>
              <w:rPr>
                <w:rFonts w:hint="eastAsia" w:cs="Times New Roman"/>
                <w:color w:val="000000" w:themeColor="text1"/>
                <w:sz w:val="24"/>
                <w:lang w:val="en-US" w:eastAsia="zh-CN"/>
              </w:rPr>
              <w:t>，详见附件3。</w:t>
            </w:r>
            <w:r>
              <w:rPr>
                <w:rFonts w:hint="eastAsia" w:ascii="宋体" w:hAnsi="宋体"/>
                <w:color w:val="000000" w:themeColor="text1"/>
                <w:sz w:val="24"/>
                <w:lang w:val="en-US" w:eastAsia="zh-CN"/>
              </w:rPr>
              <w:t>西安市居家格调家具有限公司木质家具生产线建设项目与本项目建设地紧邻，相距不足20米，特征污染物监测点位一致</w:t>
            </w:r>
            <w:r>
              <w:rPr>
                <w:rFonts w:hint="default" w:ascii="Times New Roman" w:hAnsi="Times New Roman" w:cs="Times New Roman"/>
                <w:color w:val="000000" w:themeColor="text1"/>
              </w:rPr>
              <w:t>。</w:t>
            </w:r>
            <w:bookmarkStart w:id="95" w:name="_Toc23412_WPSOffice_Level1"/>
          </w:p>
          <w:p>
            <w:pPr>
              <w:ind w:firstLine="0" w:firstLineChars="0"/>
              <w:jc w:val="center"/>
              <w:rPr>
                <w:b/>
                <w:bCs/>
              </w:rPr>
            </w:pPr>
            <w:r>
              <w:rPr>
                <w:b/>
                <w:bCs/>
              </w:rPr>
              <w:t>表</w:t>
            </w:r>
            <w:r>
              <w:rPr>
                <w:rFonts w:hint="eastAsia"/>
                <w:b/>
                <w:bCs/>
              </w:rPr>
              <w:t>3-</w:t>
            </w:r>
            <w:r>
              <w:rPr>
                <w:b/>
                <w:bCs/>
              </w:rPr>
              <w:t xml:space="preserve">2 </w:t>
            </w:r>
            <w:r>
              <w:rPr>
                <w:rFonts w:hint="eastAsia"/>
                <w:b/>
                <w:bCs/>
              </w:rPr>
              <w:t>非甲烷总烃环境质量</w:t>
            </w:r>
            <w:r>
              <w:rPr>
                <w:b/>
                <w:bCs/>
              </w:rPr>
              <w:t>现状监测结果 (单位：</w:t>
            </w:r>
            <w:r>
              <w:rPr>
                <w:rFonts w:hint="eastAsia"/>
                <w:b/>
                <w:bCs/>
              </w:rPr>
              <w:t>m</w:t>
            </w:r>
            <w:r>
              <w:rPr>
                <w:b/>
                <w:bCs/>
              </w:rPr>
              <w:t>g/m</w:t>
            </w:r>
            <w:r>
              <w:rPr>
                <w:b/>
                <w:bCs/>
                <w:vertAlign w:val="superscript"/>
              </w:rPr>
              <w:t>3</w:t>
            </w:r>
            <w:r>
              <w:rPr>
                <w:b/>
                <w:bCs/>
              </w:rPr>
              <w:t>)</w:t>
            </w:r>
            <w:bookmarkEnd w:id="95"/>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83"/>
              <w:gridCol w:w="2031"/>
              <w:gridCol w:w="2845"/>
              <w:gridCol w:w="2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783" w:type="dxa"/>
                  <w:vMerge w:val="restart"/>
                  <w:vAlign w:val="center"/>
                </w:tcPr>
                <w:p>
                  <w:pPr>
                    <w:pStyle w:val="208"/>
                    <w:jc w:val="center"/>
                    <w:rPr>
                      <w:szCs w:val="21"/>
                    </w:rPr>
                  </w:pPr>
                  <w:r>
                    <w:rPr>
                      <w:rFonts w:hint="eastAsia"/>
                      <w:szCs w:val="21"/>
                    </w:rPr>
                    <w:t>序号</w:t>
                  </w:r>
                </w:p>
              </w:tc>
              <w:tc>
                <w:tcPr>
                  <w:tcW w:w="2031" w:type="dxa"/>
                  <w:vMerge w:val="restart"/>
                  <w:vAlign w:val="center"/>
                </w:tcPr>
                <w:p>
                  <w:pPr>
                    <w:pStyle w:val="208"/>
                    <w:jc w:val="center"/>
                    <w:rPr>
                      <w:szCs w:val="21"/>
                    </w:rPr>
                  </w:pPr>
                  <w:r>
                    <w:rPr>
                      <w:rFonts w:hint="eastAsia"/>
                      <w:szCs w:val="21"/>
                    </w:rPr>
                    <w:t>时间</w:t>
                  </w:r>
                </w:p>
              </w:tc>
              <w:tc>
                <w:tcPr>
                  <w:tcW w:w="2845" w:type="dxa"/>
                  <w:vAlign w:val="center"/>
                </w:tcPr>
                <w:p>
                  <w:pPr>
                    <w:pStyle w:val="208"/>
                    <w:jc w:val="center"/>
                    <w:rPr>
                      <w:rFonts w:hint="default" w:eastAsia="宋体"/>
                      <w:szCs w:val="21"/>
                      <w:lang w:val="en-US" w:eastAsia="zh-CN"/>
                    </w:rPr>
                  </w:pPr>
                  <w:r>
                    <w:rPr>
                      <w:rFonts w:hint="eastAsia"/>
                      <w:szCs w:val="21"/>
                      <w:lang w:val="en-US" w:eastAsia="zh-CN"/>
                    </w:rPr>
                    <w:t>夏寨村</w:t>
                  </w:r>
                </w:p>
              </w:tc>
              <w:tc>
                <w:tcPr>
                  <w:tcW w:w="2845" w:type="dxa"/>
                  <w:vAlign w:val="center"/>
                </w:tcPr>
                <w:p>
                  <w:pPr>
                    <w:pStyle w:val="208"/>
                    <w:jc w:val="center"/>
                    <w:rPr>
                      <w:rFonts w:hint="default"/>
                      <w:szCs w:val="21"/>
                      <w:lang w:val="en-US" w:eastAsia="zh-CN"/>
                    </w:rPr>
                  </w:pPr>
                  <w:r>
                    <w:rPr>
                      <w:rFonts w:hint="eastAsia"/>
                      <w:szCs w:val="21"/>
                      <w:lang w:val="en-US" w:eastAsia="zh-CN"/>
                    </w:rPr>
                    <w:t>车村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83" w:type="dxa"/>
                  <w:vMerge w:val="continue"/>
                  <w:vAlign w:val="center"/>
                </w:tcPr>
                <w:p>
                  <w:pPr>
                    <w:pStyle w:val="208"/>
                    <w:jc w:val="center"/>
                    <w:rPr>
                      <w:szCs w:val="21"/>
                    </w:rPr>
                  </w:pPr>
                </w:p>
              </w:tc>
              <w:tc>
                <w:tcPr>
                  <w:tcW w:w="2031" w:type="dxa"/>
                  <w:vMerge w:val="continue"/>
                  <w:vAlign w:val="center"/>
                </w:tcPr>
                <w:p>
                  <w:pPr>
                    <w:pStyle w:val="208"/>
                    <w:jc w:val="center"/>
                    <w:rPr>
                      <w:szCs w:val="21"/>
                    </w:rPr>
                  </w:pPr>
                </w:p>
              </w:tc>
              <w:tc>
                <w:tcPr>
                  <w:tcW w:w="2845" w:type="dxa"/>
                  <w:vAlign w:val="center"/>
                </w:tcPr>
                <w:p>
                  <w:pPr>
                    <w:ind w:firstLine="0" w:firstLineChars="0"/>
                    <w:jc w:val="center"/>
                    <w:rPr>
                      <w:sz w:val="21"/>
                      <w:szCs w:val="21"/>
                    </w:rPr>
                  </w:pPr>
                  <w:r>
                    <w:rPr>
                      <w:rFonts w:hint="eastAsia"/>
                      <w:sz w:val="21"/>
                      <w:szCs w:val="21"/>
                    </w:rPr>
                    <w:t>非甲烷总烃</w:t>
                  </w:r>
                </w:p>
              </w:tc>
              <w:tc>
                <w:tcPr>
                  <w:tcW w:w="2845" w:type="dxa"/>
                  <w:vAlign w:val="center"/>
                </w:tcPr>
                <w:p>
                  <w:pPr>
                    <w:ind w:firstLine="0" w:firstLineChars="0"/>
                    <w:jc w:val="center"/>
                    <w:rPr>
                      <w:rFonts w:hint="eastAsia"/>
                      <w:sz w:val="21"/>
                      <w:szCs w:val="21"/>
                    </w:rPr>
                  </w:pPr>
                  <w:r>
                    <w:rPr>
                      <w:rFonts w:hint="eastAsia"/>
                      <w:sz w:val="21"/>
                      <w:szCs w:val="21"/>
                    </w:rPr>
                    <w:t>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83" w:type="dxa"/>
                  <w:vAlign w:val="center"/>
                </w:tcPr>
                <w:p>
                  <w:pPr>
                    <w:pStyle w:val="208"/>
                    <w:jc w:val="center"/>
                    <w:rPr>
                      <w:szCs w:val="21"/>
                    </w:rPr>
                  </w:pPr>
                  <w:r>
                    <w:rPr>
                      <w:rFonts w:hint="eastAsia"/>
                      <w:szCs w:val="21"/>
                    </w:rPr>
                    <w:t>1</w:t>
                  </w:r>
                </w:p>
              </w:tc>
              <w:tc>
                <w:tcPr>
                  <w:tcW w:w="2031" w:type="dxa"/>
                  <w:vAlign w:val="center"/>
                </w:tcPr>
                <w:p>
                  <w:pPr>
                    <w:pStyle w:val="208"/>
                    <w:jc w:val="center"/>
                    <w:rPr>
                      <w:rFonts w:hint="default" w:eastAsia="宋体"/>
                      <w:szCs w:val="21"/>
                      <w:lang w:val="en-US" w:eastAsia="zh-CN"/>
                    </w:rPr>
                  </w:pPr>
                  <w:r>
                    <w:rPr>
                      <w:rFonts w:hint="eastAsia"/>
                      <w:szCs w:val="21"/>
                    </w:rPr>
                    <w:t>2019.7.</w:t>
                  </w:r>
                  <w:r>
                    <w:rPr>
                      <w:rFonts w:hint="eastAsia"/>
                      <w:szCs w:val="21"/>
                      <w:lang w:val="en-US" w:eastAsia="zh-CN"/>
                    </w:rPr>
                    <w:t>26</w:t>
                  </w:r>
                </w:p>
              </w:tc>
              <w:tc>
                <w:tcPr>
                  <w:tcW w:w="2845" w:type="dxa"/>
                  <w:vAlign w:val="center"/>
                </w:tcPr>
                <w:p>
                  <w:pPr>
                    <w:pStyle w:val="208"/>
                    <w:jc w:val="center"/>
                    <w:rPr>
                      <w:rFonts w:hint="default" w:eastAsia="宋体"/>
                      <w:szCs w:val="21"/>
                      <w:lang w:val="en-US" w:eastAsia="zh-CN"/>
                    </w:rPr>
                  </w:pPr>
                  <w:r>
                    <w:rPr>
                      <w:rFonts w:hint="eastAsia"/>
                      <w:szCs w:val="21"/>
                      <w:lang w:val="en-US" w:eastAsia="zh-CN"/>
                    </w:rPr>
                    <w:t>1.61</w:t>
                  </w:r>
                  <w:r>
                    <w:rPr>
                      <w:rFonts w:hint="eastAsia"/>
                      <w:szCs w:val="21"/>
                    </w:rPr>
                    <w:t>-</w:t>
                  </w:r>
                  <w:r>
                    <w:rPr>
                      <w:rFonts w:hint="eastAsia"/>
                      <w:szCs w:val="21"/>
                      <w:lang w:val="en-US" w:eastAsia="zh-CN"/>
                    </w:rPr>
                    <w:t>1.94</w:t>
                  </w:r>
                </w:p>
              </w:tc>
              <w:tc>
                <w:tcPr>
                  <w:tcW w:w="2845" w:type="dxa"/>
                  <w:vAlign w:val="center"/>
                </w:tcPr>
                <w:p>
                  <w:pPr>
                    <w:pStyle w:val="208"/>
                    <w:ind w:firstLine="0" w:firstLineChars="0"/>
                    <w:jc w:val="center"/>
                    <w:rPr>
                      <w:rFonts w:hint="eastAsia"/>
                      <w:szCs w:val="21"/>
                    </w:rPr>
                  </w:pPr>
                  <w:r>
                    <w:rPr>
                      <w:rFonts w:hint="eastAsia"/>
                      <w:szCs w:val="21"/>
                      <w:lang w:val="en-US" w:eastAsia="zh-CN"/>
                    </w:rPr>
                    <w:t>1.70</w:t>
                  </w:r>
                  <w:r>
                    <w:rPr>
                      <w:rFonts w:hint="eastAsia"/>
                      <w:szCs w:val="21"/>
                    </w:rPr>
                    <w:t>-</w:t>
                  </w:r>
                  <w:r>
                    <w:rPr>
                      <w:rFonts w:hint="eastAsia"/>
                      <w:szCs w:val="21"/>
                      <w:lang w:val="en-US" w:eastAsia="zh-CN"/>
                    </w:rPr>
                    <w:t>1.97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783" w:type="dxa"/>
                  <w:vAlign w:val="center"/>
                </w:tcPr>
                <w:p>
                  <w:pPr>
                    <w:pStyle w:val="208"/>
                    <w:jc w:val="center"/>
                    <w:rPr>
                      <w:szCs w:val="21"/>
                    </w:rPr>
                  </w:pPr>
                  <w:r>
                    <w:rPr>
                      <w:rFonts w:hint="eastAsia"/>
                      <w:szCs w:val="21"/>
                    </w:rPr>
                    <w:t>2</w:t>
                  </w:r>
                </w:p>
              </w:tc>
              <w:tc>
                <w:tcPr>
                  <w:tcW w:w="2031" w:type="dxa"/>
                  <w:vAlign w:val="center"/>
                </w:tcPr>
                <w:p>
                  <w:pPr>
                    <w:ind w:firstLine="0" w:firstLineChars="0"/>
                    <w:jc w:val="center"/>
                    <w:rPr>
                      <w:rFonts w:hint="default" w:eastAsia="宋体"/>
                      <w:sz w:val="21"/>
                      <w:szCs w:val="21"/>
                      <w:lang w:val="en-US" w:eastAsia="zh-CN"/>
                    </w:rPr>
                  </w:pPr>
                  <w:r>
                    <w:rPr>
                      <w:rFonts w:hint="eastAsia"/>
                      <w:sz w:val="21"/>
                      <w:szCs w:val="21"/>
                    </w:rPr>
                    <w:t>2019.7.</w:t>
                  </w:r>
                  <w:r>
                    <w:rPr>
                      <w:rFonts w:hint="eastAsia"/>
                      <w:sz w:val="21"/>
                      <w:szCs w:val="21"/>
                      <w:lang w:val="en-US" w:eastAsia="zh-CN"/>
                    </w:rPr>
                    <w:t>27</w:t>
                  </w:r>
                </w:p>
              </w:tc>
              <w:tc>
                <w:tcPr>
                  <w:tcW w:w="2845" w:type="dxa"/>
                  <w:vAlign w:val="center"/>
                </w:tcPr>
                <w:p>
                  <w:pPr>
                    <w:pStyle w:val="208"/>
                    <w:jc w:val="center"/>
                    <w:rPr>
                      <w:rFonts w:hint="default" w:eastAsia="宋体"/>
                      <w:szCs w:val="21"/>
                      <w:lang w:val="en-US" w:eastAsia="zh-CN"/>
                    </w:rPr>
                  </w:pPr>
                  <w:r>
                    <w:rPr>
                      <w:rFonts w:hint="eastAsia"/>
                      <w:szCs w:val="21"/>
                      <w:lang w:val="en-US" w:eastAsia="zh-CN"/>
                    </w:rPr>
                    <w:t>1.26</w:t>
                  </w:r>
                  <w:r>
                    <w:rPr>
                      <w:rFonts w:hint="eastAsia"/>
                      <w:szCs w:val="21"/>
                    </w:rPr>
                    <w:t>-</w:t>
                  </w:r>
                  <w:r>
                    <w:rPr>
                      <w:rFonts w:hint="eastAsia"/>
                      <w:szCs w:val="21"/>
                      <w:lang w:val="en-US" w:eastAsia="zh-CN"/>
                    </w:rPr>
                    <w:t>1.82</w:t>
                  </w:r>
                </w:p>
              </w:tc>
              <w:tc>
                <w:tcPr>
                  <w:tcW w:w="2845" w:type="dxa"/>
                  <w:vAlign w:val="center"/>
                </w:tcPr>
                <w:p>
                  <w:pPr>
                    <w:pStyle w:val="208"/>
                    <w:ind w:firstLine="0" w:firstLineChars="0"/>
                    <w:jc w:val="center"/>
                    <w:rPr>
                      <w:rFonts w:hint="eastAsia"/>
                      <w:szCs w:val="21"/>
                    </w:rPr>
                  </w:pPr>
                  <w:r>
                    <w:rPr>
                      <w:rFonts w:hint="eastAsia"/>
                      <w:szCs w:val="21"/>
                      <w:lang w:val="en-US" w:eastAsia="zh-CN"/>
                    </w:rPr>
                    <w:t>1.54</w:t>
                  </w:r>
                  <w:r>
                    <w:rPr>
                      <w:rFonts w:hint="eastAsia"/>
                      <w:szCs w:val="21"/>
                    </w:rPr>
                    <w:t>-</w:t>
                  </w:r>
                  <w:r>
                    <w:rPr>
                      <w:rFonts w:hint="eastAsia"/>
                      <w:szCs w:val="21"/>
                      <w:lang w:val="en-US" w:eastAsia="zh-CN"/>
                    </w:rPr>
                    <w:t>1.87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783" w:type="dxa"/>
                  <w:vAlign w:val="center"/>
                </w:tcPr>
                <w:p>
                  <w:pPr>
                    <w:pStyle w:val="208"/>
                    <w:jc w:val="center"/>
                    <w:rPr>
                      <w:szCs w:val="21"/>
                    </w:rPr>
                  </w:pPr>
                  <w:r>
                    <w:rPr>
                      <w:rFonts w:hint="eastAsia"/>
                      <w:szCs w:val="21"/>
                    </w:rPr>
                    <w:t>3</w:t>
                  </w:r>
                </w:p>
              </w:tc>
              <w:tc>
                <w:tcPr>
                  <w:tcW w:w="2031" w:type="dxa"/>
                  <w:vAlign w:val="center"/>
                </w:tcPr>
                <w:p>
                  <w:pPr>
                    <w:ind w:firstLine="0" w:firstLineChars="0"/>
                    <w:jc w:val="center"/>
                    <w:rPr>
                      <w:rFonts w:hint="default" w:eastAsia="宋体"/>
                      <w:sz w:val="21"/>
                      <w:szCs w:val="21"/>
                      <w:lang w:val="en-US" w:eastAsia="zh-CN"/>
                    </w:rPr>
                  </w:pPr>
                  <w:r>
                    <w:rPr>
                      <w:rFonts w:hint="eastAsia"/>
                      <w:sz w:val="21"/>
                      <w:szCs w:val="21"/>
                    </w:rPr>
                    <w:t>2019.7.</w:t>
                  </w:r>
                  <w:r>
                    <w:rPr>
                      <w:rFonts w:hint="eastAsia"/>
                      <w:sz w:val="21"/>
                      <w:szCs w:val="21"/>
                      <w:lang w:val="en-US" w:eastAsia="zh-CN"/>
                    </w:rPr>
                    <w:t>28</w:t>
                  </w:r>
                </w:p>
              </w:tc>
              <w:tc>
                <w:tcPr>
                  <w:tcW w:w="2845" w:type="dxa"/>
                  <w:vAlign w:val="center"/>
                </w:tcPr>
                <w:p>
                  <w:pPr>
                    <w:pStyle w:val="208"/>
                    <w:jc w:val="center"/>
                    <w:rPr>
                      <w:rFonts w:hint="default" w:eastAsia="宋体"/>
                      <w:szCs w:val="21"/>
                      <w:lang w:val="en-US" w:eastAsia="zh-CN"/>
                    </w:rPr>
                  </w:pPr>
                  <w:r>
                    <w:rPr>
                      <w:rFonts w:hint="eastAsia"/>
                      <w:szCs w:val="21"/>
                      <w:lang w:val="en-US" w:eastAsia="zh-CN"/>
                    </w:rPr>
                    <w:t>0.79</w:t>
                  </w:r>
                  <w:r>
                    <w:rPr>
                      <w:rFonts w:hint="eastAsia"/>
                      <w:szCs w:val="21"/>
                    </w:rPr>
                    <w:t>-</w:t>
                  </w:r>
                  <w:r>
                    <w:rPr>
                      <w:rFonts w:hint="eastAsia"/>
                      <w:szCs w:val="21"/>
                      <w:lang w:val="en-US" w:eastAsia="zh-CN"/>
                    </w:rPr>
                    <w:t>1.96</w:t>
                  </w:r>
                </w:p>
              </w:tc>
              <w:tc>
                <w:tcPr>
                  <w:tcW w:w="2845" w:type="dxa"/>
                  <w:vAlign w:val="center"/>
                </w:tcPr>
                <w:p>
                  <w:pPr>
                    <w:pStyle w:val="208"/>
                    <w:ind w:firstLine="0" w:firstLineChars="0"/>
                    <w:jc w:val="center"/>
                    <w:rPr>
                      <w:rFonts w:hint="eastAsia"/>
                      <w:szCs w:val="21"/>
                    </w:rPr>
                  </w:pPr>
                  <w:r>
                    <w:rPr>
                      <w:rFonts w:hint="eastAsia"/>
                      <w:szCs w:val="21"/>
                      <w:lang w:val="en-US" w:eastAsia="zh-CN"/>
                    </w:rPr>
                    <w:t>1.21</w:t>
                  </w:r>
                  <w:r>
                    <w:rPr>
                      <w:rFonts w:hint="eastAsia"/>
                      <w:szCs w:val="21"/>
                    </w:rPr>
                    <w:t>-</w:t>
                  </w:r>
                  <w:r>
                    <w:rPr>
                      <w:rFonts w:hint="eastAsia"/>
                      <w:szCs w:val="21"/>
                      <w:lang w:val="en-US" w:eastAsia="zh-CN"/>
                    </w:rPr>
                    <w:t>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783" w:type="dxa"/>
                  <w:vAlign w:val="center"/>
                </w:tcPr>
                <w:p>
                  <w:pPr>
                    <w:pStyle w:val="208"/>
                    <w:jc w:val="center"/>
                    <w:rPr>
                      <w:szCs w:val="21"/>
                    </w:rPr>
                  </w:pPr>
                  <w:r>
                    <w:rPr>
                      <w:rFonts w:hint="eastAsia"/>
                      <w:szCs w:val="21"/>
                    </w:rPr>
                    <w:t>4</w:t>
                  </w:r>
                </w:p>
              </w:tc>
              <w:tc>
                <w:tcPr>
                  <w:tcW w:w="2031" w:type="dxa"/>
                  <w:vAlign w:val="center"/>
                </w:tcPr>
                <w:p>
                  <w:pPr>
                    <w:ind w:firstLine="0" w:firstLineChars="0"/>
                    <w:jc w:val="center"/>
                    <w:rPr>
                      <w:rFonts w:hint="default" w:eastAsia="宋体"/>
                      <w:sz w:val="21"/>
                      <w:szCs w:val="21"/>
                      <w:lang w:val="en-US" w:eastAsia="zh-CN"/>
                    </w:rPr>
                  </w:pPr>
                  <w:r>
                    <w:rPr>
                      <w:rFonts w:hint="eastAsia"/>
                      <w:sz w:val="21"/>
                      <w:szCs w:val="21"/>
                    </w:rPr>
                    <w:t>2019.7.</w:t>
                  </w:r>
                  <w:r>
                    <w:rPr>
                      <w:rFonts w:hint="eastAsia"/>
                      <w:sz w:val="21"/>
                      <w:szCs w:val="21"/>
                      <w:lang w:val="en-US" w:eastAsia="zh-CN"/>
                    </w:rPr>
                    <w:t>29</w:t>
                  </w:r>
                </w:p>
              </w:tc>
              <w:tc>
                <w:tcPr>
                  <w:tcW w:w="2845" w:type="dxa"/>
                  <w:vAlign w:val="center"/>
                </w:tcPr>
                <w:p>
                  <w:pPr>
                    <w:pStyle w:val="208"/>
                    <w:jc w:val="center"/>
                    <w:rPr>
                      <w:rFonts w:hint="default" w:eastAsia="宋体"/>
                      <w:szCs w:val="21"/>
                      <w:lang w:val="en-US" w:eastAsia="zh-CN"/>
                    </w:rPr>
                  </w:pPr>
                  <w:r>
                    <w:rPr>
                      <w:rFonts w:hint="eastAsia"/>
                      <w:szCs w:val="21"/>
                      <w:lang w:val="en-US" w:eastAsia="zh-CN"/>
                    </w:rPr>
                    <w:t>1.68</w:t>
                  </w:r>
                  <w:r>
                    <w:rPr>
                      <w:rFonts w:hint="eastAsia"/>
                      <w:szCs w:val="21"/>
                    </w:rPr>
                    <w:t>-</w:t>
                  </w:r>
                  <w:r>
                    <w:rPr>
                      <w:rFonts w:hint="eastAsia"/>
                      <w:szCs w:val="21"/>
                      <w:lang w:val="en-US" w:eastAsia="zh-CN"/>
                    </w:rPr>
                    <w:t>1.95</w:t>
                  </w:r>
                </w:p>
              </w:tc>
              <w:tc>
                <w:tcPr>
                  <w:tcW w:w="2845" w:type="dxa"/>
                  <w:vAlign w:val="center"/>
                </w:tcPr>
                <w:p>
                  <w:pPr>
                    <w:pStyle w:val="208"/>
                    <w:ind w:firstLine="0" w:firstLineChars="0"/>
                    <w:jc w:val="center"/>
                    <w:rPr>
                      <w:rFonts w:hint="eastAsia"/>
                      <w:szCs w:val="21"/>
                    </w:rPr>
                  </w:pPr>
                  <w:r>
                    <w:rPr>
                      <w:rFonts w:hint="eastAsia"/>
                      <w:szCs w:val="21"/>
                      <w:lang w:val="en-US" w:eastAsia="zh-CN"/>
                    </w:rPr>
                    <w:t>1.60</w:t>
                  </w:r>
                  <w:r>
                    <w:rPr>
                      <w:rFonts w:hint="eastAsia"/>
                      <w:szCs w:val="21"/>
                    </w:rPr>
                    <w:t>-</w:t>
                  </w:r>
                  <w:r>
                    <w:rPr>
                      <w:rFonts w:hint="eastAsia"/>
                      <w:szCs w:val="21"/>
                      <w:lang w:val="en-US" w:eastAsia="zh-CN"/>
                    </w:rPr>
                    <w:t>1.97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783" w:type="dxa"/>
                  <w:vAlign w:val="center"/>
                </w:tcPr>
                <w:p>
                  <w:pPr>
                    <w:pStyle w:val="208"/>
                    <w:jc w:val="center"/>
                    <w:rPr>
                      <w:szCs w:val="21"/>
                    </w:rPr>
                  </w:pPr>
                  <w:r>
                    <w:rPr>
                      <w:rFonts w:hint="eastAsia"/>
                      <w:szCs w:val="21"/>
                    </w:rPr>
                    <w:t>5</w:t>
                  </w:r>
                </w:p>
              </w:tc>
              <w:tc>
                <w:tcPr>
                  <w:tcW w:w="2031" w:type="dxa"/>
                  <w:vAlign w:val="center"/>
                </w:tcPr>
                <w:p>
                  <w:pPr>
                    <w:ind w:firstLine="0" w:firstLineChars="0"/>
                    <w:jc w:val="center"/>
                    <w:rPr>
                      <w:rFonts w:hint="default" w:eastAsia="宋体"/>
                      <w:sz w:val="21"/>
                      <w:szCs w:val="21"/>
                      <w:lang w:val="en-US" w:eastAsia="zh-CN"/>
                    </w:rPr>
                  </w:pPr>
                  <w:r>
                    <w:rPr>
                      <w:rFonts w:hint="eastAsia"/>
                      <w:sz w:val="21"/>
                      <w:szCs w:val="21"/>
                    </w:rPr>
                    <w:t>2019.7.</w:t>
                  </w:r>
                  <w:r>
                    <w:rPr>
                      <w:rFonts w:hint="eastAsia"/>
                      <w:sz w:val="21"/>
                      <w:szCs w:val="21"/>
                      <w:lang w:val="en-US" w:eastAsia="zh-CN"/>
                    </w:rPr>
                    <w:t>30</w:t>
                  </w:r>
                </w:p>
              </w:tc>
              <w:tc>
                <w:tcPr>
                  <w:tcW w:w="2845" w:type="dxa"/>
                  <w:vAlign w:val="center"/>
                </w:tcPr>
                <w:p>
                  <w:pPr>
                    <w:pStyle w:val="208"/>
                    <w:jc w:val="center"/>
                    <w:rPr>
                      <w:rFonts w:hint="default" w:eastAsia="宋体"/>
                      <w:szCs w:val="21"/>
                      <w:lang w:val="en-US" w:eastAsia="zh-CN"/>
                    </w:rPr>
                  </w:pPr>
                  <w:r>
                    <w:rPr>
                      <w:rFonts w:hint="eastAsia"/>
                      <w:szCs w:val="21"/>
                      <w:lang w:val="en-US" w:eastAsia="zh-CN"/>
                    </w:rPr>
                    <w:t>1.67</w:t>
                  </w:r>
                  <w:r>
                    <w:rPr>
                      <w:rFonts w:hint="eastAsia"/>
                      <w:szCs w:val="21"/>
                    </w:rPr>
                    <w:t>-</w:t>
                  </w:r>
                  <w:r>
                    <w:rPr>
                      <w:rFonts w:hint="eastAsia"/>
                      <w:szCs w:val="21"/>
                      <w:lang w:val="en-US" w:eastAsia="zh-CN"/>
                    </w:rPr>
                    <w:t>1.77</w:t>
                  </w:r>
                </w:p>
              </w:tc>
              <w:tc>
                <w:tcPr>
                  <w:tcW w:w="2845" w:type="dxa"/>
                  <w:vAlign w:val="center"/>
                </w:tcPr>
                <w:p>
                  <w:pPr>
                    <w:pStyle w:val="208"/>
                    <w:ind w:firstLine="0" w:firstLineChars="0"/>
                    <w:jc w:val="center"/>
                    <w:rPr>
                      <w:szCs w:val="21"/>
                    </w:rPr>
                  </w:pPr>
                  <w:r>
                    <w:rPr>
                      <w:rFonts w:hint="eastAsia"/>
                      <w:szCs w:val="21"/>
                      <w:lang w:val="en-US" w:eastAsia="zh-CN"/>
                    </w:rPr>
                    <w:t>1.37</w:t>
                  </w:r>
                  <w:r>
                    <w:rPr>
                      <w:rFonts w:hint="eastAsia"/>
                      <w:szCs w:val="21"/>
                    </w:rPr>
                    <w:t>-</w:t>
                  </w:r>
                  <w:r>
                    <w:rPr>
                      <w:rFonts w:hint="eastAsia"/>
                      <w:szCs w:val="21"/>
                      <w:lang w:val="en-US" w:eastAsia="zh-CN"/>
                    </w:rPr>
                    <w:t>1.92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783" w:type="dxa"/>
                  <w:vAlign w:val="center"/>
                </w:tcPr>
                <w:p>
                  <w:pPr>
                    <w:pStyle w:val="208"/>
                    <w:jc w:val="center"/>
                    <w:rPr>
                      <w:szCs w:val="21"/>
                    </w:rPr>
                  </w:pPr>
                  <w:r>
                    <w:rPr>
                      <w:rFonts w:hint="eastAsia"/>
                      <w:szCs w:val="21"/>
                    </w:rPr>
                    <w:t>6</w:t>
                  </w:r>
                </w:p>
              </w:tc>
              <w:tc>
                <w:tcPr>
                  <w:tcW w:w="2031" w:type="dxa"/>
                  <w:vAlign w:val="center"/>
                </w:tcPr>
                <w:p>
                  <w:pPr>
                    <w:ind w:firstLine="0" w:firstLineChars="0"/>
                    <w:jc w:val="center"/>
                    <w:rPr>
                      <w:rFonts w:hint="default" w:eastAsia="宋体"/>
                      <w:sz w:val="21"/>
                      <w:szCs w:val="21"/>
                      <w:lang w:val="en-US" w:eastAsia="zh-CN"/>
                    </w:rPr>
                  </w:pPr>
                  <w:r>
                    <w:rPr>
                      <w:rFonts w:hint="eastAsia"/>
                      <w:sz w:val="21"/>
                      <w:szCs w:val="21"/>
                    </w:rPr>
                    <w:t>2019.7.</w:t>
                  </w:r>
                  <w:r>
                    <w:rPr>
                      <w:rFonts w:hint="eastAsia"/>
                      <w:sz w:val="21"/>
                      <w:szCs w:val="21"/>
                      <w:lang w:val="en-US" w:eastAsia="zh-CN"/>
                    </w:rPr>
                    <w:t>31</w:t>
                  </w:r>
                </w:p>
              </w:tc>
              <w:tc>
                <w:tcPr>
                  <w:tcW w:w="2845" w:type="dxa"/>
                  <w:vAlign w:val="center"/>
                </w:tcPr>
                <w:p>
                  <w:pPr>
                    <w:pStyle w:val="208"/>
                    <w:jc w:val="center"/>
                    <w:rPr>
                      <w:rFonts w:hint="default" w:eastAsia="宋体"/>
                      <w:szCs w:val="21"/>
                      <w:lang w:val="en-US" w:eastAsia="zh-CN"/>
                    </w:rPr>
                  </w:pPr>
                  <w:r>
                    <w:rPr>
                      <w:rFonts w:hint="eastAsia"/>
                      <w:szCs w:val="21"/>
                      <w:lang w:val="en-US" w:eastAsia="zh-CN"/>
                    </w:rPr>
                    <w:t>1.69</w:t>
                  </w:r>
                  <w:r>
                    <w:rPr>
                      <w:rFonts w:hint="eastAsia"/>
                      <w:szCs w:val="21"/>
                    </w:rPr>
                    <w:t>-</w:t>
                  </w:r>
                  <w:r>
                    <w:rPr>
                      <w:rFonts w:hint="eastAsia"/>
                      <w:szCs w:val="21"/>
                      <w:lang w:val="en-US" w:eastAsia="zh-CN"/>
                    </w:rPr>
                    <w:t>1.87</w:t>
                  </w:r>
                </w:p>
              </w:tc>
              <w:tc>
                <w:tcPr>
                  <w:tcW w:w="2845" w:type="dxa"/>
                  <w:vAlign w:val="center"/>
                </w:tcPr>
                <w:p>
                  <w:pPr>
                    <w:pStyle w:val="208"/>
                    <w:ind w:firstLine="0" w:firstLineChars="0"/>
                    <w:jc w:val="center"/>
                    <w:rPr>
                      <w:szCs w:val="21"/>
                    </w:rPr>
                  </w:pPr>
                  <w:r>
                    <w:rPr>
                      <w:rFonts w:hint="eastAsia"/>
                      <w:szCs w:val="21"/>
                      <w:lang w:val="en-US" w:eastAsia="zh-CN"/>
                    </w:rPr>
                    <w:t>1.55</w:t>
                  </w:r>
                  <w:r>
                    <w:rPr>
                      <w:rFonts w:hint="eastAsia"/>
                      <w:szCs w:val="21"/>
                    </w:rPr>
                    <w:t>-</w:t>
                  </w:r>
                  <w:r>
                    <w:rPr>
                      <w:rFonts w:hint="eastAsia"/>
                      <w:szCs w:val="21"/>
                      <w:lang w:val="en-US" w:eastAsia="zh-CN"/>
                    </w:rPr>
                    <w:t>1.86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783" w:type="dxa"/>
                  <w:vAlign w:val="center"/>
                </w:tcPr>
                <w:p>
                  <w:pPr>
                    <w:pStyle w:val="208"/>
                    <w:jc w:val="center"/>
                    <w:rPr>
                      <w:szCs w:val="21"/>
                    </w:rPr>
                  </w:pPr>
                  <w:r>
                    <w:rPr>
                      <w:rFonts w:hint="eastAsia"/>
                      <w:szCs w:val="21"/>
                    </w:rPr>
                    <w:t>7</w:t>
                  </w:r>
                </w:p>
              </w:tc>
              <w:tc>
                <w:tcPr>
                  <w:tcW w:w="2031" w:type="dxa"/>
                  <w:vAlign w:val="center"/>
                </w:tcPr>
                <w:p>
                  <w:pPr>
                    <w:ind w:firstLine="0" w:firstLineChars="0"/>
                    <w:jc w:val="center"/>
                    <w:rPr>
                      <w:rFonts w:hint="eastAsia" w:eastAsia="宋体"/>
                      <w:sz w:val="21"/>
                      <w:szCs w:val="21"/>
                      <w:lang w:eastAsia="zh-CN"/>
                    </w:rPr>
                  </w:pPr>
                  <w:r>
                    <w:rPr>
                      <w:rFonts w:hint="eastAsia"/>
                      <w:sz w:val="21"/>
                      <w:szCs w:val="21"/>
                    </w:rPr>
                    <w:t>2019.</w:t>
                  </w:r>
                  <w:r>
                    <w:rPr>
                      <w:rFonts w:hint="eastAsia"/>
                      <w:sz w:val="21"/>
                      <w:szCs w:val="21"/>
                      <w:lang w:val="en-US" w:eastAsia="zh-CN"/>
                    </w:rPr>
                    <w:t>8</w:t>
                  </w:r>
                  <w:r>
                    <w:rPr>
                      <w:rFonts w:hint="eastAsia"/>
                      <w:sz w:val="21"/>
                      <w:szCs w:val="21"/>
                    </w:rPr>
                    <w:t>.</w:t>
                  </w:r>
                  <w:r>
                    <w:rPr>
                      <w:rFonts w:hint="eastAsia"/>
                      <w:sz w:val="21"/>
                      <w:szCs w:val="21"/>
                      <w:lang w:val="en-US" w:eastAsia="zh-CN"/>
                    </w:rPr>
                    <w:t>1</w:t>
                  </w:r>
                </w:p>
              </w:tc>
              <w:tc>
                <w:tcPr>
                  <w:tcW w:w="2845" w:type="dxa"/>
                  <w:vAlign w:val="center"/>
                </w:tcPr>
                <w:p>
                  <w:pPr>
                    <w:pStyle w:val="208"/>
                    <w:jc w:val="center"/>
                    <w:rPr>
                      <w:rFonts w:hint="default" w:eastAsia="宋体"/>
                      <w:szCs w:val="21"/>
                      <w:lang w:val="en-US" w:eastAsia="zh-CN"/>
                    </w:rPr>
                  </w:pPr>
                  <w:r>
                    <w:rPr>
                      <w:rFonts w:hint="eastAsia"/>
                      <w:szCs w:val="21"/>
                      <w:lang w:val="en-US" w:eastAsia="zh-CN"/>
                    </w:rPr>
                    <w:t>1.53</w:t>
                  </w:r>
                  <w:r>
                    <w:rPr>
                      <w:rFonts w:hint="eastAsia"/>
                      <w:szCs w:val="21"/>
                    </w:rPr>
                    <w:t>-</w:t>
                  </w:r>
                  <w:r>
                    <w:rPr>
                      <w:rFonts w:hint="eastAsia"/>
                      <w:szCs w:val="21"/>
                      <w:lang w:val="en-US" w:eastAsia="zh-CN"/>
                    </w:rPr>
                    <w:t>1.89</w:t>
                  </w:r>
                </w:p>
              </w:tc>
              <w:tc>
                <w:tcPr>
                  <w:tcW w:w="2845" w:type="dxa"/>
                  <w:vAlign w:val="center"/>
                </w:tcPr>
                <w:p>
                  <w:pPr>
                    <w:pStyle w:val="208"/>
                    <w:ind w:firstLine="0" w:firstLineChars="0"/>
                    <w:jc w:val="center"/>
                    <w:rPr>
                      <w:szCs w:val="21"/>
                    </w:rPr>
                  </w:pPr>
                  <w:r>
                    <w:rPr>
                      <w:rFonts w:hint="eastAsia"/>
                      <w:szCs w:val="21"/>
                      <w:lang w:val="en-US" w:eastAsia="zh-CN"/>
                    </w:rPr>
                    <w:t>1.43</w:t>
                  </w:r>
                  <w:r>
                    <w:rPr>
                      <w:rFonts w:hint="eastAsia"/>
                      <w:szCs w:val="21"/>
                    </w:rPr>
                    <w:t>-</w:t>
                  </w:r>
                  <w:r>
                    <w:rPr>
                      <w:rFonts w:hint="eastAsia"/>
                      <w:szCs w:val="21"/>
                      <w:lang w:val="en-US" w:eastAsia="zh-CN"/>
                    </w:rPr>
                    <w:t>1.81</w:t>
                  </w:r>
                </w:p>
              </w:tc>
            </w:tr>
          </w:tbl>
          <w:p>
            <w:pPr>
              <w:ind w:firstLine="480"/>
            </w:pPr>
            <w:r>
              <w:t>从监测结果可知，</w:t>
            </w:r>
            <w:r>
              <w:rPr>
                <w:rFonts w:hint="eastAsia"/>
                <w:lang w:val="en-US" w:eastAsia="zh-CN"/>
              </w:rPr>
              <w:t>项目所在区域特征污染物</w:t>
            </w:r>
            <w:r>
              <w:t>非甲烷总烃满足《大气污染物排放标准详解》中浓度限值的规定。</w:t>
            </w:r>
          </w:p>
          <w:p>
            <w:pPr>
              <w:pStyle w:val="4"/>
              <w:ind w:firstLine="0" w:firstLineChars="0"/>
              <w:jc w:val="both"/>
              <w:rPr>
                <w:rFonts w:hint="eastAsia"/>
                <w:lang w:val="en-US" w:eastAsia="zh-CN"/>
              </w:rPr>
            </w:pPr>
            <w:bookmarkStart w:id="96" w:name="_Toc9779"/>
            <w:r>
              <w:rPr>
                <w:rFonts w:hint="eastAsia"/>
                <w:lang w:val="en-US" w:eastAsia="zh-CN"/>
              </w:rPr>
              <w:t>二、声环境质量现状</w:t>
            </w:r>
            <w:bookmarkEnd w:id="96"/>
          </w:p>
          <w:p>
            <w:pPr>
              <w:ind w:firstLine="480"/>
              <w:rPr>
                <w:highlight w:val="red"/>
              </w:rPr>
            </w:pPr>
            <w:r>
              <w:t>为了解项目所在区域声环境质量现状，本项目委托</w:t>
            </w:r>
            <w:r>
              <w:rPr>
                <w:rFonts w:hint="eastAsia"/>
                <w:lang w:val="en-US" w:eastAsia="zh-CN"/>
              </w:rPr>
              <w:t>陕西林泉环境监测技术</w:t>
            </w:r>
            <w:r>
              <w:rPr>
                <w:rFonts w:hint="eastAsia"/>
              </w:rPr>
              <w:t>有限公司</w:t>
            </w:r>
            <w:r>
              <w:t>于2019年</w:t>
            </w:r>
            <w:r>
              <w:rPr>
                <w:rFonts w:hint="eastAsia"/>
                <w:lang w:val="en-US" w:eastAsia="zh-CN"/>
              </w:rPr>
              <w:t>8</w:t>
            </w:r>
            <w:r>
              <w:t>月</w:t>
            </w:r>
            <w:r>
              <w:rPr>
                <w:rFonts w:hint="eastAsia"/>
                <w:lang w:val="en-US" w:eastAsia="zh-CN"/>
              </w:rPr>
              <w:t>7</w:t>
            </w:r>
            <w:r>
              <w:t>日-</w:t>
            </w:r>
            <w:r>
              <w:rPr>
                <w:rFonts w:hint="eastAsia"/>
                <w:lang w:val="en-US" w:eastAsia="zh-CN"/>
              </w:rPr>
              <w:t>8</w:t>
            </w:r>
            <w:r>
              <w:t>日</w:t>
            </w:r>
            <w:r>
              <w:rPr>
                <w:rFonts w:hint="eastAsia"/>
                <w:lang w:val="en-US" w:eastAsia="zh-CN"/>
              </w:rPr>
              <w:t>和2019年11月20-21日</w:t>
            </w:r>
            <w:r>
              <w:t>进行监测，在项目区场界东、南、西、北</w:t>
            </w:r>
            <w:r>
              <w:rPr>
                <w:rFonts w:hint="eastAsia"/>
                <w:lang w:val="en-US" w:eastAsia="zh-CN"/>
              </w:rPr>
              <w:t>及敏感点（夏家寨村）</w:t>
            </w:r>
            <w:r>
              <w:t>各布设一个点，共</w:t>
            </w:r>
            <w:r>
              <w:rPr>
                <w:rFonts w:hint="eastAsia"/>
                <w:lang w:val="en-US" w:eastAsia="zh-CN"/>
              </w:rPr>
              <w:t>5</w:t>
            </w:r>
            <w:r>
              <w:t>个监测点位，监测结果见表3-</w:t>
            </w:r>
            <w:r>
              <w:rPr>
                <w:rFonts w:hint="eastAsia"/>
                <w:lang w:val="en-US" w:eastAsia="zh-CN"/>
              </w:rPr>
              <w:t>3和表3-4，详见附件5、附件6</w:t>
            </w:r>
            <w:r>
              <w:t>。</w:t>
            </w:r>
          </w:p>
          <w:p>
            <w:pPr>
              <w:pStyle w:val="207"/>
              <w:jc w:val="center"/>
            </w:pPr>
            <w:r>
              <w:t>表</w:t>
            </w:r>
            <w:r>
              <w:rPr>
                <w:rFonts w:hint="eastAsia"/>
              </w:rPr>
              <w:t>3</w:t>
            </w:r>
            <w:r>
              <w:rPr>
                <w:rFonts w:hint="eastAsia"/>
                <w:lang w:val="en-US" w:eastAsia="zh-CN"/>
              </w:rPr>
              <w:t>-3</w:t>
            </w:r>
            <w:r>
              <w:t xml:space="preserve"> 环境噪声监测结果统计表 单位:dB(A)</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1672"/>
              <w:gridCol w:w="1515"/>
              <w:gridCol w:w="1635"/>
              <w:gridCol w:w="1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289" w:type="dxa"/>
                  <w:vMerge w:val="restart"/>
                  <w:tcBorders>
                    <w:tl2br w:val="nil"/>
                    <w:tr2bl w:val="nil"/>
                  </w:tcBorders>
                  <w:vAlign w:val="center"/>
                </w:tcPr>
                <w:p>
                  <w:pPr>
                    <w:spacing w:line="240" w:lineRule="auto"/>
                    <w:ind w:firstLine="0" w:firstLineChars="0"/>
                    <w:jc w:val="center"/>
                    <w:rPr>
                      <w:sz w:val="21"/>
                      <w:szCs w:val="21"/>
                    </w:rPr>
                  </w:pPr>
                  <w:r>
                    <w:rPr>
                      <w:sz w:val="21"/>
                      <w:szCs w:val="21"/>
                    </w:rPr>
                    <w:t>监测点位</w:t>
                  </w:r>
                </w:p>
              </w:tc>
              <w:tc>
                <w:tcPr>
                  <w:tcW w:w="6215" w:type="dxa"/>
                  <w:gridSpan w:val="4"/>
                  <w:tcBorders>
                    <w:tl2br w:val="nil"/>
                    <w:tr2bl w:val="nil"/>
                  </w:tcBorders>
                  <w:vAlign w:val="center"/>
                </w:tcPr>
                <w:p>
                  <w:pPr>
                    <w:spacing w:line="240" w:lineRule="auto"/>
                    <w:ind w:firstLine="0" w:firstLineChars="0"/>
                    <w:jc w:val="center"/>
                    <w:rPr>
                      <w:sz w:val="21"/>
                      <w:szCs w:val="21"/>
                    </w:rPr>
                  </w:pPr>
                  <w:r>
                    <w:rPr>
                      <w:sz w:val="21"/>
                      <w:szCs w:val="21"/>
                    </w:rPr>
                    <w:t>监测结果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289" w:type="dxa"/>
                  <w:vMerge w:val="continue"/>
                  <w:tcBorders>
                    <w:tl2br w:val="nil"/>
                    <w:tr2bl w:val="nil"/>
                  </w:tcBorders>
                  <w:vAlign w:val="center"/>
                </w:tcPr>
                <w:p>
                  <w:pPr>
                    <w:spacing w:line="240" w:lineRule="auto"/>
                    <w:ind w:firstLine="0" w:firstLineChars="0"/>
                    <w:jc w:val="center"/>
                    <w:rPr>
                      <w:sz w:val="21"/>
                      <w:szCs w:val="21"/>
                    </w:rPr>
                  </w:pPr>
                </w:p>
              </w:tc>
              <w:tc>
                <w:tcPr>
                  <w:tcW w:w="3187" w:type="dxa"/>
                  <w:gridSpan w:val="2"/>
                  <w:tcBorders>
                    <w:tl2br w:val="nil"/>
                    <w:tr2bl w:val="nil"/>
                  </w:tcBorders>
                  <w:vAlign w:val="center"/>
                </w:tcPr>
                <w:p>
                  <w:pPr>
                    <w:spacing w:line="240" w:lineRule="auto"/>
                    <w:ind w:firstLine="0" w:firstLineChars="0"/>
                    <w:jc w:val="center"/>
                    <w:rPr>
                      <w:rFonts w:hint="eastAsia" w:eastAsia="宋体"/>
                      <w:sz w:val="21"/>
                      <w:szCs w:val="21"/>
                      <w:lang w:eastAsia="zh-CN"/>
                    </w:rPr>
                  </w:pPr>
                  <w:r>
                    <w:rPr>
                      <w:sz w:val="21"/>
                      <w:szCs w:val="21"/>
                    </w:rPr>
                    <w:t>2019.</w:t>
                  </w:r>
                  <w:r>
                    <w:rPr>
                      <w:rFonts w:hint="eastAsia"/>
                      <w:sz w:val="21"/>
                      <w:szCs w:val="21"/>
                      <w:lang w:val="en-US" w:eastAsia="zh-CN"/>
                    </w:rPr>
                    <w:t>8</w:t>
                  </w:r>
                  <w:r>
                    <w:rPr>
                      <w:rFonts w:hint="eastAsia"/>
                      <w:sz w:val="21"/>
                      <w:szCs w:val="21"/>
                    </w:rPr>
                    <w:t>.</w:t>
                  </w:r>
                  <w:r>
                    <w:rPr>
                      <w:rFonts w:hint="eastAsia"/>
                      <w:sz w:val="21"/>
                      <w:szCs w:val="21"/>
                      <w:lang w:val="en-US" w:eastAsia="zh-CN"/>
                    </w:rPr>
                    <w:t>7</w:t>
                  </w:r>
                </w:p>
              </w:tc>
              <w:tc>
                <w:tcPr>
                  <w:tcW w:w="3028" w:type="dxa"/>
                  <w:gridSpan w:val="2"/>
                  <w:tcBorders>
                    <w:tl2br w:val="nil"/>
                    <w:tr2bl w:val="nil"/>
                  </w:tcBorders>
                  <w:vAlign w:val="center"/>
                </w:tcPr>
                <w:p>
                  <w:pPr>
                    <w:spacing w:line="240" w:lineRule="auto"/>
                    <w:ind w:firstLine="0" w:firstLineChars="0"/>
                    <w:jc w:val="center"/>
                    <w:rPr>
                      <w:rFonts w:hint="eastAsia" w:eastAsia="宋体"/>
                      <w:sz w:val="21"/>
                      <w:szCs w:val="21"/>
                      <w:lang w:eastAsia="zh-CN"/>
                    </w:rPr>
                  </w:pPr>
                  <w:r>
                    <w:rPr>
                      <w:sz w:val="21"/>
                      <w:szCs w:val="21"/>
                    </w:rPr>
                    <w:t>2019.</w:t>
                  </w:r>
                  <w:r>
                    <w:rPr>
                      <w:rFonts w:hint="eastAsia"/>
                      <w:sz w:val="21"/>
                      <w:szCs w:val="21"/>
                      <w:lang w:val="en-US" w:eastAsia="zh-CN"/>
                    </w:rPr>
                    <w:t>8</w:t>
                  </w:r>
                  <w:r>
                    <w:rPr>
                      <w:rFonts w:hint="eastAsia"/>
                      <w:sz w:val="21"/>
                      <w:szCs w:val="21"/>
                    </w:rPr>
                    <w:t>.</w:t>
                  </w:r>
                  <w:r>
                    <w:rPr>
                      <w:rFonts w:hint="eastAsia"/>
                      <w:sz w:val="21"/>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289" w:type="dxa"/>
                  <w:vMerge w:val="continue"/>
                  <w:tcBorders>
                    <w:tl2br w:val="nil"/>
                    <w:tr2bl w:val="nil"/>
                  </w:tcBorders>
                  <w:vAlign w:val="center"/>
                </w:tcPr>
                <w:p>
                  <w:pPr>
                    <w:spacing w:line="240" w:lineRule="auto"/>
                    <w:ind w:firstLine="0" w:firstLineChars="0"/>
                    <w:jc w:val="center"/>
                    <w:rPr>
                      <w:sz w:val="21"/>
                      <w:szCs w:val="21"/>
                    </w:rPr>
                  </w:pPr>
                </w:p>
              </w:tc>
              <w:tc>
                <w:tcPr>
                  <w:tcW w:w="1672" w:type="dxa"/>
                  <w:tcBorders>
                    <w:tl2br w:val="nil"/>
                    <w:tr2bl w:val="nil"/>
                  </w:tcBorders>
                  <w:vAlign w:val="center"/>
                </w:tcPr>
                <w:p>
                  <w:pPr>
                    <w:spacing w:line="240" w:lineRule="auto"/>
                    <w:ind w:firstLine="0" w:firstLineChars="0"/>
                    <w:jc w:val="center"/>
                    <w:rPr>
                      <w:sz w:val="21"/>
                      <w:szCs w:val="21"/>
                    </w:rPr>
                  </w:pPr>
                  <w:r>
                    <w:rPr>
                      <w:sz w:val="21"/>
                      <w:szCs w:val="21"/>
                    </w:rPr>
                    <w:t>昼间</w:t>
                  </w:r>
                </w:p>
              </w:tc>
              <w:tc>
                <w:tcPr>
                  <w:tcW w:w="1515" w:type="dxa"/>
                  <w:tcBorders>
                    <w:tl2br w:val="nil"/>
                    <w:tr2bl w:val="nil"/>
                  </w:tcBorders>
                  <w:vAlign w:val="center"/>
                </w:tcPr>
                <w:p>
                  <w:pPr>
                    <w:spacing w:line="240" w:lineRule="auto"/>
                    <w:ind w:firstLine="0" w:firstLineChars="0"/>
                    <w:jc w:val="center"/>
                    <w:rPr>
                      <w:sz w:val="21"/>
                      <w:szCs w:val="21"/>
                    </w:rPr>
                  </w:pPr>
                  <w:r>
                    <w:rPr>
                      <w:sz w:val="21"/>
                      <w:szCs w:val="21"/>
                    </w:rPr>
                    <w:t>夜间</w:t>
                  </w:r>
                </w:p>
              </w:tc>
              <w:tc>
                <w:tcPr>
                  <w:tcW w:w="1635" w:type="dxa"/>
                  <w:tcBorders>
                    <w:tl2br w:val="nil"/>
                    <w:tr2bl w:val="nil"/>
                  </w:tcBorders>
                  <w:vAlign w:val="center"/>
                </w:tcPr>
                <w:p>
                  <w:pPr>
                    <w:spacing w:line="240" w:lineRule="auto"/>
                    <w:ind w:firstLine="0" w:firstLineChars="0"/>
                    <w:jc w:val="center"/>
                    <w:rPr>
                      <w:sz w:val="21"/>
                      <w:szCs w:val="21"/>
                    </w:rPr>
                  </w:pPr>
                  <w:r>
                    <w:rPr>
                      <w:sz w:val="21"/>
                      <w:szCs w:val="21"/>
                    </w:rPr>
                    <w:t>昼间</w:t>
                  </w:r>
                </w:p>
              </w:tc>
              <w:tc>
                <w:tcPr>
                  <w:tcW w:w="1393" w:type="dxa"/>
                  <w:tcBorders>
                    <w:tl2br w:val="nil"/>
                    <w:tr2bl w:val="nil"/>
                  </w:tcBorders>
                  <w:vAlign w:val="center"/>
                </w:tcPr>
                <w:p>
                  <w:pPr>
                    <w:spacing w:line="240" w:lineRule="auto"/>
                    <w:ind w:firstLine="0" w:firstLineChars="0"/>
                    <w:jc w:val="center"/>
                    <w:rPr>
                      <w:sz w:val="21"/>
                      <w:szCs w:val="21"/>
                    </w:rPr>
                  </w:pPr>
                  <w:r>
                    <w:rPr>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9" w:type="dxa"/>
                  <w:tcBorders>
                    <w:tl2br w:val="nil"/>
                    <w:tr2bl w:val="nil"/>
                  </w:tcBorders>
                  <w:vAlign w:val="center"/>
                </w:tcPr>
                <w:p>
                  <w:pPr>
                    <w:spacing w:line="240" w:lineRule="auto"/>
                    <w:ind w:firstLine="0" w:firstLineChars="0"/>
                    <w:jc w:val="center"/>
                    <w:rPr>
                      <w:sz w:val="21"/>
                      <w:szCs w:val="21"/>
                    </w:rPr>
                  </w:pPr>
                  <w:r>
                    <w:rPr>
                      <w:rFonts w:hint="eastAsia"/>
                      <w:sz w:val="21"/>
                      <w:szCs w:val="21"/>
                    </w:rPr>
                    <w:t>1#厂界东</w:t>
                  </w:r>
                </w:p>
              </w:tc>
              <w:tc>
                <w:tcPr>
                  <w:tcW w:w="1672"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rPr>
                    <w:t>5</w:t>
                  </w:r>
                  <w:r>
                    <w:rPr>
                      <w:rFonts w:hint="eastAsia"/>
                      <w:sz w:val="21"/>
                      <w:szCs w:val="21"/>
                      <w:lang w:val="en-US" w:eastAsia="zh-CN"/>
                    </w:rPr>
                    <w:t>6.6</w:t>
                  </w:r>
                </w:p>
              </w:tc>
              <w:tc>
                <w:tcPr>
                  <w:tcW w:w="1515" w:type="dxa"/>
                  <w:tcBorders>
                    <w:tl2br w:val="nil"/>
                    <w:tr2bl w:val="nil"/>
                  </w:tcBorders>
                  <w:vAlign w:val="center"/>
                </w:tcPr>
                <w:p>
                  <w:pPr>
                    <w:spacing w:line="240" w:lineRule="auto"/>
                    <w:ind w:firstLine="0" w:firstLineChars="0"/>
                    <w:jc w:val="center"/>
                    <w:rPr>
                      <w:rFonts w:hint="eastAsia" w:eastAsia="宋体"/>
                      <w:sz w:val="21"/>
                      <w:szCs w:val="21"/>
                      <w:lang w:eastAsia="zh-CN"/>
                    </w:rPr>
                  </w:pPr>
                  <w:r>
                    <w:rPr>
                      <w:rFonts w:hint="eastAsia"/>
                      <w:sz w:val="21"/>
                      <w:szCs w:val="21"/>
                    </w:rPr>
                    <w:t>47.</w:t>
                  </w:r>
                  <w:r>
                    <w:rPr>
                      <w:rFonts w:hint="eastAsia"/>
                      <w:sz w:val="21"/>
                      <w:szCs w:val="21"/>
                      <w:lang w:val="en-US" w:eastAsia="zh-CN"/>
                    </w:rPr>
                    <w:t>1</w:t>
                  </w:r>
                </w:p>
              </w:tc>
              <w:tc>
                <w:tcPr>
                  <w:tcW w:w="1635" w:type="dxa"/>
                  <w:tcBorders>
                    <w:tl2br w:val="nil"/>
                    <w:tr2bl w:val="nil"/>
                  </w:tcBorders>
                  <w:vAlign w:val="center"/>
                </w:tcPr>
                <w:p>
                  <w:pPr>
                    <w:spacing w:line="240" w:lineRule="auto"/>
                    <w:ind w:firstLine="0" w:firstLineChars="0"/>
                    <w:jc w:val="center"/>
                    <w:rPr>
                      <w:rFonts w:hint="eastAsia" w:eastAsia="宋体"/>
                      <w:sz w:val="21"/>
                      <w:szCs w:val="21"/>
                      <w:lang w:eastAsia="zh-CN"/>
                    </w:rPr>
                  </w:pPr>
                  <w:r>
                    <w:rPr>
                      <w:rFonts w:hint="eastAsia"/>
                      <w:sz w:val="21"/>
                      <w:szCs w:val="21"/>
                    </w:rPr>
                    <w:t>58.</w:t>
                  </w:r>
                  <w:r>
                    <w:rPr>
                      <w:rFonts w:hint="eastAsia"/>
                      <w:sz w:val="21"/>
                      <w:szCs w:val="21"/>
                      <w:lang w:val="en-US" w:eastAsia="zh-CN"/>
                    </w:rPr>
                    <w:t>9</w:t>
                  </w:r>
                </w:p>
              </w:tc>
              <w:tc>
                <w:tcPr>
                  <w:tcW w:w="1393" w:type="dxa"/>
                  <w:tcBorders>
                    <w:tl2br w:val="nil"/>
                    <w:tr2bl w:val="nil"/>
                  </w:tcBorders>
                  <w:vAlign w:val="center"/>
                </w:tcPr>
                <w:p>
                  <w:pPr>
                    <w:spacing w:line="240" w:lineRule="auto"/>
                    <w:ind w:firstLine="0" w:firstLineChars="0"/>
                    <w:jc w:val="center"/>
                    <w:rPr>
                      <w:sz w:val="21"/>
                      <w:szCs w:val="21"/>
                    </w:rPr>
                  </w:pPr>
                  <w:r>
                    <w:rPr>
                      <w:rFonts w:hint="eastAsia"/>
                      <w:sz w:val="21"/>
                      <w:szCs w:val="21"/>
                    </w:rPr>
                    <w:t>47.2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9" w:type="dxa"/>
                  <w:tcBorders>
                    <w:tl2br w:val="nil"/>
                    <w:tr2bl w:val="nil"/>
                  </w:tcBorders>
                  <w:vAlign w:val="center"/>
                </w:tcPr>
                <w:p>
                  <w:pPr>
                    <w:spacing w:line="240" w:lineRule="auto"/>
                    <w:ind w:firstLine="0" w:firstLineChars="0"/>
                    <w:jc w:val="center"/>
                    <w:rPr>
                      <w:sz w:val="21"/>
                      <w:szCs w:val="21"/>
                    </w:rPr>
                  </w:pPr>
                  <w:r>
                    <w:rPr>
                      <w:rFonts w:hint="eastAsia"/>
                      <w:sz w:val="21"/>
                      <w:szCs w:val="21"/>
                    </w:rPr>
                    <w:t>2#厂界南</w:t>
                  </w:r>
                </w:p>
              </w:tc>
              <w:tc>
                <w:tcPr>
                  <w:tcW w:w="1672"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55.3</w:t>
                  </w:r>
                </w:p>
              </w:tc>
              <w:tc>
                <w:tcPr>
                  <w:tcW w:w="1515" w:type="dxa"/>
                  <w:tcBorders>
                    <w:tl2br w:val="nil"/>
                    <w:tr2bl w:val="nil"/>
                  </w:tcBorders>
                  <w:vAlign w:val="center"/>
                </w:tcPr>
                <w:p>
                  <w:pPr>
                    <w:spacing w:line="240" w:lineRule="auto"/>
                    <w:ind w:firstLine="0" w:firstLineChars="0"/>
                    <w:jc w:val="center"/>
                    <w:rPr>
                      <w:rFonts w:hint="eastAsia" w:eastAsia="宋体"/>
                      <w:sz w:val="21"/>
                      <w:szCs w:val="21"/>
                      <w:lang w:eastAsia="zh-CN"/>
                    </w:rPr>
                  </w:pPr>
                  <w:r>
                    <w:rPr>
                      <w:rFonts w:hint="eastAsia"/>
                      <w:sz w:val="21"/>
                      <w:szCs w:val="21"/>
                    </w:rPr>
                    <w:t>46.</w:t>
                  </w:r>
                  <w:r>
                    <w:rPr>
                      <w:rFonts w:hint="eastAsia"/>
                      <w:sz w:val="21"/>
                      <w:szCs w:val="21"/>
                      <w:lang w:val="en-US" w:eastAsia="zh-CN"/>
                    </w:rPr>
                    <w:t>6</w:t>
                  </w:r>
                </w:p>
              </w:tc>
              <w:tc>
                <w:tcPr>
                  <w:tcW w:w="1635"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rPr>
                    <w:t>5</w:t>
                  </w:r>
                  <w:r>
                    <w:rPr>
                      <w:rFonts w:hint="eastAsia"/>
                      <w:sz w:val="21"/>
                      <w:szCs w:val="21"/>
                      <w:lang w:val="en-US" w:eastAsia="zh-CN"/>
                    </w:rPr>
                    <w:t>5.7</w:t>
                  </w:r>
                </w:p>
              </w:tc>
              <w:tc>
                <w:tcPr>
                  <w:tcW w:w="1393"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rPr>
                    <w:t>4</w:t>
                  </w:r>
                  <w:r>
                    <w:rPr>
                      <w:rFonts w:hint="eastAsia"/>
                      <w:sz w:val="21"/>
                      <w:szCs w:val="21"/>
                      <w:lang w:val="en-US" w:eastAsia="zh-CN"/>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9" w:type="dxa"/>
                  <w:tcBorders>
                    <w:tl2br w:val="nil"/>
                    <w:tr2bl w:val="nil"/>
                  </w:tcBorders>
                  <w:vAlign w:val="center"/>
                </w:tcPr>
                <w:p>
                  <w:pPr>
                    <w:spacing w:line="240" w:lineRule="auto"/>
                    <w:ind w:firstLine="0" w:firstLineChars="0"/>
                    <w:jc w:val="center"/>
                    <w:rPr>
                      <w:sz w:val="21"/>
                      <w:szCs w:val="21"/>
                    </w:rPr>
                  </w:pPr>
                  <w:r>
                    <w:rPr>
                      <w:rFonts w:hint="eastAsia"/>
                      <w:sz w:val="21"/>
                      <w:szCs w:val="21"/>
                    </w:rPr>
                    <w:t>3#厂界西</w:t>
                  </w:r>
                </w:p>
              </w:tc>
              <w:tc>
                <w:tcPr>
                  <w:tcW w:w="1672"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55.7</w:t>
                  </w:r>
                </w:p>
              </w:tc>
              <w:tc>
                <w:tcPr>
                  <w:tcW w:w="1515"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rPr>
                    <w:t>4</w:t>
                  </w:r>
                  <w:r>
                    <w:rPr>
                      <w:rFonts w:hint="eastAsia"/>
                      <w:sz w:val="21"/>
                      <w:szCs w:val="21"/>
                      <w:lang w:val="en-US" w:eastAsia="zh-CN"/>
                    </w:rPr>
                    <w:t>8.3</w:t>
                  </w:r>
                </w:p>
              </w:tc>
              <w:tc>
                <w:tcPr>
                  <w:tcW w:w="1635"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rPr>
                    <w:t>5</w:t>
                  </w:r>
                  <w:r>
                    <w:rPr>
                      <w:rFonts w:hint="eastAsia"/>
                      <w:sz w:val="21"/>
                      <w:szCs w:val="21"/>
                      <w:lang w:val="en-US" w:eastAsia="zh-CN"/>
                    </w:rPr>
                    <w:t>8.0</w:t>
                  </w:r>
                </w:p>
              </w:tc>
              <w:tc>
                <w:tcPr>
                  <w:tcW w:w="1393" w:type="dxa"/>
                  <w:tcBorders>
                    <w:tl2br w:val="nil"/>
                    <w:tr2bl w:val="nil"/>
                  </w:tcBorders>
                  <w:vAlign w:val="center"/>
                </w:tcPr>
                <w:p>
                  <w:pPr>
                    <w:spacing w:line="240" w:lineRule="auto"/>
                    <w:ind w:firstLine="0" w:firstLineChars="0"/>
                    <w:jc w:val="center"/>
                    <w:rPr>
                      <w:sz w:val="21"/>
                      <w:szCs w:val="21"/>
                    </w:rPr>
                  </w:pPr>
                  <w:r>
                    <w:rPr>
                      <w:rFonts w:hint="eastAsia"/>
                      <w:sz w:val="21"/>
                      <w:szCs w:val="21"/>
                    </w:rPr>
                    <w:t>4</w:t>
                  </w:r>
                  <w:r>
                    <w:rPr>
                      <w:rFonts w:hint="eastAsia"/>
                      <w:sz w:val="21"/>
                      <w:szCs w:val="21"/>
                      <w:lang w:val="en-US" w:eastAsia="zh-CN"/>
                    </w:rPr>
                    <w:t>8</w:t>
                  </w:r>
                  <w:r>
                    <w:rPr>
                      <w:rFonts w:hint="eastAsia"/>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9" w:type="dxa"/>
                  <w:tcBorders>
                    <w:tl2br w:val="nil"/>
                    <w:tr2bl w:val="nil"/>
                  </w:tcBorders>
                  <w:vAlign w:val="center"/>
                </w:tcPr>
                <w:p>
                  <w:pPr>
                    <w:spacing w:line="240" w:lineRule="auto"/>
                    <w:ind w:firstLine="0" w:firstLineChars="0"/>
                    <w:jc w:val="center"/>
                    <w:rPr>
                      <w:sz w:val="21"/>
                      <w:szCs w:val="21"/>
                    </w:rPr>
                  </w:pPr>
                  <w:r>
                    <w:rPr>
                      <w:rFonts w:hint="eastAsia"/>
                      <w:sz w:val="21"/>
                      <w:szCs w:val="21"/>
                    </w:rPr>
                    <w:t>4#厂界北</w:t>
                  </w:r>
                </w:p>
              </w:tc>
              <w:tc>
                <w:tcPr>
                  <w:tcW w:w="1672"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56.4</w:t>
                  </w:r>
                </w:p>
              </w:tc>
              <w:tc>
                <w:tcPr>
                  <w:tcW w:w="1515"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rPr>
                    <w:t>4</w:t>
                  </w:r>
                  <w:r>
                    <w:rPr>
                      <w:rFonts w:hint="eastAsia"/>
                      <w:sz w:val="21"/>
                      <w:szCs w:val="21"/>
                      <w:lang w:val="en-US" w:eastAsia="zh-CN"/>
                    </w:rPr>
                    <w:t>6.7</w:t>
                  </w:r>
                </w:p>
              </w:tc>
              <w:tc>
                <w:tcPr>
                  <w:tcW w:w="1635" w:type="dxa"/>
                  <w:tcBorders>
                    <w:tl2br w:val="nil"/>
                    <w:tr2bl w:val="nil"/>
                  </w:tcBorders>
                  <w:vAlign w:val="center"/>
                </w:tcPr>
                <w:p>
                  <w:pPr>
                    <w:spacing w:line="240" w:lineRule="auto"/>
                    <w:ind w:firstLine="0" w:firstLineChars="0"/>
                    <w:jc w:val="center"/>
                    <w:rPr>
                      <w:rFonts w:hint="eastAsia" w:eastAsia="宋体"/>
                      <w:sz w:val="21"/>
                      <w:szCs w:val="21"/>
                      <w:lang w:eastAsia="zh-CN"/>
                    </w:rPr>
                  </w:pPr>
                  <w:r>
                    <w:rPr>
                      <w:rFonts w:hint="eastAsia"/>
                      <w:sz w:val="21"/>
                      <w:szCs w:val="21"/>
                    </w:rPr>
                    <w:t>56.</w:t>
                  </w:r>
                  <w:r>
                    <w:rPr>
                      <w:rFonts w:hint="eastAsia"/>
                      <w:sz w:val="21"/>
                      <w:szCs w:val="21"/>
                      <w:lang w:val="en-US" w:eastAsia="zh-CN"/>
                    </w:rPr>
                    <w:t>7</w:t>
                  </w:r>
                </w:p>
              </w:tc>
              <w:tc>
                <w:tcPr>
                  <w:tcW w:w="1393" w:type="dxa"/>
                  <w:tcBorders>
                    <w:tl2br w:val="nil"/>
                    <w:tr2bl w:val="nil"/>
                  </w:tcBorders>
                  <w:vAlign w:val="center"/>
                </w:tcPr>
                <w:p>
                  <w:pPr>
                    <w:spacing w:line="240" w:lineRule="auto"/>
                    <w:ind w:firstLine="0" w:firstLineChars="0"/>
                    <w:jc w:val="center"/>
                    <w:rPr>
                      <w:rFonts w:hint="eastAsia" w:eastAsia="宋体"/>
                      <w:sz w:val="21"/>
                      <w:szCs w:val="21"/>
                      <w:lang w:eastAsia="zh-CN"/>
                    </w:rPr>
                  </w:pPr>
                  <w:r>
                    <w:rPr>
                      <w:rFonts w:hint="eastAsia"/>
                      <w:sz w:val="21"/>
                      <w:szCs w:val="21"/>
                    </w:rPr>
                    <w:t>4</w:t>
                  </w:r>
                  <w:r>
                    <w:rPr>
                      <w:rFonts w:hint="eastAsia"/>
                      <w:sz w:val="21"/>
                      <w:szCs w:val="21"/>
                      <w:lang w:val="en-US" w:eastAsia="zh-CN"/>
                    </w:rPr>
                    <w:t>8</w:t>
                  </w:r>
                  <w:r>
                    <w:rPr>
                      <w:rFonts w:hint="eastAsia"/>
                      <w:sz w:val="21"/>
                      <w:szCs w:val="21"/>
                    </w:rPr>
                    <w:t>.</w:t>
                  </w:r>
                  <w:r>
                    <w:rPr>
                      <w:rFonts w:hint="eastAsia"/>
                      <w:sz w:val="21"/>
                      <w:szCs w:val="21"/>
                      <w:lang w:val="en-US" w:eastAsia="zh-CN"/>
                    </w:rPr>
                    <w:t>8</w:t>
                  </w:r>
                </w:p>
              </w:tc>
            </w:t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tbl>
          <w:p>
            <w:pPr>
              <w:pStyle w:val="207"/>
              <w:jc w:val="center"/>
            </w:pPr>
            <w:r>
              <w:t>表</w:t>
            </w:r>
            <w:r>
              <w:rPr>
                <w:rFonts w:hint="eastAsia"/>
              </w:rPr>
              <w:t>3</w:t>
            </w:r>
            <w:r>
              <w:rPr>
                <w:rFonts w:hint="eastAsia"/>
                <w:lang w:val="en-US" w:eastAsia="zh-CN"/>
              </w:rPr>
              <w:t>-4</w:t>
            </w:r>
            <w:r>
              <w:t xml:space="preserve"> 环境噪声</w:t>
            </w:r>
            <w:r>
              <w:rPr>
                <w:rFonts w:hint="eastAsia"/>
                <w:lang w:eastAsia="zh-CN"/>
              </w:rPr>
              <w:t>（</w:t>
            </w:r>
            <w:r>
              <w:rPr>
                <w:rFonts w:hint="eastAsia"/>
                <w:lang w:val="en-US" w:eastAsia="zh-CN"/>
              </w:rPr>
              <w:t>敏感点</w:t>
            </w:r>
            <w:r>
              <w:rPr>
                <w:rFonts w:hint="eastAsia"/>
                <w:lang w:eastAsia="zh-CN"/>
              </w:rPr>
              <w:t>）</w:t>
            </w:r>
            <w:r>
              <w:t>监测结果统计表 单位:dB(A)</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1672"/>
              <w:gridCol w:w="1515"/>
              <w:gridCol w:w="1635"/>
              <w:gridCol w:w="1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289" w:type="dxa"/>
                  <w:vMerge w:val="restart"/>
                  <w:tcBorders>
                    <w:tl2br w:val="nil"/>
                    <w:tr2bl w:val="nil"/>
                  </w:tcBorders>
                  <w:vAlign w:val="center"/>
                </w:tcPr>
                <w:p>
                  <w:pPr>
                    <w:spacing w:line="240" w:lineRule="auto"/>
                    <w:ind w:firstLine="0" w:firstLineChars="0"/>
                    <w:jc w:val="center"/>
                    <w:rPr>
                      <w:sz w:val="21"/>
                      <w:szCs w:val="21"/>
                    </w:rPr>
                  </w:pPr>
                  <w:r>
                    <w:rPr>
                      <w:sz w:val="21"/>
                      <w:szCs w:val="21"/>
                    </w:rPr>
                    <w:t>监测点位</w:t>
                  </w:r>
                </w:p>
              </w:tc>
              <w:tc>
                <w:tcPr>
                  <w:tcW w:w="6215" w:type="dxa"/>
                  <w:gridSpan w:val="4"/>
                  <w:tcBorders>
                    <w:tl2br w:val="nil"/>
                    <w:tr2bl w:val="nil"/>
                  </w:tcBorders>
                  <w:vAlign w:val="center"/>
                </w:tcPr>
                <w:p>
                  <w:pPr>
                    <w:spacing w:line="240" w:lineRule="auto"/>
                    <w:ind w:firstLine="0" w:firstLineChars="0"/>
                    <w:jc w:val="center"/>
                    <w:rPr>
                      <w:sz w:val="21"/>
                      <w:szCs w:val="21"/>
                    </w:rPr>
                  </w:pPr>
                  <w:r>
                    <w:rPr>
                      <w:sz w:val="21"/>
                      <w:szCs w:val="21"/>
                    </w:rPr>
                    <w:t>监测结果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289" w:type="dxa"/>
                  <w:vMerge w:val="continue"/>
                  <w:tcBorders>
                    <w:tl2br w:val="nil"/>
                    <w:tr2bl w:val="nil"/>
                  </w:tcBorders>
                  <w:vAlign w:val="center"/>
                </w:tcPr>
                <w:p>
                  <w:pPr>
                    <w:spacing w:line="240" w:lineRule="auto"/>
                    <w:ind w:firstLine="0" w:firstLineChars="0"/>
                    <w:jc w:val="center"/>
                    <w:rPr>
                      <w:sz w:val="21"/>
                      <w:szCs w:val="21"/>
                    </w:rPr>
                  </w:pPr>
                </w:p>
              </w:tc>
              <w:tc>
                <w:tcPr>
                  <w:tcW w:w="3187" w:type="dxa"/>
                  <w:gridSpan w:val="2"/>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sz w:val="21"/>
                      <w:szCs w:val="21"/>
                    </w:rPr>
                    <w:t>2019.</w:t>
                  </w:r>
                  <w:r>
                    <w:rPr>
                      <w:rFonts w:hint="eastAsia"/>
                      <w:sz w:val="21"/>
                      <w:szCs w:val="21"/>
                      <w:lang w:val="en-US" w:eastAsia="zh-CN"/>
                    </w:rPr>
                    <w:t>11.20</w:t>
                  </w:r>
                </w:p>
              </w:tc>
              <w:tc>
                <w:tcPr>
                  <w:tcW w:w="3028" w:type="dxa"/>
                  <w:gridSpan w:val="2"/>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sz w:val="21"/>
                      <w:szCs w:val="21"/>
                    </w:rPr>
                    <w:t>2019.</w:t>
                  </w:r>
                  <w:r>
                    <w:rPr>
                      <w:rFonts w:hint="eastAsia"/>
                      <w:sz w:val="21"/>
                      <w:szCs w:val="21"/>
                      <w:lang w:val="en-US" w:eastAsia="zh-CN"/>
                    </w:rPr>
                    <w:t>11.21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289" w:type="dxa"/>
                  <w:vMerge w:val="continue"/>
                  <w:tcBorders>
                    <w:tl2br w:val="nil"/>
                    <w:tr2bl w:val="nil"/>
                  </w:tcBorders>
                  <w:vAlign w:val="center"/>
                </w:tcPr>
                <w:p>
                  <w:pPr>
                    <w:spacing w:line="240" w:lineRule="auto"/>
                    <w:ind w:firstLine="0" w:firstLineChars="0"/>
                    <w:jc w:val="center"/>
                    <w:rPr>
                      <w:sz w:val="21"/>
                      <w:szCs w:val="21"/>
                    </w:rPr>
                  </w:pPr>
                </w:p>
              </w:tc>
              <w:tc>
                <w:tcPr>
                  <w:tcW w:w="1672" w:type="dxa"/>
                  <w:tcBorders>
                    <w:tl2br w:val="nil"/>
                    <w:tr2bl w:val="nil"/>
                  </w:tcBorders>
                  <w:vAlign w:val="center"/>
                </w:tcPr>
                <w:p>
                  <w:pPr>
                    <w:spacing w:line="240" w:lineRule="auto"/>
                    <w:ind w:firstLine="0" w:firstLineChars="0"/>
                    <w:jc w:val="center"/>
                    <w:rPr>
                      <w:sz w:val="21"/>
                      <w:szCs w:val="21"/>
                    </w:rPr>
                  </w:pPr>
                  <w:r>
                    <w:rPr>
                      <w:sz w:val="21"/>
                      <w:szCs w:val="21"/>
                    </w:rPr>
                    <w:t>昼间</w:t>
                  </w:r>
                </w:p>
              </w:tc>
              <w:tc>
                <w:tcPr>
                  <w:tcW w:w="1515" w:type="dxa"/>
                  <w:tcBorders>
                    <w:tl2br w:val="nil"/>
                    <w:tr2bl w:val="nil"/>
                  </w:tcBorders>
                  <w:vAlign w:val="center"/>
                </w:tcPr>
                <w:p>
                  <w:pPr>
                    <w:spacing w:line="240" w:lineRule="auto"/>
                    <w:ind w:firstLine="0" w:firstLineChars="0"/>
                    <w:jc w:val="center"/>
                    <w:rPr>
                      <w:sz w:val="21"/>
                      <w:szCs w:val="21"/>
                    </w:rPr>
                  </w:pPr>
                  <w:r>
                    <w:rPr>
                      <w:sz w:val="21"/>
                      <w:szCs w:val="21"/>
                    </w:rPr>
                    <w:t>夜间</w:t>
                  </w:r>
                </w:p>
              </w:tc>
              <w:tc>
                <w:tcPr>
                  <w:tcW w:w="1635" w:type="dxa"/>
                  <w:tcBorders>
                    <w:tl2br w:val="nil"/>
                    <w:tr2bl w:val="nil"/>
                  </w:tcBorders>
                  <w:vAlign w:val="center"/>
                </w:tcPr>
                <w:p>
                  <w:pPr>
                    <w:spacing w:line="240" w:lineRule="auto"/>
                    <w:ind w:firstLine="0" w:firstLineChars="0"/>
                    <w:jc w:val="center"/>
                    <w:rPr>
                      <w:sz w:val="21"/>
                      <w:szCs w:val="21"/>
                    </w:rPr>
                  </w:pPr>
                  <w:r>
                    <w:rPr>
                      <w:sz w:val="21"/>
                      <w:szCs w:val="21"/>
                    </w:rPr>
                    <w:t>昼间</w:t>
                  </w:r>
                </w:p>
              </w:tc>
              <w:tc>
                <w:tcPr>
                  <w:tcW w:w="1393" w:type="dxa"/>
                  <w:tcBorders>
                    <w:tl2br w:val="nil"/>
                    <w:tr2bl w:val="nil"/>
                  </w:tcBorders>
                  <w:vAlign w:val="center"/>
                </w:tcPr>
                <w:p>
                  <w:pPr>
                    <w:spacing w:line="240" w:lineRule="auto"/>
                    <w:ind w:firstLine="0" w:firstLineChars="0"/>
                    <w:jc w:val="center"/>
                    <w:rPr>
                      <w:sz w:val="21"/>
                      <w:szCs w:val="21"/>
                    </w:rPr>
                  </w:pPr>
                  <w:r>
                    <w:rPr>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9"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夏家寨村</w:t>
                  </w:r>
                </w:p>
              </w:tc>
              <w:tc>
                <w:tcPr>
                  <w:tcW w:w="1672"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47.3</w:t>
                  </w:r>
                </w:p>
              </w:tc>
              <w:tc>
                <w:tcPr>
                  <w:tcW w:w="1515"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41.2</w:t>
                  </w:r>
                </w:p>
              </w:tc>
              <w:tc>
                <w:tcPr>
                  <w:tcW w:w="1635"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48.5</w:t>
                  </w:r>
                </w:p>
              </w:tc>
              <w:tc>
                <w:tcPr>
                  <w:tcW w:w="1393" w:type="dxa"/>
                  <w:tcBorders>
                    <w:tl2br w:val="nil"/>
                    <w:tr2bl w:val="nil"/>
                  </w:tcBorders>
                  <w:vAlign w:val="center"/>
                </w:tcPr>
                <w:p>
                  <w:pPr>
                    <w:spacing w:line="240" w:lineRule="auto"/>
                    <w:ind w:firstLine="0" w:firstLineChars="0"/>
                    <w:jc w:val="center"/>
                    <w:rPr>
                      <w:rFonts w:hint="default" w:eastAsia="宋体"/>
                      <w:sz w:val="21"/>
                      <w:szCs w:val="21"/>
                      <w:lang w:val="en-US" w:eastAsia="zh-CN"/>
                    </w:rPr>
                  </w:pPr>
                  <w:r>
                    <w:rPr>
                      <w:rFonts w:hint="eastAsia"/>
                      <w:sz w:val="21"/>
                      <w:szCs w:val="21"/>
                      <w:lang w:val="en-US" w:eastAsia="zh-CN"/>
                    </w:rPr>
                    <w:t>41.5</w:t>
                  </w:r>
                </w:p>
              </w:tc>
            </w:tr>
          </w:tbl>
          <w:p>
            <w:pPr>
              <w:keepNext w:val="0"/>
              <w:keepLines w:val="0"/>
              <w:pageBreakBefore w:val="0"/>
              <w:widowControl w:val="0"/>
              <w:kinsoku/>
              <w:wordWrap/>
              <w:overflowPunct/>
              <w:topLinePunct w:val="0"/>
              <w:autoSpaceDE/>
              <w:autoSpaceDN/>
              <w:bidi w:val="0"/>
              <w:adjustRightInd w:val="0"/>
              <w:snapToGrid w:val="0"/>
              <w:ind w:firstLine="480"/>
              <w:textAlignment w:val="auto"/>
            </w:pPr>
            <w:r>
              <w:t>从噪声监测结果可知，项目区</w:t>
            </w:r>
            <w:r>
              <w:rPr>
                <w:rFonts w:hint="eastAsia"/>
              </w:rPr>
              <w:t>厂界四周</w:t>
            </w:r>
            <w:r>
              <w:rPr>
                <w:rFonts w:hint="eastAsia"/>
                <w:lang w:val="en-US" w:eastAsia="zh-CN"/>
              </w:rPr>
              <w:t>及敏感点</w:t>
            </w:r>
            <w:r>
              <w:rPr>
                <w:rFonts w:hint="eastAsia"/>
              </w:rPr>
              <w:t>均满足</w:t>
            </w:r>
            <w:r>
              <w:t>《声环境质量标准》（GB3096-2008）2类标准要求。</w:t>
            </w:r>
          </w:p>
          <w:p>
            <w:pPr>
              <w:pStyle w:val="4"/>
              <w:ind w:firstLine="0" w:firstLineChars="0"/>
              <w:jc w:val="both"/>
              <w:rPr>
                <w:rFonts w:hint="default" w:ascii="Times New Roman" w:hAnsi="Times New Roman" w:cs="Times New Roman"/>
                <w:lang w:val="en-US" w:eastAsia="zh-CN"/>
              </w:rPr>
            </w:pPr>
            <w:r>
              <w:rPr>
                <w:rFonts w:hint="eastAsia" w:ascii="Times New Roman" w:hAnsi="Times New Roman" w:cs="Times New Roman"/>
                <w:lang w:val="en-US" w:eastAsia="zh-CN"/>
              </w:rPr>
              <w:t>三、土壤环境质量现状</w:t>
            </w:r>
          </w:p>
          <w:p>
            <w:pPr>
              <w:pStyle w:val="2"/>
              <w:keepNext w:val="0"/>
              <w:keepLines w:val="0"/>
              <w:pageBreakBefore w:val="0"/>
              <w:kinsoku/>
              <w:wordWrap/>
              <w:overflowPunct/>
              <w:topLinePunct w:val="0"/>
              <w:autoSpaceDE/>
              <w:autoSpaceDN/>
              <w:bidi w:val="0"/>
              <w:adjustRightInd w:val="0"/>
              <w:snapToGrid w:val="0"/>
              <w:spacing w:line="360" w:lineRule="auto"/>
              <w:ind w:firstLine="480"/>
              <w:textAlignment w:val="auto"/>
              <w:rPr>
                <w:b/>
                <w:color w:val="000000"/>
                <w:szCs w:val="21"/>
              </w:rPr>
            </w:pPr>
            <w:r>
              <w:rPr>
                <w:rFonts w:hint="eastAsia"/>
                <w:color w:val="000000"/>
                <w:sz w:val="24"/>
              </w:rPr>
              <w:t>本次评</w:t>
            </w:r>
            <w:r>
              <w:rPr>
                <w:rFonts w:hint="eastAsia"/>
                <w:color w:val="000000"/>
                <w:sz w:val="24"/>
                <w:lang w:val="en-US" w:eastAsia="zh-CN"/>
              </w:rPr>
              <w:t>价引用西安火龙宇装饰</w:t>
            </w:r>
            <w:r>
              <w:rPr>
                <w:rFonts w:hint="eastAsia"/>
                <w:color w:val="000000"/>
                <w:sz w:val="24"/>
              </w:rPr>
              <w:t>公司</w:t>
            </w:r>
            <w:r>
              <w:rPr>
                <w:rFonts w:hint="eastAsia"/>
                <w:color w:val="000000"/>
                <w:sz w:val="24"/>
                <w:lang w:val="en-US" w:eastAsia="zh-CN"/>
              </w:rPr>
              <w:t>板式家具生产线建设项目土壤环境质量现状监测报告</w:t>
            </w:r>
            <w:r>
              <w:rPr>
                <w:rFonts w:hint="eastAsia"/>
                <w:color w:val="000000"/>
                <w:sz w:val="24"/>
              </w:rPr>
              <w:t>对项目</w:t>
            </w:r>
            <w:r>
              <w:rPr>
                <w:rFonts w:hint="eastAsia"/>
                <w:color w:val="000000"/>
                <w:sz w:val="24"/>
                <w:lang w:val="en-US" w:eastAsia="zh-CN"/>
              </w:rPr>
              <w:t>所在区域</w:t>
            </w:r>
            <w:r>
              <w:rPr>
                <w:rFonts w:hint="eastAsia"/>
                <w:color w:val="000000"/>
                <w:sz w:val="24"/>
              </w:rPr>
              <w:t>土壤进行</w:t>
            </w:r>
            <w:r>
              <w:rPr>
                <w:rFonts w:hint="eastAsia"/>
                <w:color w:val="000000"/>
                <w:sz w:val="24"/>
                <w:lang w:val="en-US" w:eastAsia="zh-CN"/>
              </w:rPr>
              <w:t>评价</w:t>
            </w:r>
            <w:r>
              <w:rPr>
                <w:rFonts w:hint="eastAsia"/>
                <w:color w:val="000000"/>
                <w:sz w:val="24"/>
                <w:lang w:eastAsia="zh-CN"/>
              </w:rPr>
              <w:t>。</w:t>
            </w:r>
            <w:r>
              <w:rPr>
                <w:rFonts w:hint="eastAsia"/>
                <w:color w:val="000000"/>
                <w:sz w:val="24"/>
                <w:lang w:val="en-US" w:eastAsia="zh-CN"/>
              </w:rPr>
              <w:t>本项目已建成，厂区已全部做防渗处理措施，厂区地面已全部硬化，已无原土采集，西安火龙宇装饰</w:t>
            </w:r>
            <w:r>
              <w:rPr>
                <w:rFonts w:hint="eastAsia"/>
                <w:color w:val="000000"/>
                <w:sz w:val="24"/>
              </w:rPr>
              <w:t>公司</w:t>
            </w:r>
            <w:r>
              <w:rPr>
                <w:rFonts w:hint="eastAsia"/>
                <w:color w:val="000000"/>
                <w:sz w:val="24"/>
                <w:lang w:val="en-US" w:eastAsia="zh-CN"/>
              </w:rPr>
              <w:t>板式家具生产线建设项目位于西安市灞桥区狄寨街道夏寨村东路甲字1号，位于本项目左侧约50m处，故土壤环境质量现状科技进行引用。土壤监测日期为2019年8月26日，监测点位中1#点位于西安火龙宇装饰</w:t>
            </w:r>
            <w:r>
              <w:rPr>
                <w:rFonts w:hint="eastAsia"/>
                <w:color w:val="000000"/>
                <w:sz w:val="24"/>
              </w:rPr>
              <w:t>公司</w:t>
            </w:r>
            <w:r>
              <w:rPr>
                <w:rFonts w:hint="eastAsia"/>
                <w:color w:val="000000"/>
                <w:sz w:val="24"/>
                <w:lang w:val="en-US" w:eastAsia="zh-CN"/>
              </w:rPr>
              <w:t>板式家具生产线建设项目地，2#位于西安火龙宇装饰</w:t>
            </w:r>
            <w:r>
              <w:rPr>
                <w:rFonts w:hint="eastAsia"/>
                <w:color w:val="000000"/>
                <w:sz w:val="24"/>
              </w:rPr>
              <w:t>公司</w:t>
            </w:r>
            <w:r>
              <w:rPr>
                <w:rFonts w:hint="eastAsia"/>
                <w:color w:val="000000"/>
                <w:sz w:val="24"/>
                <w:lang w:val="en-US" w:eastAsia="zh-CN"/>
              </w:rPr>
              <w:t>板式家具生产线建设项目厂区后农田，3#西安火龙宇装饰</w:t>
            </w:r>
            <w:r>
              <w:rPr>
                <w:rFonts w:hint="eastAsia"/>
                <w:color w:val="000000"/>
                <w:sz w:val="24"/>
              </w:rPr>
              <w:t>公司</w:t>
            </w:r>
            <w:r>
              <w:rPr>
                <w:rFonts w:hint="eastAsia"/>
                <w:color w:val="000000"/>
                <w:sz w:val="24"/>
                <w:lang w:val="en-US" w:eastAsia="zh-CN"/>
              </w:rPr>
              <w:t>板式家具生产线建设项目厂前区农田见附图4。引用土壤现状</w:t>
            </w:r>
            <w:r>
              <w:rPr>
                <w:rFonts w:hint="eastAsia"/>
                <w:color w:val="000000"/>
                <w:sz w:val="24"/>
              </w:rPr>
              <w:t>监测结果见表3-</w:t>
            </w:r>
            <w:r>
              <w:rPr>
                <w:rFonts w:hint="eastAsia"/>
                <w:color w:val="000000"/>
                <w:sz w:val="24"/>
                <w:lang w:val="en-US" w:eastAsia="zh-CN"/>
              </w:rPr>
              <w:t>5</w:t>
            </w:r>
            <w:r>
              <w:rPr>
                <w:rFonts w:hint="eastAsia"/>
                <w:color w:val="000000"/>
                <w:sz w:val="24"/>
              </w:rPr>
              <w:t>。</w:t>
            </w:r>
          </w:p>
          <w:p>
            <w:pPr>
              <w:tabs>
                <w:tab w:val="left" w:pos="3375"/>
              </w:tabs>
              <w:snapToGrid w:val="0"/>
              <w:spacing w:line="360" w:lineRule="auto"/>
              <w:jc w:val="center"/>
              <w:rPr>
                <w:b/>
                <w:color w:val="000000"/>
                <w:szCs w:val="21"/>
              </w:rPr>
            </w:pPr>
            <w:r>
              <w:rPr>
                <w:b/>
                <w:color w:val="000000"/>
                <w:szCs w:val="21"/>
              </w:rPr>
              <w:t>表3-</w:t>
            </w:r>
            <w:r>
              <w:rPr>
                <w:rFonts w:hint="eastAsia"/>
                <w:b/>
                <w:color w:val="000000"/>
                <w:szCs w:val="21"/>
                <w:lang w:val="en-US" w:eastAsia="zh-CN"/>
              </w:rPr>
              <w:t>5</w:t>
            </w:r>
            <w:r>
              <w:rPr>
                <w:rFonts w:hint="eastAsia"/>
                <w:b/>
                <w:color w:val="000000"/>
                <w:szCs w:val="21"/>
              </w:rPr>
              <w:t>土</w:t>
            </w:r>
            <w:r>
              <w:rPr>
                <w:rFonts w:hint="eastAsia"/>
                <w:b/>
                <w:color w:val="000000"/>
                <w:szCs w:val="21"/>
                <w:lang w:val="en-US" w:eastAsia="zh-CN"/>
              </w:rPr>
              <w:t xml:space="preserve"> </w:t>
            </w:r>
            <w:r>
              <w:rPr>
                <w:rFonts w:hint="eastAsia"/>
                <w:b/>
                <w:color w:val="000000"/>
                <w:szCs w:val="21"/>
              </w:rPr>
              <w:t>壤环境</w:t>
            </w:r>
            <w:r>
              <w:rPr>
                <w:b/>
                <w:color w:val="000000"/>
                <w:szCs w:val="21"/>
              </w:rPr>
              <w:t>质量现状监测结果</w:t>
            </w:r>
            <w:r>
              <w:rPr>
                <w:rFonts w:hint="eastAsia"/>
                <w:b/>
                <w:color w:val="000000"/>
                <w:szCs w:val="21"/>
              </w:rPr>
              <w:t xml:space="preserve"> </w:t>
            </w:r>
            <w:r>
              <w:rPr>
                <w:b/>
                <w:color w:val="000000"/>
                <w:szCs w:val="21"/>
              </w:rPr>
              <w:t xml:space="preserve"> 单位</w:t>
            </w:r>
            <w:r>
              <w:rPr>
                <w:b/>
                <w:bCs/>
                <w:color w:val="000000"/>
              </w:rPr>
              <w:t>mg/kg</w:t>
            </w:r>
            <w:r>
              <w:rPr>
                <w:b/>
                <w:color w:val="000000"/>
                <w:szCs w:val="21"/>
              </w:rPr>
              <w:t>（pH除外）</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0" w:type="dxa"/>
                <w:left w:w="0" w:type="dxa"/>
                <w:bottom w:w="0" w:type="dxa"/>
                <w:right w:w="0" w:type="dxa"/>
              </w:tblCellMar>
            </w:tblPr>
            <w:tblGrid>
              <w:gridCol w:w="1761"/>
              <w:gridCol w:w="1122"/>
              <w:gridCol w:w="1399"/>
              <w:gridCol w:w="1398"/>
              <w:gridCol w:w="1127"/>
              <w:gridCol w:w="24"/>
              <w:gridCol w:w="983"/>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vMerge w:val="restart"/>
                  <w:noWrap w:val="0"/>
                  <w:tcMar>
                    <w:top w:w="15" w:type="dxa"/>
                    <w:left w:w="15" w:type="dxa"/>
                    <w:right w:w="15" w:type="dxa"/>
                  </w:tcMar>
                  <w:vAlign w:val="center"/>
                </w:tcPr>
                <w:p>
                  <w:pPr>
                    <w:pStyle w:val="13"/>
                    <w:keepNext w:val="0"/>
                    <w:keepLines w:val="0"/>
                    <w:pageBreakBefore w:val="0"/>
                    <w:widowControl w:val="0"/>
                    <w:kinsoku/>
                    <w:wordWrap/>
                    <w:overflowPunct/>
                    <w:topLinePunct w:val="0"/>
                    <w:bidi w:val="0"/>
                    <w:snapToGrid w:val="0"/>
                    <w:spacing w:before="0" w:after="0" w:line="240" w:lineRule="auto"/>
                    <w:ind w:left="0" w:leftChars="0"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监测项目</w:t>
                  </w:r>
                </w:p>
              </w:tc>
              <w:tc>
                <w:tcPr>
                  <w:tcW w:w="1092"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建设用地</w:t>
                  </w:r>
                  <w:r>
                    <w:rPr>
                      <w:rFonts w:hint="default" w:ascii="Times New Roman" w:hAnsi="Times New Roman" w:eastAsia="宋体" w:cs="Times New Roman"/>
                      <w:color w:val="000000"/>
                      <w:sz w:val="21"/>
                      <w:szCs w:val="21"/>
                    </w:rPr>
                    <w:t>表层监测点1</w:t>
                  </w:r>
                  <w:r>
                    <w:rPr>
                      <w:rFonts w:hint="default" w:ascii="Times New Roman" w:hAnsi="Times New Roman" w:eastAsia="宋体" w:cs="Times New Roman"/>
                      <w:color w:val="000000"/>
                      <w:sz w:val="21"/>
                      <w:szCs w:val="21"/>
                      <w:lang w:val="en-US" w:eastAsia="zh-CN"/>
                    </w:rPr>
                    <w:t>#</w:t>
                  </w:r>
                </w:p>
              </w:tc>
              <w:tc>
                <w:tcPr>
                  <w:tcW w:w="1362"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kern w:val="2"/>
                      <w:sz w:val="21"/>
                      <w:szCs w:val="21"/>
                    </w:rPr>
                    <w:t>表</w:t>
                  </w:r>
                  <w:r>
                    <w:rPr>
                      <w:rFonts w:hint="default" w:ascii="Times New Roman" w:hAnsi="Times New Roman" w:eastAsia="宋体" w:cs="Times New Roman"/>
                      <w:color w:val="000000"/>
                      <w:sz w:val="21"/>
                      <w:szCs w:val="21"/>
                      <w:lang w:val="de-DE"/>
                    </w:rPr>
                    <w:t>层</w:t>
                  </w:r>
                  <w:r>
                    <w:rPr>
                      <w:rFonts w:hint="default" w:ascii="Times New Roman" w:hAnsi="Times New Roman" w:eastAsia="宋体" w:cs="Times New Roman"/>
                      <w:color w:val="000000"/>
                      <w:sz w:val="21"/>
                      <w:szCs w:val="21"/>
                      <w:lang w:val="en-US" w:eastAsia="zh-CN"/>
                    </w:rPr>
                    <w:t>农田</w:t>
                  </w:r>
                  <w:r>
                    <w:rPr>
                      <w:rFonts w:hint="default" w:ascii="Times New Roman" w:hAnsi="Times New Roman" w:eastAsia="宋体" w:cs="Times New Roman"/>
                      <w:color w:val="000000"/>
                      <w:sz w:val="21"/>
                      <w:szCs w:val="21"/>
                      <w:lang w:val="de-DE"/>
                    </w:rPr>
                    <w:t>监测点2#（E:10</w:t>
                  </w:r>
                  <w:r>
                    <w:rPr>
                      <w:rFonts w:hint="default" w:ascii="Times New Roman" w:hAnsi="Times New Roman" w:eastAsia="宋体" w:cs="Times New Roman"/>
                      <w:color w:val="000000"/>
                      <w:sz w:val="21"/>
                      <w:szCs w:val="21"/>
                      <w:lang w:val="en-US" w:eastAsia="zh-CN"/>
                    </w:rPr>
                    <w:t>9°07′20.24″</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de-DE"/>
                    </w:rPr>
                    <w:t>N:</w:t>
                  </w:r>
                  <w:r>
                    <w:rPr>
                      <w:rFonts w:hint="default" w:ascii="Times New Roman" w:hAnsi="Times New Roman" w:eastAsia="宋体" w:cs="Times New Roman"/>
                      <w:color w:val="000000"/>
                      <w:sz w:val="21"/>
                      <w:szCs w:val="21"/>
                      <w:lang w:val="en-US" w:eastAsia="zh-CN"/>
                    </w:rPr>
                    <w:t>34°11′596.58″</w:t>
                  </w:r>
                  <w:r>
                    <w:rPr>
                      <w:rFonts w:hint="default" w:ascii="Times New Roman" w:hAnsi="Times New Roman" w:eastAsia="宋体" w:cs="Times New Roman"/>
                      <w:color w:val="000000"/>
                      <w:sz w:val="21"/>
                      <w:szCs w:val="21"/>
                      <w:lang w:val="de-DE"/>
                    </w:rPr>
                    <w:t>）</w:t>
                  </w:r>
                </w:p>
              </w:tc>
              <w:tc>
                <w:tcPr>
                  <w:tcW w:w="1361"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kern w:val="2"/>
                      <w:sz w:val="21"/>
                      <w:szCs w:val="21"/>
                    </w:rPr>
                    <w:t>表层</w:t>
                  </w:r>
                  <w:r>
                    <w:rPr>
                      <w:rFonts w:hint="default" w:ascii="Times New Roman" w:hAnsi="Times New Roman" w:eastAsia="宋体" w:cs="Times New Roman"/>
                      <w:color w:val="000000"/>
                      <w:kern w:val="2"/>
                      <w:sz w:val="21"/>
                      <w:szCs w:val="21"/>
                      <w:lang w:val="en-US" w:eastAsia="zh-CN"/>
                    </w:rPr>
                    <w:t>农田</w:t>
                  </w:r>
                  <w:r>
                    <w:rPr>
                      <w:rFonts w:hint="default" w:ascii="Times New Roman" w:hAnsi="Times New Roman" w:eastAsia="宋体" w:cs="Times New Roman"/>
                      <w:color w:val="000000"/>
                      <w:kern w:val="2"/>
                      <w:sz w:val="21"/>
                      <w:szCs w:val="21"/>
                    </w:rPr>
                    <w:t>监测点3#</w:t>
                  </w:r>
                  <w:r>
                    <w:rPr>
                      <w:rFonts w:hint="default" w:ascii="Times New Roman" w:hAnsi="Times New Roman" w:eastAsia="宋体" w:cs="Times New Roman"/>
                      <w:color w:val="000000"/>
                      <w:sz w:val="21"/>
                      <w:szCs w:val="21"/>
                      <w:lang w:val="de-DE"/>
                    </w:rPr>
                    <w:t>（E:10</w:t>
                  </w:r>
                  <w:r>
                    <w:rPr>
                      <w:rFonts w:hint="default" w:ascii="Times New Roman" w:hAnsi="Times New Roman" w:eastAsia="宋体" w:cs="Times New Roman"/>
                      <w:color w:val="000000"/>
                      <w:sz w:val="21"/>
                      <w:szCs w:val="21"/>
                      <w:lang w:val="en-US" w:eastAsia="zh-CN"/>
                    </w:rPr>
                    <w:t>9°07′21.41″</w:t>
                  </w:r>
                </w:p>
                <w:p>
                  <w:pPr>
                    <w:pStyle w:val="49"/>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de-DE"/>
                    </w:rPr>
                    <w:t>N:</w:t>
                  </w:r>
                  <w:r>
                    <w:rPr>
                      <w:rFonts w:hint="default" w:ascii="Times New Roman" w:hAnsi="Times New Roman" w:eastAsia="宋体" w:cs="Times New Roman"/>
                      <w:color w:val="000000"/>
                      <w:sz w:val="21"/>
                      <w:szCs w:val="21"/>
                      <w:lang w:val="en-US" w:eastAsia="zh-CN"/>
                    </w:rPr>
                    <w:t>34°11′59.66″</w:t>
                  </w:r>
                  <w:r>
                    <w:rPr>
                      <w:rFonts w:hint="default" w:ascii="Times New Roman" w:hAnsi="Times New Roman" w:eastAsia="宋体" w:cs="Times New Roman"/>
                      <w:color w:val="000000"/>
                      <w:sz w:val="21"/>
                      <w:szCs w:val="21"/>
                      <w:lang w:val="de-DE"/>
                    </w:rPr>
                    <w:t>）</w:t>
                  </w:r>
                </w:p>
              </w:tc>
              <w:tc>
                <w:tcPr>
                  <w:tcW w:w="2077" w:type="dxa"/>
                  <w:gridSpan w:val="3"/>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标准限值</w:t>
                  </w:r>
                </w:p>
              </w:tc>
              <w:tc>
                <w:tcPr>
                  <w:tcW w:w="671" w:type="dxa"/>
                  <w:vMerge w:val="restart"/>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vMerge w:val="continue"/>
                  <w:noWrap w:val="0"/>
                  <w:tcMar>
                    <w:top w:w="15" w:type="dxa"/>
                    <w:left w:w="15" w:type="dxa"/>
                    <w:right w:w="15" w:type="dxa"/>
                  </w:tcMar>
                  <w:vAlign w:val="center"/>
                </w:tcPr>
                <w:p>
                  <w:pPr>
                    <w:pStyle w:val="13"/>
                    <w:keepNext w:val="0"/>
                    <w:keepLines w:val="0"/>
                    <w:pageBreakBefore w:val="0"/>
                    <w:widowControl w:val="0"/>
                    <w:kinsoku/>
                    <w:wordWrap/>
                    <w:overflowPunct/>
                    <w:topLinePunct w:val="0"/>
                    <w:bidi w:val="0"/>
                    <w:snapToGrid w:val="0"/>
                    <w:spacing w:before="0" w:after="0" w:line="240" w:lineRule="auto"/>
                    <w:ind w:left="0" w:leftChars="0" w:firstLine="0" w:firstLineChars="0"/>
                    <w:jc w:val="center"/>
                    <w:textAlignment w:val="auto"/>
                    <w:rPr>
                      <w:rFonts w:hint="default" w:ascii="Times New Roman" w:hAnsi="Times New Roman" w:eastAsia="宋体" w:cs="Times New Roman"/>
                      <w:color w:val="000000"/>
                      <w:sz w:val="21"/>
                      <w:szCs w:val="21"/>
                    </w:rPr>
                  </w:pPr>
                </w:p>
              </w:tc>
              <w:tc>
                <w:tcPr>
                  <w:tcW w:w="1092"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c>
                <w:tcPr>
                  <w:tcW w:w="1362"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p>
              </w:tc>
              <w:tc>
                <w:tcPr>
                  <w:tcW w:w="1361" w:type="dxa"/>
                  <w:vMerge w:val="continue"/>
                  <w:noWrap w:val="0"/>
                  <w:tcMar>
                    <w:top w:w="15" w:type="dxa"/>
                    <w:left w:w="15" w:type="dxa"/>
                    <w:right w:w="15" w:type="dxa"/>
                  </w:tcMar>
                  <w:vAlign w:val="center"/>
                </w:tcPr>
                <w:p>
                  <w:pPr>
                    <w:pStyle w:val="49"/>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建设用地二类用地风险管控值</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农用地土壤污染风险筛选值（其他）</w:t>
                  </w:r>
                </w:p>
              </w:tc>
              <w:tc>
                <w:tcPr>
                  <w:tcW w:w="671" w:type="dxa"/>
                  <w:vMerge w:val="continue"/>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de-DE"/>
                    </w:rPr>
                    <w:t>pH</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8.74</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8.16</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8.28</w:t>
                  </w: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＞7.5</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de-DE"/>
                    </w:rPr>
                    <w:t>铅</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33.6</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0.1ND</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0.1ND</w:t>
                  </w: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800</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170</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de-DE"/>
                    </w:rPr>
                    <w:t>镉</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0.276</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0.20</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0.16</w:t>
                  </w: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65</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0.6</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de-DE"/>
                    </w:rPr>
                    <w:t>汞</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0.051</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0.188</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0.200</w:t>
                  </w: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3.4</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砷</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18.8</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17.75</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16.23</w:t>
                  </w: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60</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25</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de-DE"/>
                    </w:rPr>
                    <w:t>铜</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44.0</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38.44</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43.52</w:t>
                  </w: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18000</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100</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锌</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98.16</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91.04</w:t>
                  </w: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300</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铬</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189.24</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188.16</w:t>
                  </w: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250</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de-DE"/>
                    </w:rPr>
                    <w:t>镍</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45.8</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52.60</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53.73</w:t>
                  </w:r>
                </w:p>
              </w:tc>
              <w:tc>
                <w:tcPr>
                  <w:tcW w:w="1097" w:type="dxa"/>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900</w:t>
                  </w:r>
                </w:p>
              </w:tc>
              <w:tc>
                <w:tcPr>
                  <w:tcW w:w="980" w:type="dxa"/>
                  <w:gridSpan w:val="2"/>
                  <w:tcBorders>
                    <w:lef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190</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六价</w:t>
                  </w:r>
                  <w:r>
                    <w:rPr>
                      <w:rFonts w:hint="default" w:ascii="Times New Roman" w:hAnsi="Times New Roman" w:eastAsia="宋体" w:cs="Times New Roman"/>
                      <w:color w:val="000000"/>
                      <w:sz w:val="21"/>
                      <w:szCs w:val="21"/>
                    </w:rPr>
                    <w:t>铬</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2ND</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5.7</w:t>
                  </w:r>
                </w:p>
              </w:tc>
              <w:tc>
                <w:tcPr>
                  <w:tcW w:w="957" w:type="dxa"/>
                  <w:tcBorders>
                    <w:left w:val="single" w:color="auto" w:sz="4" w:space="0"/>
                  </w:tcBorders>
                  <w:noWrap/>
                  <w:tcMar>
                    <w:top w:w="15" w:type="dxa"/>
                    <w:left w:w="15" w:type="dxa"/>
                    <w:right w:w="15" w:type="dxa"/>
                  </w:tcMar>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四氯化碳</w:t>
                  </w:r>
                </w:p>
              </w:tc>
              <w:tc>
                <w:tcPr>
                  <w:tcW w:w="109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361" w:type="dxa"/>
                  <w:noWrap w:val="0"/>
                  <w:tcMar>
                    <w:top w:w="15" w:type="dxa"/>
                    <w:left w:w="15" w:type="dxa"/>
                    <w:right w:w="15" w:type="dxa"/>
                  </w:tcMar>
                  <w:vAlign w:val="center"/>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2.8</w:t>
                  </w:r>
                </w:p>
              </w:tc>
              <w:tc>
                <w:tcPr>
                  <w:tcW w:w="957" w:type="dxa"/>
                  <w:tcBorders>
                    <w:left w:val="single" w:color="auto" w:sz="4" w:space="0"/>
                  </w:tcBorders>
                  <w:noWrap/>
                  <w:tcMar>
                    <w:top w:w="15" w:type="dxa"/>
                    <w:left w:w="15" w:type="dxa"/>
                    <w:right w:w="15" w:type="dxa"/>
                  </w:tcMar>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tcMar>
                    <w:top w:w="15" w:type="dxa"/>
                    <w:left w:w="15" w:type="dxa"/>
                    <w:right w:w="15" w:type="dxa"/>
                  </w:tcMar>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氯仿</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0.9</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氯甲烷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37</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1,1-二氯乙烷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9</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1,2-二氯乙烷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5</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1,1-二氯乙烯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66</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顺-1,2-二氯乙烯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596</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反-1,2-二氯乙烯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54</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二氯甲烷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616</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1,2-二氯丙烷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5</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1,1,1,2-四氯乙烷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1,1,2,2-四氯乙烷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6.8</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四氯乙烯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4.7×10</w:t>
                  </w:r>
                  <w:r>
                    <w:rPr>
                      <w:rFonts w:hint="default" w:ascii="Times New Roman" w:hAnsi="Times New Roman" w:eastAsia="宋体" w:cs="Times New Roman"/>
                      <w:color w:val="000000"/>
                      <w:sz w:val="21"/>
                      <w:szCs w:val="21"/>
                      <w:vertAlign w:val="superscript"/>
                      <w:lang w:val="en-US" w:eastAsia="zh-CN"/>
                    </w:rPr>
                    <w:t>-3</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53</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1,1,1-三氯乙烷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840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1,1,2-三氯乙烷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2.8</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de-DE"/>
                    </w:rPr>
                    <w:t>三氯乙烯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2.8</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1,2,3-三氯丙烷</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0.5</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氯乙烯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0.43</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4</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氯苯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270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1,2-二氯苯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560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1,4-二氯苯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乙苯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28</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苯乙烯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1290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甲苯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1200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间二甲苯+对二甲苯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570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邻二甲苯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640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硝基苯</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76</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苯胺</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120"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260</w:t>
                  </w:r>
                </w:p>
              </w:tc>
              <w:tc>
                <w:tcPr>
                  <w:tcW w:w="957" w:type="dxa"/>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2-氯酚</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09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2256</w:t>
                  </w:r>
                </w:p>
              </w:tc>
              <w:tc>
                <w:tcPr>
                  <w:tcW w:w="980" w:type="dxa"/>
                  <w:gridSpan w:val="2"/>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苯并[a]蒽</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09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15</w:t>
                  </w:r>
                </w:p>
              </w:tc>
              <w:tc>
                <w:tcPr>
                  <w:tcW w:w="980" w:type="dxa"/>
                  <w:gridSpan w:val="2"/>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苯并[a]芘</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09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1.5</w:t>
                  </w:r>
                </w:p>
              </w:tc>
              <w:tc>
                <w:tcPr>
                  <w:tcW w:w="980" w:type="dxa"/>
                  <w:gridSpan w:val="2"/>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苯并[b]荧蒽</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09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15</w:t>
                  </w:r>
                </w:p>
              </w:tc>
              <w:tc>
                <w:tcPr>
                  <w:tcW w:w="980" w:type="dxa"/>
                  <w:gridSpan w:val="2"/>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苯并[k]荧蒽</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09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151</w:t>
                  </w:r>
                </w:p>
              </w:tc>
              <w:tc>
                <w:tcPr>
                  <w:tcW w:w="980" w:type="dxa"/>
                  <w:gridSpan w:val="2"/>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䓛</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09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1293</w:t>
                  </w:r>
                </w:p>
              </w:tc>
              <w:tc>
                <w:tcPr>
                  <w:tcW w:w="980" w:type="dxa"/>
                  <w:gridSpan w:val="2"/>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二苯并[a, h]蒽</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09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1.5</w:t>
                  </w:r>
                </w:p>
              </w:tc>
              <w:tc>
                <w:tcPr>
                  <w:tcW w:w="980" w:type="dxa"/>
                  <w:gridSpan w:val="2"/>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茚并[1,2,3-cd]芘</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09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15</w:t>
                  </w:r>
                </w:p>
              </w:tc>
              <w:tc>
                <w:tcPr>
                  <w:tcW w:w="980" w:type="dxa"/>
                  <w:gridSpan w:val="2"/>
                  <w:tcBorders>
                    <w:left w:val="single" w:color="auto" w:sz="4" w:space="0"/>
                  </w:tcBorders>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CellMar>
                  <w:top w:w="0" w:type="dxa"/>
                  <w:left w:w="0" w:type="dxa"/>
                  <w:bottom w:w="0" w:type="dxa"/>
                  <w:right w:w="0" w:type="dxa"/>
                </w:tblCellMar>
              </w:tblPrEx>
              <w:trPr>
                <w:trHeight w:val="510" w:hRule="atLeast"/>
                <w:jc w:val="center"/>
              </w:trPr>
              <w:tc>
                <w:tcPr>
                  <w:tcW w:w="1714"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de-DE"/>
                    </w:rPr>
                  </w:pPr>
                  <w:r>
                    <w:rPr>
                      <w:rFonts w:hint="default" w:ascii="Times New Roman" w:hAnsi="Times New Roman" w:eastAsia="宋体" w:cs="Times New Roman"/>
                      <w:color w:val="000000"/>
                      <w:sz w:val="21"/>
                      <w:szCs w:val="21"/>
                      <w:lang w:val="de-DE"/>
                    </w:rPr>
                    <w:t>萘</w:t>
                  </w:r>
                </w:p>
              </w:tc>
              <w:tc>
                <w:tcPr>
                  <w:tcW w:w="109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ND</w:t>
                  </w:r>
                </w:p>
              </w:tc>
              <w:tc>
                <w:tcPr>
                  <w:tcW w:w="1362"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61" w:type="dxa"/>
                  <w:noWrap w:val="0"/>
                  <w:vAlign w:val="top"/>
                </w:tcPr>
                <w:p>
                  <w:pPr>
                    <w:keepNext w:val="0"/>
                    <w:keepLines w:val="0"/>
                    <w:pageBreakBefore w:val="0"/>
                    <w:widowControl w:val="0"/>
                    <w:kinsoku/>
                    <w:wordWrap/>
                    <w:overflowPunct/>
                    <w:topLinePunct w:val="0"/>
                    <w:bidi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09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70</w:t>
                  </w:r>
                </w:p>
              </w:tc>
              <w:tc>
                <w:tcPr>
                  <w:tcW w:w="980" w:type="dxa"/>
                  <w:gridSpan w:val="2"/>
                  <w:tcBorders>
                    <w:lef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671" w:type="dxa"/>
                  <w:noWrap w:val="0"/>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bl>
          <w:p>
            <w:pPr>
              <w:pStyle w:val="13"/>
              <w:snapToGrid w:val="0"/>
              <w:spacing w:after="0" w:line="360" w:lineRule="auto"/>
              <w:ind w:left="0" w:leftChars="0" w:firstLine="480" w:firstLineChars="200"/>
              <w:rPr>
                <w:rFonts w:hint="default"/>
                <w:lang w:val="en-US" w:eastAsia="zh-CN"/>
              </w:rPr>
            </w:pPr>
            <w:r>
              <w:rPr>
                <w:color w:val="000000"/>
                <w:sz w:val="24"/>
              </w:rPr>
              <w:t>由</w:t>
            </w:r>
            <w:r>
              <w:rPr>
                <w:rFonts w:hint="eastAsia"/>
                <w:color w:val="000000"/>
                <w:sz w:val="24"/>
                <w:lang w:val="en-US" w:eastAsia="zh-CN"/>
              </w:rPr>
              <w:t>上</w:t>
            </w:r>
            <w:r>
              <w:rPr>
                <w:color w:val="000000"/>
                <w:sz w:val="24"/>
              </w:rPr>
              <w:t>表</w:t>
            </w:r>
            <w:r>
              <w:rPr>
                <w:rFonts w:hint="eastAsia"/>
                <w:color w:val="000000"/>
                <w:sz w:val="24"/>
              </w:rPr>
              <w:t>可知，</w:t>
            </w:r>
            <w:r>
              <w:rPr>
                <w:rFonts w:hint="eastAsia"/>
                <w:color w:val="000000"/>
                <w:sz w:val="24"/>
                <w:lang w:val="en-US" w:eastAsia="zh-CN"/>
              </w:rPr>
              <w:t>1#点</w:t>
            </w:r>
            <w:r>
              <w:rPr>
                <w:color w:val="000000"/>
                <w:sz w:val="24"/>
              </w:rPr>
              <w:t>土壤各项监测因子均能满足《土壤环境质量标准</w:t>
            </w:r>
            <w:r>
              <w:rPr>
                <w:rFonts w:hint="eastAsia"/>
                <w:color w:val="000000"/>
                <w:sz w:val="24"/>
              </w:rPr>
              <w:t xml:space="preserve"> </w:t>
            </w:r>
            <w:r>
              <w:rPr>
                <w:color w:val="000000"/>
                <w:sz w:val="24"/>
              </w:rPr>
              <w:t>建设用地土壤风险管控标准（试行）》（GB36600-2018）第二类用地筛选值标准</w:t>
            </w:r>
            <w:r>
              <w:rPr>
                <w:rFonts w:hint="eastAsia"/>
                <w:color w:val="000000"/>
                <w:sz w:val="24"/>
                <w:lang w:eastAsia="zh-CN"/>
              </w:rPr>
              <w:t>，</w:t>
            </w:r>
            <w:r>
              <w:rPr>
                <w:rFonts w:hint="eastAsia"/>
                <w:color w:val="000000"/>
                <w:sz w:val="24"/>
                <w:lang w:val="en-US" w:eastAsia="zh-CN"/>
              </w:rPr>
              <w:t>2#、3#点</w:t>
            </w:r>
            <w:r>
              <w:rPr>
                <w:color w:val="000000"/>
                <w:sz w:val="24"/>
              </w:rPr>
              <w:t>土壤各项监测因子均能满足《土壤环境质量标准</w:t>
            </w:r>
            <w:r>
              <w:rPr>
                <w:rFonts w:hint="eastAsia"/>
                <w:color w:val="000000"/>
                <w:sz w:val="24"/>
              </w:rPr>
              <w:t xml:space="preserve"> </w:t>
            </w:r>
            <w:r>
              <w:rPr>
                <w:rFonts w:hint="eastAsia"/>
                <w:color w:val="000000"/>
                <w:sz w:val="24"/>
                <w:lang w:val="en-US" w:eastAsia="zh-CN"/>
              </w:rPr>
              <w:t>农</w:t>
            </w:r>
            <w:r>
              <w:rPr>
                <w:color w:val="000000"/>
                <w:sz w:val="24"/>
              </w:rPr>
              <w:t>用地土壤风险管控标准（试行）》（GB</w:t>
            </w:r>
            <w:r>
              <w:rPr>
                <w:rFonts w:hint="eastAsia"/>
                <w:color w:val="000000"/>
                <w:sz w:val="24"/>
                <w:lang w:val="en-US" w:eastAsia="zh-CN"/>
              </w:rPr>
              <w:t>15618</w:t>
            </w:r>
            <w:r>
              <w:rPr>
                <w:color w:val="000000"/>
                <w:sz w:val="24"/>
              </w:rPr>
              <w:t>-2018）</w:t>
            </w:r>
            <w:r>
              <w:rPr>
                <w:rFonts w:hint="eastAsia"/>
                <w:color w:val="000000"/>
                <w:sz w:val="24"/>
                <w:lang w:val="en-US" w:eastAsia="zh-CN"/>
              </w:rPr>
              <w:t>农用地土壤污染风险筛选值（其他）</w:t>
            </w:r>
            <w:r>
              <w:rPr>
                <w:color w:val="000000"/>
                <w:sz w:val="24"/>
              </w:rPr>
              <w:t>。</w:t>
            </w:r>
          </w:p>
          <w:p>
            <w:pPr>
              <w:pStyle w:val="2"/>
            </w:pPr>
          </w:p>
          <w:p>
            <w:pPr>
              <w:pStyle w:val="2"/>
            </w:pPr>
          </w:p>
          <w:p>
            <w:pPr>
              <w:pStyle w:val="2"/>
            </w:pPr>
          </w:p>
          <w:p>
            <w:pPr>
              <w:pStyle w:val="2"/>
            </w:pPr>
          </w:p>
          <w:p>
            <w:pPr>
              <w:spacing w:beforeLines="50" w:afterLines="50" w:line="480" w:lineRule="exact"/>
              <w:ind w:firstLine="0" w:firstLineChars="0"/>
              <w:rPr>
                <w:lang w:val="zh-CN"/>
              </w:rPr>
            </w:pPr>
            <w:r>
              <w:rPr>
                <w:lang w:val="zh-CN"/>
              </w:rPr>
              <w:t>主要环境保护目标（列出名单及保护级别）</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b/>
                <w:sz w:val="24"/>
              </w:rPr>
            </w:pPr>
            <w:r>
              <w:rPr>
                <w:sz w:val="24"/>
              </w:rPr>
              <w:t>通过现场踏勘，</w:t>
            </w:r>
            <w:r>
              <w:rPr>
                <w:bCs/>
                <w:sz w:val="24"/>
              </w:rPr>
              <w:t>项目评价区无文物保护单位及名胜古迹，</w:t>
            </w:r>
            <w:r>
              <w:rPr>
                <w:sz w:val="24"/>
              </w:rPr>
              <w:t>主要环境保护目标</w:t>
            </w:r>
            <w:r>
              <w:rPr>
                <w:bCs/>
                <w:sz w:val="24"/>
              </w:rPr>
              <w:t>具体见表</w:t>
            </w:r>
            <w:r>
              <w:rPr>
                <w:rFonts w:hint="eastAsia"/>
                <w:bCs/>
                <w:sz w:val="24"/>
                <w:lang w:val="en-US" w:eastAsia="zh-CN"/>
              </w:rPr>
              <w:t>3-5</w:t>
            </w:r>
            <w:r>
              <w:rPr>
                <w:bCs/>
                <w:sz w:val="24"/>
              </w:rPr>
              <w:t>。</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b/>
                <w:bCs/>
              </w:rPr>
            </w:pPr>
            <w:r>
              <w:rPr>
                <w:b/>
                <w:bCs/>
              </w:rPr>
              <w:t>表</w:t>
            </w:r>
            <w:r>
              <w:rPr>
                <w:rFonts w:hint="eastAsia"/>
                <w:b/>
                <w:bCs/>
              </w:rPr>
              <w:t>3</w:t>
            </w:r>
            <w:r>
              <w:rPr>
                <w:rFonts w:hint="eastAsia"/>
                <w:b/>
                <w:bCs/>
                <w:lang w:val="en-US" w:eastAsia="zh-CN"/>
              </w:rPr>
              <w:t>-5</w:t>
            </w:r>
            <w:r>
              <w:rPr>
                <w:b/>
                <w:bCs/>
              </w:rPr>
              <w:t xml:space="preserve"> 主要环境保护目标</w:t>
            </w:r>
            <w:r>
              <w:rPr>
                <w:rFonts w:hint="eastAsia"/>
                <w:b/>
                <w:bCs/>
              </w:rPr>
              <w:t>一览表</w:t>
            </w:r>
          </w:p>
          <w:tbl>
            <w:tblPr>
              <w:tblStyle w:val="33"/>
              <w:tblW w:w="850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77"/>
              <w:gridCol w:w="977"/>
              <w:gridCol w:w="1225"/>
              <w:gridCol w:w="1111"/>
              <w:gridCol w:w="702"/>
              <w:gridCol w:w="746"/>
              <w:gridCol w:w="1613"/>
              <w:gridCol w:w="680"/>
              <w:gridCol w:w="77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677" w:type="dxa"/>
                  <w:vMerge w:val="restart"/>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环境要素</w:t>
                  </w:r>
                </w:p>
              </w:tc>
              <w:tc>
                <w:tcPr>
                  <w:tcW w:w="977" w:type="dxa"/>
                  <w:vMerge w:val="restart"/>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名称</w:t>
                  </w:r>
                </w:p>
              </w:tc>
              <w:tc>
                <w:tcPr>
                  <w:tcW w:w="2336" w:type="dxa"/>
                  <w:gridSpan w:val="2"/>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坐标</w:t>
                  </w:r>
                </w:p>
              </w:tc>
              <w:tc>
                <w:tcPr>
                  <w:tcW w:w="702" w:type="dxa"/>
                  <w:vMerge w:val="restart"/>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保护对象</w:t>
                  </w:r>
                </w:p>
              </w:tc>
              <w:tc>
                <w:tcPr>
                  <w:tcW w:w="746" w:type="dxa"/>
                  <w:vMerge w:val="restart"/>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保护内容</w:t>
                  </w:r>
                </w:p>
              </w:tc>
              <w:tc>
                <w:tcPr>
                  <w:tcW w:w="1613" w:type="dxa"/>
                  <w:vMerge w:val="restart"/>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环境功能区</w:t>
                  </w:r>
                </w:p>
              </w:tc>
              <w:tc>
                <w:tcPr>
                  <w:tcW w:w="680" w:type="dxa"/>
                  <w:vMerge w:val="restart"/>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相对厂址方位</w:t>
                  </w:r>
                </w:p>
              </w:tc>
              <w:tc>
                <w:tcPr>
                  <w:tcW w:w="773" w:type="dxa"/>
                  <w:vMerge w:val="restart"/>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相对距离/m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677"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977" w:type="dxa"/>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1225" w:type="dxa"/>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经度/°</w:t>
                  </w:r>
                </w:p>
              </w:tc>
              <w:tc>
                <w:tcPr>
                  <w:tcW w:w="1111" w:type="dxa"/>
                  <w:tcBorders>
                    <w:tl2br w:val="nil"/>
                    <w:tr2bl w:val="nil"/>
                  </w:tcBorders>
                  <w:shd w:val="clear" w:color="000000" w:fill="FFFFFF"/>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纬度/°</w:t>
                  </w:r>
                </w:p>
              </w:tc>
              <w:tc>
                <w:tcPr>
                  <w:tcW w:w="702"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74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161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6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7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restart"/>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bookmarkStart w:id="97" w:name="_Hlk8304602"/>
                  <w:r>
                    <w:rPr>
                      <w:rFonts w:hint="default" w:ascii="Times New Roman" w:hAnsi="Times New Roman" w:eastAsia="宋体" w:cs="Times New Roman"/>
                      <w:color w:val="000000"/>
                      <w:sz w:val="21"/>
                      <w:szCs w:val="21"/>
                      <w:lang w:eastAsia="zh-CN"/>
                    </w:rPr>
                    <w:t>环境空气</w:t>
                  </w: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夏寨村</w:t>
                  </w:r>
                </w:p>
              </w:tc>
              <w:tc>
                <w:tcPr>
                  <w:tcW w:w="1225" w:type="dxa"/>
                  <w:tcBorders>
                    <w:tl2br w:val="nil"/>
                    <w:tr2bl w:val="nil"/>
                  </w:tcBorders>
                  <w:shd w:val="clear" w:color="000000" w:fill="FFFFFF"/>
                  <w:noWrap w:val="0"/>
                  <w:vAlign w:val="center"/>
                </w:tcPr>
                <w:p>
                  <w:pPr>
                    <w:keepNext w:val="0"/>
                    <w:keepLines w:val="0"/>
                    <w:pageBreakBefore w:val="0"/>
                    <w:kinsoku/>
                    <w:wordWrap/>
                    <w:overflowPunct/>
                    <w:topLinePunct w:val="0"/>
                    <w:autoSpaceDE/>
                    <w:autoSpaceDN/>
                    <w:bidi w:val="0"/>
                    <w:adjustRightInd w:val="0"/>
                    <w:snapToGrid w:val="0"/>
                    <w:ind w:firstLine="0" w:firstLine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109.120533</w:t>
                  </w:r>
                </w:p>
              </w:tc>
              <w:tc>
                <w:tcPr>
                  <w:tcW w:w="1111"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sz w:val="21"/>
                      <w:szCs w:val="21"/>
                    </w:rPr>
                    <w:t>34.201463</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restart"/>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人群健康 和环境空 气质量</w:t>
                  </w:r>
                </w:p>
              </w:tc>
              <w:tc>
                <w:tcPr>
                  <w:tcW w:w="1613" w:type="dxa"/>
                  <w:vMerge w:val="restart"/>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《环境空气质量标准》（GB3095-2012）二级标准</w:t>
                  </w: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北</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张洪寨村</w:t>
                  </w:r>
                </w:p>
              </w:tc>
              <w:tc>
                <w:tcPr>
                  <w:tcW w:w="1225"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sz w:val="21"/>
                      <w:szCs w:val="21"/>
                    </w:rPr>
                    <w:t>109.127056</w:t>
                  </w:r>
                </w:p>
              </w:tc>
              <w:tc>
                <w:tcPr>
                  <w:tcW w:w="1111"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sz w:val="21"/>
                      <w:szCs w:val="21"/>
                    </w:rPr>
                    <w:t>34.199876</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1613"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东</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狄寨村</w:t>
                  </w:r>
                </w:p>
              </w:tc>
              <w:tc>
                <w:tcPr>
                  <w:tcW w:w="1225"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sz w:val="21"/>
                      <w:szCs w:val="21"/>
                    </w:rPr>
                    <w:t>109.117776</w:t>
                  </w:r>
                </w:p>
              </w:tc>
              <w:tc>
                <w:tcPr>
                  <w:tcW w:w="1111"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sz w:val="21"/>
                      <w:szCs w:val="21"/>
                    </w:rPr>
                    <w:t>34.207096</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1613"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北</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680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五一村</w:t>
                  </w:r>
                </w:p>
              </w:tc>
              <w:tc>
                <w:tcPr>
                  <w:tcW w:w="1225"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109.131491</w:t>
                  </w:r>
                </w:p>
              </w:tc>
              <w:tc>
                <w:tcPr>
                  <w:tcW w:w="1111"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34.210581</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1613"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东北</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1400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北塘村</w:t>
                  </w:r>
                </w:p>
              </w:tc>
              <w:tc>
                <w:tcPr>
                  <w:tcW w:w="1225"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109.131448</w:t>
                  </w:r>
                </w:p>
              </w:tc>
              <w:tc>
                <w:tcPr>
                  <w:tcW w:w="1111"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34.190067</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1613"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1500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塘村</w:t>
                  </w:r>
                </w:p>
              </w:tc>
              <w:tc>
                <w:tcPr>
                  <w:tcW w:w="1225"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109.125526</w:t>
                  </w:r>
                </w:p>
              </w:tc>
              <w:tc>
                <w:tcPr>
                  <w:tcW w:w="1111"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34.190496</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1613"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东南</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西塘村</w:t>
                  </w:r>
                </w:p>
              </w:tc>
              <w:tc>
                <w:tcPr>
                  <w:tcW w:w="1225"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109.123080</w:t>
                  </w:r>
                </w:p>
              </w:tc>
              <w:tc>
                <w:tcPr>
                  <w:tcW w:w="1111"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34.187878</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1613"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南</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1300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eastAsia="zh-CN"/>
                    </w:rPr>
                    <w:t>车村</w:t>
                  </w:r>
                </w:p>
              </w:tc>
              <w:tc>
                <w:tcPr>
                  <w:tcW w:w="1225" w:type="dxa"/>
                  <w:tcBorders>
                    <w:tl2br w:val="nil"/>
                    <w:tr2bl w:val="nil"/>
                  </w:tcBorders>
                  <w:shd w:val="clear" w:color="000000" w:fill="FFFFFF"/>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109.107373</w:t>
                  </w:r>
                </w:p>
              </w:tc>
              <w:tc>
                <w:tcPr>
                  <w:tcW w:w="1111" w:type="dxa"/>
                  <w:tcBorders>
                    <w:tl2br w:val="nil"/>
                    <w:tr2bl w:val="nil"/>
                  </w:tcBorders>
                  <w:shd w:val="clear" w:color="000000" w:fill="FFFFFF"/>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34.194745</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1613" w:type="dxa"/>
                  <w:vMerge w:val="continue"/>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西南</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小康村</w:t>
                  </w:r>
                </w:p>
              </w:tc>
              <w:tc>
                <w:tcPr>
                  <w:tcW w:w="1225" w:type="dxa"/>
                  <w:tcBorders>
                    <w:tl2br w:val="nil"/>
                    <w:tr2bl w:val="nil"/>
                  </w:tcBorders>
                  <w:shd w:val="clear" w:color="000000" w:fill="FFFFFF"/>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109.106944</w:t>
                  </w:r>
                </w:p>
              </w:tc>
              <w:tc>
                <w:tcPr>
                  <w:tcW w:w="1111" w:type="dxa"/>
                  <w:tcBorders>
                    <w:tl2br w:val="nil"/>
                    <w:tr2bl w:val="nil"/>
                  </w:tcBorders>
                  <w:shd w:val="clear" w:color="000000" w:fill="FFFFFF"/>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34.209057</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161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西</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南寨村</w:t>
                  </w:r>
                </w:p>
              </w:tc>
              <w:tc>
                <w:tcPr>
                  <w:tcW w:w="1225" w:type="dxa"/>
                  <w:tcBorders>
                    <w:tl2br w:val="nil"/>
                    <w:tr2bl w:val="nil"/>
                  </w:tcBorders>
                  <w:shd w:val="clear" w:color="000000" w:fill="FFFFFF"/>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109.101236</w:t>
                  </w:r>
                </w:p>
              </w:tc>
              <w:tc>
                <w:tcPr>
                  <w:tcW w:w="1111" w:type="dxa"/>
                  <w:tcBorders>
                    <w:tl2br w:val="nil"/>
                    <w:tr2bl w:val="nil"/>
                  </w:tcBorders>
                  <w:shd w:val="clear" w:color="000000" w:fill="FFFFFF"/>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34.204229</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161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西</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1600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vMerge w:val="continue"/>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南大康村</w:t>
                  </w:r>
                </w:p>
              </w:tc>
              <w:tc>
                <w:tcPr>
                  <w:tcW w:w="1225" w:type="dxa"/>
                  <w:tcBorders>
                    <w:tl2br w:val="nil"/>
                    <w:tr2bl w:val="nil"/>
                  </w:tcBorders>
                  <w:shd w:val="clear" w:color="000000" w:fill="FFFFFF"/>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109.099004</w:t>
                  </w:r>
                </w:p>
              </w:tc>
              <w:tc>
                <w:tcPr>
                  <w:tcW w:w="1111" w:type="dxa"/>
                  <w:tcBorders>
                    <w:tl2br w:val="nil"/>
                    <w:tr2bl w:val="nil"/>
                  </w:tcBorders>
                  <w:shd w:val="clear" w:color="000000" w:fill="FFFFFF"/>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34.207662</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村庄</w:t>
                  </w:r>
                </w:p>
              </w:tc>
              <w:tc>
                <w:tcPr>
                  <w:tcW w:w="74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161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color w:val="000000"/>
                      <w:kern w:val="0"/>
                      <w:sz w:val="21"/>
                      <w:szCs w:val="21"/>
                    </w:rPr>
                  </w:pP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西</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6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声环境</w:t>
                  </w:r>
                </w:p>
              </w:tc>
              <w:tc>
                <w:tcPr>
                  <w:tcW w:w="977" w:type="dxa"/>
                  <w:tcBorders>
                    <w:tl2br w:val="nil"/>
                    <w:tr2bl w:val="nil"/>
                  </w:tcBorders>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夏寨村</w:t>
                  </w:r>
                </w:p>
              </w:tc>
              <w:tc>
                <w:tcPr>
                  <w:tcW w:w="1225" w:type="dxa"/>
                  <w:tcBorders>
                    <w:tl2br w:val="nil"/>
                    <w:tr2bl w:val="nil"/>
                  </w:tcBorders>
                  <w:shd w:val="clear" w:color="000000" w:fill="FFFFFF"/>
                  <w:noWrap w:val="0"/>
                  <w:vAlign w:val="center"/>
                </w:tcPr>
                <w:p>
                  <w:pPr>
                    <w:keepNext w:val="0"/>
                    <w:keepLines w:val="0"/>
                    <w:pageBreakBefore w:val="0"/>
                    <w:kinsoku/>
                    <w:wordWrap/>
                    <w:overflowPunct/>
                    <w:topLinePunct w:val="0"/>
                    <w:autoSpaceDE/>
                    <w:autoSpaceDN/>
                    <w:bidi w:val="0"/>
                    <w:adjustRightInd w:val="0"/>
                    <w:snapToGrid w:val="0"/>
                    <w:ind w:firstLine="0" w:firstLine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109.120533</w:t>
                  </w:r>
                </w:p>
              </w:tc>
              <w:tc>
                <w:tcPr>
                  <w:tcW w:w="1111" w:type="dxa"/>
                  <w:tcBorders>
                    <w:tl2br w:val="nil"/>
                    <w:tr2bl w:val="nil"/>
                  </w:tcBorders>
                  <w:shd w:val="clear" w:color="000000" w:fill="FFFFFF"/>
                  <w:noWrap w:val="0"/>
                  <w:vAlign w:val="center"/>
                </w:tcPr>
                <w:p>
                  <w:pPr>
                    <w:pStyle w:val="245"/>
                    <w:keepNext w:val="0"/>
                    <w:keepLines w:val="0"/>
                    <w:pageBreakBefore w:val="0"/>
                    <w:kinsoku/>
                    <w:wordWrap/>
                    <w:overflowPunct/>
                    <w:topLinePunct w:val="0"/>
                    <w:autoSpaceDE/>
                    <w:autoSpaceDN/>
                    <w:bidi w:val="0"/>
                    <w:snapToGrid w:val="0"/>
                    <w:spacing w:line="240" w:lineRule="auto"/>
                    <w:ind w:firstLine="0" w:firstLineChars="0"/>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sz w:val="21"/>
                      <w:szCs w:val="21"/>
                    </w:rPr>
                    <w:t>34.201463</w:t>
                  </w:r>
                </w:p>
              </w:tc>
              <w:tc>
                <w:tcPr>
                  <w:tcW w:w="702"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村庄</w:t>
                  </w:r>
                </w:p>
              </w:tc>
              <w:tc>
                <w:tcPr>
                  <w:tcW w:w="746" w:type="dxa"/>
                  <w:tcBorders>
                    <w:tl2br w:val="nil"/>
                    <w:tr2bl w:val="nil"/>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sz w:val="21"/>
                      <w:szCs w:val="21"/>
                    </w:rPr>
                    <w:t>人群健康</w:t>
                  </w:r>
                </w:p>
              </w:tc>
              <w:tc>
                <w:tcPr>
                  <w:tcW w:w="161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sz w:val="21"/>
                      <w:szCs w:val="21"/>
                    </w:rPr>
                    <w:t>《声环境质量标准》（GB3096-2008）2类标准</w:t>
                  </w:r>
                </w:p>
              </w:tc>
              <w:tc>
                <w:tcPr>
                  <w:tcW w:w="680"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NE</w:t>
                  </w:r>
                </w:p>
              </w:tc>
              <w:tc>
                <w:tcPr>
                  <w:tcW w:w="773" w:type="dxa"/>
                  <w:tcBorders>
                    <w:tl2br w:val="nil"/>
                    <w:tr2bl w:val="nil"/>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120</w:t>
                  </w:r>
                </w:p>
              </w:tc>
            </w:tr>
            <w:bookmarkEnd w:id="97"/>
          </w:tbl>
          <w:p>
            <w:pPr>
              <w:pStyle w:val="3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pPr>
          </w:p>
        </w:tc>
      </w:tr>
    </w:tbl>
    <w:p>
      <w:pPr>
        <w:spacing w:line="240" w:lineRule="auto"/>
        <w:ind w:firstLine="0" w:firstLineChars="0"/>
        <w:jc w:val="left"/>
        <w:outlineLvl w:val="0"/>
        <w:rPr>
          <w:rFonts w:hint="eastAsia" w:ascii="Times New Roman" w:hAnsi="Times New Roman" w:eastAsia="黑体" w:cs="Times New Roman"/>
          <w:sz w:val="32"/>
        </w:rPr>
      </w:pPr>
    </w:p>
    <w:p>
      <w:pPr>
        <w:spacing w:line="240" w:lineRule="auto"/>
        <w:ind w:firstLine="0" w:firstLineChars="0"/>
        <w:jc w:val="left"/>
        <w:outlineLvl w:val="0"/>
        <w:rPr>
          <w:rFonts w:hint="eastAsia" w:ascii="Times New Roman" w:hAnsi="Times New Roman" w:eastAsia="黑体" w:cs="Times New Roman"/>
          <w:sz w:val="32"/>
        </w:rPr>
      </w:pPr>
      <w:r>
        <w:rPr>
          <w:rFonts w:hint="eastAsia" w:ascii="Times New Roman" w:hAnsi="Times New Roman" w:eastAsia="黑体" w:cs="Times New Roman"/>
          <w:sz w:val="32"/>
        </w:rPr>
        <w:t>四、评价适用标准</w:t>
      </w:r>
    </w:p>
    <w:tbl>
      <w:tblPr>
        <w:tblStyle w:val="33"/>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5"/>
        <w:gridCol w:w="8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21" w:hRule="atLeast"/>
          <w:jc w:val="center"/>
        </w:trPr>
        <w:tc>
          <w:tcPr>
            <w:tcW w:w="455" w:type="dxa"/>
            <w:tcBorders>
              <w:top w:val="single" w:color="auto" w:sz="12" w:space="0"/>
            </w:tcBorders>
            <w:vAlign w:val="center"/>
          </w:tcPr>
          <w:p>
            <w:pPr>
              <w:autoSpaceDE w:val="0"/>
              <w:autoSpaceDN w:val="0"/>
              <w:spacing w:line="480" w:lineRule="exact"/>
              <w:ind w:firstLine="0" w:firstLineChars="0"/>
              <w:jc w:val="center"/>
              <w:rPr>
                <w:rFonts w:eastAsia="黑体"/>
                <w:bCs/>
                <w:sz w:val="28"/>
                <w:szCs w:val="28"/>
              </w:rPr>
            </w:pPr>
            <w:r>
              <w:rPr>
                <w:rFonts w:eastAsia="黑体"/>
                <w:bCs/>
                <w:sz w:val="28"/>
                <w:szCs w:val="28"/>
              </w:rPr>
              <w:t>环境质量标准</w:t>
            </w:r>
          </w:p>
        </w:tc>
        <w:tc>
          <w:tcPr>
            <w:tcW w:w="8899" w:type="dxa"/>
            <w:vMerge w:val="restart"/>
            <w:tcBorders>
              <w:top w:val="single" w:color="auto" w:sz="12" w:space="0"/>
            </w:tcBorders>
          </w:tcPr>
          <w:p>
            <w:pPr>
              <w:adjustRightInd w:val="0"/>
              <w:snapToGrid w:val="0"/>
              <w:spacing w:line="40" w:lineRule="exact"/>
              <w:ind w:firstLine="0" w:firstLineChars="0"/>
            </w:pPr>
          </w:p>
          <w:p>
            <w:pPr>
              <w:ind w:left="0" w:leftChars="0" w:firstLine="0" w:firstLineChars="0"/>
              <w:rPr>
                <w:rFonts w:hint="default"/>
                <w:b/>
                <w:bCs/>
                <w:lang w:val="en-US" w:eastAsia="zh-CN"/>
              </w:rPr>
            </w:pPr>
            <w:r>
              <w:rPr>
                <w:rFonts w:hint="eastAsia"/>
                <w:b/>
                <w:bCs/>
                <w:lang w:val="en-US" w:eastAsia="zh-CN"/>
              </w:rPr>
              <w:t>1、环境空气质量</w:t>
            </w:r>
          </w:p>
          <w:p>
            <w:pPr>
              <w:ind w:firstLine="480"/>
              <w:rPr>
                <w:rFonts w:hint="default" w:ascii="Times New Roman" w:hAnsi="Times New Roman" w:eastAsia="宋体" w:cs="Times New Roman"/>
              </w:rPr>
            </w:pPr>
            <w:r>
              <w:rPr>
                <w:rFonts w:hint="default" w:ascii="Times New Roman" w:hAnsi="Times New Roman" w:eastAsia="宋体" w:cs="Times New Roman"/>
                <w:sz w:val="24"/>
              </w:rPr>
              <w:t>环境空气质量执行《环境空气质量标准》(GB3095-2012)中二级标准</w:t>
            </w:r>
            <w:r>
              <w:rPr>
                <w:rFonts w:hint="default" w:ascii="Times New Roman" w:hAnsi="Times New Roman" w:eastAsia="宋体" w:cs="Times New Roman"/>
              </w:rPr>
              <w:t>；非甲烷总烃参照执行《大气污染物综合排放标准详解》中相关限值，见表4-1。</w:t>
            </w:r>
          </w:p>
          <w:p>
            <w:pPr>
              <w:spacing w:line="240" w:lineRule="auto"/>
              <w:ind w:firstLine="482"/>
              <w:jc w:val="center"/>
            </w:pPr>
            <w:r>
              <w:rPr>
                <w:b/>
                <w:bCs/>
                <w:szCs w:val="20"/>
              </w:rPr>
              <w:t>表</w:t>
            </w:r>
            <w:r>
              <w:rPr>
                <w:rFonts w:hint="eastAsia"/>
                <w:b/>
                <w:bCs/>
                <w:szCs w:val="20"/>
              </w:rPr>
              <w:t xml:space="preserve">4-1 </w:t>
            </w:r>
            <w:r>
              <w:rPr>
                <w:b/>
                <w:bCs/>
                <w:szCs w:val="20"/>
              </w:rPr>
              <w:t>环境空气质量标准</w:t>
            </w:r>
            <w:bookmarkStart w:id="98" w:name="_Toc15753_WPSOffice_Level2"/>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2247"/>
              <w:gridCol w:w="1377"/>
              <w:gridCol w:w="1125"/>
              <w:gridCol w:w="21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tcBorders>
                    <w:tl2br w:val="nil"/>
                    <w:tr2bl w:val="nil"/>
                  </w:tcBorders>
                  <w:vAlign w:val="center"/>
                </w:tcPr>
                <w:p>
                  <w:pPr>
                    <w:pStyle w:val="208"/>
                    <w:spacing w:line="280" w:lineRule="exact"/>
                  </w:pPr>
                  <w:r>
                    <w:t>污染物</w:t>
                  </w:r>
                </w:p>
              </w:tc>
              <w:tc>
                <w:tcPr>
                  <w:tcW w:w="2247" w:type="dxa"/>
                  <w:tcBorders>
                    <w:tl2br w:val="nil"/>
                    <w:tr2bl w:val="nil"/>
                  </w:tcBorders>
                  <w:vAlign w:val="center"/>
                </w:tcPr>
                <w:p>
                  <w:pPr>
                    <w:pStyle w:val="208"/>
                    <w:spacing w:line="280" w:lineRule="exact"/>
                  </w:pPr>
                  <w:r>
                    <w:t>取值时间</w:t>
                  </w:r>
                </w:p>
              </w:tc>
              <w:tc>
                <w:tcPr>
                  <w:tcW w:w="1377" w:type="dxa"/>
                  <w:tcBorders>
                    <w:tl2br w:val="nil"/>
                    <w:tr2bl w:val="nil"/>
                  </w:tcBorders>
                  <w:vAlign w:val="center"/>
                </w:tcPr>
                <w:p>
                  <w:pPr>
                    <w:pStyle w:val="208"/>
                    <w:spacing w:line="280" w:lineRule="exact"/>
                  </w:pPr>
                  <w:r>
                    <w:t>浓度限值</w:t>
                  </w:r>
                </w:p>
              </w:tc>
              <w:tc>
                <w:tcPr>
                  <w:tcW w:w="1125" w:type="dxa"/>
                  <w:tcBorders>
                    <w:tl2br w:val="nil"/>
                    <w:tr2bl w:val="nil"/>
                  </w:tcBorders>
                  <w:vAlign w:val="center"/>
                </w:tcPr>
                <w:p>
                  <w:pPr>
                    <w:pStyle w:val="208"/>
                    <w:spacing w:line="280" w:lineRule="exact"/>
                  </w:pPr>
                  <w:r>
                    <w:t>单位</w:t>
                  </w:r>
                </w:p>
              </w:tc>
              <w:tc>
                <w:tcPr>
                  <w:tcW w:w="2199" w:type="dxa"/>
                  <w:tcBorders>
                    <w:tl2br w:val="nil"/>
                    <w:tr2bl w:val="nil"/>
                  </w:tcBorders>
                  <w:vAlign w:val="center"/>
                </w:tcPr>
                <w:p>
                  <w:pPr>
                    <w:pStyle w:val="208"/>
                    <w:spacing w:line="280" w:lineRule="exact"/>
                  </w:pPr>
                  <w: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restart"/>
                  <w:tcBorders>
                    <w:tl2br w:val="nil"/>
                    <w:tr2bl w:val="nil"/>
                  </w:tcBorders>
                  <w:vAlign w:val="center"/>
                </w:tcPr>
                <w:p>
                  <w:pPr>
                    <w:pStyle w:val="208"/>
                    <w:spacing w:line="280" w:lineRule="exact"/>
                  </w:pPr>
                  <w:r>
                    <w:t>SO</w:t>
                  </w:r>
                  <w:r>
                    <w:rPr>
                      <w:vertAlign w:val="subscript"/>
                    </w:rPr>
                    <w:t>2</w:t>
                  </w:r>
                </w:p>
              </w:tc>
              <w:tc>
                <w:tcPr>
                  <w:tcW w:w="2247" w:type="dxa"/>
                  <w:tcBorders>
                    <w:tl2br w:val="nil"/>
                    <w:tr2bl w:val="nil"/>
                  </w:tcBorders>
                  <w:vAlign w:val="center"/>
                </w:tcPr>
                <w:p>
                  <w:pPr>
                    <w:pStyle w:val="208"/>
                    <w:spacing w:line="280" w:lineRule="exact"/>
                  </w:pPr>
                  <w:r>
                    <w:t>年平均</w:t>
                  </w:r>
                </w:p>
              </w:tc>
              <w:tc>
                <w:tcPr>
                  <w:tcW w:w="1377" w:type="dxa"/>
                  <w:tcBorders>
                    <w:tl2br w:val="nil"/>
                    <w:tr2bl w:val="nil"/>
                  </w:tcBorders>
                  <w:vAlign w:val="center"/>
                </w:tcPr>
                <w:p>
                  <w:pPr>
                    <w:pStyle w:val="208"/>
                    <w:spacing w:line="280" w:lineRule="exact"/>
                  </w:pPr>
                  <w:r>
                    <w:t>60</w:t>
                  </w:r>
                </w:p>
              </w:tc>
              <w:tc>
                <w:tcPr>
                  <w:tcW w:w="1125" w:type="dxa"/>
                  <w:vMerge w:val="restart"/>
                  <w:tcBorders>
                    <w:tl2br w:val="nil"/>
                    <w:tr2bl w:val="nil"/>
                  </w:tcBorders>
                  <w:vAlign w:val="center"/>
                </w:tcPr>
                <w:p>
                  <w:pPr>
                    <w:pStyle w:val="208"/>
                    <w:spacing w:line="280" w:lineRule="exact"/>
                  </w:pPr>
                  <w:r>
                    <w:t>µg/m</w:t>
                  </w:r>
                  <w:r>
                    <w:rPr>
                      <w:vertAlign w:val="superscript"/>
                    </w:rPr>
                    <w:t>3</w:t>
                  </w:r>
                </w:p>
              </w:tc>
              <w:tc>
                <w:tcPr>
                  <w:tcW w:w="2199" w:type="dxa"/>
                  <w:vMerge w:val="restart"/>
                  <w:tcBorders>
                    <w:tl2br w:val="nil"/>
                    <w:tr2bl w:val="nil"/>
                  </w:tcBorders>
                  <w:vAlign w:val="center"/>
                </w:tcPr>
                <w:p>
                  <w:pPr>
                    <w:pStyle w:val="208"/>
                    <w:spacing w:line="280" w:lineRule="exact"/>
                  </w:pPr>
                  <w:r>
                    <w:t>《环境空气质量标准》（GB3095-2012）二级标准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continue"/>
                  <w:tcBorders>
                    <w:tl2br w:val="nil"/>
                    <w:tr2bl w:val="nil"/>
                  </w:tcBorders>
                  <w:vAlign w:val="center"/>
                </w:tcPr>
                <w:p>
                  <w:pPr>
                    <w:pStyle w:val="208"/>
                    <w:spacing w:line="280" w:lineRule="exact"/>
                  </w:pPr>
                </w:p>
              </w:tc>
              <w:tc>
                <w:tcPr>
                  <w:tcW w:w="2247" w:type="dxa"/>
                  <w:tcBorders>
                    <w:tl2br w:val="nil"/>
                    <w:tr2bl w:val="nil"/>
                  </w:tcBorders>
                  <w:vAlign w:val="center"/>
                </w:tcPr>
                <w:p>
                  <w:pPr>
                    <w:pStyle w:val="208"/>
                    <w:spacing w:line="280" w:lineRule="exact"/>
                  </w:pPr>
                  <w:r>
                    <w:t>24小时均值</w:t>
                  </w:r>
                </w:p>
              </w:tc>
              <w:tc>
                <w:tcPr>
                  <w:tcW w:w="1377" w:type="dxa"/>
                  <w:tcBorders>
                    <w:tl2br w:val="nil"/>
                    <w:tr2bl w:val="nil"/>
                  </w:tcBorders>
                  <w:vAlign w:val="center"/>
                </w:tcPr>
                <w:p>
                  <w:pPr>
                    <w:pStyle w:val="208"/>
                    <w:spacing w:line="280" w:lineRule="exact"/>
                  </w:pPr>
                  <w:r>
                    <w:t>150</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continue"/>
                  <w:tcBorders>
                    <w:tl2br w:val="nil"/>
                    <w:tr2bl w:val="nil"/>
                  </w:tcBorders>
                  <w:vAlign w:val="center"/>
                </w:tcPr>
                <w:p>
                  <w:pPr>
                    <w:pStyle w:val="208"/>
                    <w:spacing w:line="280" w:lineRule="exact"/>
                  </w:pPr>
                </w:p>
              </w:tc>
              <w:tc>
                <w:tcPr>
                  <w:tcW w:w="2247" w:type="dxa"/>
                  <w:tcBorders>
                    <w:tl2br w:val="nil"/>
                    <w:tr2bl w:val="nil"/>
                  </w:tcBorders>
                  <w:vAlign w:val="center"/>
                </w:tcPr>
                <w:p>
                  <w:pPr>
                    <w:pStyle w:val="208"/>
                    <w:spacing w:line="280" w:lineRule="exact"/>
                  </w:pPr>
                  <w:r>
                    <w:t>1小时均值</w:t>
                  </w:r>
                </w:p>
              </w:tc>
              <w:tc>
                <w:tcPr>
                  <w:tcW w:w="1377" w:type="dxa"/>
                  <w:tcBorders>
                    <w:tl2br w:val="nil"/>
                    <w:tr2bl w:val="nil"/>
                  </w:tcBorders>
                  <w:vAlign w:val="center"/>
                </w:tcPr>
                <w:p>
                  <w:pPr>
                    <w:pStyle w:val="208"/>
                    <w:spacing w:line="280" w:lineRule="exact"/>
                  </w:pPr>
                  <w:r>
                    <w:t>500</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restart"/>
                  <w:tcBorders>
                    <w:tl2br w:val="nil"/>
                    <w:tr2bl w:val="nil"/>
                  </w:tcBorders>
                  <w:vAlign w:val="center"/>
                </w:tcPr>
                <w:p>
                  <w:pPr>
                    <w:pStyle w:val="208"/>
                    <w:spacing w:line="280" w:lineRule="exact"/>
                  </w:pPr>
                  <w:r>
                    <w:t>PM</w:t>
                  </w:r>
                  <w:r>
                    <w:rPr>
                      <w:vertAlign w:val="subscript"/>
                    </w:rPr>
                    <w:t>10</w:t>
                  </w:r>
                </w:p>
              </w:tc>
              <w:tc>
                <w:tcPr>
                  <w:tcW w:w="2247" w:type="dxa"/>
                  <w:tcBorders>
                    <w:tl2br w:val="nil"/>
                    <w:tr2bl w:val="nil"/>
                  </w:tcBorders>
                  <w:vAlign w:val="center"/>
                </w:tcPr>
                <w:p>
                  <w:pPr>
                    <w:pStyle w:val="208"/>
                    <w:spacing w:line="280" w:lineRule="exact"/>
                  </w:pPr>
                  <w:r>
                    <w:t>年平均</w:t>
                  </w:r>
                </w:p>
              </w:tc>
              <w:tc>
                <w:tcPr>
                  <w:tcW w:w="1377" w:type="dxa"/>
                  <w:tcBorders>
                    <w:tl2br w:val="nil"/>
                    <w:tr2bl w:val="nil"/>
                  </w:tcBorders>
                  <w:vAlign w:val="center"/>
                </w:tcPr>
                <w:p>
                  <w:pPr>
                    <w:pStyle w:val="208"/>
                    <w:spacing w:line="280" w:lineRule="exact"/>
                  </w:pPr>
                  <w:r>
                    <w:t>70</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continue"/>
                  <w:tcBorders>
                    <w:tl2br w:val="nil"/>
                    <w:tr2bl w:val="nil"/>
                  </w:tcBorders>
                  <w:vAlign w:val="center"/>
                </w:tcPr>
                <w:p>
                  <w:pPr>
                    <w:pStyle w:val="208"/>
                    <w:spacing w:line="280" w:lineRule="exact"/>
                  </w:pPr>
                </w:p>
              </w:tc>
              <w:tc>
                <w:tcPr>
                  <w:tcW w:w="2247" w:type="dxa"/>
                  <w:tcBorders>
                    <w:tl2br w:val="nil"/>
                    <w:tr2bl w:val="nil"/>
                  </w:tcBorders>
                  <w:vAlign w:val="center"/>
                </w:tcPr>
                <w:p>
                  <w:pPr>
                    <w:pStyle w:val="208"/>
                    <w:spacing w:line="280" w:lineRule="exact"/>
                  </w:pPr>
                  <w:r>
                    <w:t>24小时均值</w:t>
                  </w:r>
                </w:p>
              </w:tc>
              <w:tc>
                <w:tcPr>
                  <w:tcW w:w="1377" w:type="dxa"/>
                  <w:tcBorders>
                    <w:tl2br w:val="nil"/>
                    <w:tr2bl w:val="nil"/>
                  </w:tcBorders>
                  <w:vAlign w:val="center"/>
                </w:tcPr>
                <w:p>
                  <w:pPr>
                    <w:pStyle w:val="208"/>
                    <w:spacing w:line="280" w:lineRule="exact"/>
                  </w:pPr>
                  <w:r>
                    <w:t>150</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restart"/>
                  <w:tcBorders>
                    <w:tl2br w:val="nil"/>
                    <w:tr2bl w:val="nil"/>
                  </w:tcBorders>
                  <w:vAlign w:val="center"/>
                </w:tcPr>
                <w:p>
                  <w:pPr>
                    <w:pStyle w:val="208"/>
                    <w:spacing w:line="280" w:lineRule="exact"/>
                  </w:pPr>
                  <w:r>
                    <w:t>PM</w:t>
                  </w:r>
                  <w:r>
                    <w:rPr>
                      <w:vertAlign w:val="subscript"/>
                    </w:rPr>
                    <w:t>2.5</w:t>
                  </w:r>
                </w:p>
              </w:tc>
              <w:tc>
                <w:tcPr>
                  <w:tcW w:w="2247" w:type="dxa"/>
                  <w:tcBorders>
                    <w:tl2br w:val="nil"/>
                    <w:tr2bl w:val="nil"/>
                  </w:tcBorders>
                  <w:vAlign w:val="center"/>
                </w:tcPr>
                <w:p>
                  <w:pPr>
                    <w:pStyle w:val="208"/>
                    <w:spacing w:line="280" w:lineRule="exact"/>
                  </w:pPr>
                  <w:r>
                    <w:t>年平均</w:t>
                  </w:r>
                </w:p>
              </w:tc>
              <w:tc>
                <w:tcPr>
                  <w:tcW w:w="1377" w:type="dxa"/>
                  <w:tcBorders>
                    <w:tl2br w:val="nil"/>
                    <w:tr2bl w:val="nil"/>
                  </w:tcBorders>
                  <w:vAlign w:val="center"/>
                </w:tcPr>
                <w:p>
                  <w:pPr>
                    <w:pStyle w:val="208"/>
                    <w:spacing w:line="280" w:lineRule="exact"/>
                  </w:pPr>
                  <w:r>
                    <w:t>35</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continue"/>
                  <w:tcBorders>
                    <w:tl2br w:val="nil"/>
                    <w:tr2bl w:val="nil"/>
                  </w:tcBorders>
                  <w:vAlign w:val="center"/>
                </w:tcPr>
                <w:p>
                  <w:pPr>
                    <w:pStyle w:val="208"/>
                    <w:spacing w:line="280" w:lineRule="exact"/>
                  </w:pPr>
                </w:p>
              </w:tc>
              <w:tc>
                <w:tcPr>
                  <w:tcW w:w="2247" w:type="dxa"/>
                  <w:tcBorders>
                    <w:tl2br w:val="nil"/>
                    <w:tr2bl w:val="nil"/>
                  </w:tcBorders>
                  <w:vAlign w:val="center"/>
                </w:tcPr>
                <w:p>
                  <w:pPr>
                    <w:pStyle w:val="208"/>
                    <w:spacing w:line="280" w:lineRule="exact"/>
                  </w:pPr>
                  <w:r>
                    <w:t>24小时均值</w:t>
                  </w:r>
                </w:p>
              </w:tc>
              <w:tc>
                <w:tcPr>
                  <w:tcW w:w="1377" w:type="dxa"/>
                  <w:tcBorders>
                    <w:tl2br w:val="nil"/>
                    <w:tr2bl w:val="nil"/>
                  </w:tcBorders>
                  <w:vAlign w:val="center"/>
                </w:tcPr>
                <w:p>
                  <w:pPr>
                    <w:pStyle w:val="208"/>
                    <w:spacing w:line="280" w:lineRule="exact"/>
                  </w:pPr>
                  <w:r>
                    <w:t>75</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restart"/>
                  <w:tcBorders>
                    <w:tl2br w:val="nil"/>
                    <w:tr2bl w:val="nil"/>
                  </w:tcBorders>
                  <w:vAlign w:val="center"/>
                </w:tcPr>
                <w:p>
                  <w:pPr>
                    <w:pStyle w:val="208"/>
                    <w:spacing w:line="280" w:lineRule="exact"/>
                  </w:pPr>
                  <w:r>
                    <w:t>NO</w:t>
                  </w:r>
                  <w:r>
                    <w:rPr>
                      <w:vertAlign w:val="subscript"/>
                    </w:rPr>
                    <w:t>2</w:t>
                  </w:r>
                </w:p>
              </w:tc>
              <w:tc>
                <w:tcPr>
                  <w:tcW w:w="2247" w:type="dxa"/>
                  <w:tcBorders>
                    <w:tl2br w:val="nil"/>
                    <w:tr2bl w:val="nil"/>
                  </w:tcBorders>
                  <w:vAlign w:val="center"/>
                </w:tcPr>
                <w:p>
                  <w:pPr>
                    <w:pStyle w:val="208"/>
                    <w:spacing w:line="280" w:lineRule="exact"/>
                  </w:pPr>
                  <w:r>
                    <w:t>年平均</w:t>
                  </w:r>
                </w:p>
              </w:tc>
              <w:tc>
                <w:tcPr>
                  <w:tcW w:w="1377" w:type="dxa"/>
                  <w:tcBorders>
                    <w:tl2br w:val="nil"/>
                    <w:tr2bl w:val="nil"/>
                  </w:tcBorders>
                  <w:vAlign w:val="center"/>
                </w:tcPr>
                <w:p>
                  <w:pPr>
                    <w:pStyle w:val="208"/>
                    <w:spacing w:line="280" w:lineRule="exact"/>
                  </w:pPr>
                  <w:r>
                    <w:t>40</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continue"/>
                  <w:tcBorders>
                    <w:tl2br w:val="nil"/>
                    <w:tr2bl w:val="nil"/>
                  </w:tcBorders>
                  <w:vAlign w:val="center"/>
                </w:tcPr>
                <w:p>
                  <w:pPr>
                    <w:pStyle w:val="208"/>
                    <w:spacing w:line="280" w:lineRule="exact"/>
                  </w:pPr>
                </w:p>
              </w:tc>
              <w:tc>
                <w:tcPr>
                  <w:tcW w:w="2247" w:type="dxa"/>
                  <w:tcBorders>
                    <w:tl2br w:val="nil"/>
                    <w:tr2bl w:val="nil"/>
                  </w:tcBorders>
                  <w:vAlign w:val="center"/>
                </w:tcPr>
                <w:p>
                  <w:pPr>
                    <w:pStyle w:val="208"/>
                    <w:spacing w:line="280" w:lineRule="exact"/>
                  </w:pPr>
                  <w:r>
                    <w:t>24小时均值</w:t>
                  </w:r>
                </w:p>
              </w:tc>
              <w:tc>
                <w:tcPr>
                  <w:tcW w:w="1377" w:type="dxa"/>
                  <w:tcBorders>
                    <w:tl2br w:val="nil"/>
                    <w:tr2bl w:val="nil"/>
                  </w:tcBorders>
                  <w:vAlign w:val="center"/>
                </w:tcPr>
                <w:p>
                  <w:pPr>
                    <w:pStyle w:val="208"/>
                    <w:spacing w:line="280" w:lineRule="exact"/>
                  </w:pPr>
                  <w:r>
                    <w:t>80</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556" w:type="dxa"/>
                  <w:vMerge w:val="continue"/>
                  <w:tcBorders>
                    <w:tl2br w:val="nil"/>
                    <w:tr2bl w:val="nil"/>
                  </w:tcBorders>
                  <w:vAlign w:val="center"/>
                </w:tcPr>
                <w:p>
                  <w:pPr>
                    <w:pStyle w:val="208"/>
                    <w:spacing w:line="280" w:lineRule="exact"/>
                  </w:pPr>
                </w:p>
              </w:tc>
              <w:tc>
                <w:tcPr>
                  <w:tcW w:w="2247" w:type="dxa"/>
                  <w:tcBorders>
                    <w:tl2br w:val="nil"/>
                    <w:tr2bl w:val="nil"/>
                  </w:tcBorders>
                  <w:vAlign w:val="center"/>
                </w:tcPr>
                <w:p>
                  <w:pPr>
                    <w:pStyle w:val="208"/>
                    <w:spacing w:line="280" w:lineRule="exact"/>
                  </w:pPr>
                  <w:r>
                    <w:t>1小时均值</w:t>
                  </w:r>
                </w:p>
              </w:tc>
              <w:tc>
                <w:tcPr>
                  <w:tcW w:w="1377" w:type="dxa"/>
                  <w:tcBorders>
                    <w:tl2br w:val="nil"/>
                    <w:tr2bl w:val="nil"/>
                  </w:tcBorders>
                  <w:vAlign w:val="center"/>
                </w:tcPr>
                <w:p>
                  <w:pPr>
                    <w:pStyle w:val="208"/>
                    <w:spacing w:line="280" w:lineRule="exact"/>
                  </w:pPr>
                  <w:r>
                    <w:t>200</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556" w:type="dxa"/>
                  <w:vMerge w:val="restart"/>
                  <w:tcBorders>
                    <w:tl2br w:val="nil"/>
                    <w:tr2bl w:val="nil"/>
                  </w:tcBorders>
                  <w:vAlign w:val="center"/>
                </w:tcPr>
                <w:p>
                  <w:pPr>
                    <w:pStyle w:val="208"/>
                    <w:spacing w:line="280" w:lineRule="exact"/>
                  </w:pPr>
                  <w:r>
                    <w:rPr>
                      <w:rFonts w:hint="eastAsia"/>
                    </w:rPr>
                    <w:t>O</w:t>
                  </w:r>
                  <w:r>
                    <w:rPr>
                      <w:rFonts w:hint="eastAsia"/>
                      <w:vertAlign w:val="subscript"/>
                    </w:rPr>
                    <w:t>3</w:t>
                  </w:r>
                </w:p>
              </w:tc>
              <w:tc>
                <w:tcPr>
                  <w:tcW w:w="2247" w:type="dxa"/>
                  <w:tcBorders>
                    <w:tl2br w:val="nil"/>
                    <w:tr2bl w:val="nil"/>
                  </w:tcBorders>
                  <w:vAlign w:val="center"/>
                </w:tcPr>
                <w:p>
                  <w:pPr>
                    <w:pStyle w:val="208"/>
                    <w:spacing w:line="280" w:lineRule="exact"/>
                  </w:pPr>
                  <w:r>
                    <w:rPr>
                      <w:rFonts w:hint="eastAsia"/>
                    </w:rPr>
                    <w:t>日最大8</w:t>
                  </w:r>
                  <w:r>
                    <w:t>小时均值</w:t>
                  </w:r>
                </w:p>
              </w:tc>
              <w:tc>
                <w:tcPr>
                  <w:tcW w:w="1377" w:type="dxa"/>
                  <w:tcBorders>
                    <w:tl2br w:val="nil"/>
                    <w:tr2bl w:val="nil"/>
                  </w:tcBorders>
                  <w:vAlign w:val="center"/>
                </w:tcPr>
                <w:p>
                  <w:pPr>
                    <w:pStyle w:val="208"/>
                    <w:spacing w:line="280" w:lineRule="exact"/>
                  </w:pPr>
                  <w:r>
                    <w:rPr>
                      <w:rFonts w:hint="eastAsia"/>
                    </w:rPr>
                    <w:t>160</w:t>
                  </w:r>
                </w:p>
              </w:tc>
              <w:tc>
                <w:tcPr>
                  <w:tcW w:w="1125" w:type="dxa"/>
                  <w:vMerge w:val="continue"/>
                  <w:tcBorders>
                    <w:tl2br w:val="nil"/>
                    <w:tr2bl w:val="nil"/>
                  </w:tcBorders>
                  <w:vAlign w:val="center"/>
                </w:tcPr>
                <w:p>
                  <w:pPr>
                    <w:pStyle w:val="208"/>
                    <w:spacing w:line="280" w:lineRule="exact"/>
                  </w:pPr>
                </w:p>
              </w:tc>
              <w:tc>
                <w:tcPr>
                  <w:tcW w:w="2199" w:type="dxa"/>
                  <w:vMerge w:val="continue"/>
                  <w:tcBorders>
                    <w:tl2br w:val="nil"/>
                    <w:tr2bl w:val="nil"/>
                  </w:tcBorders>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556" w:type="dxa"/>
                  <w:vMerge w:val="continue"/>
                  <w:vAlign w:val="center"/>
                </w:tcPr>
                <w:p>
                  <w:pPr>
                    <w:pStyle w:val="208"/>
                    <w:spacing w:line="280" w:lineRule="exact"/>
                  </w:pPr>
                </w:p>
              </w:tc>
              <w:tc>
                <w:tcPr>
                  <w:tcW w:w="2247" w:type="dxa"/>
                  <w:vAlign w:val="center"/>
                </w:tcPr>
                <w:p>
                  <w:pPr>
                    <w:pStyle w:val="208"/>
                    <w:spacing w:line="280" w:lineRule="exact"/>
                  </w:pPr>
                  <w:r>
                    <w:t>1小时均值</w:t>
                  </w:r>
                </w:p>
              </w:tc>
              <w:tc>
                <w:tcPr>
                  <w:tcW w:w="1377" w:type="dxa"/>
                  <w:vAlign w:val="center"/>
                </w:tcPr>
                <w:p>
                  <w:pPr>
                    <w:pStyle w:val="208"/>
                    <w:spacing w:line="280" w:lineRule="exact"/>
                  </w:pPr>
                  <w:r>
                    <w:rPr>
                      <w:rFonts w:hint="eastAsia"/>
                    </w:rPr>
                    <w:t>200</w:t>
                  </w:r>
                </w:p>
              </w:tc>
              <w:tc>
                <w:tcPr>
                  <w:tcW w:w="1125" w:type="dxa"/>
                  <w:vMerge w:val="continue"/>
                  <w:vAlign w:val="center"/>
                </w:tcPr>
                <w:p>
                  <w:pPr>
                    <w:pStyle w:val="208"/>
                    <w:spacing w:line="280" w:lineRule="exact"/>
                  </w:pPr>
                </w:p>
              </w:tc>
              <w:tc>
                <w:tcPr>
                  <w:tcW w:w="2199" w:type="dxa"/>
                  <w:vMerge w:val="continue"/>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556" w:type="dxa"/>
                  <w:vMerge w:val="restart"/>
                  <w:vAlign w:val="center"/>
                </w:tcPr>
                <w:p>
                  <w:pPr>
                    <w:pStyle w:val="208"/>
                    <w:spacing w:line="280" w:lineRule="exact"/>
                  </w:pPr>
                  <w:r>
                    <w:rPr>
                      <w:rFonts w:hint="eastAsia"/>
                    </w:rPr>
                    <w:t>CO</w:t>
                  </w:r>
                </w:p>
              </w:tc>
              <w:tc>
                <w:tcPr>
                  <w:tcW w:w="2247" w:type="dxa"/>
                  <w:vAlign w:val="center"/>
                </w:tcPr>
                <w:p>
                  <w:pPr>
                    <w:pStyle w:val="208"/>
                    <w:spacing w:line="280" w:lineRule="exact"/>
                  </w:pPr>
                  <w:r>
                    <w:t>24小时均值</w:t>
                  </w:r>
                </w:p>
              </w:tc>
              <w:tc>
                <w:tcPr>
                  <w:tcW w:w="1377" w:type="dxa"/>
                  <w:vAlign w:val="center"/>
                </w:tcPr>
                <w:p>
                  <w:pPr>
                    <w:pStyle w:val="208"/>
                    <w:spacing w:line="280" w:lineRule="exact"/>
                  </w:pPr>
                  <w:r>
                    <w:rPr>
                      <w:rFonts w:hint="eastAsia"/>
                    </w:rPr>
                    <w:t>4</w:t>
                  </w:r>
                </w:p>
              </w:tc>
              <w:tc>
                <w:tcPr>
                  <w:tcW w:w="1125" w:type="dxa"/>
                  <w:vMerge w:val="restart"/>
                  <w:vAlign w:val="center"/>
                </w:tcPr>
                <w:p>
                  <w:pPr>
                    <w:pStyle w:val="208"/>
                    <w:spacing w:line="280" w:lineRule="exact"/>
                  </w:pPr>
                  <w:r>
                    <w:t>mg/m</w:t>
                  </w:r>
                  <w:r>
                    <w:rPr>
                      <w:vertAlign w:val="superscript"/>
                    </w:rPr>
                    <w:t>3</w:t>
                  </w:r>
                </w:p>
              </w:tc>
              <w:tc>
                <w:tcPr>
                  <w:tcW w:w="2199" w:type="dxa"/>
                  <w:vMerge w:val="continue"/>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556" w:type="dxa"/>
                  <w:vMerge w:val="continue"/>
                  <w:vAlign w:val="center"/>
                </w:tcPr>
                <w:p>
                  <w:pPr>
                    <w:pStyle w:val="208"/>
                    <w:spacing w:line="280" w:lineRule="exact"/>
                  </w:pPr>
                </w:p>
              </w:tc>
              <w:tc>
                <w:tcPr>
                  <w:tcW w:w="2247" w:type="dxa"/>
                  <w:vAlign w:val="center"/>
                </w:tcPr>
                <w:p>
                  <w:pPr>
                    <w:pStyle w:val="208"/>
                    <w:spacing w:line="280" w:lineRule="exact"/>
                  </w:pPr>
                  <w:r>
                    <w:t>1小时均值</w:t>
                  </w:r>
                </w:p>
              </w:tc>
              <w:tc>
                <w:tcPr>
                  <w:tcW w:w="1377" w:type="dxa"/>
                  <w:vAlign w:val="center"/>
                </w:tcPr>
                <w:p>
                  <w:pPr>
                    <w:pStyle w:val="208"/>
                    <w:spacing w:line="280" w:lineRule="exact"/>
                  </w:pPr>
                  <w:r>
                    <w:rPr>
                      <w:rFonts w:hint="eastAsia"/>
                    </w:rPr>
                    <w:t>10</w:t>
                  </w:r>
                </w:p>
              </w:tc>
              <w:tc>
                <w:tcPr>
                  <w:tcW w:w="1125" w:type="dxa"/>
                  <w:vMerge w:val="continue"/>
                  <w:vAlign w:val="center"/>
                </w:tcPr>
                <w:p>
                  <w:pPr>
                    <w:pStyle w:val="208"/>
                    <w:spacing w:line="280" w:lineRule="exact"/>
                  </w:pPr>
                </w:p>
              </w:tc>
              <w:tc>
                <w:tcPr>
                  <w:tcW w:w="2199" w:type="dxa"/>
                  <w:vMerge w:val="continue"/>
                  <w:vAlign w:val="center"/>
                </w:tcPr>
                <w:p>
                  <w:pPr>
                    <w:pStyle w:val="208"/>
                    <w:spacing w:line="280" w:lineRule="exact"/>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556" w:type="dxa"/>
                  <w:vAlign w:val="center"/>
                </w:tcPr>
                <w:p>
                  <w:pPr>
                    <w:pStyle w:val="208"/>
                    <w:spacing w:line="280" w:lineRule="exact"/>
                  </w:pPr>
                  <w:r>
                    <w:rPr>
                      <w:rFonts w:hint="eastAsia"/>
                    </w:rPr>
                    <w:t>非甲烷总烃</w:t>
                  </w:r>
                </w:p>
              </w:tc>
              <w:tc>
                <w:tcPr>
                  <w:tcW w:w="2247" w:type="dxa"/>
                  <w:vAlign w:val="center"/>
                </w:tcPr>
                <w:p>
                  <w:pPr>
                    <w:pStyle w:val="208"/>
                    <w:spacing w:line="280" w:lineRule="exact"/>
                  </w:pPr>
                  <w:r>
                    <w:t>1小时均值</w:t>
                  </w:r>
                </w:p>
              </w:tc>
              <w:tc>
                <w:tcPr>
                  <w:tcW w:w="1377" w:type="dxa"/>
                  <w:vAlign w:val="center"/>
                </w:tcPr>
                <w:p>
                  <w:pPr>
                    <w:pStyle w:val="208"/>
                    <w:spacing w:line="280" w:lineRule="exact"/>
                  </w:pPr>
                  <w:r>
                    <w:rPr>
                      <w:rFonts w:hint="eastAsia"/>
                    </w:rPr>
                    <w:t>2000</w:t>
                  </w:r>
                </w:p>
              </w:tc>
              <w:tc>
                <w:tcPr>
                  <w:tcW w:w="1125" w:type="dxa"/>
                  <w:vAlign w:val="center"/>
                </w:tcPr>
                <w:p>
                  <w:pPr>
                    <w:pStyle w:val="208"/>
                    <w:spacing w:line="280" w:lineRule="exact"/>
                  </w:pPr>
                  <w:r>
                    <w:t>μg/m</w:t>
                  </w:r>
                  <w:r>
                    <w:rPr>
                      <w:vertAlign w:val="superscript"/>
                    </w:rPr>
                    <w:t>3</w:t>
                  </w:r>
                </w:p>
              </w:tc>
              <w:tc>
                <w:tcPr>
                  <w:tcW w:w="2199" w:type="dxa"/>
                  <w:vAlign w:val="center"/>
                </w:tcPr>
                <w:p>
                  <w:pPr>
                    <w:pStyle w:val="208"/>
                    <w:spacing w:line="280" w:lineRule="exact"/>
                  </w:pPr>
                  <w:r>
                    <w:rPr>
                      <w:rFonts w:hint="eastAsia"/>
                    </w:rPr>
                    <w:t>《大气污染物综合排放标准详解》</w:t>
                  </w:r>
                </w:p>
              </w:tc>
            </w:tr>
            <w:bookmarkEnd w:id="98"/>
          </w:tbl>
          <w:p>
            <w:p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2、地表水环境质量标准</w:t>
            </w:r>
          </w:p>
          <w:p>
            <w:pPr>
              <w:adjustRightInd w:val="0"/>
              <w:snapToGrid w:val="0"/>
              <w:spacing w:line="360" w:lineRule="auto"/>
              <w:ind w:firstLine="480" w:firstLineChars="200"/>
              <w:rPr>
                <w:sz w:val="24"/>
                <w:szCs w:val="24"/>
              </w:rPr>
            </w:pPr>
            <w:r>
              <w:rPr>
                <w:sz w:val="24"/>
                <w:szCs w:val="24"/>
              </w:rPr>
              <w:t>地表水环境质量执行GB3838-2002《地表水环境质量标准》中Ⅲ类标准。</w:t>
            </w:r>
          </w:p>
          <w:p>
            <w:p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3、地下水环境质量标准</w:t>
            </w:r>
          </w:p>
          <w:p>
            <w:pPr>
              <w:adjustRightInd w:val="0"/>
              <w:snapToGrid w:val="0"/>
              <w:spacing w:line="360" w:lineRule="auto"/>
              <w:ind w:firstLine="480" w:firstLineChars="200"/>
              <w:rPr>
                <w:rFonts w:hint="eastAsia" w:ascii="宋体" w:hAnsi="宋体" w:eastAsia="宋体" w:cs="宋体"/>
                <w:b/>
                <w:bCs/>
                <w:kern w:val="0"/>
                <w:sz w:val="24"/>
                <w:szCs w:val="22"/>
                <w:lang w:eastAsia="zh-CN"/>
              </w:rPr>
            </w:pPr>
            <w:r>
              <w:rPr>
                <w:sz w:val="24"/>
                <w:szCs w:val="24"/>
              </w:rPr>
              <w:t>项目区地下水执行《地下水质量标准》（GB/T14848-2017）Ⅲ类标准</w:t>
            </w:r>
            <w:r>
              <w:rPr>
                <w:rFonts w:hint="eastAsia"/>
                <w:sz w:val="24"/>
                <w:szCs w:val="24"/>
                <w:lang w:eastAsia="zh-CN"/>
              </w:rPr>
              <w:t>。</w:t>
            </w:r>
          </w:p>
          <w:p>
            <w:p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4、声环境质量标准</w:t>
            </w:r>
          </w:p>
          <w:p>
            <w:pPr>
              <w:adjustRightInd w:val="0"/>
              <w:snapToGrid w:val="0"/>
              <w:spacing w:line="360" w:lineRule="auto"/>
              <w:ind w:firstLine="480" w:firstLineChars="200"/>
              <w:rPr>
                <w:sz w:val="24"/>
                <w:szCs w:val="24"/>
              </w:rPr>
            </w:pPr>
            <w:r>
              <w:rPr>
                <w:sz w:val="24"/>
                <w:szCs w:val="24"/>
              </w:rPr>
              <w:t>项目区域声环境执行《声环境质量标准》（GB3096-2008）中2类标准，标准值见表4-</w:t>
            </w:r>
            <w:r>
              <w:rPr>
                <w:rFonts w:hint="eastAsia"/>
                <w:sz w:val="24"/>
                <w:szCs w:val="24"/>
                <w:lang w:val="en-US" w:eastAsia="zh-CN"/>
              </w:rPr>
              <w:t>2</w:t>
            </w:r>
            <w:r>
              <w:rPr>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pPr>
            <w:r>
              <w:rPr>
                <w:b/>
                <w:sz w:val="24"/>
                <w:szCs w:val="24"/>
              </w:rPr>
              <w:t>表4-</w:t>
            </w:r>
            <w:r>
              <w:rPr>
                <w:rFonts w:hint="eastAsia"/>
                <w:b/>
                <w:sz w:val="24"/>
                <w:szCs w:val="24"/>
                <w:lang w:val="en-US" w:eastAsia="zh-CN"/>
              </w:rPr>
              <w:t>2</w:t>
            </w:r>
            <w:r>
              <w:rPr>
                <w:b/>
                <w:sz w:val="24"/>
                <w:szCs w:val="24"/>
              </w:rPr>
              <w:t xml:space="preserve"> 声环境质量标准</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745"/>
              <w:gridCol w:w="1507"/>
              <w:gridCol w:w="23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4" w:type="dxa"/>
                  <w:tcBorders>
                    <w:tl2br w:val="nil"/>
                    <w:tr2bl w:val="nil"/>
                  </w:tcBorders>
                  <w:vAlign w:val="center"/>
                </w:tcPr>
                <w:p>
                  <w:pPr>
                    <w:spacing w:line="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区域</w:t>
                  </w:r>
                </w:p>
              </w:tc>
              <w:tc>
                <w:tcPr>
                  <w:tcW w:w="2745" w:type="dxa"/>
                  <w:tcBorders>
                    <w:tl2br w:val="nil"/>
                    <w:tr2bl w:val="nil"/>
                  </w:tcBorders>
                  <w:vAlign w:val="center"/>
                </w:tcPr>
                <w:p>
                  <w:pPr>
                    <w:spacing w:line="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执行标准</w:t>
                  </w:r>
                </w:p>
              </w:tc>
              <w:tc>
                <w:tcPr>
                  <w:tcW w:w="1507" w:type="dxa"/>
                  <w:tcBorders>
                    <w:tl2br w:val="nil"/>
                    <w:tr2bl w:val="nil"/>
                  </w:tcBorders>
                  <w:vAlign w:val="center"/>
                </w:tcPr>
                <w:p>
                  <w:pPr>
                    <w:spacing w:line="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2318" w:type="dxa"/>
                  <w:tcBorders>
                    <w:tl2br w:val="nil"/>
                    <w:tr2bl w:val="nil"/>
                  </w:tcBorders>
                  <w:vAlign w:val="center"/>
                </w:tcPr>
                <w:p>
                  <w:pPr>
                    <w:spacing w:line="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34" w:type="dxa"/>
                  <w:tcBorders>
                    <w:tl2br w:val="nil"/>
                    <w:tr2bl w:val="nil"/>
                  </w:tcBorders>
                  <w:vAlign w:val="center"/>
                </w:tcPr>
                <w:p>
                  <w:pPr>
                    <w:spacing w:line="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项目区及敏感目标</w:t>
                  </w:r>
                </w:p>
              </w:tc>
              <w:tc>
                <w:tcPr>
                  <w:tcW w:w="2745" w:type="dxa"/>
                  <w:tcBorders>
                    <w:tl2br w:val="nil"/>
                    <w:tr2bl w:val="nil"/>
                  </w:tcBorders>
                  <w:vAlign w:val="center"/>
                </w:tcPr>
                <w:p>
                  <w:pPr>
                    <w:spacing w:line="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2类标准，dB（A）</w:t>
                  </w:r>
                </w:p>
              </w:tc>
              <w:tc>
                <w:tcPr>
                  <w:tcW w:w="1507" w:type="dxa"/>
                  <w:tcBorders>
                    <w:tl2br w:val="nil"/>
                    <w:tr2bl w:val="nil"/>
                  </w:tcBorders>
                  <w:vAlign w:val="center"/>
                </w:tcPr>
                <w:p>
                  <w:pPr>
                    <w:spacing w:line="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2318" w:type="dxa"/>
                  <w:tcBorders>
                    <w:tl2br w:val="nil"/>
                    <w:tr2bl w:val="nil"/>
                  </w:tcBorders>
                  <w:vAlign w:val="center"/>
                </w:tcPr>
                <w:p>
                  <w:pPr>
                    <w:spacing w:line="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r>
          </w:tbl>
          <w:p>
            <w:p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5、土壤环境环境质量标准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建设用地</w:t>
            </w:r>
            <w:r>
              <w:rPr>
                <w:rFonts w:hint="default" w:ascii="Times New Roman" w:hAnsi="Times New Roman" w:eastAsia="宋体" w:cs="Times New Roman"/>
                <w:sz w:val="24"/>
                <w:szCs w:val="24"/>
              </w:rPr>
              <w:t>执行《土壤环境质量 建设用地土壤污染风险管控标准（试行）》（GB36600-2018）第二类用地筛选值</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农用地执行</w:t>
            </w:r>
            <w:r>
              <w:rPr>
                <w:rFonts w:hint="default" w:ascii="Times New Roman" w:hAnsi="Times New Roman" w:eastAsia="宋体" w:cs="Times New Roman"/>
                <w:sz w:val="24"/>
                <w:szCs w:val="24"/>
              </w:rPr>
              <w:t xml:space="preserve">《土壤环境质量标准 </w:t>
            </w:r>
            <w:r>
              <w:rPr>
                <w:rFonts w:hint="default" w:ascii="Times New Roman" w:hAnsi="Times New Roman" w:eastAsia="宋体" w:cs="Times New Roman"/>
                <w:sz w:val="24"/>
                <w:szCs w:val="24"/>
                <w:lang w:val="en-US" w:eastAsia="zh-CN"/>
              </w:rPr>
              <w:t>农</w:t>
            </w:r>
            <w:r>
              <w:rPr>
                <w:rFonts w:hint="default" w:ascii="Times New Roman" w:hAnsi="Times New Roman" w:eastAsia="宋体" w:cs="Times New Roman"/>
                <w:sz w:val="24"/>
                <w:szCs w:val="24"/>
              </w:rPr>
              <w:t>用地土壤风险管控标准（试行）》（GB</w:t>
            </w:r>
            <w:r>
              <w:rPr>
                <w:rFonts w:hint="default" w:ascii="Times New Roman" w:hAnsi="Times New Roman" w:eastAsia="宋体" w:cs="Times New Roman"/>
                <w:sz w:val="24"/>
                <w:szCs w:val="24"/>
                <w:lang w:val="en-US" w:eastAsia="zh-CN"/>
              </w:rPr>
              <w:t>15618</w:t>
            </w:r>
            <w:r>
              <w:rPr>
                <w:rFonts w:hint="default" w:ascii="Times New Roman" w:hAnsi="Times New Roman" w:eastAsia="宋体" w:cs="Times New Roman"/>
                <w:sz w:val="24"/>
                <w:szCs w:val="24"/>
              </w:rPr>
              <w:t>-2018）</w:t>
            </w:r>
            <w:r>
              <w:rPr>
                <w:rFonts w:hint="default" w:ascii="Times New Roman" w:hAnsi="Times New Roman" w:eastAsia="宋体" w:cs="Times New Roman"/>
                <w:sz w:val="24"/>
                <w:szCs w:val="24"/>
                <w:lang w:val="en-US" w:eastAsia="zh-CN"/>
              </w:rPr>
              <w:t>农用地土壤污染风险筛选值（其他）。</w:t>
            </w:r>
          </w:p>
          <w:p>
            <w:pPr>
              <w:ind w:left="0" w:leftChars="0" w:firstLine="0" w:firstLineChars="0"/>
            </w:pPr>
            <w:r>
              <w:rPr>
                <w:sz w:val="24"/>
              </w:rPr>
              <mc:AlternateContent>
                <mc:Choice Requires="wps">
                  <w:drawing>
                    <wp:anchor distT="0" distB="0" distL="114300" distR="114300" simplePos="0" relativeHeight="251667456" behindDoc="0" locked="0" layoutInCell="1" allowOverlap="1">
                      <wp:simplePos x="0" y="0"/>
                      <wp:positionH relativeFrom="column">
                        <wp:posOffset>-48260</wp:posOffset>
                      </wp:positionH>
                      <wp:positionV relativeFrom="paragraph">
                        <wp:posOffset>113030</wp:posOffset>
                      </wp:positionV>
                      <wp:extent cx="5651500" cy="635"/>
                      <wp:effectExtent l="0" t="0" r="0" b="0"/>
                      <wp:wrapNone/>
                      <wp:docPr id="6" name="直线 12"/>
                      <wp:cNvGraphicFramePr/>
                      <a:graphic xmlns:a="http://schemas.openxmlformats.org/drawingml/2006/main">
                        <a:graphicData uri="http://schemas.microsoft.com/office/word/2010/wordprocessingShape">
                          <wps:wsp>
                            <wps:cNvSpPr/>
                            <wps:spPr>
                              <a:xfrm>
                                <a:off x="0" y="0"/>
                                <a:ext cx="5651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3.8pt;margin-top:8.9pt;height:0.05pt;width:445pt;z-index:251667456;mso-width-relative:page;mso-height-relative:page;" filled="f" stroked="t" coordsize="21600,21600" o:gfxdata="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dGgc9YA&#10;AAAIAQAADwAAAAAAAAABACAAAAAiAAAAZHJzL2Rvd25yZXYueG1sUEsBAhQAFAAAAAgAh07iQAti&#10;JbHoAQAA3gMAAA4AAAAAAAAAAQAgAAAAJQEAAGRycy9lMm9Eb2MueG1sUEsFBgAAAAAGAAYAWQEA&#10;AH8FAAAAAA==&#10;">
                      <v:fill on="f" focussize="0,0"/>
                      <v:stroke color="#000000" joinstyle="round"/>
                      <v:imagedata o:title=""/>
                      <o:lock v:ext="edit" aspectratio="f"/>
                    </v:line>
                  </w:pict>
                </mc:Fallback>
              </mc:AlternateContent>
            </w:r>
          </w:p>
          <w:p>
            <w:p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1、废气</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颗粒物排放执行《大气污染物综合排放标准》（GB16297-1996）表2中二级标准；</w:t>
            </w:r>
            <w:r>
              <w:rPr>
                <w:rFonts w:hint="eastAsia" w:cs="Times New Roman"/>
                <w:sz w:val="24"/>
                <w:lang w:val="en-US" w:eastAsia="zh-CN"/>
              </w:rPr>
              <w:t>有机废气</w:t>
            </w:r>
            <w:r>
              <w:rPr>
                <w:rFonts w:hint="default" w:ascii="Times New Roman" w:hAnsi="Times New Roman" w:eastAsia="宋体" w:cs="Times New Roman"/>
                <w:sz w:val="24"/>
              </w:rPr>
              <w:t>执行《挥发性有机物排放控制标准》（DB61/T1061-2017）中表面涂装行业排放限值要求。具体标准值详</w:t>
            </w:r>
            <w:r>
              <w:rPr>
                <w:rFonts w:hint="eastAsia" w:cs="Times New Roman"/>
                <w:sz w:val="24"/>
                <w:lang w:val="en-US" w:eastAsia="zh-CN"/>
              </w:rPr>
              <w:t>见表4-3</w:t>
            </w:r>
            <w:r>
              <w:rPr>
                <w:rFonts w:hint="default"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rPr>
            </w:pPr>
            <w:r>
              <w:rPr>
                <w:b/>
                <w:sz w:val="24"/>
                <w:szCs w:val="24"/>
              </w:rPr>
              <w:t>表4-</w:t>
            </w:r>
            <w:r>
              <w:rPr>
                <w:rFonts w:hint="eastAsia"/>
                <w:b/>
                <w:sz w:val="24"/>
                <w:szCs w:val="24"/>
                <w:lang w:val="en-US" w:eastAsia="zh-CN"/>
              </w:rPr>
              <w:t>3</w:t>
            </w:r>
            <w:r>
              <w:rPr>
                <w:b/>
                <w:sz w:val="24"/>
                <w:szCs w:val="24"/>
              </w:rPr>
              <w:t xml:space="preserve"> </w:t>
            </w:r>
            <w:r>
              <w:rPr>
                <w:rFonts w:hint="eastAsia"/>
                <w:b/>
                <w:sz w:val="24"/>
                <w:szCs w:val="24"/>
                <w:lang w:val="en-US" w:eastAsia="zh-CN"/>
              </w:rPr>
              <w:t>废气排放标准</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319"/>
              <w:gridCol w:w="1268"/>
              <w:gridCol w:w="1522"/>
              <w:gridCol w:w="1078"/>
              <w:gridCol w:w="1932"/>
              <w:gridCol w:w="8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1" w:type="dxa"/>
                  <w:vMerge w:val="restart"/>
                  <w:tcBorders>
                    <w:tl2br w:val="nil"/>
                    <w:tr2bl w:val="nil"/>
                  </w:tcBorders>
                  <w:noWrap w:val="0"/>
                  <w:vAlign w:val="center"/>
                </w:tcPr>
                <w:p>
                  <w:pPr>
                    <w:pStyle w:val="234"/>
                    <w:keepNext w:val="0"/>
                    <w:keepLines w:val="0"/>
                    <w:pageBreakBefore w:val="0"/>
                    <w:kinsoku/>
                    <w:wordWrap/>
                    <w:overflowPunct/>
                    <w:topLinePunct w:val="0"/>
                    <w:autoSpaceDE/>
                    <w:autoSpaceDN/>
                    <w:bidi w:val="0"/>
                    <w:ind w:left="0" w:leftChars="0" w:right="0" w:rightChars="0" w:firstLine="0" w:firstLineChars="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序号</w:t>
                  </w:r>
                </w:p>
              </w:tc>
              <w:tc>
                <w:tcPr>
                  <w:tcW w:w="1319" w:type="dxa"/>
                  <w:vMerge w:val="restart"/>
                  <w:tcBorders>
                    <w:tl2br w:val="nil"/>
                    <w:tr2bl w:val="nil"/>
                  </w:tcBorders>
                  <w:noWrap w:val="0"/>
                  <w:vAlign w:val="center"/>
                </w:tcPr>
                <w:p>
                  <w:pPr>
                    <w:pStyle w:val="234"/>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污染物项目</w:t>
                  </w:r>
                </w:p>
              </w:tc>
              <w:tc>
                <w:tcPr>
                  <w:tcW w:w="1268" w:type="dxa"/>
                  <w:vMerge w:val="restart"/>
                  <w:tcBorders>
                    <w:tl2br w:val="nil"/>
                    <w:tr2bl w:val="nil"/>
                  </w:tcBorders>
                  <w:noWrap w:val="0"/>
                  <w:vAlign w:val="center"/>
                </w:tcPr>
                <w:p>
                  <w:pPr>
                    <w:pStyle w:val="234"/>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最高允许排放浓度（mg/m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2600" w:type="dxa"/>
                  <w:gridSpan w:val="2"/>
                  <w:tcBorders>
                    <w:tl2br w:val="nil"/>
                    <w:tr2bl w:val="nil"/>
                  </w:tcBorders>
                  <w:noWrap w:val="0"/>
                  <w:vAlign w:val="center"/>
                </w:tcPr>
                <w:p>
                  <w:pPr>
                    <w:pStyle w:val="234"/>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最高允许排放速率（kg/h）</w:t>
                  </w:r>
                </w:p>
              </w:tc>
              <w:tc>
                <w:tcPr>
                  <w:tcW w:w="2776" w:type="dxa"/>
                  <w:gridSpan w:val="2"/>
                  <w:tcBorders>
                    <w:tl2br w:val="nil"/>
                    <w:tr2bl w:val="nil"/>
                  </w:tcBorders>
                  <w:noWrap w:val="0"/>
                  <w:vAlign w:val="center"/>
                </w:tcPr>
                <w:p>
                  <w:pPr>
                    <w:pStyle w:val="234"/>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无组织排放监控点浓度限值（mg/m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ind w:left="0" w:leftChars="0" w:right="0" w:rightChars="0" w:firstLine="0" w:firstLineChars="0"/>
                    <w:jc w:val="left"/>
                    <w:textAlignment w:val="auto"/>
                    <w:rPr>
                      <w:rFonts w:hint="default" w:ascii="Times New Roman" w:hAnsi="Times New Roman" w:eastAsia="宋体" w:cs="Times New Roman"/>
                      <w:sz w:val="21"/>
                      <w:szCs w:val="21"/>
                    </w:rPr>
                  </w:pPr>
                </w:p>
              </w:tc>
              <w:tc>
                <w:tcPr>
                  <w:tcW w:w="131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ind w:left="0" w:leftChars="0" w:right="0" w:rightChars="0" w:firstLine="0" w:firstLineChars="0"/>
                    <w:jc w:val="left"/>
                    <w:textAlignment w:val="auto"/>
                    <w:rPr>
                      <w:rFonts w:hint="default" w:ascii="Times New Roman" w:hAnsi="Times New Roman" w:eastAsia="宋体" w:cs="Times New Roman"/>
                      <w:sz w:val="21"/>
                      <w:szCs w:val="21"/>
                    </w:rPr>
                  </w:pPr>
                </w:p>
              </w:tc>
              <w:tc>
                <w:tcPr>
                  <w:tcW w:w="126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ind w:left="0" w:leftChars="0" w:right="0" w:rightChars="0" w:firstLine="0" w:firstLineChars="0"/>
                    <w:jc w:val="left"/>
                    <w:textAlignment w:val="auto"/>
                    <w:rPr>
                      <w:rFonts w:hint="default" w:ascii="Times New Roman" w:hAnsi="Times New Roman" w:eastAsia="宋体" w:cs="Times New Roman"/>
                      <w:sz w:val="21"/>
                      <w:szCs w:val="21"/>
                    </w:rPr>
                  </w:pPr>
                </w:p>
              </w:tc>
              <w:tc>
                <w:tcPr>
                  <w:tcW w:w="1522"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078"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193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监控点</w:t>
                  </w:r>
                </w:p>
              </w:tc>
              <w:tc>
                <w:tcPr>
                  <w:tcW w:w="84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1"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319"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268"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w:t>
                  </w:r>
                </w:p>
              </w:tc>
              <w:tc>
                <w:tcPr>
                  <w:tcW w:w="1522"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15m</w:t>
                  </w:r>
                </w:p>
              </w:tc>
              <w:tc>
                <w:tcPr>
                  <w:tcW w:w="1078"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1932" w:type="dxa"/>
                  <w:tcBorders>
                    <w:tl2br w:val="nil"/>
                    <w:tr2bl w:val="nil"/>
                  </w:tcBorders>
                  <w:noWrap w:val="0"/>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周界外浓度最高点</w:t>
                  </w:r>
                </w:p>
              </w:tc>
              <w:tc>
                <w:tcPr>
                  <w:tcW w:w="844"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1"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319"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268"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1522"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15m</w:t>
                  </w:r>
                </w:p>
              </w:tc>
              <w:tc>
                <w:tcPr>
                  <w:tcW w:w="1078"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3.6</w:t>
                  </w:r>
                </w:p>
              </w:tc>
              <w:tc>
                <w:tcPr>
                  <w:tcW w:w="1932" w:type="dxa"/>
                  <w:tcBorders>
                    <w:tl2br w:val="nil"/>
                    <w:tr2bl w:val="nil"/>
                  </w:tcBorders>
                  <w:noWrap w:val="0"/>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周界外浓度最高点</w:t>
                  </w:r>
                </w:p>
              </w:tc>
              <w:tc>
                <w:tcPr>
                  <w:tcW w:w="844" w:type="dxa"/>
                  <w:tcBorders>
                    <w:tl2br w:val="nil"/>
                    <w:tr2bl w:val="nil"/>
                  </w:tcBorders>
                  <w:noWrap w:val="0"/>
                  <w:vAlign w:val="center"/>
                </w:tcPr>
                <w:p>
                  <w:pPr>
                    <w:pStyle w:val="235"/>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r>
          </w:tbl>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b/>
                <w:sz w:val="24"/>
                <w:szCs w:val="24"/>
              </w:rPr>
            </w:pPr>
          </w:p>
          <w:p>
            <w:pPr>
              <w:spacing w:line="360" w:lineRule="auto"/>
              <w:ind w:firstLine="480" w:firstLineChars="200"/>
              <w:rPr>
                <w:color w:val="000000" w:themeColor="text1"/>
                <w:sz w:val="24"/>
              </w:rPr>
            </w:pPr>
            <w:r>
              <w:rPr>
                <w:rFonts w:hint="eastAsia" w:hAnsi="宋体"/>
                <w:color w:val="000000" w:themeColor="text1"/>
                <w:sz w:val="24"/>
              </w:rPr>
              <w:t>固化燃烧机</w:t>
            </w:r>
            <w:r>
              <w:rPr>
                <w:rFonts w:hint="eastAsia"/>
                <w:color w:val="000000" w:themeColor="text1"/>
                <w:sz w:val="24"/>
              </w:rPr>
              <w:t>废气参考执行</w:t>
            </w:r>
            <w:r>
              <w:rPr>
                <w:rFonts w:hAnsi="宋体"/>
                <w:color w:val="000000" w:themeColor="text1"/>
                <w:sz w:val="24"/>
              </w:rPr>
              <w:t>中华人民共和国生态环境部</w:t>
            </w:r>
            <w:r>
              <w:rPr>
                <w:rFonts w:hint="eastAsia"/>
                <w:color w:val="000000" w:themeColor="text1"/>
              </w:rPr>
              <w:t>关</w:t>
            </w:r>
            <w:r>
              <w:rPr>
                <w:rFonts w:hint="eastAsia"/>
                <w:color w:val="000000" w:themeColor="text1"/>
                <w:sz w:val="24"/>
              </w:rPr>
              <w:t>于印发《工业炉窑大气污染综合治理方案》的通知中关于重点区域工业炉窑颗粒物、二氧化硫、氮氧化物实施改造的要求</w:t>
            </w:r>
            <w:r>
              <w:rPr>
                <w:color w:val="000000" w:themeColor="text1"/>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rPr>
            </w:pPr>
            <w:r>
              <w:rPr>
                <w:b/>
                <w:sz w:val="24"/>
                <w:szCs w:val="24"/>
              </w:rPr>
              <w:t>表4-</w:t>
            </w:r>
            <w:r>
              <w:rPr>
                <w:rFonts w:hint="eastAsia"/>
                <w:b/>
                <w:sz w:val="24"/>
                <w:szCs w:val="24"/>
                <w:lang w:val="en-US" w:eastAsia="zh-CN"/>
              </w:rPr>
              <w:t>4</w:t>
            </w:r>
            <w:r>
              <w:rPr>
                <w:b/>
                <w:sz w:val="24"/>
                <w:szCs w:val="24"/>
              </w:rPr>
              <w:t xml:space="preserve"> </w:t>
            </w:r>
            <w:r>
              <w:rPr>
                <w:rFonts w:hint="eastAsia"/>
                <w:b/>
                <w:sz w:val="24"/>
                <w:szCs w:val="24"/>
                <w:lang w:val="en-US" w:eastAsia="zh-CN"/>
              </w:rPr>
              <w:t>燃烧废气排放标准</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2176"/>
              <w:gridCol w:w="2261"/>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35" w:type="dxa"/>
                  <w:noWrap w:val="0"/>
                  <w:vAlign w:val="center"/>
                </w:tcPr>
                <w:p>
                  <w:pPr>
                    <w:pStyle w:val="234"/>
                    <w:keepNext w:val="0"/>
                    <w:keepLines w:val="0"/>
                    <w:pageBreakBefore w:val="0"/>
                    <w:widowControl w:val="0"/>
                    <w:kinsoku/>
                    <w:wordWrap/>
                    <w:overflowPunct/>
                    <w:topLinePunct w:val="0"/>
                    <w:autoSpaceDE/>
                    <w:autoSpaceDN w:val="0"/>
                    <w:bidi w:val="0"/>
                    <w:adjustRightInd/>
                    <w:snapToGrid/>
                    <w:spacing w:line="240" w:lineRule="auto"/>
                    <w:ind w:left="0" w:leftChars="0" w:firstLine="0" w:firstLineChars="0"/>
                    <w:jc w:val="both"/>
                    <w:textAlignment w:val="auto"/>
                    <w:rPr>
                      <w:rFonts w:eastAsia="宋体" w:cs="Times New Roman"/>
                      <w:color w:val="000000" w:themeColor="text1"/>
                      <w:sz w:val="21"/>
                      <w:szCs w:val="21"/>
                    </w:rPr>
                  </w:pPr>
                  <w:r>
                    <w:rPr>
                      <w:rFonts w:hint="eastAsia" w:eastAsia="宋体" w:cs="Times New Roman"/>
                      <w:color w:val="000000" w:themeColor="text1"/>
                      <w:sz w:val="21"/>
                      <w:szCs w:val="21"/>
                    </w:rPr>
                    <w:t>序号</w:t>
                  </w:r>
                </w:p>
              </w:tc>
              <w:tc>
                <w:tcPr>
                  <w:tcW w:w="2176" w:type="dxa"/>
                  <w:noWrap w:val="0"/>
                  <w:vAlign w:val="center"/>
                </w:tcPr>
                <w:p>
                  <w:pPr>
                    <w:pStyle w:val="234"/>
                    <w:keepNext w:val="0"/>
                    <w:keepLines w:val="0"/>
                    <w:pageBreakBefore w:val="0"/>
                    <w:widowControl w:val="0"/>
                    <w:kinsoku/>
                    <w:wordWrap/>
                    <w:overflowPunct/>
                    <w:topLinePunct w:val="0"/>
                    <w:autoSpaceDE/>
                    <w:autoSpaceDN w:val="0"/>
                    <w:bidi w:val="0"/>
                    <w:adjustRightInd/>
                    <w:snapToGrid/>
                    <w:spacing w:line="240" w:lineRule="auto"/>
                    <w:ind w:firstLine="0" w:firstLineChars="0"/>
                    <w:textAlignment w:val="auto"/>
                    <w:rPr>
                      <w:rFonts w:eastAsia="宋体" w:cs="Times New Roman"/>
                      <w:color w:val="000000" w:themeColor="text1"/>
                      <w:sz w:val="21"/>
                      <w:szCs w:val="21"/>
                    </w:rPr>
                  </w:pPr>
                  <w:r>
                    <w:rPr>
                      <w:rFonts w:hint="eastAsia" w:eastAsia="宋体" w:cs="Times New Roman"/>
                      <w:color w:val="000000" w:themeColor="text1"/>
                      <w:sz w:val="21"/>
                      <w:szCs w:val="21"/>
                    </w:rPr>
                    <w:t>污染物项目</w:t>
                  </w:r>
                </w:p>
              </w:tc>
              <w:tc>
                <w:tcPr>
                  <w:tcW w:w="2261" w:type="dxa"/>
                  <w:noWrap w:val="0"/>
                  <w:vAlign w:val="center"/>
                </w:tcPr>
                <w:p>
                  <w:pPr>
                    <w:pStyle w:val="234"/>
                    <w:keepNext w:val="0"/>
                    <w:keepLines w:val="0"/>
                    <w:pageBreakBefore w:val="0"/>
                    <w:widowControl w:val="0"/>
                    <w:kinsoku/>
                    <w:wordWrap/>
                    <w:overflowPunct/>
                    <w:topLinePunct w:val="0"/>
                    <w:autoSpaceDE/>
                    <w:autoSpaceDN w:val="0"/>
                    <w:bidi w:val="0"/>
                    <w:adjustRightInd/>
                    <w:snapToGrid/>
                    <w:spacing w:line="240" w:lineRule="auto"/>
                    <w:ind w:firstLine="0" w:firstLineChars="0"/>
                    <w:textAlignment w:val="auto"/>
                    <w:rPr>
                      <w:rFonts w:eastAsia="宋体" w:cs="Times New Roman"/>
                      <w:color w:val="000000" w:themeColor="text1"/>
                      <w:sz w:val="21"/>
                      <w:szCs w:val="21"/>
                    </w:rPr>
                  </w:pPr>
                  <w:r>
                    <w:rPr>
                      <w:rFonts w:hint="eastAsia" w:eastAsia="宋体" w:cs="Times New Roman"/>
                      <w:color w:val="000000" w:themeColor="text1"/>
                      <w:sz w:val="21"/>
                      <w:szCs w:val="21"/>
                    </w:rPr>
                    <w:t>排放限值（</w:t>
                  </w:r>
                  <w:r>
                    <w:rPr>
                      <w:rFonts w:eastAsia="宋体" w:cs="Times New Roman"/>
                      <w:color w:val="000000" w:themeColor="text1"/>
                      <w:sz w:val="21"/>
                      <w:szCs w:val="21"/>
                    </w:rPr>
                    <w:t>mg/m</w:t>
                  </w:r>
                  <w:r>
                    <w:rPr>
                      <w:rFonts w:eastAsia="宋体" w:cs="Times New Roman"/>
                      <w:color w:val="000000" w:themeColor="text1"/>
                      <w:sz w:val="21"/>
                      <w:szCs w:val="21"/>
                      <w:vertAlign w:val="superscript"/>
                    </w:rPr>
                    <w:t>3</w:t>
                  </w:r>
                  <w:r>
                    <w:rPr>
                      <w:rFonts w:hint="eastAsia" w:eastAsia="宋体" w:cs="Times New Roman"/>
                      <w:color w:val="000000" w:themeColor="text1"/>
                      <w:sz w:val="21"/>
                      <w:szCs w:val="21"/>
                    </w:rPr>
                    <w:t>）</w:t>
                  </w:r>
                </w:p>
              </w:tc>
              <w:tc>
                <w:tcPr>
                  <w:tcW w:w="3032" w:type="dxa"/>
                  <w:noWrap w:val="0"/>
                  <w:vAlign w:val="center"/>
                </w:tcPr>
                <w:p>
                  <w:pPr>
                    <w:pStyle w:val="234"/>
                    <w:keepNext w:val="0"/>
                    <w:keepLines w:val="0"/>
                    <w:pageBreakBefore w:val="0"/>
                    <w:widowControl w:val="0"/>
                    <w:kinsoku/>
                    <w:wordWrap/>
                    <w:overflowPunct/>
                    <w:topLinePunct w:val="0"/>
                    <w:autoSpaceDE/>
                    <w:autoSpaceDN w:val="0"/>
                    <w:bidi w:val="0"/>
                    <w:adjustRightInd/>
                    <w:snapToGrid/>
                    <w:spacing w:line="240" w:lineRule="auto"/>
                    <w:ind w:firstLine="0" w:firstLineChars="0"/>
                    <w:textAlignment w:val="auto"/>
                    <w:rPr>
                      <w:rFonts w:hint="eastAsia" w:eastAsia="宋体" w:cs="Times New Roman"/>
                      <w:color w:val="000000" w:themeColor="text1"/>
                      <w:sz w:val="21"/>
                      <w:szCs w:val="21"/>
                    </w:rPr>
                  </w:pPr>
                  <w:r>
                    <w:rPr>
                      <w:rFonts w:hint="eastAsia" w:eastAsia="宋体" w:cs="Times New Roman"/>
                      <w:color w:val="000000" w:themeColor="text1"/>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35" w:type="dxa"/>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center"/>
                    <w:textAlignment w:val="auto"/>
                    <w:rPr>
                      <w:color w:val="000000" w:themeColor="text1"/>
                    </w:rPr>
                  </w:pPr>
                  <w:r>
                    <w:rPr>
                      <w:color w:val="000000" w:themeColor="text1"/>
                    </w:rPr>
                    <w:t>1</w:t>
                  </w:r>
                </w:p>
              </w:tc>
              <w:tc>
                <w:tcPr>
                  <w:tcW w:w="2176" w:type="dxa"/>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center"/>
                    <w:textAlignment w:val="auto"/>
                    <w:rPr>
                      <w:color w:val="000000" w:themeColor="text1"/>
                    </w:rPr>
                  </w:pPr>
                  <w:r>
                    <w:rPr>
                      <w:rFonts w:hint="eastAsia"/>
                      <w:color w:val="000000" w:themeColor="text1"/>
                    </w:rPr>
                    <w:t>颗粒物</w:t>
                  </w:r>
                </w:p>
              </w:tc>
              <w:tc>
                <w:tcPr>
                  <w:tcW w:w="2261" w:type="dxa"/>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center"/>
                    <w:textAlignment w:val="auto"/>
                    <w:rPr>
                      <w:color w:val="000000" w:themeColor="text1"/>
                    </w:rPr>
                  </w:pPr>
                  <w:r>
                    <w:rPr>
                      <w:rFonts w:hint="eastAsia"/>
                      <w:color w:val="000000" w:themeColor="text1"/>
                    </w:rPr>
                    <w:t>30</w:t>
                  </w:r>
                </w:p>
              </w:tc>
              <w:tc>
                <w:tcPr>
                  <w:tcW w:w="3032" w:type="dxa"/>
                  <w:vMerge w:val="restart"/>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both"/>
                    <w:textAlignment w:val="auto"/>
                    <w:rPr>
                      <w:color w:val="000000" w:themeColor="text1"/>
                    </w:rPr>
                  </w:pPr>
                  <w:r>
                    <w:rPr>
                      <w:rFonts w:hint="eastAsia"/>
                      <w:color w:val="000000" w:themeColor="text1"/>
                    </w:rPr>
                    <w:t>关于印发《工业炉窑大气污染综合治理方案》的通知中关于重点区域工业炉窑颗粒物、二氧化硫、氮氧化物实施改造的要求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35" w:type="dxa"/>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center"/>
                    <w:textAlignment w:val="auto"/>
                    <w:rPr>
                      <w:color w:val="000000" w:themeColor="text1"/>
                    </w:rPr>
                  </w:pPr>
                  <w:r>
                    <w:rPr>
                      <w:color w:val="000000" w:themeColor="text1"/>
                    </w:rPr>
                    <w:t>2</w:t>
                  </w:r>
                </w:p>
              </w:tc>
              <w:tc>
                <w:tcPr>
                  <w:tcW w:w="2176" w:type="dxa"/>
                  <w:noWrap w:val="0"/>
                  <w:vAlign w:val="center"/>
                </w:tcPr>
                <w:p>
                  <w:pPr>
                    <w:pStyle w:val="15"/>
                    <w:keepNext w:val="0"/>
                    <w:keepLines w:val="0"/>
                    <w:pageBreakBefore w:val="0"/>
                    <w:widowControl w:val="0"/>
                    <w:kinsoku/>
                    <w:wordWrap/>
                    <w:overflowPunct/>
                    <w:topLinePunct w:val="0"/>
                    <w:autoSpaceDE/>
                    <w:autoSpaceDN w:val="0"/>
                    <w:bidi w:val="0"/>
                    <w:adjustRightInd/>
                    <w:snapToGrid/>
                    <w:spacing w:line="240" w:lineRule="auto"/>
                    <w:ind w:firstLine="0" w:firstLineChars="0"/>
                    <w:jc w:val="center"/>
                    <w:textAlignment w:val="auto"/>
                    <w:rPr>
                      <w:rFonts w:ascii="Times New Roman"/>
                      <w:color w:val="000000" w:themeColor="text1"/>
                      <w:sz w:val="21"/>
                    </w:rPr>
                  </w:pPr>
                  <w:r>
                    <w:rPr>
                      <w:rFonts w:ascii="Times New Roman"/>
                      <w:color w:val="000000" w:themeColor="text1"/>
                      <w:sz w:val="21"/>
                    </w:rPr>
                    <w:t>SO</w:t>
                  </w:r>
                  <w:r>
                    <w:rPr>
                      <w:rFonts w:ascii="Times New Roman"/>
                      <w:color w:val="000000" w:themeColor="text1"/>
                      <w:sz w:val="21"/>
                      <w:vertAlign w:val="subscript"/>
                    </w:rPr>
                    <w:t>2</w:t>
                  </w:r>
                </w:p>
              </w:tc>
              <w:tc>
                <w:tcPr>
                  <w:tcW w:w="2261" w:type="dxa"/>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center"/>
                    <w:textAlignment w:val="auto"/>
                    <w:rPr>
                      <w:color w:val="000000" w:themeColor="text1"/>
                    </w:rPr>
                  </w:pPr>
                  <w:r>
                    <w:rPr>
                      <w:rFonts w:hint="eastAsia"/>
                      <w:color w:val="000000" w:themeColor="text1"/>
                    </w:rPr>
                    <w:t>20</w:t>
                  </w:r>
                  <w:r>
                    <w:rPr>
                      <w:color w:val="000000" w:themeColor="text1"/>
                    </w:rPr>
                    <w:t>0</w:t>
                  </w:r>
                </w:p>
              </w:tc>
              <w:tc>
                <w:tcPr>
                  <w:tcW w:w="3032" w:type="dxa"/>
                  <w:vMerge w:val="continue"/>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both"/>
                    <w:textAlignment w:val="auto"/>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center"/>
                    <w:textAlignment w:val="auto"/>
                    <w:rPr>
                      <w:color w:val="000000" w:themeColor="text1"/>
                    </w:rPr>
                  </w:pPr>
                  <w:r>
                    <w:rPr>
                      <w:color w:val="000000" w:themeColor="text1"/>
                    </w:rPr>
                    <w:t>3</w:t>
                  </w:r>
                </w:p>
              </w:tc>
              <w:tc>
                <w:tcPr>
                  <w:tcW w:w="2176" w:type="dxa"/>
                  <w:noWrap w:val="0"/>
                  <w:vAlign w:val="center"/>
                </w:tcPr>
                <w:p>
                  <w:pPr>
                    <w:pStyle w:val="15"/>
                    <w:keepNext w:val="0"/>
                    <w:keepLines w:val="0"/>
                    <w:pageBreakBefore w:val="0"/>
                    <w:widowControl w:val="0"/>
                    <w:kinsoku/>
                    <w:wordWrap/>
                    <w:overflowPunct/>
                    <w:topLinePunct w:val="0"/>
                    <w:autoSpaceDE/>
                    <w:autoSpaceDN w:val="0"/>
                    <w:bidi w:val="0"/>
                    <w:adjustRightInd/>
                    <w:snapToGrid/>
                    <w:spacing w:line="240" w:lineRule="auto"/>
                    <w:ind w:firstLine="0" w:firstLineChars="0"/>
                    <w:jc w:val="center"/>
                    <w:textAlignment w:val="auto"/>
                    <w:rPr>
                      <w:rFonts w:ascii="Times New Roman"/>
                      <w:color w:val="000000" w:themeColor="text1"/>
                      <w:sz w:val="21"/>
                    </w:rPr>
                  </w:pPr>
                  <w:r>
                    <w:rPr>
                      <w:rFonts w:ascii="Times New Roman"/>
                      <w:color w:val="000000" w:themeColor="text1"/>
                      <w:sz w:val="21"/>
                    </w:rPr>
                    <w:t>NO</w:t>
                  </w:r>
                  <w:r>
                    <w:rPr>
                      <w:rFonts w:ascii="Times New Roman"/>
                      <w:color w:val="000000" w:themeColor="text1"/>
                      <w:sz w:val="21"/>
                      <w:vertAlign w:val="subscript"/>
                    </w:rPr>
                    <w:t>x</w:t>
                  </w:r>
                </w:p>
              </w:tc>
              <w:tc>
                <w:tcPr>
                  <w:tcW w:w="2261" w:type="dxa"/>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center"/>
                    <w:textAlignment w:val="auto"/>
                    <w:rPr>
                      <w:color w:val="000000" w:themeColor="text1"/>
                    </w:rPr>
                  </w:pPr>
                  <w:r>
                    <w:rPr>
                      <w:rFonts w:hint="eastAsia"/>
                      <w:color w:val="000000" w:themeColor="text1"/>
                    </w:rPr>
                    <w:t>300</w:t>
                  </w:r>
                </w:p>
              </w:tc>
              <w:tc>
                <w:tcPr>
                  <w:tcW w:w="3032" w:type="dxa"/>
                  <w:vMerge w:val="continue"/>
                  <w:noWrap w:val="0"/>
                  <w:vAlign w:val="center"/>
                </w:tcPr>
                <w:p>
                  <w:pPr>
                    <w:pStyle w:val="235"/>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both"/>
                    <w:textAlignment w:val="auto"/>
                    <w:rPr>
                      <w:rFonts w:hint="eastAsia"/>
                      <w:color w:val="000000" w:themeColor="text1"/>
                    </w:rPr>
                  </w:pPr>
                </w:p>
              </w:tc>
            </w:tr>
          </w:tbl>
          <w:p>
            <w:p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2、废水</w:t>
            </w:r>
          </w:p>
          <w:p>
            <w:pPr>
              <w:spacing w:line="360" w:lineRule="auto"/>
              <w:ind w:firstLine="480" w:firstLineChars="200"/>
              <w:rPr>
                <w:rFonts w:hint="eastAsia"/>
                <w:sz w:val="24"/>
              </w:rPr>
            </w:pPr>
            <w:r>
              <w:rPr>
                <w:rFonts w:hint="eastAsia" w:ascii="宋体" w:hAnsi="宋体"/>
                <w:kern w:val="0"/>
                <w:sz w:val="24"/>
                <w:lang w:val="en-US" w:eastAsia="zh-CN"/>
              </w:rPr>
              <w:t>项目切割废水循环使用，不外排；洗漱废水喷洒厂区降尘，入厕废水</w:t>
            </w:r>
            <w:r>
              <w:rPr>
                <w:rFonts w:hint="eastAsia" w:ascii="宋体" w:hAnsi="宋体"/>
                <w:sz w:val="24"/>
              </w:rPr>
              <w:t>排入</w:t>
            </w:r>
            <w:r>
              <w:rPr>
                <w:rFonts w:hint="eastAsia" w:ascii="宋体" w:hAnsi="宋体"/>
                <w:sz w:val="24"/>
                <w:lang w:val="en-US" w:eastAsia="zh-CN"/>
              </w:rPr>
              <w:t>旱厕</w:t>
            </w:r>
            <w:r>
              <w:rPr>
                <w:rFonts w:hint="eastAsia" w:ascii="宋体" w:hAnsi="宋体"/>
                <w:sz w:val="24"/>
                <w:lang w:eastAsia="zh-CN"/>
              </w:rPr>
              <w:t>，</w:t>
            </w:r>
            <w:r>
              <w:rPr>
                <w:rFonts w:hint="eastAsia" w:ascii="宋体" w:hAnsi="宋体"/>
                <w:sz w:val="24"/>
              </w:rPr>
              <w:t>定期清掏不外排</w:t>
            </w:r>
            <w:r>
              <w:rPr>
                <w:rFonts w:hint="eastAsia"/>
                <w:sz w:val="24"/>
              </w:rPr>
              <w:t>。</w:t>
            </w:r>
          </w:p>
          <w:p>
            <w:p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3、噪声</w:t>
            </w:r>
          </w:p>
          <w:p>
            <w:pPr>
              <w:spacing w:line="360" w:lineRule="auto"/>
              <w:ind w:firstLine="480" w:firstLineChars="200"/>
              <w:rPr>
                <w:rFonts w:hint="eastAsia"/>
                <w:sz w:val="24"/>
              </w:rPr>
            </w:pPr>
            <w:r>
              <w:rPr>
                <w:rFonts w:hint="eastAsia"/>
                <w:sz w:val="24"/>
              </w:rPr>
              <w:t>营运期厂界噪声排放执行《工业企业厂界环境噪声排放标准》（GB12348-2008）中的2类标准。</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pPr>
            <w:r>
              <w:rPr>
                <w:b/>
                <w:sz w:val="24"/>
                <w:szCs w:val="24"/>
              </w:rPr>
              <w:t>表4-</w:t>
            </w:r>
            <w:r>
              <w:rPr>
                <w:rFonts w:hint="eastAsia"/>
                <w:b/>
                <w:sz w:val="24"/>
                <w:szCs w:val="24"/>
                <w:lang w:val="en-US" w:eastAsia="zh-CN"/>
              </w:rPr>
              <w:t>5</w:t>
            </w:r>
            <w:r>
              <w:rPr>
                <w:b/>
                <w:sz w:val="24"/>
                <w:szCs w:val="24"/>
              </w:rPr>
              <w:t xml:space="preserve"> </w:t>
            </w:r>
            <w:r>
              <w:rPr>
                <w:rFonts w:hint="eastAsia"/>
                <w:b/>
                <w:sz w:val="24"/>
                <w:szCs w:val="24"/>
                <w:lang w:val="en-US" w:eastAsia="zh-CN"/>
              </w:rPr>
              <w:t>项目</w:t>
            </w:r>
            <w:r>
              <w:rPr>
                <w:rFonts w:hint="eastAsia" w:ascii="Times New Roman" w:hAnsi="Times New Roman" w:cs="Times New Roman"/>
                <w:b/>
                <w:sz w:val="24"/>
                <w:szCs w:val="24"/>
                <w:lang w:val="en-US" w:eastAsia="zh-CN"/>
              </w:rPr>
              <w:t>噪声排放</w:t>
            </w:r>
            <w:r>
              <w:rPr>
                <w:rFonts w:hint="eastAsia"/>
                <w:b/>
                <w:sz w:val="24"/>
                <w:szCs w:val="24"/>
                <w:lang w:val="en-US" w:eastAsia="zh-CN"/>
              </w:rPr>
              <w:t>标准</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27"/>
              <w:gridCol w:w="2838"/>
              <w:gridCol w:w="28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27"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类别</w:t>
                  </w:r>
                </w:p>
              </w:tc>
              <w:tc>
                <w:tcPr>
                  <w:tcW w:w="2838"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昼间（dB（A）</w:t>
                  </w:r>
                </w:p>
              </w:tc>
              <w:tc>
                <w:tcPr>
                  <w:tcW w:w="2839"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夜间（dB（A））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27"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2类</w:t>
                  </w:r>
                </w:p>
              </w:tc>
              <w:tc>
                <w:tcPr>
                  <w:tcW w:w="2838"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60</w:t>
                  </w:r>
                </w:p>
              </w:tc>
              <w:tc>
                <w:tcPr>
                  <w:tcW w:w="2839"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50</w:t>
                  </w:r>
                </w:p>
              </w:tc>
            </w:tr>
          </w:tbl>
          <w:p>
            <w:p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4、固体废物</w:t>
            </w:r>
          </w:p>
          <w:p>
            <w:pPr>
              <w:tabs>
                <w:tab w:val="left" w:pos="3809"/>
              </w:tabs>
              <w:spacing w:line="480" w:lineRule="exact"/>
              <w:ind w:firstLine="480" w:firstLineChars="200"/>
            </w:pPr>
            <w:r>
              <w:rPr>
                <w:rFonts w:hint="eastAsia"/>
                <w:sz w:val="24"/>
              </w:rPr>
              <w:t>一般固体废弃物排放执行《一般固体废弃物贮存、处置场污染控制标准》（GB18599-2001）及其修改单中相关规定；危险废物排放执行</w:t>
            </w:r>
            <w:r>
              <w:rPr>
                <w:rFonts w:hint="eastAsia" w:ascii="宋体"/>
                <w:sz w:val="24"/>
              </w:rPr>
              <w:t>《危险废物贮存污染控制标准》（</w:t>
            </w:r>
            <w:r>
              <w:rPr>
                <w:sz w:val="24"/>
              </w:rPr>
              <w:t>GB18597-2001</w:t>
            </w:r>
            <w:r>
              <w:rPr>
                <w:rFonts w:hint="eastAsia" w:ascii="宋体"/>
                <w:sz w:val="24"/>
              </w:rPr>
              <w:t>）及其修改单中相关要求</w:t>
            </w:r>
            <w:r>
              <w:rPr>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6" w:hRule="atLeast"/>
          <w:jc w:val="center"/>
        </w:trPr>
        <w:tc>
          <w:tcPr>
            <w:tcW w:w="45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p>
            <w:pPr>
              <w:pStyle w:val="5"/>
            </w:pPr>
          </w:p>
          <w:p>
            <w:pPr>
              <w:pStyle w:val="5"/>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r>
              <w:t>污染物排放标准</w:t>
            </w:r>
          </w:p>
          <w:p>
            <w:pPr>
              <w:pStyle w:val="2"/>
            </w:pPr>
          </w:p>
          <w:p>
            <w:pPr>
              <w:pStyle w:val="2"/>
              <w:rPr>
                <w:rFonts w:eastAsia="黑体"/>
                <w:bCs/>
                <w:color w:val="FF0000"/>
                <w:sz w:val="28"/>
                <w:szCs w:val="28"/>
              </w:rPr>
            </w:pPr>
          </w:p>
          <w:p>
            <w:pPr>
              <w:pStyle w:val="2"/>
              <w:rPr>
                <w:rFonts w:eastAsia="黑体"/>
                <w:bCs/>
                <w:color w:val="FF0000"/>
                <w:sz w:val="28"/>
                <w:szCs w:val="28"/>
              </w:rPr>
            </w:pPr>
          </w:p>
          <w:p>
            <w:pPr>
              <w:pStyle w:val="2"/>
              <w:rPr>
                <w:rFonts w:eastAsia="黑体"/>
                <w:bCs/>
                <w:color w:val="FF0000"/>
                <w:sz w:val="28"/>
                <w:szCs w:val="28"/>
              </w:rPr>
            </w:pPr>
          </w:p>
        </w:tc>
        <w:tc>
          <w:tcPr>
            <w:tcW w:w="8899" w:type="dxa"/>
            <w:vMerge w:val="continue"/>
          </w:tcPr>
          <w:p>
            <w:pPr>
              <w:ind w:firstLine="48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2" w:hRule="atLeast"/>
          <w:jc w:val="center"/>
        </w:trPr>
        <w:tc>
          <w:tcPr>
            <w:tcW w:w="455" w:type="dxa"/>
            <w:tcBorders>
              <w:bottom w:val="single" w:color="auto" w:sz="12" w:space="0"/>
            </w:tcBorders>
            <w:vAlign w:val="center"/>
          </w:tcPr>
          <w:p>
            <w:pPr>
              <w:autoSpaceDE w:val="0"/>
              <w:autoSpaceDN w:val="0"/>
              <w:adjustRightInd w:val="0"/>
              <w:snapToGrid w:val="0"/>
              <w:spacing w:line="480" w:lineRule="exact"/>
              <w:ind w:firstLine="0" w:firstLineChars="0"/>
              <w:rPr>
                <w:rFonts w:eastAsia="黑体"/>
                <w:bCs/>
                <w:sz w:val="28"/>
                <w:szCs w:val="28"/>
              </w:rPr>
            </w:pPr>
            <w:r>
              <w:rPr>
                <w:rFonts w:eastAsia="黑体"/>
                <w:bCs/>
                <w:sz w:val="28"/>
                <w:szCs w:val="28"/>
              </w:rPr>
              <w:t>总量控制指标</w:t>
            </w:r>
          </w:p>
        </w:tc>
        <w:tc>
          <w:tcPr>
            <w:tcW w:w="8899" w:type="dxa"/>
            <w:tcBorders>
              <w:bottom w:val="single" w:color="auto" w:sz="12" w:space="0"/>
            </w:tcBorders>
            <w:vAlign w:val="center"/>
          </w:tcPr>
          <w:p>
            <w:pPr>
              <w:spacing w:line="360" w:lineRule="auto"/>
              <w:ind w:firstLine="480" w:firstLineChars="200"/>
            </w:pPr>
          </w:p>
          <w:p>
            <w:pPr>
              <w:spacing w:line="360" w:lineRule="auto"/>
              <w:ind w:firstLine="480" w:firstLineChars="200"/>
            </w:pPr>
            <w:r>
              <w:t>根据</w:t>
            </w:r>
            <w:r>
              <w:rPr>
                <w:rFonts w:hint="eastAsia"/>
              </w:rPr>
              <w:t>《建设项目主要污染物排放总量指标审核及管理暂行办法》（环发</w:t>
            </w:r>
            <w:r>
              <w:t>[201</w:t>
            </w:r>
            <w:r>
              <w:rPr>
                <w:rFonts w:hint="eastAsia"/>
              </w:rPr>
              <w:t>4</w:t>
            </w:r>
            <w:r>
              <w:t>]</w:t>
            </w:r>
            <w:r>
              <w:rPr>
                <w:rFonts w:hint="eastAsia"/>
              </w:rPr>
              <w:t>19</w:t>
            </w:r>
            <w:r>
              <w:t>号</w:t>
            </w:r>
            <w:r>
              <w:rPr>
                <w:rFonts w:hint="eastAsia"/>
              </w:rPr>
              <w:t>）的要求和国家“十三五”总量控制指标，总量控制指标为</w:t>
            </w:r>
            <w:r>
              <w:t>化学需氧量、氨氮、二氧化硫、氮氧化物</w:t>
            </w:r>
            <w:r>
              <w:rPr>
                <w:rFonts w:hint="eastAsia"/>
                <w:lang w:val="en-US" w:eastAsia="zh-CN"/>
              </w:rPr>
              <w:t>4</w:t>
            </w:r>
            <w:r>
              <w:rPr>
                <w:rFonts w:hint="eastAsia"/>
              </w:rPr>
              <w:t>种污染物实行排放总量控制，实施重点行业挥发性有机物（VOCs）总量控制。</w:t>
            </w:r>
          </w:p>
          <w:p>
            <w:pPr>
              <w:spacing w:line="360" w:lineRule="auto"/>
              <w:ind w:firstLine="480" w:firstLineChars="200"/>
            </w:pPr>
            <w:r>
              <w:rPr>
                <w:rFonts w:hint="eastAsia"/>
              </w:rPr>
              <w:t>本项目</w:t>
            </w:r>
            <w:r>
              <w:rPr>
                <w:rFonts w:hint="eastAsia"/>
                <w:lang w:val="en-US" w:eastAsia="zh-CN"/>
              </w:rPr>
              <w:t>切割废水循环使用，不外排；入厕废水进入旱厕</w:t>
            </w:r>
            <w:r>
              <w:rPr>
                <w:rFonts w:hint="eastAsia"/>
              </w:rPr>
              <w:t>，由当地农户拉走作农肥，不外排</w:t>
            </w:r>
            <w:r>
              <w:rPr>
                <w:rFonts w:hint="eastAsia"/>
                <w:lang w:eastAsia="zh-CN"/>
              </w:rPr>
              <w:t>。</w:t>
            </w:r>
            <w:r>
              <w:rPr>
                <w:rFonts w:hint="eastAsia"/>
              </w:rPr>
              <w:t>因此，</w:t>
            </w:r>
            <w:r>
              <w:t>本项目涉及的总量控制指标如下：氮氧化物：</w:t>
            </w:r>
            <w:r>
              <w:rPr>
                <w:rFonts w:hint="eastAsia"/>
                <w:lang w:val="en-US" w:eastAsia="zh-CN"/>
              </w:rPr>
              <w:t>13.156</w:t>
            </w:r>
            <w:r>
              <w:t>kg/a；二氧化硫：</w:t>
            </w:r>
            <w:r>
              <w:rPr>
                <w:rFonts w:hint="eastAsia"/>
                <w:lang w:val="en-US" w:eastAsia="zh-CN"/>
              </w:rPr>
              <w:t>1.345</w:t>
            </w:r>
            <w:r>
              <w:t>kg/a；VOCs</w:t>
            </w:r>
            <w:r>
              <w:rPr>
                <w:rFonts w:hint="eastAsia"/>
              </w:rPr>
              <w:t>：</w:t>
            </w:r>
            <w:r>
              <w:rPr>
                <w:rFonts w:hint="eastAsia"/>
                <w:lang w:val="en-US" w:eastAsia="zh-CN"/>
              </w:rPr>
              <w:t>5.72</w:t>
            </w:r>
            <w:r>
              <w:t>kg/a</w:t>
            </w:r>
            <w:r>
              <w:rPr>
                <w:rFonts w:hint="eastAsia"/>
              </w:rPr>
              <w:t>。</w:t>
            </w:r>
          </w:p>
          <w:p>
            <w:pPr>
              <w:pStyle w:val="32"/>
              <w:ind w:left="0" w:leftChars="0" w:firstLine="0" w:firstLineChars="0"/>
            </w:pPr>
          </w:p>
          <w:p>
            <w:pPr>
              <w:pStyle w:val="31"/>
            </w:pPr>
          </w:p>
          <w:p>
            <w:pPr>
              <w:pStyle w:val="31"/>
            </w:pPr>
          </w:p>
          <w:p>
            <w:pPr>
              <w:pStyle w:val="31"/>
            </w:pPr>
          </w:p>
          <w:p>
            <w:pPr>
              <w:pStyle w:val="31"/>
            </w:pPr>
          </w:p>
          <w:p>
            <w:pPr>
              <w:pStyle w:val="31"/>
            </w:pPr>
          </w:p>
          <w:p>
            <w:pPr>
              <w:pStyle w:val="31"/>
            </w:pPr>
          </w:p>
          <w:p>
            <w:pPr>
              <w:pStyle w:val="31"/>
            </w:pPr>
          </w:p>
          <w:p>
            <w:pPr>
              <w:pStyle w:val="31"/>
              <w:ind w:left="0" w:leftChars="0" w:firstLine="0" w:firstLineChars="0"/>
            </w:pPr>
          </w:p>
        </w:tc>
      </w:tr>
    </w:tbl>
    <w:p>
      <w:pPr>
        <w:spacing w:line="240" w:lineRule="auto"/>
        <w:ind w:firstLine="0" w:firstLineChars="0"/>
        <w:jc w:val="left"/>
        <w:outlineLvl w:val="0"/>
        <w:rPr>
          <w:rFonts w:hint="eastAsia" w:ascii="Times New Roman" w:hAnsi="Times New Roman" w:eastAsia="黑体" w:cs="Times New Roman"/>
          <w:sz w:val="32"/>
        </w:rPr>
      </w:pPr>
      <w:r>
        <w:rPr>
          <w:rFonts w:hint="eastAsia" w:ascii="Times New Roman" w:hAnsi="Times New Roman" w:eastAsia="黑体" w:cs="Times New Roman"/>
          <w:sz w:val="32"/>
        </w:rPr>
        <w:t>五、建设项目工程分析</w:t>
      </w:r>
    </w:p>
    <w:tbl>
      <w:tblPr>
        <w:tblStyle w:val="34"/>
        <w:tblW w:w="9354"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3005" w:hRule="atLeast"/>
          <w:jc w:val="center"/>
        </w:trPr>
        <w:tc>
          <w:tcPr>
            <w:tcW w:w="9354" w:type="dxa"/>
            <w:tcBorders>
              <w:tl2br w:val="nil"/>
              <w:tr2bl w:val="nil"/>
            </w:tcBorders>
            <w:vAlign w:val="top"/>
          </w:tcPr>
          <w:p>
            <w:pPr>
              <w:autoSpaceDN w:val="0"/>
              <w:ind w:left="0" w:leftChars="0" w:firstLine="0" w:firstLineChars="0"/>
              <w:rPr>
                <w:b/>
                <w:bCs/>
                <w:sz w:val="28"/>
                <w:szCs w:val="28"/>
              </w:rPr>
            </w:pPr>
            <w:r>
              <w:rPr>
                <w:b/>
                <w:bCs/>
                <w:sz w:val="28"/>
                <w:szCs w:val="28"/>
              </w:rPr>
              <w:t>工艺流程简述（图示）：</w:t>
            </w:r>
          </w:p>
          <w:p>
            <w:pPr>
              <w:ind w:firstLine="480"/>
              <w:rPr>
                <w:sz w:val="24"/>
              </w:rPr>
            </w:pPr>
            <w:r>
              <w:rPr>
                <w:rFonts w:hint="eastAsia"/>
                <w:sz w:val="24"/>
              </w:rPr>
              <w:t>本项目主要</w:t>
            </w:r>
            <w:r>
              <w:rPr>
                <w:rFonts w:hint="eastAsia"/>
                <w:sz w:val="24"/>
                <w:lang w:val="en-US" w:eastAsia="zh-CN"/>
              </w:rPr>
              <w:t>生产金属架子床</w:t>
            </w:r>
            <w:r>
              <w:rPr>
                <w:rFonts w:hint="eastAsia" w:ascii="宋体" w:hAnsi="宋体"/>
                <w:sz w:val="24"/>
              </w:rPr>
              <w:t>。</w:t>
            </w:r>
          </w:p>
          <w:p>
            <w:p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1、项目工艺流程及产物环节</w:t>
            </w:r>
          </w:p>
          <w:p>
            <w:pPr>
              <w:numPr>
                <w:ilvl w:val="0"/>
                <w:numId w:val="0"/>
              </w:numPr>
              <w:jc w:val="center"/>
            </w:pPr>
            <w:r>
              <w:object>
                <v:shape id="_x0000_i1025" o:spt="75" type="#_x0000_t75" style="height:146.65pt;width:401.8pt;" o:ole="t" filled="f" o:preferrelative="t" stroked="f" coordsize="21600,21600">
                  <v:path/>
                  <v:fill on="f" focussize="0,0"/>
                  <v:stroke on="f"/>
                  <v:imagedata r:id="rId17" o:title=""/>
                  <o:lock v:ext="edit" aspectratio="f"/>
                  <w10:wrap type="none"/>
                  <w10:anchorlock/>
                </v:shape>
                <o:OLEObject Type="Embed" ProgID="Visio.Drawing.15" ShapeID="_x0000_i1025" DrawAspect="Content" ObjectID="_1468075725" r:id="rId16">
                  <o:LockedField>false</o:LockedField>
                </o:OLEObject>
              </w:object>
            </w:r>
          </w:p>
          <w:p>
            <w:pPr>
              <w:pStyle w:val="2"/>
              <w:ind w:left="0" w:leftChars="0" w:firstLine="0" w:firstLineChars="0"/>
              <w:jc w:val="center"/>
              <w:rPr>
                <w:b/>
                <w:bCs/>
                <w:sz w:val="24"/>
              </w:rPr>
            </w:pPr>
            <w:r>
              <w:rPr>
                <w:b/>
                <w:bCs/>
                <w:sz w:val="24"/>
              </w:rPr>
              <w:t>图</w:t>
            </w:r>
            <w:r>
              <w:rPr>
                <w:rFonts w:hint="eastAsia"/>
                <w:b/>
                <w:bCs/>
                <w:sz w:val="24"/>
                <w:lang w:val="en-US" w:eastAsia="zh-CN"/>
              </w:rPr>
              <w:t>5-1</w:t>
            </w:r>
            <w:r>
              <w:rPr>
                <w:b/>
                <w:bCs/>
                <w:sz w:val="24"/>
              </w:rPr>
              <w:t xml:space="preserve"> </w:t>
            </w:r>
            <w:r>
              <w:rPr>
                <w:rFonts w:hint="eastAsia"/>
                <w:b/>
                <w:bCs/>
                <w:sz w:val="24"/>
                <w:lang w:val="en-US" w:eastAsia="zh-CN"/>
              </w:rPr>
              <w:t>架子床</w:t>
            </w:r>
            <w:r>
              <w:rPr>
                <w:b/>
                <w:bCs/>
                <w:sz w:val="24"/>
              </w:rPr>
              <w:t>生产工艺流程及产污环节图</w:t>
            </w:r>
          </w:p>
          <w:p>
            <w:pPr>
              <w:pStyle w:val="2"/>
              <w:ind w:left="0" w:leftChars="0" w:firstLine="0" w:firstLineChars="0"/>
              <w:jc w:val="center"/>
              <w:rPr>
                <w:color w:val="000000" w:themeColor="text1"/>
              </w:rPr>
            </w:pPr>
            <w:r>
              <w:rPr>
                <w:color w:val="000000" w:themeColor="text1"/>
              </w:rPr>
              <w:object>
                <v:shape id="_x0000_i1026" o:spt="75" type="#_x0000_t75" style="height:117pt;width:399.75pt;" o:ole="t" filled="f" o:preferrelative="t" stroked="f" coordsize="21600,21600">
                  <v:path/>
                  <v:fill on="f" focussize="0,0"/>
                  <v:stroke on="f"/>
                  <v:imagedata r:id="rId19" o:title=""/>
                  <o:lock v:ext="edit" aspectratio="f"/>
                  <w10:wrap type="none"/>
                  <w10:anchorlock/>
                </v:shape>
                <o:OLEObject Type="Embed" ProgID="Visio.Drawing.15" ShapeID="_x0000_i1026" DrawAspect="Content" ObjectID="_1468075726" r:id="rId18">
                  <o:LockedField>false</o:LockedField>
                </o:OLEObject>
              </w:object>
            </w:r>
          </w:p>
          <w:p>
            <w:pPr>
              <w:pStyle w:val="207"/>
              <w:rPr>
                <w:color w:val="000000" w:themeColor="text1"/>
              </w:rPr>
            </w:pPr>
            <w:r>
              <w:rPr>
                <w:rFonts w:hint="eastAsia" w:ascii="Times New Roman" w:hAnsi="Times New Roman" w:cs="Times New Roman"/>
                <w:color w:val="000000" w:themeColor="text1"/>
              </w:rPr>
              <w:t xml:space="preserve">图5-2 </w:t>
            </w:r>
            <w:r>
              <w:rPr>
                <w:rFonts w:hint="eastAsia" w:ascii="Times New Roman" w:hAnsi="Times New Roman" w:cs="Times New Roman"/>
                <w:color w:val="000000" w:themeColor="text1"/>
                <w:lang w:val="en-US" w:eastAsia="zh-CN"/>
              </w:rPr>
              <w:t>床板生产</w:t>
            </w:r>
            <w:r>
              <w:rPr>
                <w:rFonts w:hint="eastAsia" w:ascii="Times New Roman" w:hAnsi="Times New Roman" w:cs="Times New Roman"/>
                <w:color w:val="000000" w:themeColor="text1"/>
              </w:rPr>
              <w:t>工艺流程及排污节点图</w:t>
            </w:r>
          </w:p>
          <w:p>
            <w:pPr>
              <w:numPr>
                <w:ilvl w:val="0"/>
                <w:numId w:val="1"/>
              </w:numPr>
              <w:ind w:left="0" w:leftChars="0" w:firstLine="0" w:firstLine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工艺流程简述</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default" w:ascii="Times New Roman" w:hAnsi="宋体" w:cs="Times New Roman"/>
                <w:b/>
                <w:bCs/>
                <w:kern w:val="0"/>
                <w:sz w:val="24"/>
                <w:szCs w:val="24"/>
                <w:lang w:val="en-US" w:eastAsia="zh-CN" w:bidi="ar-SA"/>
              </w:rPr>
            </w:pPr>
            <w:r>
              <w:rPr>
                <w:rFonts w:hint="eastAsia" w:hAnsi="宋体" w:cs="Times New Roman"/>
                <w:b/>
                <w:bCs/>
                <w:kern w:val="0"/>
                <w:sz w:val="24"/>
                <w:szCs w:val="24"/>
                <w:lang w:val="en-US" w:eastAsia="zh-CN" w:bidi="ar-SA"/>
              </w:rPr>
              <w:t>（1）架子床工艺流程</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default" w:ascii="Times New Roman" w:hAnsi="宋体" w:eastAsia="宋体" w:cs="Times New Roman"/>
                <w:b/>
                <w:bCs/>
                <w:kern w:val="0"/>
                <w:sz w:val="24"/>
                <w:szCs w:val="24"/>
                <w:lang w:val="en-US" w:eastAsia="zh-CN" w:bidi="ar-SA"/>
              </w:rPr>
            </w:pPr>
            <w:r>
              <w:rPr>
                <w:rFonts w:hint="eastAsia" w:ascii="Times New Roman" w:hAnsi="宋体" w:cs="Times New Roman"/>
                <w:b/>
                <w:bCs/>
                <w:kern w:val="0"/>
                <w:sz w:val="24"/>
                <w:szCs w:val="24"/>
                <w:lang w:val="en-US" w:eastAsia="zh-CN" w:bidi="ar-SA"/>
              </w:rPr>
              <w:t>湿</w:t>
            </w:r>
            <w:r>
              <w:rPr>
                <w:rFonts w:hint="eastAsia" w:ascii="Times New Roman" w:hAnsi="宋体" w:eastAsia="宋体" w:cs="Times New Roman"/>
                <w:b/>
                <w:bCs/>
                <w:kern w:val="0"/>
                <w:sz w:val="24"/>
                <w:szCs w:val="24"/>
                <w:lang w:val="en-US" w:eastAsia="zh-CN" w:bidi="ar-SA"/>
              </w:rPr>
              <w:t>切割：</w:t>
            </w:r>
            <w:r>
              <w:rPr>
                <w:rFonts w:hint="eastAsia" w:ascii="Times New Roman" w:hAnsi="宋体" w:eastAsia="宋体" w:cs="Times New Roman"/>
                <w:kern w:val="2"/>
                <w:sz w:val="24"/>
                <w:szCs w:val="24"/>
                <w:lang w:val="en-US" w:eastAsia="zh-CN" w:bidi="ar-SA"/>
              </w:rPr>
              <w:t>将</w:t>
            </w:r>
            <w:r>
              <w:rPr>
                <w:rFonts w:hint="eastAsia" w:ascii="Times New Roman" w:hAnsi="宋体" w:cs="Times New Roman"/>
                <w:kern w:val="2"/>
                <w:sz w:val="24"/>
                <w:szCs w:val="24"/>
                <w:lang w:val="en-US" w:eastAsia="zh-CN" w:bidi="ar-SA"/>
              </w:rPr>
              <w:t>外购的钢管按照客户的需要进行定长切割，切割过程中有</w:t>
            </w:r>
            <w:r>
              <w:rPr>
                <w:rFonts w:hint="eastAsia" w:hAnsi="宋体" w:cs="Times New Roman"/>
                <w:kern w:val="2"/>
                <w:sz w:val="24"/>
                <w:szCs w:val="24"/>
                <w:lang w:val="en-US" w:eastAsia="zh-CN" w:bidi="ar-SA"/>
              </w:rPr>
              <w:t>冷却</w:t>
            </w:r>
            <w:r>
              <w:rPr>
                <w:rFonts w:hint="eastAsia" w:ascii="Times New Roman" w:hAnsi="宋体" w:cs="Times New Roman"/>
                <w:kern w:val="2"/>
                <w:sz w:val="24"/>
                <w:szCs w:val="24"/>
                <w:lang w:val="en-US" w:eastAsia="zh-CN" w:bidi="ar-SA"/>
              </w:rPr>
              <w:t>水冷却降温，切割机下方有废水收集槽，过滤后循环使用</w:t>
            </w:r>
            <w:r>
              <w:rPr>
                <w:rFonts w:hint="eastAsia" w:hAnsi="宋体"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eastAsia="宋体"/>
                <w:lang w:eastAsia="zh-CN"/>
              </w:rPr>
            </w:pPr>
            <w:bookmarkStart w:id="99" w:name="_Toc10626"/>
            <w:bookmarkStart w:id="100" w:name="_Toc614_WPSOffice_Level2"/>
            <w:r>
              <w:rPr>
                <w:rFonts w:hAnsi="宋体"/>
                <w:b/>
                <w:bCs/>
                <w:kern w:val="0"/>
                <w:sz w:val="24"/>
              </w:rPr>
              <w:t>焊接：</w:t>
            </w:r>
            <w:r>
              <w:rPr>
                <w:rFonts w:hAnsi="宋体"/>
                <w:sz w:val="24"/>
              </w:rPr>
              <w:t>将</w:t>
            </w:r>
            <w:r>
              <w:rPr>
                <w:rFonts w:hint="eastAsia" w:hAnsi="宋体"/>
                <w:sz w:val="24"/>
                <w:lang w:val="en-US" w:eastAsia="zh-CN"/>
              </w:rPr>
              <w:t>切割的钢管进行</w:t>
            </w:r>
            <w:r>
              <w:rPr>
                <w:rFonts w:hAnsi="宋体"/>
                <w:sz w:val="24"/>
              </w:rPr>
              <w:t>焊接</w:t>
            </w:r>
            <w:r>
              <w:rPr>
                <w:rFonts w:hint="eastAsia" w:hAnsi="宋体"/>
                <w:sz w:val="24"/>
                <w:lang w:eastAsia="zh-CN"/>
              </w:rPr>
              <w:t>，</w:t>
            </w:r>
            <w:r>
              <w:rPr>
                <w:rFonts w:hAnsi="宋体"/>
                <w:sz w:val="24"/>
              </w:rPr>
              <w:t>采用二保焊机进行焊接</w:t>
            </w:r>
            <w:r>
              <w:rPr>
                <w:rFonts w:hint="eastAsia"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kern w:val="0"/>
                <w:sz w:val="24"/>
              </w:rPr>
            </w:pPr>
            <w:r>
              <w:rPr>
                <w:rFonts w:hAnsi="宋体"/>
                <w:b/>
                <w:bCs/>
                <w:kern w:val="0"/>
                <w:sz w:val="24"/>
              </w:rPr>
              <w:t>喷塑：</w:t>
            </w:r>
            <w:r>
              <w:rPr>
                <w:rFonts w:hAnsi="宋体"/>
                <w:sz w:val="24"/>
              </w:rPr>
              <w:t>采用的塑粉是热固型的无毒环保耐活性型粉末</w:t>
            </w:r>
            <w:r>
              <w:rPr>
                <w:rFonts w:hAnsi="宋体"/>
                <w:kern w:val="0"/>
                <w:sz w:val="24"/>
              </w:rPr>
              <w:t>，该粉末涂料为环保无毒耐侯型粉末涂料，对人体无毒害，具有涂膜附着力优良、坚韧、耐用等特点。利用固体状的粉末涂料来代替液体状的溶剂型涂料，靠高电压使聚酯粉末涂料带负电，借助于静电引力吸附在被涂工件表面，加热塑化</w:t>
            </w:r>
            <w:r>
              <w:rPr>
                <w:kern w:val="0"/>
                <w:sz w:val="24"/>
              </w:rPr>
              <w:t>(</w:t>
            </w:r>
            <w:r>
              <w:rPr>
                <w:rFonts w:hAnsi="宋体"/>
                <w:kern w:val="0"/>
                <w:sz w:val="24"/>
              </w:rPr>
              <w:t>或固化</w:t>
            </w:r>
            <w:r>
              <w:rPr>
                <w:kern w:val="0"/>
                <w:sz w:val="24"/>
              </w:rPr>
              <w:t>)</w:t>
            </w:r>
            <w:r>
              <w:rPr>
                <w:rFonts w:hAnsi="宋体"/>
                <w:kern w:val="0"/>
                <w:sz w:val="24"/>
              </w:rPr>
              <w:t>后而获得涂膜的方法</w:t>
            </w:r>
            <w:r>
              <w:rPr>
                <w:rFonts w:hint="eastAsia" w:hAnsi="宋体"/>
                <w:kern w:val="0"/>
                <w:sz w:val="24"/>
                <w:lang w:eastAsia="zh-CN"/>
              </w:rPr>
              <w:t>，</w:t>
            </w:r>
            <w:r>
              <w:rPr>
                <w:rFonts w:hAnsi="宋体"/>
                <w:kern w:val="0"/>
                <w:sz w:val="24"/>
              </w:rPr>
              <w:t>静电喷塑所用的粉末涂料不含溶剂和分散介质等液体</w:t>
            </w:r>
            <w:r>
              <w:rPr>
                <w:rFonts w:ascii="宋体" w:hAnsi="宋体"/>
                <w:kern w:val="0"/>
                <w:sz w:val="24"/>
              </w:rPr>
              <w:t>成分，使用时不需要稀释和调整粘度。因此，静电喷塑具有涂装效率高，涂膜性能优良，无溶剂挥发，对环境无污染，工艺简单，生产周期短，涂装成本及能源消耗低。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kern w:val="0"/>
                <w:sz w:val="24"/>
              </w:rPr>
            </w:pPr>
            <w:r>
              <w:rPr>
                <w:rFonts w:ascii="宋体" w:hAnsi="宋体"/>
                <w:b/>
                <w:bCs/>
                <w:kern w:val="0"/>
                <w:sz w:val="24"/>
              </w:rPr>
              <w:t>固化：</w:t>
            </w:r>
            <w:r>
              <w:rPr>
                <w:rFonts w:ascii="宋体" w:hAnsi="宋体"/>
                <w:kern w:val="0"/>
                <w:sz w:val="24"/>
              </w:rPr>
              <w:t>静电喷塑后的</w:t>
            </w:r>
            <w:r>
              <w:rPr>
                <w:rFonts w:hint="eastAsia" w:ascii="宋体" w:hAnsi="宋体"/>
                <w:kern w:val="0"/>
                <w:sz w:val="24"/>
                <w:lang w:val="en-US" w:eastAsia="zh-CN"/>
              </w:rPr>
              <w:t>架子床</w:t>
            </w:r>
            <w:r>
              <w:rPr>
                <w:rFonts w:ascii="宋体" w:hAnsi="宋体"/>
                <w:kern w:val="0"/>
                <w:sz w:val="24"/>
              </w:rPr>
              <w:t>通过轨道、吊架运入对面的封闭</w:t>
            </w:r>
            <w:r>
              <w:rPr>
                <w:rFonts w:hint="eastAsia" w:ascii="宋体" w:hAnsi="宋体"/>
                <w:kern w:val="0"/>
                <w:sz w:val="24"/>
                <w:lang w:eastAsia="zh-CN"/>
              </w:rPr>
              <w:t>烤箱</w:t>
            </w:r>
            <w:r>
              <w:rPr>
                <w:rFonts w:ascii="宋体" w:hAnsi="宋体"/>
                <w:kern w:val="0"/>
                <w:sz w:val="24"/>
              </w:rPr>
              <w:t>内</w:t>
            </w:r>
            <w:r>
              <w:rPr>
                <w:rFonts w:hint="eastAsia" w:ascii="宋体" w:hAnsi="宋体"/>
                <w:kern w:val="0"/>
                <w:sz w:val="24"/>
                <w:lang w:val="en-US" w:eastAsia="zh-CN"/>
              </w:rPr>
              <w:t>进行固化。固化</w:t>
            </w:r>
            <w:r>
              <w:rPr>
                <w:rFonts w:ascii="宋体" w:hAnsi="宋体"/>
                <w:kern w:val="0"/>
                <w:sz w:val="24"/>
              </w:rPr>
              <w:t>使用</w:t>
            </w:r>
            <w:r>
              <w:rPr>
                <w:rFonts w:hint="eastAsia" w:ascii="宋体" w:hAnsi="宋体"/>
                <w:kern w:val="0"/>
                <w:sz w:val="24"/>
              </w:rPr>
              <w:t>天然气燃烧机</w:t>
            </w:r>
            <w:r>
              <w:rPr>
                <w:rFonts w:ascii="宋体" w:hAnsi="宋体"/>
                <w:kern w:val="0"/>
                <w:sz w:val="24"/>
              </w:rPr>
              <w:t>加热</w:t>
            </w:r>
            <w:r>
              <w:rPr>
                <w:rFonts w:hint="eastAsia" w:ascii="宋体" w:hAnsi="宋体"/>
                <w:kern w:val="0"/>
                <w:sz w:val="24"/>
                <w:lang w:val="en-US" w:eastAsia="zh-CN"/>
              </w:rPr>
              <w:t>空气</w:t>
            </w:r>
            <w:r>
              <w:rPr>
                <w:rFonts w:ascii="宋体" w:hAnsi="宋体"/>
                <w:kern w:val="0"/>
                <w:sz w:val="24"/>
              </w:rPr>
              <w:t>，</w:t>
            </w:r>
            <w:r>
              <w:rPr>
                <w:rFonts w:hint="eastAsia" w:ascii="宋体" w:hAnsi="宋体"/>
                <w:kern w:val="0"/>
                <w:sz w:val="24"/>
                <w:lang w:val="en-US" w:eastAsia="zh-CN"/>
              </w:rPr>
              <w:t>将热空气通入烤箱内，烤箱内热空气循环回到燃烧机进气口，循环利用，根据产品工艺要求定期开烤箱门释放废气。燃烧机</w:t>
            </w:r>
            <w:r>
              <w:rPr>
                <w:rFonts w:hint="eastAsia" w:ascii="宋体" w:hAnsi="宋体"/>
                <w:kern w:val="0"/>
                <w:sz w:val="24"/>
              </w:rPr>
              <w:t>有燃烧</w:t>
            </w:r>
            <w:r>
              <w:rPr>
                <w:rFonts w:ascii="宋体" w:hAnsi="宋体"/>
                <w:kern w:val="0"/>
                <w:sz w:val="24"/>
              </w:rPr>
              <w:t>废气产生</w:t>
            </w:r>
            <w:r>
              <w:rPr>
                <w:rFonts w:hint="eastAsia" w:ascii="宋体" w:hAnsi="宋体"/>
                <w:kern w:val="0"/>
                <w:sz w:val="24"/>
                <w:lang w:eastAsia="zh-CN"/>
              </w:rPr>
              <w:t>，</w:t>
            </w:r>
            <w:r>
              <w:rPr>
                <w:rFonts w:ascii="宋体" w:hAnsi="宋体"/>
                <w:kern w:val="0"/>
                <w:sz w:val="24"/>
              </w:rPr>
              <w:t>温度控制在</w:t>
            </w:r>
            <w:r>
              <w:rPr>
                <w:rFonts w:hint="eastAsia" w:ascii="宋体" w:hAnsi="宋体"/>
                <w:kern w:val="0"/>
                <w:sz w:val="24"/>
                <w:lang w:val="en-US" w:eastAsia="zh-CN"/>
              </w:rPr>
              <w:t>180-</w:t>
            </w:r>
            <w:r>
              <w:rPr>
                <w:rFonts w:hint="eastAsia"/>
                <w:kern w:val="0"/>
                <w:sz w:val="24"/>
                <w:lang w:val="en-US" w:eastAsia="zh-CN"/>
              </w:rPr>
              <w:t>2</w:t>
            </w:r>
            <w:r>
              <w:rPr>
                <w:kern w:val="0"/>
                <w:sz w:val="24"/>
              </w:rPr>
              <w:t>0</w:t>
            </w:r>
            <w:r>
              <w:rPr>
                <w:rFonts w:hint="eastAsia"/>
                <w:kern w:val="0"/>
                <w:sz w:val="24"/>
                <w:lang w:val="en-US" w:eastAsia="zh-CN"/>
              </w:rPr>
              <w:t>0</w:t>
            </w:r>
            <w:r>
              <w:rPr>
                <w:kern w:val="0"/>
                <w:sz w:val="24"/>
              </w:rPr>
              <w:t>℃</w:t>
            </w:r>
            <w:r>
              <w:rPr>
                <w:rFonts w:ascii="宋体" w:hAnsi="宋体"/>
                <w:kern w:val="0"/>
                <w:sz w:val="24"/>
              </w:rPr>
              <w:t>，</w:t>
            </w:r>
            <w:r>
              <w:rPr>
                <w:rFonts w:hint="eastAsia" w:ascii="宋体" w:hAnsi="宋体"/>
                <w:kern w:val="0"/>
                <w:sz w:val="24"/>
                <w:lang w:val="en-US" w:eastAsia="zh-CN"/>
              </w:rPr>
              <w:t>温度达到要求后燃烧机停止工作。</w:t>
            </w:r>
            <w:r>
              <w:rPr>
                <w:rFonts w:ascii="宋体" w:hAnsi="宋体"/>
                <w:kern w:val="0"/>
                <w:sz w:val="24"/>
              </w:rPr>
              <w:t>每次固化时间</w:t>
            </w:r>
            <w:r>
              <w:rPr>
                <w:kern w:val="0"/>
                <w:sz w:val="24"/>
              </w:rPr>
              <w:t>20</w:t>
            </w:r>
            <w:r>
              <w:rPr>
                <w:rFonts w:ascii="宋体" w:hAnsi="宋体"/>
                <w:kern w:val="0"/>
                <w:sz w:val="24"/>
              </w:rPr>
              <w:t>分钟</w:t>
            </w:r>
            <w:r>
              <w:rPr>
                <w:rFonts w:hint="eastAsia" w:ascii="宋体" w:hAnsi="宋体"/>
                <w:kern w:val="0"/>
                <w:sz w:val="24"/>
                <w:lang w:eastAsia="zh-CN"/>
              </w:rPr>
              <w:t>，</w:t>
            </w:r>
            <w:r>
              <w:rPr>
                <w:rFonts w:ascii="宋体" w:hAnsi="宋体"/>
                <w:kern w:val="0"/>
                <w:sz w:val="24"/>
              </w:rPr>
              <w:t>固化中产生少量树脂异味。</w:t>
            </w:r>
          </w:p>
          <w:p>
            <w:pPr>
              <w:pStyle w:val="2"/>
              <w:rPr>
                <w:rFonts w:hint="eastAsia" w:ascii="宋体" w:hAnsi="宋体"/>
                <w:kern w:val="0"/>
                <w:sz w:val="24"/>
                <w:lang w:val="en-US" w:eastAsia="zh-CN"/>
              </w:rPr>
            </w:pPr>
            <w:r>
              <w:rPr>
                <w:rFonts w:hint="eastAsia" w:ascii="宋体" w:hAnsi="宋体"/>
                <w:b/>
                <w:bCs/>
                <w:kern w:val="0"/>
                <w:sz w:val="24"/>
                <w:lang w:val="en-US" w:eastAsia="zh-CN"/>
              </w:rPr>
              <w:t>燃烧机</w:t>
            </w:r>
            <w:r>
              <w:rPr>
                <w:rFonts w:ascii="宋体" w:hAnsi="宋体"/>
                <w:b/>
                <w:bCs/>
                <w:kern w:val="0"/>
                <w:sz w:val="24"/>
              </w:rPr>
              <w:t>：</w:t>
            </w:r>
            <w:r>
              <w:rPr>
                <w:rFonts w:hint="eastAsia" w:ascii="宋体" w:hAnsi="宋体" w:eastAsia="宋体" w:cs="Times New Roman"/>
                <w:kern w:val="0"/>
                <w:sz w:val="24"/>
                <w:szCs w:val="24"/>
                <w:lang w:val="en-US" w:eastAsia="zh-CN" w:bidi="ar-SA"/>
              </w:rPr>
              <w:t>项目采用天然气燃烧机进行加热，燃料为液化天然气，设置</w:t>
            </w:r>
            <w:r>
              <w:rPr>
                <w:rFonts w:hint="default" w:ascii="宋体" w:hAnsi="宋体" w:eastAsia="宋体" w:cs="Times New Roman"/>
                <w:kern w:val="0"/>
                <w:sz w:val="24"/>
                <w:szCs w:val="24"/>
                <w:lang w:val="en-US" w:eastAsia="zh-CN" w:bidi="ar-SA"/>
              </w:rPr>
              <w:t>四个50kg的储气罐</w:t>
            </w:r>
            <w:r>
              <w:rPr>
                <w:rFonts w:hint="eastAsia" w:ascii="宋体" w:hAnsi="宋体" w:eastAsia="宋体" w:cs="Times New Roman"/>
                <w:kern w:val="0"/>
                <w:sz w:val="24"/>
                <w:szCs w:val="24"/>
                <w:lang w:val="en-US" w:eastAsia="zh-CN" w:bidi="ar-SA"/>
              </w:rPr>
              <w:t>存储液化天然气。</w:t>
            </w:r>
            <w:r>
              <w:rPr>
                <w:rFonts w:hint="eastAsia" w:ascii="宋体" w:hAnsi="宋体"/>
                <w:kern w:val="0"/>
                <w:sz w:val="24"/>
              </w:rPr>
              <w:t>燃烧机</w:t>
            </w:r>
            <w:r>
              <w:rPr>
                <w:rFonts w:hint="eastAsia" w:ascii="宋体" w:hAnsi="宋体"/>
                <w:kern w:val="0"/>
                <w:sz w:val="24"/>
                <w:lang w:val="en-US" w:eastAsia="zh-CN"/>
              </w:rPr>
              <w:t>燃烧</w:t>
            </w:r>
            <w:r>
              <w:rPr>
                <w:rFonts w:ascii="宋体" w:hAnsi="宋体"/>
                <w:kern w:val="0"/>
                <w:sz w:val="24"/>
              </w:rPr>
              <w:t>加热</w:t>
            </w:r>
            <w:r>
              <w:rPr>
                <w:rFonts w:hint="eastAsia" w:ascii="宋体" w:hAnsi="宋体"/>
                <w:kern w:val="0"/>
                <w:sz w:val="24"/>
                <w:lang w:val="en-US" w:eastAsia="zh-CN"/>
              </w:rPr>
              <w:t>空气</w:t>
            </w:r>
            <w:r>
              <w:rPr>
                <w:rFonts w:ascii="宋体" w:hAnsi="宋体"/>
                <w:kern w:val="0"/>
                <w:sz w:val="24"/>
              </w:rPr>
              <w:t>，</w:t>
            </w:r>
            <w:r>
              <w:rPr>
                <w:rFonts w:hint="eastAsia" w:ascii="宋体" w:hAnsi="宋体"/>
                <w:kern w:val="0"/>
                <w:sz w:val="24"/>
                <w:lang w:val="en-US" w:eastAsia="zh-CN"/>
              </w:rPr>
              <w:t>将热空气通入烤箱内，烤箱内热空气循环回到燃烧机进气口，循环利用，根据产品工艺要求定期开烤箱门释放废气。</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default" w:ascii="Times New Roman" w:hAnsi="宋体" w:cs="Times New Roman"/>
                <w:b/>
                <w:bCs/>
                <w:kern w:val="0"/>
                <w:sz w:val="24"/>
                <w:szCs w:val="24"/>
                <w:lang w:val="en-US" w:eastAsia="zh-CN" w:bidi="ar-SA"/>
              </w:rPr>
            </w:pPr>
            <w:r>
              <w:rPr>
                <w:rFonts w:hint="eastAsia" w:hAnsi="宋体" w:cs="Times New Roman"/>
                <w:b/>
                <w:bCs/>
                <w:kern w:val="0"/>
                <w:sz w:val="24"/>
                <w:szCs w:val="24"/>
                <w:lang w:val="en-US" w:eastAsia="zh-CN" w:bidi="ar-SA"/>
              </w:rPr>
              <w:t>（2）床板工艺流程</w:t>
            </w:r>
          </w:p>
          <w:p>
            <w:pPr>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①切割：将</w:t>
            </w:r>
            <w:r>
              <w:rPr>
                <w:rFonts w:hint="eastAsia" w:ascii="Times New Roman" w:hAnsi="Times New Roman" w:cs="Times New Roman"/>
                <w:color w:val="000000" w:themeColor="text1"/>
                <w:lang w:val="en-US" w:eastAsia="zh-CN"/>
              </w:rPr>
              <w:t>木板</w:t>
            </w:r>
            <w:r>
              <w:rPr>
                <w:rFonts w:hint="default" w:ascii="Times New Roman" w:hAnsi="Times New Roman" w:eastAsia="宋体" w:cs="Times New Roman"/>
                <w:color w:val="000000" w:themeColor="text1"/>
              </w:rPr>
              <w:t>经过划线后送往推台锯</w:t>
            </w:r>
            <w:r>
              <w:rPr>
                <w:rFonts w:hint="eastAsia" w:ascii="Times New Roman" w:hAnsi="Times New Roman" w:cs="Times New Roman"/>
                <w:color w:val="000000" w:themeColor="text1"/>
                <w:lang w:eastAsia="zh-CN"/>
              </w:rPr>
              <w:t>，</w:t>
            </w:r>
            <w:r>
              <w:rPr>
                <w:rFonts w:hint="default" w:ascii="Times New Roman" w:hAnsi="Times New Roman" w:eastAsia="宋体" w:cs="Times New Roman"/>
                <w:color w:val="000000" w:themeColor="text1"/>
              </w:rPr>
              <w:t>根据尺寸进行裁板。该工段产污环节，开切割过程中产生的粉尘</w:t>
            </w:r>
            <w:r>
              <w:rPr>
                <w:rFonts w:hint="eastAsia" w:ascii="Times New Roman" w:hAnsi="Times New Roman" w:cs="Times New Roman"/>
                <w:color w:val="000000" w:themeColor="text1"/>
                <w:lang w:val="en-US" w:eastAsia="zh-CN"/>
              </w:rPr>
              <w:t>和</w:t>
            </w:r>
            <w:r>
              <w:rPr>
                <w:rFonts w:hint="default" w:ascii="Times New Roman" w:hAnsi="Times New Roman" w:eastAsia="宋体" w:cs="Times New Roman"/>
                <w:color w:val="000000" w:themeColor="text1"/>
              </w:rPr>
              <w:t>废边角料</w:t>
            </w:r>
            <w:r>
              <w:rPr>
                <w:rFonts w:hint="eastAsia" w:ascii="Times New Roman" w:hAnsi="Times New Roman" w:cs="Times New Roman"/>
                <w:color w:val="000000" w:themeColor="text1"/>
                <w:lang w:eastAsia="zh-CN"/>
              </w:rPr>
              <w:t>，</w:t>
            </w:r>
            <w:r>
              <w:rPr>
                <w:rFonts w:hint="eastAsia" w:ascii="Times New Roman" w:hAnsi="Times New Roman" w:cs="Times New Roman"/>
                <w:color w:val="000000" w:themeColor="text1"/>
                <w:lang w:val="en-US" w:eastAsia="zh-CN"/>
              </w:rPr>
              <w:t>设备运行时</w:t>
            </w:r>
            <w:r>
              <w:rPr>
                <w:rFonts w:hint="default" w:ascii="Times New Roman" w:hAnsi="Times New Roman" w:eastAsia="宋体" w:cs="Times New Roman"/>
                <w:color w:val="000000" w:themeColor="text1"/>
              </w:rPr>
              <w:t>产生的设备噪声。</w:t>
            </w:r>
          </w:p>
          <w:p>
            <w:pPr>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②封边：经</w:t>
            </w:r>
            <w:r>
              <w:rPr>
                <w:rFonts w:hint="eastAsia" w:ascii="Times New Roman" w:hAnsi="Times New Roman" w:cs="Times New Roman"/>
                <w:color w:val="000000" w:themeColor="text1"/>
                <w:lang w:val="en-US" w:eastAsia="zh-CN"/>
              </w:rPr>
              <w:t>裁好的木板</w:t>
            </w:r>
            <w:r>
              <w:rPr>
                <w:rFonts w:hint="default" w:ascii="Times New Roman" w:hAnsi="Times New Roman" w:eastAsia="宋体" w:cs="Times New Roman"/>
                <w:color w:val="000000" w:themeColor="text1"/>
              </w:rPr>
              <w:t>进行封边，封边使用封边热熔胶（颗粒），采用封边机将胶粒加热后自动涂抹至需要封边部件上，经封边机压实后粘合。该工段产污环节，封边工序产生有机废气以及封边过程中产生的设备噪声。</w:t>
            </w:r>
          </w:p>
          <w:p>
            <w:pPr>
              <w:keepNext w:val="0"/>
              <w:keepLines w:val="0"/>
              <w:pageBreakBefore w:val="0"/>
              <w:widowControl w:val="0"/>
              <w:kinsoku/>
              <w:wordWrap/>
              <w:overflowPunct/>
              <w:topLinePunct w:val="0"/>
              <w:autoSpaceDE/>
              <w:autoSpaceDN/>
              <w:bidi w:val="0"/>
              <w:adjustRightInd/>
              <w:snapToGrid/>
              <w:ind w:firstLine="480"/>
              <w:textAlignment w:val="auto"/>
              <w:rPr>
                <w:rFonts w:hint="default" w:ascii="宋体" w:hAnsi="宋体"/>
                <w:kern w:val="0"/>
                <w:sz w:val="24"/>
                <w:lang w:val="en-US" w:eastAsia="zh-CN"/>
              </w:rPr>
            </w:pPr>
            <w:r>
              <w:rPr>
                <w:rFonts w:hint="default" w:ascii="Times New Roman" w:hAnsi="Times New Roman" w:eastAsia="宋体" w:cs="Times New Roman"/>
                <w:color w:val="000000" w:themeColor="text1"/>
              </w:rPr>
              <w:t>③打孔：封边后的部件经过打</w:t>
            </w:r>
            <w:r>
              <w:rPr>
                <w:rFonts w:hint="default" w:ascii="Times New Roman" w:hAnsi="Times New Roman" w:eastAsia="宋体" w:cs="Times New Roman"/>
                <w:color w:val="000000" w:themeColor="text1"/>
                <w:lang w:val="en-US" w:eastAsia="zh-CN"/>
              </w:rPr>
              <w:t>孔</w:t>
            </w:r>
            <w:r>
              <w:rPr>
                <w:rFonts w:hint="default" w:ascii="Times New Roman" w:hAnsi="Times New Roman" w:eastAsia="宋体" w:cs="Times New Roman"/>
                <w:color w:val="000000" w:themeColor="text1"/>
              </w:rPr>
              <w:t>、开眼后进行组装。该工段产污</w:t>
            </w:r>
            <w:r>
              <w:rPr>
                <w:rFonts w:hint="default" w:ascii="Times New Roman" w:hAnsi="Times New Roman" w:eastAsia="宋体" w:cs="Times New Roman"/>
                <w:color w:val="000000" w:themeColor="text1"/>
                <w:lang w:val="en-US" w:eastAsia="zh-CN"/>
              </w:rPr>
              <w:t>为</w:t>
            </w:r>
            <w:r>
              <w:rPr>
                <w:rFonts w:hint="default" w:ascii="Times New Roman" w:hAnsi="Times New Roman" w:eastAsia="宋体" w:cs="Times New Roman"/>
                <w:color w:val="000000" w:themeColor="text1"/>
              </w:rPr>
              <w:t>打孔过程中产生的粉尘，打孔机产生的设备噪声。</w:t>
            </w:r>
          </w:p>
          <w:p>
            <w:pPr>
              <w:pStyle w:val="2"/>
              <w:rPr>
                <w:rFonts w:hint="eastAsia" w:ascii="宋体" w:hAnsi="宋体" w:eastAsia="宋体" w:cs="Times New Roman"/>
                <w:kern w:val="0"/>
                <w:sz w:val="24"/>
                <w:szCs w:val="24"/>
                <w:lang w:val="en-US" w:eastAsia="zh-CN" w:bidi="ar-SA"/>
              </w:rPr>
            </w:pPr>
            <w:r>
              <w:rPr>
                <w:sz w:val="24"/>
              </w:rPr>
              <mc:AlternateContent>
                <mc:Choice Requires="wps">
                  <w:drawing>
                    <wp:anchor distT="0" distB="0" distL="114300" distR="114300" simplePos="0" relativeHeight="251666432" behindDoc="0" locked="0" layoutInCell="1" allowOverlap="1">
                      <wp:simplePos x="0" y="0"/>
                      <wp:positionH relativeFrom="column">
                        <wp:posOffset>-53975</wp:posOffset>
                      </wp:positionH>
                      <wp:positionV relativeFrom="paragraph">
                        <wp:posOffset>78740</wp:posOffset>
                      </wp:positionV>
                      <wp:extent cx="5932805" cy="635"/>
                      <wp:effectExtent l="0" t="0" r="0" b="0"/>
                      <wp:wrapNone/>
                      <wp:docPr id="5" name="直线 10"/>
                      <wp:cNvGraphicFramePr/>
                      <a:graphic xmlns:a="http://schemas.openxmlformats.org/drawingml/2006/main">
                        <a:graphicData uri="http://schemas.microsoft.com/office/word/2010/wordprocessingShape">
                          <wps:wsp>
                            <wps:cNvSpPr/>
                            <wps:spPr>
                              <a:xfrm>
                                <a:off x="0" y="0"/>
                                <a:ext cx="59328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4.25pt;margin-top:6.2pt;height:0.05pt;width:467.15pt;z-index:251666432;mso-width-relative:page;mso-height-relative:page;" filled="f" stroked="t" coordsize="21600,21600" o:gfxdata="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hr1dT1gAA&#10;AAgBAAAPAAAAAAAAAAEAIAAAACIAAABkcnMvZG93bnJldi54bWxQSwECFAAUAAAACACHTuJA17/f&#10;SucBAADeAwAADgAAAAAAAAABACAAAAAlAQAAZHJzL2Uyb0RvYy54bWxQSwUGAAAAAAYABgBZAQAA&#10;fgUAAAAA&#10;">
                      <v:fill on="f" focussize="0,0"/>
                      <v:stroke color="#000000" joinstyle="round"/>
                      <v:imagedata o:title=""/>
                      <o:lock v:ext="edit" aspectratio="f"/>
                    </v:line>
                  </w:pict>
                </mc:Fallback>
              </mc:AlternateContent>
            </w:r>
          </w:p>
          <w:p>
            <w:pPr>
              <w:autoSpaceDN w:val="0"/>
              <w:ind w:left="0" w:leftChars="0" w:firstLine="0" w:firstLineChars="0"/>
              <w:rPr>
                <w:b/>
                <w:bCs/>
                <w:sz w:val="30"/>
                <w:szCs w:val="30"/>
              </w:rPr>
            </w:pPr>
            <w:r>
              <w:rPr>
                <w:b/>
                <w:bCs/>
                <w:sz w:val="30"/>
                <w:szCs w:val="30"/>
              </w:rPr>
              <w:t>主要污染工序</w:t>
            </w:r>
            <w:r>
              <w:rPr>
                <w:b/>
                <w:bCs/>
                <w:sz w:val="28"/>
                <w:szCs w:val="28"/>
              </w:rPr>
              <w:t>（图示）：</w:t>
            </w:r>
          </w:p>
          <w:p>
            <w:pPr>
              <w:pStyle w:val="4"/>
              <w:ind w:firstLine="0" w:firstLineChars="0"/>
              <w:jc w:val="both"/>
              <w:rPr>
                <w:rFonts w:hint="eastAsia" w:ascii="Times New Roman" w:hAnsi="Times New Roman" w:cs="Times New Roman"/>
                <w:lang w:val="en-US" w:eastAsia="zh-CN"/>
              </w:rPr>
            </w:pPr>
            <w:r>
              <w:rPr>
                <w:rFonts w:hint="eastAsia" w:ascii="Times New Roman" w:hAnsi="Times New Roman" w:cs="Times New Roman"/>
                <w:lang w:val="en-US" w:eastAsia="zh-CN"/>
              </w:rPr>
              <w:t>一、施工期</w:t>
            </w:r>
          </w:p>
          <w:p>
            <w:pPr>
              <w:spacing w:line="360" w:lineRule="auto"/>
              <w:ind w:firstLine="480" w:firstLineChars="200"/>
              <w:rPr>
                <w:rFonts w:ascii="宋体" w:hAnsi="宋体"/>
                <w:sz w:val="24"/>
              </w:rPr>
            </w:pPr>
            <w:r>
              <w:rPr>
                <w:rFonts w:hint="eastAsia" w:ascii="宋体" w:hAnsi="宋体"/>
                <w:sz w:val="24"/>
              </w:rPr>
              <w:t>本项</w:t>
            </w:r>
            <w:r>
              <w:rPr>
                <w:rFonts w:ascii="宋体" w:hAnsi="宋体"/>
                <w:sz w:val="24"/>
              </w:rPr>
              <w:t>目</w:t>
            </w:r>
            <w:r>
              <w:rPr>
                <w:rFonts w:hint="eastAsia" w:ascii="宋体" w:hAnsi="宋体"/>
                <w:sz w:val="24"/>
                <w:lang w:val="en-US" w:eastAsia="zh-CN"/>
              </w:rPr>
              <w:t>已建成</w:t>
            </w:r>
            <w:r>
              <w:rPr>
                <w:rFonts w:hint="eastAsia" w:ascii="宋体" w:hAnsi="宋体"/>
                <w:sz w:val="24"/>
              </w:rPr>
              <w:t>，</w:t>
            </w:r>
            <w:r>
              <w:rPr>
                <w:rFonts w:ascii="宋体" w:hAnsi="宋体"/>
                <w:sz w:val="24"/>
              </w:rPr>
              <w:t>因此本项目不对</w:t>
            </w:r>
            <w:r>
              <w:rPr>
                <w:rFonts w:hint="eastAsia" w:ascii="宋体" w:hAnsi="宋体"/>
                <w:sz w:val="24"/>
              </w:rPr>
              <w:t>施工期进行环境影响评价</w:t>
            </w:r>
            <w:r>
              <w:rPr>
                <w:rFonts w:hint="eastAsia"/>
                <w:sz w:val="24"/>
              </w:rPr>
              <w:t>。</w:t>
            </w:r>
          </w:p>
          <w:p>
            <w:pPr>
              <w:pStyle w:val="4"/>
              <w:ind w:firstLine="0" w:firstLineChars="0"/>
              <w:jc w:val="both"/>
              <w:rPr>
                <w:rFonts w:hint="eastAsia" w:ascii="Times New Roman" w:hAnsi="Times New Roman" w:cs="Times New Roman"/>
                <w:lang w:val="en-US" w:eastAsia="zh-CN"/>
              </w:rPr>
            </w:pPr>
            <w:r>
              <w:rPr>
                <w:rFonts w:hint="eastAsia" w:ascii="Times New Roman" w:hAnsi="Times New Roman" w:cs="Times New Roman"/>
                <w:lang w:val="en-US" w:eastAsia="zh-CN"/>
              </w:rPr>
              <w:t>二、营运期</w:t>
            </w:r>
          </w:p>
          <w:p>
            <w:pPr>
              <w:autoSpaceDN w:val="0"/>
              <w:spacing w:line="360" w:lineRule="auto"/>
              <w:ind w:firstLine="482" w:firstLineChars="200"/>
              <w:rPr>
                <w:b/>
                <w:sz w:val="24"/>
              </w:rPr>
            </w:pPr>
            <w:r>
              <w:rPr>
                <w:rFonts w:hint="eastAsia"/>
                <w:b/>
                <w:sz w:val="24"/>
              </w:rPr>
              <w:t>1、</w:t>
            </w:r>
            <w:r>
              <w:rPr>
                <w:b/>
                <w:sz w:val="24"/>
              </w:rPr>
              <w:t>废气</w:t>
            </w:r>
          </w:p>
          <w:p>
            <w:pPr>
              <w:pStyle w:val="2"/>
              <w:rPr>
                <w:rFonts w:hint="eastAsia" w:ascii="宋体" w:hAnsi="宋体"/>
                <w:sz w:val="24"/>
                <w:lang w:val="en-US" w:eastAsia="zh-CN"/>
              </w:rPr>
            </w:pPr>
            <w:r>
              <w:rPr>
                <w:sz w:val="24"/>
              </w:rPr>
              <w:t>本</w:t>
            </w:r>
            <w:r>
              <w:rPr>
                <w:rFonts w:hint="eastAsia"/>
                <w:sz w:val="24"/>
              </w:rPr>
              <w:t>项目运营期</w:t>
            </w:r>
            <w:r>
              <w:rPr>
                <w:rFonts w:hint="eastAsia"/>
                <w:sz w:val="24"/>
                <w:lang w:val="en-US" w:eastAsia="zh-CN"/>
              </w:rPr>
              <w:t>架子床生产工序</w:t>
            </w:r>
            <w:r>
              <w:rPr>
                <w:rFonts w:hint="eastAsia"/>
                <w:sz w:val="24"/>
              </w:rPr>
              <w:t>大气污染物主要为</w:t>
            </w:r>
            <w:r>
              <w:rPr>
                <w:rFonts w:hint="eastAsia" w:ascii="宋体" w:hAnsi="宋体"/>
                <w:sz w:val="24"/>
              </w:rPr>
              <w:t>焊接过程产生焊接烟尘、工件喷塑过程产生的粉尘及固化过程产生的有机废气</w:t>
            </w:r>
            <w:r>
              <w:rPr>
                <w:rFonts w:hint="eastAsia" w:ascii="宋体" w:hAnsi="宋体"/>
                <w:sz w:val="24"/>
                <w:lang w:val="en-US" w:eastAsia="zh-CN"/>
              </w:rPr>
              <w:t>和</w:t>
            </w:r>
            <w:r>
              <w:rPr>
                <w:rFonts w:hint="eastAsia" w:ascii="宋体" w:hAnsi="宋体"/>
                <w:sz w:val="24"/>
              </w:rPr>
              <w:t>燃烧机燃烧产生的燃烧废气。</w:t>
            </w:r>
            <w:r>
              <w:rPr>
                <w:rFonts w:hint="eastAsia" w:ascii="宋体" w:hAnsi="宋体"/>
                <w:sz w:val="24"/>
                <w:lang w:val="en-US" w:eastAsia="zh-CN"/>
              </w:rPr>
              <w:t>项目焊接和喷塑共用套废气治理设施，因此焊接和喷塑不同时进行，两个工艺每天各工作4h。</w:t>
            </w:r>
          </w:p>
          <w:p>
            <w:pPr>
              <w:pStyle w:val="2"/>
              <w:rPr>
                <w:rFonts w:hint="default" w:eastAsia="宋体"/>
                <w:lang w:val="en-US" w:eastAsia="zh-CN"/>
              </w:rPr>
            </w:pPr>
            <w:r>
              <w:rPr>
                <w:rFonts w:hint="eastAsia" w:ascii="宋体" w:hAnsi="宋体"/>
                <w:sz w:val="24"/>
                <w:lang w:val="en-US" w:eastAsia="zh-CN"/>
              </w:rPr>
              <w:t>项目运营期床板生产工序产生的</w:t>
            </w:r>
            <w:r>
              <w:rPr>
                <w:rFonts w:hint="eastAsia"/>
                <w:sz w:val="24"/>
              </w:rPr>
              <w:t>大气污染物主要</w:t>
            </w:r>
            <w:r>
              <w:rPr>
                <w:rFonts w:hint="eastAsia"/>
                <w:sz w:val="24"/>
                <w:lang w:val="en-US" w:eastAsia="zh-CN"/>
              </w:rPr>
              <w:t>为木板切割、打孔产生的粉尘以及封边产生的有机废气。</w:t>
            </w:r>
          </w:p>
          <w:bookmarkEnd w:id="99"/>
          <w:bookmarkEnd w:id="100"/>
          <w:p>
            <w:pPr>
              <w:autoSpaceDN w:val="0"/>
              <w:spacing w:line="360" w:lineRule="auto"/>
              <w:ind w:firstLine="470" w:firstLineChars="196"/>
              <w:rPr>
                <w:sz w:val="24"/>
              </w:rPr>
            </w:pPr>
            <w:r>
              <w:rPr>
                <w:rFonts w:hint="eastAsia" w:cs="宋体"/>
                <w:sz w:val="24"/>
              </w:rPr>
              <w:t>（</w:t>
            </w:r>
            <w:r>
              <w:rPr>
                <w:sz w:val="24"/>
              </w:rPr>
              <w:t>1）</w:t>
            </w:r>
            <w:r>
              <w:rPr>
                <w:rFonts w:hint="eastAsia"/>
                <w:sz w:val="24"/>
              </w:rPr>
              <w:t>焊接烟尘</w:t>
            </w:r>
          </w:p>
          <w:p>
            <w:pPr>
              <w:adjustRightInd w:val="0"/>
              <w:snapToGrid w:val="0"/>
              <w:spacing w:line="360" w:lineRule="auto"/>
              <w:ind w:firstLine="480" w:firstLineChars="200"/>
              <w:rPr>
                <w:rFonts w:hint="default" w:ascii="Times New Roman" w:hAnsi="Times New Roman" w:eastAsia="宋体" w:cs="Times New Roman"/>
                <w:szCs w:val="21"/>
              </w:rPr>
            </w:pPr>
            <w:r>
              <w:rPr>
                <w:rFonts w:hint="default"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rPr>
              <w:t>生产车间内设有</w:t>
            </w:r>
            <w:r>
              <w:rPr>
                <w:rFonts w:hint="default" w:ascii="Times New Roman" w:hAnsi="Times New Roman" w:eastAsia="宋体" w:cs="Times New Roman"/>
                <w:sz w:val="24"/>
                <w:lang w:val="en-US" w:eastAsia="zh-CN"/>
              </w:rPr>
              <w:t>8个焊接工位，每个焊接工位有1台</w:t>
            </w:r>
            <w:r>
              <w:rPr>
                <w:rFonts w:hint="default" w:ascii="Times New Roman" w:hAnsi="Times New Roman" w:eastAsia="宋体" w:cs="Times New Roman"/>
                <w:sz w:val="24"/>
                <w:szCs w:val="24"/>
              </w:rPr>
              <w:t>二保焊机，焊丝采用大桥1.0实芯焊丝</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年用量约</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rPr>
              <w:t>每天焊接</w:t>
            </w:r>
            <w:r>
              <w:rPr>
                <w:rFonts w:hint="eastAsia" w:cs="Times New Roman"/>
                <w:sz w:val="24"/>
                <w:lang w:val="en-US" w:eastAsia="zh-CN"/>
              </w:rPr>
              <w:t>4</w:t>
            </w:r>
            <w:r>
              <w:rPr>
                <w:rFonts w:hint="default" w:ascii="Times New Roman" w:hAnsi="Times New Roman" w:eastAsia="宋体" w:cs="Times New Roman"/>
                <w:sz w:val="24"/>
              </w:rPr>
              <w:t>h</w:t>
            </w:r>
            <w:r>
              <w:rPr>
                <w:rFonts w:hint="default" w:ascii="Times New Roman" w:hAnsi="Times New Roman" w:eastAsia="宋体" w:cs="Times New Roman"/>
                <w:sz w:val="24"/>
                <w:szCs w:val="24"/>
              </w:rPr>
              <w:t>。</w:t>
            </w:r>
            <w:r>
              <w:rPr>
                <w:rFonts w:hint="default" w:ascii="Times New Roman" w:hAnsi="Times New Roman" w:eastAsia="宋体" w:cs="Times New Roman"/>
                <w:sz w:val="24"/>
              </w:rPr>
              <w:t>项目焊接工序作业时会产生焊接烟尘，本项目采用的焊接方式主要为二氧化碳气体保护焊焊。焊</w:t>
            </w:r>
            <w:r>
              <w:rPr>
                <w:rFonts w:hint="default" w:ascii="Times New Roman" w:hAnsi="Times New Roman" w:eastAsia="宋体" w:cs="Times New Roman"/>
                <w:sz w:val="24"/>
                <w:lang w:val="en-US" w:eastAsia="zh-CN"/>
              </w:rPr>
              <w:t>接</w:t>
            </w:r>
            <w:r>
              <w:rPr>
                <w:rFonts w:hint="default" w:ascii="Times New Roman" w:hAnsi="Times New Roman" w:eastAsia="宋体" w:cs="Times New Roman"/>
                <w:sz w:val="24"/>
              </w:rPr>
              <w:t>发尘量参照</w:t>
            </w:r>
            <w:r>
              <w:rPr>
                <w:rFonts w:hint="default" w:ascii="Times New Roman" w:hAnsi="Times New Roman" w:eastAsia="宋体" w:cs="Times New Roman"/>
                <w:sz w:val="24"/>
                <w:szCs w:val="24"/>
              </w:rPr>
              <w:t>根据郭永葆著的《不同焊接工艺的焊接烟尘污染特征》（科技情报开发与经济，2010年第20卷第4期）中的研究结论：二保焊时实芯焊丝的发尘量为5g/kg～8g/kg，</w:t>
            </w:r>
            <w:r>
              <w:rPr>
                <w:rFonts w:hint="default" w:ascii="Times New Roman" w:hAnsi="Times New Roman" w:eastAsia="宋体" w:cs="Times New Roman"/>
                <w:sz w:val="24"/>
              </w:rPr>
              <w:t>本项目发尘量以6g/kg计算，得出本项目焊接烟尘产生量为</w:t>
            </w:r>
            <w:r>
              <w:rPr>
                <w:rFonts w:hint="default" w:ascii="Times New Roman" w:hAnsi="Times New Roman" w:eastAsia="宋体" w:cs="Times New Roman"/>
                <w:sz w:val="24"/>
                <w:lang w:val="en-US" w:eastAsia="zh-CN"/>
              </w:rPr>
              <w:t>0.12</w:t>
            </w:r>
            <w:r>
              <w:rPr>
                <w:rFonts w:hint="eastAsia" w:cs="Times New Roman"/>
                <w:sz w:val="24"/>
                <w:lang w:val="en-US" w:eastAsia="zh-CN"/>
              </w:rPr>
              <w:t>t</w:t>
            </w:r>
            <w:r>
              <w:rPr>
                <w:rFonts w:hint="default" w:ascii="Times New Roman" w:hAnsi="Times New Roman" w:eastAsia="宋体" w:cs="Times New Roman"/>
                <w:sz w:val="24"/>
              </w:rPr>
              <w:t>/a。</w:t>
            </w:r>
          </w:p>
          <w:p>
            <w:pPr>
              <w:spacing w:line="360" w:lineRule="auto"/>
              <w:ind w:firstLine="480" w:firstLineChars="200"/>
            </w:pPr>
            <w:r>
              <w:rPr>
                <w:rFonts w:hint="eastAsia" w:ascii="宋体" w:hAnsi="宋体"/>
                <w:sz w:val="24"/>
              </w:rPr>
              <w:t>项目焊</w:t>
            </w:r>
            <w:r>
              <w:rPr>
                <w:rFonts w:hint="eastAsia" w:ascii="宋体" w:hAnsi="宋体"/>
                <w:sz w:val="24"/>
                <w:lang w:val="en-US" w:eastAsia="zh-CN"/>
              </w:rPr>
              <w:t>工</w:t>
            </w:r>
            <w:r>
              <w:rPr>
                <w:rFonts w:hint="eastAsia" w:ascii="宋体" w:hAnsi="宋体"/>
                <w:sz w:val="24"/>
              </w:rPr>
              <w:t>间</w:t>
            </w:r>
            <w:r>
              <w:rPr>
                <w:rFonts w:hint="eastAsia" w:ascii="宋体" w:hAnsi="宋体"/>
                <w:sz w:val="24"/>
                <w:lang w:val="en-US" w:eastAsia="zh-CN"/>
              </w:rPr>
              <w:t>设有8个焊接工位，每个焊接工位有1台</w:t>
            </w:r>
            <w:r>
              <w:rPr>
                <w:rFonts w:hint="eastAsia"/>
                <w:sz w:val="24"/>
                <w:szCs w:val="24"/>
              </w:rPr>
              <w:t>二保焊机，</w:t>
            </w:r>
            <w:r>
              <w:rPr>
                <w:rFonts w:hint="eastAsia"/>
                <w:sz w:val="24"/>
                <w:szCs w:val="24"/>
                <w:lang w:val="en-US" w:eastAsia="zh-CN"/>
              </w:rPr>
              <w:t>每个焊接工位上方</w:t>
            </w:r>
            <w:r>
              <w:rPr>
                <w:rFonts w:hint="eastAsia" w:ascii="宋体" w:hAnsi="宋体"/>
                <w:sz w:val="24"/>
              </w:rPr>
              <w:t>设置</w:t>
            </w:r>
            <w:r>
              <w:rPr>
                <w:rFonts w:hint="eastAsia" w:ascii="宋体" w:hAnsi="宋体"/>
                <w:sz w:val="24"/>
                <w:lang w:val="en-US" w:eastAsia="zh-CN"/>
              </w:rPr>
              <w:t>1个集气罩</w:t>
            </w:r>
            <w:r>
              <w:rPr>
                <w:rFonts w:hint="eastAsia" w:ascii="宋体" w:hAnsi="宋体"/>
                <w:sz w:val="24"/>
              </w:rPr>
              <w:t>，</w:t>
            </w:r>
            <w:r>
              <w:rPr>
                <w:rFonts w:hint="eastAsia" w:ascii="宋体" w:hAnsi="宋体"/>
                <w:sz w:val="24"/>
                <w:lang w:val="en-US" w:eastAsia="zh-CN"/>
              </w:rPr>
              <w:t>收集后经</w:t>
            </w:r>
            <w:r>
              <w:rPr>
                <w:rFonts w:hint="eastAsia" w:ascii="宋体" w:hAnsi="宋体"/>
                <w:sz w:val="24"/>
              </w:rPr>
              <w:t>脉冲</w:t>
            </w:r>
            <w:r>
              <w:rPr>
                <w:rFonts w:hint="eastAsia" w:ascii="宋体" w:hAnsi="宋体"/>
                <w:sz w:val="24"/>
                <w:lang w:val="en-US" w:eastAsia="zh-CN"/>
              </w:rPr>
              <w:t>布袋</w:t>
            </w:r>
            <w:r>
              <w:rPr>
                <w:rFonts w:hint="eastAsia" w:ascii="宋体" w:hAnsi="宋体"/>
                <w:sz w:val="24"/>
              </w:rPr>
              <w:t>除尘器处理后排放，</w:t>
            </w:r>
            <w:r>
              <w:rPr>
                <w:rFonts w:hint="eastAsia" w:ascii="宋体" w:hAnsi="宋体"/>
                <w:sz w:val="24"/>
                <w:lang w:val="en-US" w:eastAsia="zh-CN"/>
              </w:rPr>
              <w:t>配有</w:t>
            </w:r>
            <w:r>
              <w:rPr>
                <w:rFonts w:hint="eastAsia"/>
                <w:sz w:val="24"/>
              </w:rPr>
              <w:t>50</w:t>
            </w:r>
            <w:r>
              <w:rPr>
                <w:sz w:val="24"/>
              </w:rPr>
              <w:t>00m</w:t>
            </w:r>
            <w:r>
              <w:rPr>
                <w:sz w:val="24"/>
                <w:vertAlign w:val="superscript"/>
              </w:rPr>
              <w:t>3</w:t>
            </w:r>
            <w:r>
              <w:rPr>
                <w:sz w:val="24"/>
              </w:rPr>
              <w:t>/h</w:t>
            </w:r>
            <w:r>
              <w:rPr>
                <w:rFonts w:hint="eastAsia" w:ascii="宋体" w:hAnsi="宋体"/>
                <w:sz w:val="24"/>
                <w:lang w:val="en-US" w:eastAsia="zh-CN"/>
              </w:rPr>
              <w:t>的风机</w:t>
            </w:r>
            <w:r>
              <w:rPr>
                <w:rFonts w:hint="eastAsia" w:ascii="宋体" w:hAnsi="宋体"/>
                <w:sz w:val="24"/>
                <w:lang w:eastAsia="zh-CN"/>
              </w:rPr>
              <w:t>，</w:t>
            </w:r>
            <w:r>
              <w:rPr>
                <w:rFonts w:hint="eastAsia" w:ascii="宋体" w:hAnsi="宋体"/>
                <w:sz w:val="24"/>
              </w:rPr>
              <w:t>年排放烟尘</w:t>
            </w:r>
            <w:r>
              <w:rPr>
                <w:rFonts w:hint="eastAsia"/>
                <w:sz w:val="24"/>
              </w:rPr>
              <w:t>0.</w:t>
            </w:r>
            <w:r>
              <w:rPr>
                <w:rFonts w:hint="eastAsia"/>
                <w:sz w:val="24"/>
                <w:lang w:val="en-US" w:eastAsia="zh-CN"/>
              </w:rPr>
              <w:t>0012t</w:t>
            </w:r>
            <w:r>
              <w:rPr>
                <w:rFonts w:hint="eastAsia"/>
                <w:sz w:val="24"/>
              </w:rPr>
              <w:t>/a</w:t>
            </w:r>
            <w:r>
              <w:rPr>
                <w:rFonts w:hint="eastAsia"/>
                <w:sz w:val="24"/>
                <w:lang w:eastAsia="zh-CN"/>
              </w:rPr>
              <w:t>，</w:t>
            </w:r>
            <w:r>
              <w:rPr>
                <w:rFonts w:hint="eastAsia"/>
                <w:sz w:val="24"/>
                <w:lang w:val="en-US" w:eastAsia="zh-CN"/>
              </w:rPr>
              <w:t>排放浓度0.2</w:t>
            </w:r>
            <w:r>
              <w:rPr>
                <w:sz w:val="24"/>
              </w:rPr>
              <w:t>mg/m</w:t>
            </w:r>
            <w:r>
              <w:rPr>
                <w:sz w:val="24"/>
                <w:vertAlign w:val="superscript"/>
              </w:rPr>
              <w:t>3</w:t>
            </w:r>
            <w:r>
              <w:rPr>
                <w:rFonts w:hint="eastAsia" w:ascii="宋体" w:hAnsi="宋体"/>
                <w:sz w:val="24"/>
              </w:rPr>
              <w:t>。经</w:t>
            </w:r>
            <w:r>
              <w:rPr>
                <w:rFonts w:hint="eastAsia" w:ascii="宋体" w:hAnsi="宋体"/>
                <w:sz w:val="24"/>
                <w:lang w:val="en-US" w:eastAsia="zh-CN"/>
              </w:rPr>
              <w:t>15m高排气筒</w:t>
            </w:r>
            <w:r>
              <w:rPr>
                <w:rFonts w:hint="eastAsia" w:ascii="宋体" w:hAnsi="宋体"/>
                <w:sz w:val="24"/>
              </w:rPr>
              <w:t>排放，对周围环境影响很小。</w:t>
            </w:r>
          </w:p>
          <w:p>
            <w:pPr>
              <w:autoSpaceDN w:val="0"/>
              <w:spacing w:line="360" w:lineRule="auto"/>
              <w:ind w:firstLine="480" w:firstLineChars="200"/>
              <w:rPr>
                <w:rFonts w:hint="eastAsia"/>
                <w:sz w:val="24"/>
              </w:rPr>
            </w:pPr>
            <w:r>
              <w:rPr>
                <w:rFonts w:hint="eastAsia"/>
                <w:sz w:val="24"/>
              </w:rPr>
              <w:t>（2）喷塑粉尘</w:t>
            </w:r>
          </w:p>
          <w:p>
            <w:pPr>
              <w:spacing w:line="360" w:lineRule="auto"/>
              <w:ind w:firstLine="480" w:firstLineChars="200"/>
              <w:rPr>
                <w:rFonts w:hint="eastAsia" w:ascii="宋体" w:hAnsi="宋体"/>
                <w:sz w:val="24"/>
              </w:rPr>
            </w:pPr>
            <w:r>
              <w:rPr>
                <w:rFonts w:hint="eastAsia" w:ascii="宋体" w:hAnsi="宋体"/>
                <w:sz w:val="24"/>
              </w:rPr>
              <w:t>项目在静电喷塑过程中会产生散落塑粉，由于静电喷涂在专门的静电喷涂室内进行，喷塑设备配套密封柜、</w:t>
            </w:r>
            <w:r>
              <w:rPr>
                <w:rFonts w:hint="eastAsia" w:ascii="宋体" w:hAnsi="宋体"/>
                <w:sz w:val="24"/>
                <w:lang w:val="en-US" w:eastAsia="zh-CN"/>
              </w:rPr>
              <w:t>脉冲布袋</w:t>
            </w:r>
            <w:r>
              <w:rPr>
                <w:rFonts w:hint="eastAsia" w:ascii="宋体" w:hAnsi="宋体"/>
                <w:sz w:val="24"/>
              </w:rPr>
              <w:t>除尘器收尘回收装置和</w:t>
            </w:r>
            <w:r>
              <w:rPr>
                <w:sz w:val="24"/>
              </w:rPr>
              <w:t>15</w:t>
            </w:r>
            <w:r>
              <w:rPr>
                <w:rFonts w:hint="eastAsia" w:ascii="宋体" w:hAnsi="宋体"/>
                <w:sz w:val="24"/>
              </w:rPr>
              <w:t>米高的排气筒，大部分塑粉被脉冲除尘器收尘装置收集，</w:t>
            </w:r>
            <w:r>
              <w:rPr>
                <w:rFonts w:hint="eastAsia" w:ascii="宋体" w:hAnsi="宋体"/>
                <w:sz w:val="24"/>
                <w:lang w:val="en-US" w:eastAsia="zh-CN"/>
              </w:rPr>
              <w:t>然后经</w:t>
            </w:r>
            <w:r>
              <w:rPr>
                <w:sz w:val="24"/>
              </w:rPr>
              <w:t>15</w:t>
            </w:r>
            <w:r>
              <w:rPr>
                <w:rFonts w:hint="eastAsia" w:ascii="宋体" w:hAnsi="宋体"/>
                <w:sz w:val="24"/>
              </w:rPr>
              <w:t>米排气筒排放。通常企业均对散落在喷塑间及收尘器内的塑粉进行回收，收集后再利用，根据建设单位提供资料可知，项目塑粉年用量为</w:t>
            </w:r>
            <w:r>
              <w:rPr>
                <w:rFonts w:hint="eastAsia" w:ascii="宋体" w:hAnsi="宋体"/>
                <w:sz w:val="24"/>
                <w:lang w:val="en-US" w:eastAsia="zh-CN"/>
              </w:rPr>
              <w:t>5</w:t>
            </w:r>
            <w:r>
              <w:rPr>
                <w:sz w:val="24"/>
              </w:rPr>
              <w:t>t</w:t>
            </w:r>
            <w:r>
              <w:rPr>
                <w:rFonts w:hint="eastAsia" w:ascii="宋体" w:hAnsi="宋体"/>
                <w:sz w:val="24"/>
                <w:lang w:eastAsia="zh-CN"/>
              </w:rPr>
              <w:t>。</w:t>
            </w:r>
            <w:r>
              <w:rPr>
                <w:rFonts w:hint="eastAsia" w:ascii="宋体" w:hAnsi="宋体"/>
                <w:sz w:val="24"/>
                <w:lang w:val="en-US" w:eastAsia="zh-CN"/>
              </w:rPr>
              <w:t>类比同类项目，</w:t>
            </w:r>
            <w:r>
              <w:rPr>
                <w:rFonts w:hint="eastAsia" w:ascii="宋体" w:hAnsi="宋体"/>
                <w:sz w:val="24"/>
              </w:rPr>
              <w:t>排气量</w:t>
            </w:r>
            <w:r>
              <w:rPr>
                <w:rFonts w:hint="eastAsia"/>
                <w:sz w:val="24"/>
              </w:rPr>
              <w:t>50</w:t>
            </w:r>
            <w:r>
              <w:rPr>
                <w:sz w:val="24"/>
              </w:rPr>
              <w:t>00m</w:t>
            </w:r>
            <w:r>
              <w:rPr>
                <w:sz w:val="24"/>
                <w:vertAlign w:val="superscript"/>
              </w:rPr>
              <w:t>3</w:t>
            </w:r>
            <w:r>
              <w:rPr>
                <w:sz w:val="24"/>
              </w:rPr>
              <w:t>/h</w:t>
            </w:r>
            <w:r>
              <w:rPr>
                <w:rFonts w:hint="eastAsia" w:ascii="宋体" w:hAnsi="宋体"/>
                <w:sz w:val="24"/>
              </w:rPr>
              <w:t>计</w:t>
            </w:r>
            <w:r>
              <w:rPr>
                <w:rFonts w:hint="eastAsia" w:ascii="宋体" w:hAnsi="宋体"/>
                <w:sz w:val="24"/>
                <w:lang w:eastAsia="zh-CN"/>
              </w:rPr>
              <w:t>，</w:t>
            </w:r>
            <w:r>
              <w:rPr>
                <w:rFonts w:hint="eastAsia" w:ascii="宋体" w:hAnsi="宋体"/>
                <w:sz w:val="24"/>
              </w:rPr>
              <w:t>塑粉产生量为</w:t>
            </w:r>
            <w:r>
              <w:rPr>
                <w:rFonts w:hint="eastAsia"/>
                <w:sz w:val="24"/>
                <w:lang w:val="en-US" w:eastAsia="zh-CN"/>
              </w:rPr>
              <w:t>0.5</w:t>
            </w:r>
            <w:r>
              <w:rPr>
                <w:sz w:val="24"/>
              </w:rPr>
              <w:t>t/a</w:t>
            </w:r>
            <w:r>
              <w:rPr>
                <w:rFonts w:hint="eastAsia" w:ascii="宋体" w:hAnsi="宋体"/>
                <w:sz w:val="24"/>
              </w:rPr>
              <w:t>，回收量为</w:t>
            </w:r>
            <w:r>
              <w:rPr>
                <w:rFonts w:hint="eastAsia"/>
                <w:sz w:val="24"/>
                <w:lang w:val="en-US" w:eastAsia="zh-CN"/>
              </w:rPr>
              <w:t>0.495</w:t>
            </w:r>
            <w:r>
              <w:rPr>
                <w:sz w:val="24"/>
              </w:rPr>
              <w:t>t/a</w:t>
            </w:r>
            <w:r>
              <w:rPr>
                <w:rFonts w:hint="eastAsia" w:ascii="宋体" w:hAnsi="宋体"/>
                <w:sz w:val="24"/>
              </w:rPr>
              <w:t>，排放量为</w:t>
            </w:r>
            <w:r>
              <w:rPr>
                <w:sz w:val="24"/>
              </w:rPr>
              <w:t>0.</w:t>
            </w:r>
            <w:r>
              <w:rPr>
                <w:rFonts w:hint="eastAsia"/>
                <w:sz w:val="24"/>
              </w:rPr>
              <w:t>0</w:t>
            </w:r>
            <w:r>
              <w:rPr>
                <w:rFonts w:hint="eastAsia"/>
                <w:sz w:val="24"/>
                <w:lang w:val="en-US" w:eastAsia="zh-CN"/>
              </w:rPr>
              <w:t>05</w:t>
            </w:r>
            <w:r>
              <w:rPr>
                <w:sz w:val="24"/>
              </w:rPr>
              <w:t>t/a</w:t>
            </w:r>
            <w:r>
              <w:rPr>
                <w:rFonts w:hint="eastAsia" w:ascii="宋体" w:hAnsi="宋体"/>
                <w:sz w:val="24"/>
              </w:rPr>
              <w:t>，以每天喷塑</w:t>
            </w:r>
            <w:r>
              <w:rPr>
                <w:rFonts w:hint="eastAsia"/>
                <w:sz w:val="24"/>
                <w:lang w:val="en-US" w:eastAsia="zh-CN"/>
              </w:rPr>
              <w:t>4</w:t>
            </w:r>
            <w:r>
              <w:rPr>
                <w:rFonts w:hint="eastAsia" w:ascii="宋体" w:hAnsi="宋体"/>
                <w:sz w:val="24"/>
              </w:rPr>
              <w:t>小时计，则排放速率为</w:t>
            </w:r>
            <w:r>
              <w:rPr>
                <w:sz w:val="24"/>
              </w:rPr>
              <w:t>0.00</w:t>
            </w:r>
            <w:r>
              <w:rPr>
                <w:rFonts w:hint="eastAsia"/>
                <w:sz w:val="24"/>
                <w:lang w:val="en-US" w:eastAsia="zh-CN"/>
              </w:rPr>
              <w:t>42</w:t>
            </w:r>
            <w:r>
              <w:rPr>
                <w:sz w:val="24"/>
              </w:rPr>
              <w:t>kg/h</w:t>
            </w:r>
            <w:r>
              <w:rPr>
                <w:rFonts w:hint="eastAsia" w:ascii="宋体" w:hAnsi="宋体"/>
                <w:sz w:val="24"/>
              </w:rPr>
              <w:t>，排放浓度</w:t>
            </w:r>
            <w:r>
              <w:rPr>
                <w:rFonts w:hint="eastAsia"/>
                <w:sz w:val="24"/>
                <w:lang w:val="en-US" w:eastAsia="zh-CN"/>
              </w:rPr>
              <w:t>0.84</w:t>
            </w:r>
            <w:r>
              <w:rPr>
                <w:sz w:val="24"/>
              </w:rPr>
              <w:t>mg/m</w:t>
            </w:r>
            <w:r>
              <w:rPr>
                <w:sz w:val="24"/>
                <w:vertAlign w:val="superscript"/>
              </w:rPr>
              <w:t>3</w:t>
            </w:r>
            <w:r>
              <w:rPr>
                <w:rFonts w:hint="eastAsia" w:ascii="宋体" w:hAnsi="宋体"/>
                <w:sz w:val="24"/>
              </w:rPr>
              <w:t>，能够满足《大气污染物综合排放标准》（</w:t>
            </w:r>
            <w:r>
              <w:rPr>
                <w:sz w:val="24"/>
              </w:rPr>
              <w:t>GB16297-1996</w:t>
            </w:r>
            <w:r>
              <w:rPr>
                <w:rFonts w:hint="eastAsia" w:ascii="宋体" w:hAnsi="宋体"/>
                <w:sz w:val="24"/>
              </w:rPr>
              <w:t>）表</w:t>
            </w:r>
            <w:r>
              <w:rPr>
                <w:sz w:val="24"/>
              </w:rPr>
              <w:t>2</w:t>
            </w:r>
            <w:r>
              <w:rPr>
                <w:rFonts w:hint="eastAsia" w:ascii="宋体" w:hAnsi="宋体"/>
                <w:sz w:val="24"/>
              </w:rPr>
              <w:t>中二级标准。</w:t>
            </w:r>
          </w:p>
          <w:p>
            <w:pPr>
              <w:autoSpaceDN w:val="0"/>
              <w:spacing w:line="360" w:lineRule="auto"/>
              <w:ind w:firstLine="480" w:firstLineChars="200"/>
              <w:rPr>
                <w:rFonts w:hint="eastAsia" w:hAnsi="宋体"/>
                <w:sz w:val="24"/>
              </w:rPr>
            </w:pPr>
            <w:r>
              <w:rPr>
                <w:rFonts w:hint="eastAsia" w:hAnsi="宋体"/>
                <w:sz w:val="24"/>
              </w:rPr>
              <w:t>（</w:t>
            </w:r>
            <w:r>
              <w:rPr>
                <w:rFonts w:hint="eastAsia" w:hAnsi="宋体"/>
                <w:sz w:val="24"/>
                <w:lang w:val="en-US" w:eastAsia="zh-CN"/>
              </w:rPr>
              <w:t>3</w:t>
            </w:r>
            <w:r>
              <w:rPr>
                <w:rFonts w:hint="eastAsia" w:hAnsi="宋体"/>
                <w:sz w:val="24"/>
              </w:rPr>
              <w:t>）</w:t>
            </w:r>
            <w:r>
              <w:rPr>
                <w:rFonts w:hint="eastAsia" w:ascii="宋体" w:hAnsi="宋体"/>
                <w:sz w:val="24"/>
              </w:rPr>
              <w:t>喷塑固化有机废气</w:t>
            </w:r>
          </w:p>
          <w:p>
            <w:pPr>
              <w:spacing w:line="348" w:lineRule="auto"/>
              <w:ind w:firstLine="480" w:firstLineChars="200"/>
              <w:rPr>
                <w:rFonts w:ascii="宋体" w:hAnsi="宋体"/>
                <w:sz w:val="24"/>
              </w:rPr>
            </w:pPr>
            <w:r>
              <w:rPr>
                <w:rFonts w:hint="eastAsia" w:ascii="宋体" w:hAnsi="宋体"/>
                <w:sz w:val="24"/>
              </w:rPr>
              <w:t>项目在静电喷涂过程中高压静电发生器使塑料粉沫产生静电，吸附在工件表面，须经</w:t>
            </w:r>
            <w:r>
              <w:rPr>
                <w:rFonts w:hint="eastAsia"/>
                <w:sz w:val="24"/>
                <w:lang w:val="en-US" w:eastAsia="zh-CN"/>
              </w:rPr>
              <w:t>20</w:t>
            </w:r>
            <w:r>
              <w:rPr>
                <w:sz w:val="24"/>
              </w:rPr>
              <w:t>0</w:t>
            </w:r>
            <w:r>
              <w:rPr>
                <w:rFonts w:hint="eastAsia" w:ascii="宋体" w:hAnsi="宋体"/>
                <w:sz w:val="24"/>
              </w:rPr>
              <w:t>℃加热使塑粉在金属表面固化，项目用电在</w:t>
            </w:r>
            <w:r>
              <w:rPr>
                <w:rFonts w:hint="eastAsia" w:ascii="宋体" w:hAnsi="宋体"/>
                <w:sz w:val="24"/>
                <w:lang w:eastAsia="zh-CN"/>
              </w:rPr>
              <w:t>烤箱</w:t>
            </w:r>
            <w:r>
              <w:rPr>
                <w:rFonts w:hint="eastAsia" w:ascii="宋体" w:hAnsi="宋体"/>
                <w:sz w:val="24"/>
              </w:rPr>
              <w:t>内固化，每次固化时间</w:t>
            </w:r>
            <w:r>
              <w:rPr>
                <w:rFonts w:hint="eastAsia"/>
                <w:sz w:val="24"/>
              </w:rPr>
              <w:t>20</w:t>
            </w:r>
            <w:r>
              <w:rPr>
                <w:rFonts w:hint="eastAsia" w:ascii="宋体" w:hAnsi="宋体"/>
                <w:sz w:val="24"/>
              </w:rPr>
              <w:t>分钟。本项目使用的塑料粉沫为环氧聚酯树脂，其热分解温度为</w:t>
            </w:r>
            <w:r>
              <w:rPr>
                <w:sz w:val="24"/>
              </w:rPr>
              <w:t>300</w:t>
            </w:r>
            <w:r>
              <w:rPr>
                <w:rFonts w:hint="eastAsia" w:ascii="宋体" w:hAnsi="宋体"/>
                <w:sz w:val="24"/>
              </w:rPr>
              <w:t>℃以上，本项目塑料粉末加热温度为</w:t>
            </w:r>
            <w:r>
              <w:rPr>
                <w:rFonts w:hint="eastAsia" w:ascii="宋体" w:hAnsi="宋体"/>
                <w:sz w:val="24"/>
                <w:lang w:val="en-US" w:eastAsia="zh-CN"/>
              </w:rPr>
              <w:t>180-</w:t>
            </w:r>
            <w:r>
              <w:rPr>
                <w:rFonts w:hint="eastAsia"/>
                <w:sz w:val="24"/>
                <w:lang w:val="en-US" w:eastAsia="zh-CN"/>
              </w:rPr>
              <w:t>200</w:t>
            </w:r>
            <w:r>
              <w:rPr>
                <w:rFonts w:hint="eastAsia" w:ascii="宋体" w:hAnsi="宋体"/>
                <w:sz w:val="24"/>
              </w:rPr>
              <w:t>℃。每天固化时间约为</w:t>
            </w:r>
            <w:r>
              <w:rPr>
                <w:rFonts w:hint="eastAsia"/>
                <w:sz w:val="24"/>
                <w:lang w:val="en-US" w:eastAsia="zh-CN"/>
              </w:rPr>
              <w:t>4</w:t>
            </w:r>
            <w:r>
              <w:rPr>
                <w:sz w:val="24"/>
              </w:rPr>
              <w:t>h</w:t>
            </w:r>
            <w:r>
              <w:rPr>
                <w:rFonts w:hint="eastAsia" w:ascii="宋体" w:hAnsi="宋体"/>
                <w:sz w:val="24"/>
              </w:rPr>
              <w:t>。</w:t>
            </w:r>
          </w:p>
          <w:p>
            <w:pPr>
              <w:spacing w:line="348" w:lineRule="auto"/>
              <w:ind w:firstLine="480" w:firstLineChars="200"/>
              <w:rPr>
                <w:rFonts w:hint="eastAsia" w:ascii="宋体" w:hAnsi="宋体"/>
                <w:sz w:val="24"/>
              </w:rPr>
            </w:pPr>
            <w:r>
              <w:rPr>
                <w:rFonts w:hint="eastAsia" w:ascii="宋体" w:hAnsi="宋体"/>
                <w:sz w:val="24"/>
              </w:rPr>
              <w:t>根据《环氧</w:t>
            </w:r>
            <w:r>
              <w:rPr>
                <w:sz w:val="24"/>
              </w:rPr>
              <w:t>-</w:t>
            </w:r>
            <w:r>
              <w:rPr>
                <w:rFonts w:hint="eastAsia" w:ascii="宋体" w:hAnsi="宋体"/>
                <w:sz w:val="24"/>
              </w:rPr>
              <w:t>聚脂粉末涂料》</w:t>
            </w:r>
            <w:r>
              <w:rPr>
                <w:sz w:val="24"/>
              </w:rPr>
              <w:t>(HG/T2597-94)</w:t>
            </w:r>
            <w:r>
              <w:rPr>
                <w:rFonts w:hint="eastAsia" w:ascii="宋体" w:hAnsi="宋体"/>
                <w:sz w:val="24"/>
              </w:rPr>
              <w:t>和《熔融结合环氧粉末涂料的防腐蚀涂装》可知，环氧聚酯树脂涂料技术指标要求挥发分含量应≤</w:t>
            </w:r>
            <w:r>
              <w:rPr>
                <w:sz w:val="24"/>
              </w:rPr>
              <w:t>0.6%</w:t>
            </w:r>
            <w:r>
              <w:rPr>
                <w:rFonts w:hint="eastAsia" w:ascii="宋体" w:hAnsi="宋体"/>
                <w:sz w:val="24"/>
              </w:rPr>
              <w:t>。本评价按不利条件进行计算，环氧聚酯树脂涂料中挥发分（含量取</w:t>
            </w:r>
            <w:r>
              <w:rPr>
                <w:sz w:val="24"/>
              </w:rPr>
              <w:t>0.6%</w:t>
            </w:r>
            <w:r>
              <w:rPr>
                <w:rFonts w:hint="eastAsia" w:ascii="宋体" w:hAnsi="宋体"/>
                <w:sz w:val="24"/>
              </w:rPr>
              <w:t>）在固化工段完全挥发时，挥发性有机废气</w:t>
            </w:r>
            <w:r>
              <w:rPr>
                <w:rFonts w:hint="eastAsia" w:ascii="宋体" w:hAnsi="宋体"/>
                <w:sz w:val="24"/>
                <w:lang w:eastAsia="zh-CN"/>
              </w:rPr>
              <w:t>（</w:t>
            </w:r>
            <w:r>
              <w:rPr>
                <w:rFonts w:hint="eastAsia" w:ascii="宋体" w:hAnsi="宋体"/>
                <w:sz w:val="24"/>
                <w:lang w:val="en-US" w:eastAsia="zh-CN"/>
              </w:rPr>
              <w:t>以非甲烷总烃计</w:t>
            </w:r>
            <w:r>
              <w:rPr>
                <w:rFonts w:hint="eastAsia" w:ascii="宋体" w:hAnsi="宋体"/>
                <w:sz w:val="24"/>
                <w:lang w:eastAsia="zh-CN"/>
              </w:rPr>
              <w:t>）</w:t>
            </w:r>
            <w:r>
              <w:rPr>
                <w:rFonts w:hint="eastAsia" w:ascii="宋体" w:hAnsi="宋体"/>
                <w:sz w:val="24"/>
              </w:rPr>
              <w:t>产生量为</w:t>
            </w:r>
            <w:r>
              <w:rPr>
                <w:sz w:val="24"/>
              </w:rPr>
              <w:t>0.0</w:t>
            </w:r>
            <w:r>
              <w:rPr>
                <w:rFonts w:hint="eastAsia"/>
                <w:sz w:val="24"/>
                <w:lang w:val="en-US" w:eastAsia="zh-CN"/>
              </w:rPr>
              <w:t>3</w:t>
            </w:r>
            <w:r>
              <w:rPr>
                <w:sz w:val="24"/>
              </w:rPr>
              <w:t xml:space="preserve"> t/a</w:t>
            </w:r>
            <w:r>
              <w:rPr>
                <w:rFonts w:hint="eastAsia" w:ascii="宋体" w:hAnsi="宋体"/>
                <w:sz w:val="24"/>
              </w:rPr>
              <w:t>。</w:t>
            </w:r>
          </w:p>
          <w:p>
            <w:pPr>
              <w:pStyle w:val="2"/>
              <w:rPr>
                <w:rFonts w:hint="eastAsia"/>
              </w:rPr>
            </w:pPr>
            <w:r>
              <w:rPr>
                <w:rFonts w:hint="eastAsia" w:ascii="宋体" w:hAnsi="宋体"/>
                <w:sz w:val="24"/>
              </w:rPr>
              <w:t>在</w:t>
            </w:r>
            <w:r>
              <w:rPr>
                <w:rFonts w:hint="eastAsia" w:ascii="宋体" w:hAnsi="宋体"/>
                <w:sz w:val="24"/>
                <w:lang w:eastAsia="zh-CN"/>
              </w:rPr>
              <w:t>烤箱</w:t>
            </w:r>
            <w:r>
              <w:rPr>
                <w:rFonts w:hint="eastAsia" w:ascii="宋体" w:hAnsi="宋体"/>
                <w:sz w:val="24"/>
              </w:rPr>
              <w:t>上设置一个</w:t>
            </w:r>
            <w:r>
              <w:rPr>
                <w:rFonts w:hint="eastAsia" w:ascii="宋体" w:hAnsi="宋体"/>
                <w:sz w:val="24"/>
                <w:lang w:val="en-US" w:eastAsia="zh-CN"/>
              </w:rPr>
              <w:t>集气罩，经废气收集后经</w:t>
            </w:r>
            <w:r>
              <w:rPr>
                <w:sz w:val="24"/>
              </w:rPr>
              <w:t>UV</w:t>
            </w:r>
            <w:r>
              <w:rPr>
                <w:rFonts w:hint="eastAsia" w:ascii="宋体" w:hAnsi="宋体"/>
                <w:sz w:val="24"/>
              </w:rPr>
              <w:t>光解</w:t>
            </w:r>
            <w:r>
              <w:rPr>
                <w:sz w:val="24"/>
              </w:rPr>
              <w:t>+</w:t>
            </w:r>
            <w:r>
              <w:rPr>
                <w:rFonts w:hint="eastAsia" w:ascii="宋体" w:hAnsi="宋体"/>
                <w:sz w:val="24"/>
              </w:rPr>
              <w:t>活性炭吸附收集装置处理，通过</w:t>
            </w:r>
            <w:r>
              <w:rPr>
                <w:sz w:val="24"/>
              </w:rPr>
              <w:t>15m</w:t>
            </w:r>
            <w:r>
              <w:rPr>
                <w:rFonts w:hint="eastAsia" w:ascii="宋体" w:hAnsi="宋体"/>
                <w:sz w:val="24"/>
              </w:rPr>
              <w:t>排气筒排放。</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cs="Times New Roman"/>
                <w:sz w:val="24"/>
                <w:szCs w:val="24"/>
                <w:lang w:val="en-US" w:eastAsia="zh-CN"/>
              </w:rPr>
              <w:t>4</w:t>
            </w:r>
            <w:r>
              <w:rPr>
                <w:rFonts w:hint="default" w:ascii="Times New Roman" w:hAnsi="Times New Roman" w:eastAsia="宋体" w:cs="Times New Roman"/>
                <w:sz w:val="24"/>
                <w:szCs w:val="24"/>
              </w:rPr>
              <w:t>）天然气燃烧废气</w:t>
            </w:r>
          </w:p>
          <w:p>
            <w:pPr>
              <w:spacing w:line="360" w:lineRule="auto"/>
              <w:ind w:firstLine="480" w:firstLineChars="200"/>
              <w:rPr>
                <w:rFonts w:hint="eastAsia" w:hAnsi="宋体"/>
                <w:color w:val="000000" w:themeColor="text1"/>
                <w:sz w:val="24"/>
              </w:rPr>
            </w:pPr>
            <w:r>
              <w:rPr>
                <w:rFonts w:hint="eastAsia" w:hAnsi="宋体"/>
                <w:color w:val="000000" w:themeColor="text1"/>
                <w:sz w:val="24"/>
              </w:rPr>
              <w:t>根据现场勘查，项目</w:t>
            </w:r>
            <w:r>
              <w:rPr>
                <w:rFonts w:hAnsi="宋体"/>
                <w:color w:val="000000" w:themeColor="text1"/>
                <w:sz w:val="24"/>
              </w:rPr>
              <w:t>固化采用</w:t>
            </w:r>
            <w:r>
              <w:rPr>
                <w:rFonts w:hint="eastAsia" w:hAnsi="宋体"/>
                <w:color w:val="000000" w:themeColor="text1"/>
                <w:sz w:val="24"/>
              </w:rPr>
              <w:t>生物质燃烧机</w:t>
            </w:r>
            <w:r>
              <w:rPr>
                <w:rFonts w:hAnsi="宋体"/>
                <w:color w:val="000000" w:themeColor="text1"/>
                <w:sz w:val="24"/>
              </w:rPr>
              <w:t>加热，燃料为生物质</w:t>
            </w:r>
            <w:r>
              <w:rPr>
                <w:rFonts w:hint="eastAsia" w:hAnsi="宋体"/>
                <w:color w:val="000000" w:themeColor="text1"/>
                <w:sz w:val="24"/>
              </w:rPr>
              <w:t>，</w:t>
            </w:r>
            <w:r>
              <w:rPr>
                <w:rFonts w:hAnsi="宋体"/>
                <w:color w:val="000000" w:themeColor="text1"/>
                <w:sz w:val="24"/>
              </w:rPr>
              <w:t>为了响应中华人民共和国生态环境部关于印发</w:t>
            </w:r>
            <w:r>
              <w:rPr>
                <w:rFonts w:hint="eastAsia"/>
                <w:color w:val="000000" w:themeColor="text1"/>
                <w:sz w:val="24"/>
              </w:rPr>
              <w:t>《工业炉窑大气污染综合治理方案》的通知，建设</w:t>
            </w:r>
            <w:r>
              <w:rPr>
                <w:rFonts w:hAnsi="宋体"/>
                <w:color w:val="000000" w:themeColor="text1"/>
                <w:sz w:val="24"/>
              </w:rPr>
              <w:t>单位现进</w:t>
            </w:r>
            <w:r>
              <w:rPr>
                <w:rFonts w:hint="eastAsia" w:hAnsi="宋体"/>
                <w:color w:val="000000" w:themeColor="text1"/>
                <w:sz w:val="24"/>
              </w:rPr>
              <w:t>行</w:t>
            </w:r>
            <w:r>
              <w:rPr>
                <w:rFonts w:hAnsi="宋体"/>
                <w:color w:val="000000" w:themeColor="text1"/>
                <w:sz w:val="24"/>
              </w:rPr>
              <w:t>整改</w:t>
            </w:r>
            <w:r>
              <w:rPr>
                <w:rFonts w:hint="eastAsia" w:hAnsi="宋体"/>
                <w:color w:val="000000" w:themeColor="text1"/>
                <w:sz w:val="24"/>
              </w:rPr>
              <w:t>，整改后</w:t>
            </w:r>
            <w:r>
              <w:rPr>
                <w:rFonts w:hAnsi="宋体"/>
                <w:color w:val="000000" w:themeColor="text1"/>
                <w:sz w:val="24"/>
              </w:rPr>
              <w:t>本项目固化工序采用液化</w:t>
            </w:r>
            <w:r>
              <w:rPr>
                <w:rFonts w:hint="eastAsia" w:hAnsi="宋体"/>
                <w:color w:val="000000" w:themeColor="text1"/>
                <w:sz w:val="24"/>
              </w:rPr>
              <w:t>天然气燃烧机</w:t>
            </w:r>
            <w:r>
              <w:rPr>
                <w:rFonts w:hAnsi="宋体"/>
                <w:color w:val="000000" w:themeColor="text1"/>
                <w:sz w:val="24"/>
              </w:rPr>
              <w:t>加热</w:t>
            </w:r>
            <w:r>
              <w:rPr>
                <w:rFonts w:hint="eastAsia" w:hAnsi="宋体"/>
                <w:color w:val="000000" w:themeColor="text1"/>
                <w:sz w:val="24"/>
              </w:rPr>
              <w:t>。</w:t>
            </w:r>
          </w:p>
          <w:p>
            <w:pPr>
              <w:pStyle w:val="27"/>
              <w:shd w:val="clear" w:color="auto" w:fill="FFFFFF"/>
              <w:wordWrap w:val="0"/>
              <w:spacing w:line="360" w:lineRule="auto"/>
              <w:ind w:firstLine="480" w:firstLineChars="200"/>
              <w:rPr>
                <w:rFonts w:hint="default" w:ascii="Times New Roman" w:hAnsi="Times New Roman" w:eastAsia="宋体" w:cs="Times New Roman"/>
                <w:color w:val="000000" w:themeColor="text1"/>
                <w:sz w:val="24"/>
                <w:szCs w:val="24"/>
                <w:lang w:val="en-US" w:eastAsia="zh-CN"/>
              </w:rPr>
            </w:pPr>
            <w:r>
              <w:rPr>
                <w:rFonts w:hint="eastAsia" w:hAnsi="宋体"/>
                <w:color w:val="000000" w:themeColor="text1"/>
                <w:sz w:val="24"/>
              </w:rPr>
              <w:t>天然气燃烧机</w:t>
            </w:r>
            <w:r>
              <w:rPr>
                <w:rFonts w:hAnsi="宋体"/>
                <w:color w:val="000000" w:themeColor="text1"/>
                <w:sz w:val="24"/>
              </w:rPr>
              <w:t>燃料为液化</w:t>
            </w:r>
            <w:r>
              <w:rPr>
                <w:rFonts w:hint="eastAsia" w:hAnsi="宋体"/>
                <w:color w:val="000000" w:themeColor="text1"/>
                <w:sz w:val="24"/>
              </w:rPr>
              <w:t>天然气</w:t>
            </w:r>
            <w:r>
              <w:rPr>
                <w:rFonts w:hAnsi="宋体"/>
                <w:color w:val="000000" w:themeColor="text1"/>
                <w:sz w:val="24"/>
              </w:rPr>
              <w:t>，液化天然气使用量为</w:t>
            </w:r>
            <w:r>
              <w:rPr>
                <w:rFonts w:hint="eastAsia" w:hAnsi="宋体"/>
                <w:color w:val="000000" w:themeColor="text1"/>
                <w:sz w:val="24"/>
                <w:lang w:val="en-US" w:eastAsia="zh-CN"/>
              </w:rPr>
              <w:t>5</w:t>
            </w:r>
            <w:r>
              <w:rPr>
                <w:color w:val="000000" w:themeColor="text1"/>
                <w:spacing w:val="8"/>
                <w:kern w:val="24"/>
                <w:sz w:val="24"/>
              </w:rPr>
              <w:t>t/a</w:t>
            </w:r>
            <w:r>
              <w:rPr>
                <w:rFonts w:hint="eastAsia"/>
                <w:color w:val="000000" w:themeColor="text1"/>
                <w:spacing w:val="8"/>
                <w:kern w:val="24"/>
                <w:sz w:val="24"/>
              </w:rPr>
              <w:t>，</w:t>
            </w:r>
            <w:r>
              <w:rPr>
                <w:rFonts w:hint="default" w:ascii="Times New Roman" w:hAnsi="Times New Roman" w:eastAsia="宋体" w:cs="Times New Roman"/>
                <w:color w:val="000000" w:themeColor="text1"/>
                <w:sz w:val="24"/>
                <w:szCs w:val="24"/>
              </w:rPr>
              <w:t>天然气燃烧机每天运行5h</w:t>
            </w:r>
            <w:r>
              <w:rPr>
                <w:rFonts w:hint="default" w:ascii="Times New Roman" w:hAnsi="Times New Roman" w:eastAsia="宋体" w:cs="Times New Roman"/>
                <w:color w:val="000000" w:themeColor="text1"/>
                <w:sz w:val="24"/>
                <w:szCs w:val="24"/>
                <w:lang w:eastAsia="zh-CN"/>
              </w:rPr>
              <w:t>，</w:t>
            </w:r>
            <w:r>
              <w:rPr>
                <w:rFonts w:hint="default" w:ascii="Times New Roman" w:hAnsi="Times New Roman" w:eastAsia="宋体" w:cs="Times New Roman"/>
                <w:color w:val="000000" w:themeColor="text1"/>
                <w:sz w:val="24"/>
                <w:szCs w:val="24"/>
                <w:lang w:val="en-US" w:eastAsia="zh-CN"/>
              </w:rPr>
              <w:t>年运行300天</w:t>
            </w:r>
            <w:r>
              <w:rPr>
                <w:rFonts w:hint="default" w:ascii="Times New Roman" w:hAnsi="Times New Roman" w:eastAsia="宋体" w:cs="Times New Roman"/>
                <w:color w:val="000000" w:themeColor="text1"/>
                <w:sz w:val="24"/>
                <w:szCs w:val="24"/>
                <w:lang w:eastAsia="zh-CN"/>
              </w:rPr>
              <w:t>，</w:t>
            </w:r>
            <w:r>
              <w:rPr>
                <w:rFonts w:hint="default" w:ascii="Times New Roman" w:hAnsi="Times New Roman" w:eastAsia="宋体" w:cs="Times New Roman"/>
                <w:color w:val="000000" w:themeColor="text1"/>
                <w:sz w:val="24"/>
                <w:szCs w:val="24"/>
              </w:rPr>
              <w:t>根据液化天然气的气化比1吨液化气</w:t>
            </w:r>
            <w:r>
              <w:rPr>
                <w:rFonts w:hint="eastAsia" w:ascii="Times New Roman" w:hAnsi="Times New Roman" w:cs="Times New Roman"/>
                <w:color w:val="000000" w:themeColor="text1"/>
                <w:sz w:val="24"/>
                <w:szCs w:val="24"/>
                <w:lang w:val="en-US" w:eastAsia="zh-CN"/>
              </w:rPr>
              <w:t>气</w:t>
            </w:r>
            <w:r>
              <w:rPr>
                <w:rFonts w:hint="default" w:ascii="Times New Roman" w:hAnsi="Times New Roman" w:eastAsia="宋体" w:cs="Times New Roman"/>
                <w:color w:val="000000" w:themeColor="text1"/>
                <w:sz w:val="24"/>
                <w:szCs w:val="24"/>
              </w:rPr>
              <w:t>化1495标方天然气，则项目年消耗天然气为</w:t>
            </w:r>
            <w:r>
              <w:rPr>
                <w:rFonts w:hint="eastAsia" w:ascii="Times New Roman" w:hAnsi="Times New Roman" w:cs="Times New Roman"/>
                <w:color w:val="000000" w:themeColor="text1"/>
                <w:sz w:val="24"/>
                <w:szCs w:val="24"/>
                <w:lang w:val="en-US" w:eastAsia="zh-CN"/>
              </w:rPr>
              <w:t>7475</w:t>
            </w:r>
            <w:r>
              <w:rPr>
                <w:rFonts w:hint="default" w:ascii="Times New Roman" w:hAnsi="Times New Roman" w:eastAsia="宋体" w:cs="Times New Roman"/>
                <w:color w:val="000000" w:themeColor="text1"/>
                <w:sz w:val="24"/>
                <w:szCs w:val="24"/>
              </w:rPr>
              <w:t>Nm</w:t>
            </w:r>
            <w:r>
              <w:rPr>
                <w:rFonts w:hint="default" w:ascii="Times New Roman" w:hAnsi="Times New Roman" w:eastAsia="宋体" w:cs="Times New Roman"/>
                <w:color w:val="000000" w:themeColor="text1"/>
                <w:sz w:val="24"/>
                <w:szCs w:val="24"/>
                <w:vertAlign w:val="superscript"/>
              </w:rPr>
              <w:t>3</w:t>
            </w:r>
            <w:r>
              <w:rPr>
                <w:rFonts w:hint="default" w:ascii="Times New Roman" w:hAnsi="Times New Roman" w:eastAsia="宋体" w:cs="Times New Roman"/>
                <w:color w:val="000000" w:themeColor="text1"/>
                <w:sz w:val="24"/>
                <w:szCs w:val="24"/>
              </w:rPr>
              <w:t>。</w:t>
            </w:r>
            <w:r>
              <w:rPr>
                <w:rFonts w:hint="default" w:ascii="Times New Roman" w:hAnsi="Times New Roman" w:eastAsia="宋体" w:cs="Times New Roman"/>
                <w:color w:val="000000" w:themeColor="text1"/>
                <w:sz w:val="24"/>
                <w:szCs w:val="24"/>
                <w:lang w:val="en-US" w:eastAsia="zh-CN"/>
              </w:rPr>
              <w:t>燃烧机</w:t>
            </w:r>
            <w:r>
              <w:rPr>
                <w:rFonts w:hint="default" w:ascii="Times New Roman" w:hAnsi="Times New Roman" w:eastAsia="宋体" w:cs="Times New Roman"/>
                <w:color w:val="000000" w:themeColor="text1"/>
                <w:sz w:val="24"/>
                <w:szCs w:val="24"/>
              </w:rPr>
              <w:t>燃烧</w:t>
            </w:r>
            <w:r>
              <w:rPr>
                <w:rFonts w:hint="default" w:ascii="Times New Roman" w:hAnsi="Times New Roman" w:eastAsia="宋体" w:cs="Times New Roman"/>
                <w:color w:val="000000" w:themeColor="text1"/>
                <w:sz w:val="24"/>
                <w:szCs w:val="24"/>
                <w:lang w:val="en-US" w:eastAsia="zh-CN"/>
              </w:rPr>
              <w:t>产生</w:t>
            </w:r>
            <w:r>
              <w:rPr>
                <w:rFonts w:hint="default" w:ascii="Times New Roman" w:hAnsi="Times New Roman" w:eastAsia="宋体" w:cs="Times New Roman"/>
                <w:color w:val="000000" w:themeColor="text1"/>
                <w:sz w:val="24"/>
                <w:szCs w:val="24"/>
              </w:rPr>
              <w:t>废气中的主要污染物为颗粒物、SO</w:t>
            </w:r>
            <w:r>
              <w:rPr>
                <w:rFonts w:hint="default" w:ascii="Times New Roman" w:hAnsi="Times New Roman" w:eastAsia="宋体" w:cs="Times New Roman"/>
                <w:color w:val="000000" w:themeColor="text1"/>
                <w:sz w:val="24"/>
                <w:szCs w:val="24"/>
                <w:vertAlign w:val="subscript"/>
              </w:rPr>
              <w:t>2</w:t>
            </w:r>
            <w:r>
              <w:rPr>
                <w:rFonts w:hint="default" w:ascii="Times New Roman" w:hAnsi="Times New Roman" w:eastAsia="宋体" w:cs="Times New Roman"/>
                <w:color w:val="000000" w:themeColor="text1"/>
                <w:sz w:val="24"/>
                <w:szCs w:val="24"/>
              </w:rPr>
              <w:t>、NO</w:t>
            </w:r>
            <w:r>
              <w:rPr>
                <w:rFonts w:hint="default" w:ascii="Times New Roman" w:hAnsi="Times New Roman" w:eastAsia="宋体" w:cs="Times New Roman"/>
                <w:color w:val="000000" w:themeColor="text1"/>
                <w:sz w:val="24"/>
                <w:szCs w:val="24"/>
                <w:vertAlign w:val="subscript"/>
              </w:rPr>
              <w:t>X</w:t>
            </w:r>
            <w:r>
              <w:rPr>
                <w:rFonts w:hint="default" w:ascii="Times New Roman" w:hAnsi="Times New Roman" w:eastAsia="宋体" w:cs="Times New Roman"/>
                <w:color w:val="000000" w:themeColor="text1"/>
                <w:sz w:val="24"/>
                <w:szCs w:val="24"/>
              </w:rPr>
              <w:t>。</w:t>
            </w:r>
            <w:r>
              <w:rPr>
                <w:rFonts w:hint="eastAsia" w:ascii="Times New Roman" w:hAnsi="Times New Roman" w:cs="Times New Roman"/>
                <w:color w:val="000000" w:themeColor="text1"/>
                <w:sz w:val="24"/>
                <w:szCs w:val="24"/>
                <w:lang w:val="en-US" w:eastAsia="zh-CN"/>
              </w:rPr>
              <w:t>燃烧机产生废气经集气罩收集后通过15m排气筒排放。</w:t>
            </w:r>
          </w:p>
          <w:p>
            <w:pPr>
              <w:spacing w:line="360" w:lineRule="auto"/>
              <w:ind w:firstLine="480" w:firstLineChars="200"/>
            </w:pPr>
            <w:r>
              <w:rPr>
                <w:color w:val="000000" w:themeColor="text1"/>
                <w:sz w:val="24"/>
              </w:rPr>
              <w:t>根据《社会区域类环境影响评价》天然气燃烧的排污系数，综上所述，燃气烘干炉的排污系数见表</w:t>
            </w:r>
            <w:r>
              <w:rPr>
                <w:rFonts w:hint="eastAsia"/>
                <w:color w:val="000000" w:themeColor="text1"/>
                <w:sz w:val="24"/>
                <w:lang w:val="en-US" w:eastAsia="zh-CN"/>
              </w:rPr>
              <w:t>5-1</w:t>
            </w:r>
            <w:r>
              <w:rPr>
                <w:color w:val="000000" w:themeColor="text1"/>
                <w:sz w:val="24"/>
              </w:rPr>
              <w:t>。</w:t>
            </w:r>
          </w:p>
          <w:p>
            <w:pPr>
              <w:jc w:val="center"/>
              <w:rPr>
                <w:b/>
                <w:bCs/>
                <w:color w:val="000000" w:themeColor="text1"/>
                <w:sz w:val="24"/>
              </w:rPr>
            </w:pPr>
            <w:r>
              <w:rPr>
                <w:b/>
                <w:bCs/>
                <w:color w:val="000000" w:themeColor="text1"/>
                <w:sz w:val="24"/>
              </w:rPr>
              <w:t>表</w:t>
            </w:r>
            <w:r>
              <w:rPr>
                <w:rFonts w:hint="eastAsia"/>
                <w:b/>
                <w:bCs/>
                <w:color w:val="000000" w:themeColor="text1"/>
                <w:sz w:val="24"/>
                <w:lang w:val="en-US" w:eastAsia="zh-CN"/>
              </w:rPr>
              <w:t>5-1</w:t>
            </w:r>
            <w:r>
              <w:rPr>
                <w:b/>
                <w:bCs/>
                <w:color w:val="000000" w:themeColor="text1"/>
                <w:sz w:val="24"/>
              </w:rPr>
              <w:t xml:space="preserve"> 项目燃料燃烧产排污系数</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38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污染物</w:t>
                  </w:r>
                </w:p>
              </w:tc>
              <w:tc>
                <w:tcPr>
                  <w:tcW w:w="593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天然气燃烧产排污系数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238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废气</w:t>
                  </w:r>
                </w:p>
              </w:tc>
              <w:tc>
                <w:tcPr>
                  <w:tcW w:w="593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10.64m</w:t>
                  </w:r>
                  <w:r>
                    <w:rPr>
                      <w:rFonts w:hint="eastAsia" w:ascii="宋体" w:hAnsi="宋体" w:eastAsia="宋体" w:cs="宋体"/>
                      <w:color w:val="000000" w:themeColor="text1"/>
                      <w:sz w:val="21"/>
                      <w:szCs w:val="21"/>
                      <w:vertAlign w:val="superscript"/>
                    </w:rPr>
                    <w:t>3</w:t>
                  </w:r>
                  <w:r>
                    <w:rPr>
                      <w:rFonts w:hint="eastAsia" w:ascii="宋体" w:hAnsi="宋体" w:eastAsia="宋体" w:cs="宋体"/>
                      <w:color w:val="000000" w:themeColor="text1"/>
                      <w:sz w:val="21"/>
                      <w:szCs w:val="21"/>
                    </w:rPr>
                    <w:t>/m</w:t>
                  </w:r>
                  <w:r>
                    <w:rPr>
                      <w:rFonts w:hint="eastAsia" w:ascii="宋体" w:hAnsi="宋体" w:eastAsia="宋体" w:cs="宋体"/>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8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SO</w:t>
                  </w:r>
                  <w:r>
                    <w:rPr>
                      <w:rFonts w:hint="eastAsia" w:ascii="宋体" w:hAnsi="宋体" w:eastAsia="宋体" w:cs="宋体"/>
                      <w:color w:val="000000" w:themeColor="text1"/>
                      <w:sz w:val="21"/>
                      <w:szCs w:val="21"/>
                      <w:vertAlign w:val="subscript"/>
                    </w:rPr>
                    <w:t>2</w:t>
                  </w:r>
                </w:p>
              </w:tc>
              <w:tc>
                <w:tcPr>
                  <w:tcW w:w="593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0.18kg/km</w:t>
                  </w:r>
                  <w:r>
                    <w:rPr>
                      <w:rFonts w:hint="eastAsia" w:ascii="宋体" w:hAnsi="宋体" w:eastAsia="宋体" w:cs="宋体"/>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8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NO</w:t>
                  </w:r>
                  <w:r>
                    <w:rPr>
                      <w:rFonts w:hint="eastAsia" w:ascii="宋体" w:hAnsi="宋体" w:eastAsia="宋体" w:cs="宋体"/>
                      <w:color w:val="000000" w:themeColor="text1"/>
                      <w:sz w:val="21"/>
                      <w:szCs w:val="21"/>
                      <w:vertAlign w:val="subscript"/>
                    </w:rPr>
                    <w:t>x</w:t>
                  </w:r>
                </w:p>
              </w:tc>
              <w:tc>
                <w:tcPr>
                  <w:tcW w:w="593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1.76kg/km</w:t>
                  </w:r>
                  <w:r>
                    <w:rPr>
                      <w:rFonts w:hint="eastAsia" w:ascii="宋体" w:hAnsi="宋体" w:eastAsia="宋体" w:cs="宋体"/>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83"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烟尘</w:t>
                  </w:r>
                </w:p>
              </w:tc>
              <w:tc>
                <w:tcPr>
                  <w:tcW w:w="593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0.14kg/km</w:t>
                  </w:r>
                  <w:r>
                    <w:rPr>
                      <w:rFonts w:hint="eastAsia" w:ascii="宋体" w:hAnsi="宋体" w:eastAsia="宋体" w:cs="宋体"/>
                      <w:color w:val="000000" w:themeColor="text1"/>
                      <w:sz w:val="21"/>
                      <w:szCs w:val="21"/>
                      <w:vertAlign w:val="superscript"/>
                    </w:rPr>
                    <w:t>3</w:t>
                  </w:r>
                </w:p>
              </w:tc>
            </w:tr>
          </w:tbl>
          <w:p>
            <w:pPr>
              <w:spacing w:line="348" w:lineRule="auto"/>
              <w:ind w:firstLine="480" w:firstLineChars="200"/>
              <w:rPr>
                <w:color w:val="000000" w:themeColor="text1"/>
                <w:sz w:val="24"/>
                <w:highlight w:val="yellow"/>
              </w:rPr>
            </w:pPr>
            <w:r>
              <w:rPr>
                <w:color w:val="000000" w:themeColor="text1"/>
                <w:sz w:val="24"/>
              </w:rPr>
              <w:t>具体计算结果见表</w:t>
            </w:r>
            <w:r>
              <w:rPr>
                <w:rFonts w:hint="eastAsia"/>
                <w:color w:val="000000" w:themeColor="text1"/>
                <w:sz w:val="24"/>
                <w:lang w:val="en-US" w:eastAsia="zh-CN"/>
              </w:rPr>
              <w:t>5-2</w:t>
            </w:r>
            <w:r>
              <w:rPr>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color w:val="000000" w:themeColor="text1"/>
                <w:sz w:val="24"/>
              </w:rPr>
            </w:pPr>
            <w:r>
              <w:rPr>
                <w:b/>
                <w:bCs/>
                <w:color w:val="000000" w:themeColor="text1"/>
                <w:sz w:val="24"/>
              </w:rPr>
              <w:t>表</w:t>
            </w:r>
            <w:r>
              <w:rPr>
                <w:rFonts w:hint="eastAsia"/>
                <w:b/>
                <w:bCs/>
                <w:color w:val="000000" w:themeColor="text1"/>
                <w:sz w:val="24"/>
                <w:lang w:val="en-US" w:eastAsia="zh-CN"/>
              </w:rPr>
              <w:t>5-2</w:t>
            </w:r>
            <w:r>
              <w:rPr>
                <w:b/>
                <w:bCs/>
                <w:color w:val="000000" w:themeColor="text1"/>
                <w:sz w:val="24"/>
              </w:rPr>
              <w:t xml:space="preserve"> 项目</w:t>
            </w:r>
            <w:r>
              <w:rPr>
                <w:rFonts w:hint="eastAsia"/>
                <w:b/>
                <w:bCs/>
                <w:color w:val="000000" w:themeColor="text1"/>
                <w:sz w:val="24"/>
                <w:lang w:val="en-US" w:eastAsia="zh-CN"/>
              </w:rPr>
              <w:t>燃烧废气</w:t>
            </w:r>
            <w:r>
              <w:rPr>
                <w:b/>
                <w:bCs/>
                <w:color w:val="000000" w:themeColor="text1"/>
                <w:sz w:val="24"/>
              </w:rPr>
              <w:t>排放</w:t>
            </w:r>
            <w:r>
              <w:rPr>
                <w:rFonts w:hAnsi="宋体"/>
                <w:b/>
                <w:bCs/>
                <w:color w:val="000000" w:themeColor="text1"/>
                <w:sz w:val="24"/>
              </w:rPr>
              <w:t>情况</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706"/>
              <w:gridCol w:w="262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污染物</w:t>
                  </w:r>
                </w:p>
              </w:tc>
              <w:tc>
                <w:tcPr>
                  <w:tcW w:w="264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废气及污染物</w:t>
                  </w:r>
                  <w:r>
                    <w:rPr>
                      <w:rFonts w:hAnsi="宋体"/>
                      <w:color w:val="000000" w:themeColor="text1"/>
                      <w:sz w:val="21"/>
                      <w:szCs w:val="21"/>
                    </w:rPr>
                    <w:t>排放</w:t>
                  </w:r>
                  <w:r>
                    <w:rPr>
                      <w:color w:val="000000" w:themeColor="text1"/>
                      <w:sz w:val="21"/>
                      <w:szCs w:val="21"/>
                    </w:rPr>
                    <w:t>量</w:t>
                  </w:r>
                </w:p>
              </w:tc>
              <w:tc>
                <w:tcPr>
                  <w:tcW w:w="25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污染物</w:t>
                  </w:r>
                  <w:r>
                    <w:rPr>
                      <w:rFonts w:hAnsi="宋体"/>
                      <w:color w:val="000000" w:themeColor="text1"/>
                      <w:sz w:val="21"/>
                      <w:szCs w:val="21"/>
                    </w:rPr>
                    <w:t>排放</w:t>
                  </w:r>
                  <w:r>
                    <w:rPr>
                      <w:color w:val="000000" w:themeColor="text1"/>
                      <w:sz w:val="21"/>
                      <w:szCs w:val="21"/>
                    </w:rPr>
                    <w:t>浓度</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废气</w:t>
                  </w:r>
                </w:p>
              </w:tc>
              <w:tc>
                <w:tcPr>
                  <w:tcW w:w="2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rFonts w:hint="eastAsia" w:hAnsi="宋体"/>
                      <w:color w:val="000000" w:themeColor="text1"/>
                      <w:sz w:val="21"/>
                      <w:szCs w:val="21"/>
                      <w:lang w:val="en-US" w:eastAsia="zh-CN"/>
                    </w:rPr>
                    <w:t>7.95</w:t>
                  </w:r>
                  <w:r>
                    <w:rPr>
                      <w:rFonts w:hint="eastAsia"/>
                      <w:color w:val="000000" w:themeColor="text1"/>
                      <w:sz w:val="21"/>
                      <w:szCs w:val="21"/>
                    </w:rPr>
                    <w:t>×10</w:t>
                  </w:r>
                  <w:r>
                    <w:rPr>
                      <w:rFonts w:hint="eastAsia" w:ascii="宋体"/>
                      <w:color w:val="000000" w:themeColor="text1"/>
                      <w:sz w:val="21"/>
                      <w:szCs w:val="21"/>
                      <w:vertAlign w:val="superscript"/>
                      <w:lang w:val="en-US" w:eastAsia="zh-CN"/>
                    </w:rPr>
                    <w:t>4</w:t>
                  </w:r>
                  <w:r>
                    <w:rPr>
                      <w:color w:val="000000" w:themeColor="text1"/>
                      <w:sz w:val="21"/>
                      <w:szCs w:val="21"/>
                    </w:rPr>
                    <w:t>m</w:t>
                  </w:r>
                  <w:r>
                    <w:rPr>
                      <w:color w:val="000000" w:themeColor="text1"/>
                      <w:sz w:val="21"/>
                      <w:szCs w:val="21"/>
                      <w:vertAlign w:val="superscript"/>
                    </w:rPr>
                    <w:t>3</w:t>
                  </w:r>
                  <w:r>
                    <w:rPr>
                      <w:color w:val="000000" w:themeColor="text1"/>
                      <w:sz w:val="21"/>
                      <w:szCs w:val="21"/>
                    </w:rPr>
                    <w:t>/a</w:t>
                  </w:r>
                </w:p>
              </w:tc>
              <w:tc>
                <w:tcPr>
                  <w:tcW w:w="25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SO</w:t>
                  </w:r>
                  <w:r>
                    <w:rPr>
                      <w:color w:val="000000" w:themeColor="text1"/>
                      <w:sz w:val="21"/>
                      <w:szCs w:val="21"/>
                      <w:vertAlign w:val="subscript"/>
                    </w:rPr>
                    <w:t>2</w:t>
                  </w:r>
                </w:p>
              </w:tc>
              <w:tc>
                <w:tcPr>
                  <w:tcW w:w="2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highlight w:val="yellow"/>
                    </w:rPr>
                  </w:pPr>
                  <w:r>
                    <w:rPr>
                      <w:rFonts w:hint="eastAsia"/>
                      <w:color w:val="000000" w:themeColor="text1"/>
                      <w:sz w:val="21"/>
                      <w:szCs w:val="21"/>
                      <w:lang w:val="en-US" w:eastAsia="zh-CN"/>
                    </w:rPr>
                    <w:t>1.345</w:t>
                  </w:r>
                  <w:r>
                    <w:rPr>
                      <w:color w:val="000000" w:themeColor="text1"/>
                      <w:sz w:val="21"/>
                      <w:szCs w:val="21"/>
                    </w:rPr>
                    <w:t>kg/a</w:t>
                  </w:r>
                </w:p>
              </w:tc>
              <w:tc>
                <w:tcPr>
                  <w:tcW w:w="25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highlight w:val="yellow"/>
                    </w:rPr>
                  </w:pPr>
                  <w:r>
                    <w:rPr>
                      <w:rFonts w:hint="eastAsia"/>
                      <w:color w:val="000000" w:themeColor="text1"/>
                      <w:sz w:val="21"/>
                      <w:szCs w:val="21"/>
                    </w:rPr>
                    <w:t>16.9</w:t>
                  </w:r>
                  <w:r>
                    <w:rPr>
                      <w:color w:val="000000" w:themeColor="text1"/>
                      <w:sz w:val="21"/>
                      <w:szCs w:val="21"/>
                    </w:rPr>
                    <w:t>mg/m</w:t>
                  </w:r>
                  <w:r>
                    <w:rPr>
                      <w:color w:val="000000" w:themeColor="text1"/>
                      <w:sz w:val="21"/>
                      <w:szCs w:val="21"/>
                      <w:vertAlign w:val="superscript"/>
                    </w:rPr>
                    <w:t>3</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20</w:t>
                  </w:r>
                  <w:r>
                    <w:rPr>
                      <w:rFonts w:hint="eastAsia"/>
                      <w:color w:val="000000" w:themeColor="text1"/>
                      <w:sz w:val="21"/>
                      <w:szCs w:val="21"/>
                    </w:rPr>
                    <w:t>0</w:t>
                  </w:r>
                  <w:r>
                    <w:rPr>
                      <w:color w:val="000000" w:themeColor="text1"/>
                      <w:sz w:val="21"/>
                      <w:szCs w:val="21"/>
                    </w:rPr>
                    <w:t>mg/m</w:t>
                  </w:r>
                  <w:r>
                    <w:rPr>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color w:val="000000" w:themeColor="text1"/>
                      <w:sz w:val="21"/>
                      <w:szCs w:val="21"/>
                    </w:rPr>
                    <w:t>NO</w:t>
                  </w:r>
                  <w:r>
                    <w:rPr>
                      <w:color w:val="000000" w:themeColor="text1"/>
                      <w:sz w:val="21"/>
                      <w:szCs w:val="21"/>
                      <w:vertAlign w:val="subscript"/>
                    </w:rPr>
                    <w:t>x</w:t>
                  </w:r>
                </w:p>
              </w:tc>
              <w:tc>
                <w:tcPr>
                  <w:tcW w:w="2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rFonts w:hint="eastAsia"/>
                      <w:color w:val="000000" w:themeColor="text1"/>
                      <w:sz w:val="21"/>
                      <w:szCs w:val="21"/>
                      <w:lang w:val="en-US" w:eastAsia="zh-CN"/>
                    </w:rPr>
                    <w:t>13.156</w:t>
                  </w:r>
                  <w:r>
                    <w:rPr>
                      <w:color w:val="000000" w:themeColor="text1"/>
                      <w:sz w:val="21"/>
                      <w:szCs w:val="21"/>
                    </w:rPr>
                    <w:t>kg/a</w:t>
                  </w:r>
                </w:p>
              </w:tc>
              <w:tc>
                <w:tcPr>
                  <w:tcW w:w="25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highlight w:val="yellow"/>
                    </w:rPr>
                  </w:pPr>
                  <w:r>
                    <w:rPr>
                      <w:rFonts w:hint="eastAsia"/>
                      <w:color w:val="000000" w:themeColor="text1"/>
                      <w:sz w:val="21"/>
                      <w:szCs w:val="21"/>
                    </w:rPr>
                    <w:t>165.7</w:t>
                  </w:r>
                  <w:r>
                    <w:rPr>
                      <w:color w:val="000000" w:themeColor="text1"/>
                      <w:sz w:val="21"/>
                      <w:szCs w:val="21"/>
                    </w:rPr>
                    <w:t>mg/m</w:t>
                  </w:r>
                  <w:r>
                    <w:rPr>
                      <w:color w:val="000000" w:themeColor="text1"/>
                      <w:sz w:val="21"/>
                      <w:szCs w:val="21"/>
                      <w:vertAlign w:val="superscript"/>
                    </w:rPr>
                    <w:t>3</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rFonts w:hint="eastAsia"/>
                      <w:color w:val="000000" w:themeColor="text1"/>
                      <w:sz w:val="21"/>
                      <w:szCs w:val="21"/>
                    </w:rPr>
                    <w:t>300</w:t>
                  </w:r>
                  <w:r>
                    <w:rPr>
                      <w:color w:val="000000" w:themeColor="text1"/>
                      <w:sz w:val="21"/>
                      <w:szCs w:val="21"/>
                    </w:rPr>
                    <w:t>mg/m</w:t>
                  </w:r>
                  <w:r>
                    <w:rPr>
                      <w:color w:val="000000" w:themeColor="text1"/>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rFonts w:hAnsi="宋体"/>
                      <w:color w:val="000000" w:themeColor="text1"/>
                      <w:sz w:val="21"/>
                      <w:szCs w:val="21"/>
                    </w:rPr>
                    <w:t>颗粒物</w:t>
                  </w:r>
                </w:p>
              </w:tc>
              <w:tc>
                <w:tcPr>
                  <w:tcW w:w="264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rFonts w:hint="eastAsia"/>
                      <w:color w:val="000000" w:themeColor="text1"/>
                      <w:sz w:val="21"/>
                      <w:szCs w:val="21"/>
                      <w:lang w:val="en-US" w:eastAsia="zh-CN"/>
                    </w:rPr>
                    <w:t>1.047</w:t>
                  </w:r>
                  <w:r>
                    <w:rPr>
                      <w:color w:val="000000" w:themeColor="text1"/>
                      <w:sz w:val="21"/>
                      <w:szCs w:val="21"/>
                    </w:rPr>
                    <w:t>kg/a</w:t>
                  </w:r>
                </w:p>
              </w:tc>
              <w:tc>
                <w:tcPr>
                  <w:tcW w:w="25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highlight w:val="yellow"/>
                    </w:rPr>
                  </w:pPr>
                  <w:r>
                    <w:rPr>
                      <w:rFonts w:hint="eastAsia"/>
                      <w:color w:val="000000" w:themeColor="text1"/>
                      <w:sz w:val="21"/>
                      <w:szCs w:val="21"/>
                    </w:rPr>
                    <w:t>1</w:t>
                  </w:r>
                  <w:r>
                    <w:rPr>
                      <w:color w:val="000000" w:themeColor="text1"/>
                      <w:sz w:val="21"/>
                      <w:szCs w:val="21"/>
                    </w:rPr>
                    <w:t>3.</w:t>
                  </w:r>
                  <w:r>
                    <w:rPr>
                      <w:rFonts w:hint="eastAsia"/>
                      <w:color w:val="000000" w:themeColor="text1"/>
                      <w:sz w:val="21"/>
                      <w:szCs w:val="21"/>
                    </w:rPr>
                    <w:t>2</w:t>
                  </w:r>
                  <w:r>
                    <w:rPr>
                      <w:color w:val="000000" w:themeColor="text1"/>
                      <w:sz w:val="21"/>
                      <w:szCs w:val="21"/>
                    </w:rPr>
                    <w:t>mg/m</w:t>
                  </w:r>
                  <w:r>
                    <w:rPr>
                      <w:color w:val="000000" w:themeColor="text1"/>
                      <w:sz w:val="21"/>
                      <w:szCs w:val="21"/>
                      <w:vertAlign w:val="superscript"/>
                    </w:rPr>
                    <w:t>3</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sz w:val="21"/>
                      <w:szCs w:val="21"/>
                    </w:rPr>
                  </w:pPr>
                  <w:r>
                    <w:rPr>
                      <w:rFonts w:hint="eastAsia"/>
                      <w:color w:val="000000" w:themeColor="text1"/>
                      <w:sz w:val="21"/>
                      <w:szCs w:val="21"/>
                    </w:rPr>
                    <w:t>3</w:t>
                  </w:r>
                  <w:r>
                    <w:rPr>
                      <w:color w:val="000000" w:themeColor="text1"/>
                      <w:sz w:val="21"/>
                      <w:szCs w:val="21"/>
                    </w:rPr>
                    <w:t>0mg/m</w:t>
                  </w:r>
                  <w:r>
                    <w:rPr>
                      <w:color w:val="000000" w:themeColor="text1"/>
                      <w:sz w:val="21"/>
                      <w:szCs w:val="21"/>
                      <w:vertAlign w:val="superscript"/>
                    </w:rPr>
                    <w:t>3</w:t>
                  </w:r>
                </w:p>
              </w:tc>
            </w:tr>
          </w:tbl>
          <w:p>
            <w:pPr>
              <w:spacing w:line="360" w:lineRule="auto"/>
              <w:ind w:firstLine="482"/>
              <w:rPr>
                <w:rFonts w:hAnsi="宋体"/>
                <w:color w:val="000000" w:themeColor="text1"/>
                <w:sz w:val="24"/>
              </w:rPr>
            </w:pPr>
            <w:r>
              <w:rPr>
                <w:rFonts w:hint="eastAsia"/>
                <w:snapToGrid w:val="0"/>
                <w:color w:val="000000" w:themeColor="text1"/>
                <w:sz w:val="24"/>
              </w:rPr>
              <w:t>项目</w:t>
            </w:r>
            <w:r>
              <w:rPr>
                <w:rFonts w:hint="eastAsia"/>
                <w:snapToGrid w:val="0"/>
                <w:color w:val="000000" w:themeColor="text1"/>
                <w:sz w:val="24"/>
                <w:lang w:val="en-US" w:eastAsia="zh-CN"/>
              </w:rPr>
              <w:t>燃烧机产生</w:t>
            </w:r>
            <w:r>
              <w:rPr>
                <w:rFonts w:hint="eastAsia"/>
                <w:color w:val="000000" w:themeColor="text1"/>
                <w:sz w:val="24"/>
              </w:rPr>
              <w:t>颗粒物、</w:t>
            </w:r>
            <w:r>
              <w:rPr>
                <w:color w:val="000000" w:themeColor="text1"/>
                <w:sz w:val="24"/>
              </w:rPr>
              <w:t>SO</w:t>
            </w:r>
            <w:r>
              <w:rPr>
                <w:color w:val="000000" w:themeColor="text1"/>
                <w:sz w:val="24"/>
                <w:vertAlign w:val="subscript"/>
              </w:rPr>
              <w:t>2</w:t>
            </w:r>
            <w:r>
              <w:rPr>
                <w:rFonts w:hint="eastAsia"/>
                <w:color w:val="000000" w:themeColor="text1"/>
                <w:sz w:val="24"/>
              </w:rPr>
              <w:t>、</w:t>
            </w:r>
            <w:r>
              <w:rPr>
                <w:color w:val="000000" w:themeColor="text1"/>
                <w:sz w:val="24"/>
              </w:rPr>
              <w:t>NO</w:t>
            </w:r>
            <w:r>
              <w:rPr>
                <w:color w:val="000000" w:themeColor="text1"/>
                <w:sz w:val="24"/>
                <w:vertAlign w:val="subscript"/>
              </w:rPr>
              <w:t>x</w:t>
            </w:r>
            <w:r>
              <w:rPr>
                <w:rFonts w:hint="eastAsia"/>
                <w:color w:val="000000" w:themeColor="text1"/>
                <w:sz w:val="24"/>
              </w:rPr>
              <w:t>参考执行</w:t>
            </w:r>
            <w:r>
              <w:rPr>
                <w:rFonts w:hAnsi="宋体"/>
                <w:color w:val="000000" w:themeColor="text1"/>
                <w:sz w:val="24"/>
              </w:rPr>
              <w:t>中华人民共和国生态环境部</w:t>
            </w:r>
            <w:r>
              <w:rPr>
                <w:rFonts w:hint="eastAsia"/>
                <w:color w:val="000000" w:themeColor="text1"/>
              </w:rPr>
              <w:t>关</w:t>
            </w:r>
            <w:r>
              <w:rPr>
                <w:rFonts w:hint="eastAsia"/>
                <w:color w:val="000000" w:themeColor="text1"/>
                <w:sz w:val="24"/>
              </w:rPr>
              <w:t>于印发《工业炉窑大气污染综合治理方案》的通知中关于重点区域工业炉窑颗粒物、二氧化硫、氮氧化物实施改造的要求</w:t>
            </w:r>
            <w:r>
              <w:rPr>
                <w:rFonts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eastAsia="宋体" w:cs="Times New Roman"/>
                <w:color w:val="000000" w:themeColor="text1"/>
              </w:rPr>
            </w:pPr>
            <w:r>
              <w:rPr>
                <w:rFonts w:hint="eastAsia"/>
                <w:snapToGrid w:val="0"/>
                <w:color w:val="000000" w:themeColor="text1"/>
                <w:sz w:val="24"/>
                <w:lang w:eastAsia="zh-CN"/>
              </w:rPr>
              <w:t>（</w:t>
            </w:r>
            <w:r>
              <w:rPr>
                <w:rFonts w:hint="eastAsia"/>
                <w:snapToGrid w:val="0"/>
                <w:color w:val="000000" w:themeColor="text1"/>
                <w:sz w:val="24"/>
                <w:lang w:val="en-US" w:eastAsia="zh-CN"/>
              </w:rPr>
              <w:t>5</w:t>
            </w:r>
            <w:r>
              <w:rPr>
                <w:rFonts w:hint="eastAsia"/>
                <w:snapToGrid w:val="0"/>
                <w:color w:val="000000" w:themeColor="text1"/>
                <w:sz w:val="24"/>
                <w:lang w:eastAsia="zh-CN"/>
              </w:rPr>
              <w:t>）</w:t>
            </w:r>
            <w:r>
              <w:rPr>
                <w:rFonts w:hint="eastAsia"/>
                <w:snapToGrid w:val="0"/>
                <w:color w:val="000000" w:themeColor="text1"/>
                <w:sz w:val="24"/>
                <w:lang w:val="en-US" w:eastAsia="zh-CN"/>
              </w:rPr>
              <w:t>木板切割、打孔</w:t>
            </w:r>
            <w:r>
              <w:rPr>
                <w:rFonts w:hint="default" w:ascii="Times New Roman" w:hAnsi="Times New Roman" w:eastAsia="宋体" w:cs="Times New Roman"/>
                <w:color w:val="000000" w:themeColor="text1"/>
              </w:rPr>
              <w:t>粉尘</w:t>
            </w:r>
          </w:p>
          <w:p>
            <w:pPr>
              <w:pStyle w:val="217"/>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eastAsia="宋体" w:cs="Times New Roman"/>
                <w:color w:val="000000" w:themeColor="text1"/>
              </w:rPr>
            </w:pPr>
            <w:r>
              <w:rPr>
                <w:rFonts w:hint="eastAsia" w:ascii="Times New Roman" w:hAnsi="Times New Roman" w:cs="Times New Roman"/>
                <w:color w:val="000000" w:themeColor="text1"/>
                <w:lang w:val="en-US" w:eastAsia="zh-CN"/>
              </w:rPr>
              <w:t>根据建设单位采购木板的属性及产品的检验报告，项目年使用颗粒板1000m</w:t>
            </w:r>
            <w:r>
              <w:rPr>
                <w:rFonts w:hint="eastAsia" w:ascii="Times New Roman" w:hAnsi="Times New Roman" w:cs="Times New Roman"/>
                <w:color w:val="000000" w:themeColor="text1"/>
                <w:vertAlign w:val="superscript"/>
                <w:lang w:val="en-US" w:eastAsia="zh-CN"/>
              </w:rPr>
              <w:t>3</w:t>
            </w:r>
            <w:r>
              <w:rPr>
                <w:rFonts w:hint="eastAsia" w:ascii="Times New Roman" w:hAnsi="Times New Roman" w:cs="Times New Roman"/>
                <w:color w:val="000000" w:themeColor="text1"/>
                <w:lang w:val="en-US" w:eastAsia="zh-CN"/>
              </w:rPr>
              <w:t>/a，密度为654kg/m</w:t>
            </w:r>
            <w:r>
              <w:rPr>
                <w:rFonts w:hint="eastAsia" w:ascii="Times New Roman" w:hAnsi="Times New Roman" w:cs="Times New Roman"/>
                <w:color w:val="000000" w:themeColor="text1"/>
                <w:vertAlign w:val="superscript"/>
                <w:lang w:val="en-US" w:eastAsia="zh-CN"/>
              </w:rPr>
              <w:t>3</w:t>
            </w:r>
            <w:r>
              <w:rPr>
                <w:rFonts w:hint="eastAsia" w:ascii="Times New Roman" w:hAnsi="Times New Roman" w:cs="Times New Roman"/>
                <w:color w:val="000000" w:themeColor="text1"/>
                <w:vertAlign w:val="baseline"/>
                <w:lang w:val="en-US" w:eastAsia="zh-CN"/>
              </w:rPr>
              <w:t>。</w:t>
            </w:r>
            <w:r>
              <w:rPr>
                <w:rFonts w:hint="default" w:ascii="Times New Roman" w:hAnsi="Times New Roman" w:eastAsia="宋体" w:cs="Times New Roman"/>
                <w:color w:val="000000" w:themeColor="text1"/>
              </w:rPr>
              <w:t>在切割、打孔等机加工过程中均会产生粉尘，工作时间为2400h，污染物为木屑颗粒物。</w:t>
            </w:r>
          </w:p>
          <w:p>
            <w:pPr>
              <w:pStyle w:val="217"/>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根据《第一次全国污染源普查工业污染源产排系数手册（第四分册）》中的第20“木材加工及木、竹、藤、棕、草制造业”和“锯材加工业产排污系数表”中的相关数据以及相关资料，</w:t>
            </w:r>
            <w:r>
              <w:rPr>
                <w:rFonts w:hint="eastAsia" w:ascii="Times New Roman" w:hAnsi="Times New Roman" w:cs="Times New Roman"/>
                <w:color w:val="000000" w:themeColor="text1"/>
                <w:lang w:val="en-US" w:eastAsia="zh-CN"/>
              </w:rPr>
              <w:t>锯材厚度小于35mm的</w:t>
            </w:r>
            <w:r>
              <w:rPr>
                <w:rFonts w:hint="default" w:ascii="Times New Roman" w:hAnsi="Times New Roman" w:eastAsia="宋体" w:cs="Times New Roman"/>
                <w:color w:val="000000" w:themeColor="text1"/>
              </w:rPr>
              <w:t>木板材料开料过程粉尘产生量为按原材料消耗量的0.321kg/m</w:t>
            </w:r>
            <w:r>
              <w:rPr>
                <w:rFonts w:hint="default" w:ascii="Times New Roman" w:hAnsi="Times New Roman" w:eastAsia="宋体" w:cs="Times New Roman"/>
                <w:color w:val="000000" w:themeColor="text1"/>
                <w:vertAlign w:val="superscript"/>
              </w:rPr>
              <w:t>3</w:t>
            </w:r>
            <w:r>
              <w:rPr>
                <w:rFonts w:hint="default" w:ascii="Times New Roman" w:hAnsi="Times New Roman" w:eastAsia="宋体" w:cs="Times New Roman"/>
                <w:color w:val="000000" w:themeColor="text1"/>
              </w:rPr>
              <w:t>原材料计，精裁、打孔等机加工过程按原材料消耗量</w:t>
            </w:r>
            <w:r>
              <w:rPr>
                <w:rFonts w:hint="eastAsia" w:ascii="Times New Roman" w:hAnsi="Times New Roman" w:cs="Times New Roman"/>
                <w:color w:val="000000" w:themeColor="text1"/>
                <w:lang w:val="en-US" w:eastAsia="zh-CN"/>
              </w:rPr>
              <w:t>0.01%</w:t>
            </w:r>
            <w:r>
              <w:rPr>
                <w:rFonts w:hint="default" w:ascii="Times New Roman" w:hAnsi="Times New Roman" w:eastAsia="宋体" w:cs="Times New Roman"/>
                <w:color w:val="000000" w:themeColor="text1"/>
              </w:rPr>
              <w:t>计。</w:t>
            </w:r>
          </w:p>
          <w:p>
            <w:pPr>
              <w:pStyle w:val="217"/>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本项目切割</w:t>
            </w:r>
            <w:r>
              <w:rPr>
                <w:rFonts w:hint="eastAsia" w:ascii="Times New Roman" w:hAnsi="Times New Roman" w:cs="Times New Roman"/>
                <w:color w:val="000000" w:themeColor="text1"/>
                <w:lang w:eastAsia="zh-CN"/>
              </w:rPr>
              <w:t>、</w:t>
            </w:r>
            <w:r>
              <w:rPr>
                <w:rFonts w:hint="default" w:ascii="Times New Roman" w:hAnsi="Times New Roman" w:eastAsia="宋体" w:cs="Times New Roman"/>
                <w:color w:val="000000" w:themeColor="text1"/>
              </w:rPr>
              <w:t>打孔工序</w:t>
            </w:r>
            <w:r>
              <w:rPr>
                <w:rFonts w:hint="eastAsia" w:ascii="Times New Roman" w:hAnsi="Times New Roman" w:cs="Times New Roman"/>
                <w:color w:val="000000" w:themeColor="text1"/>
                <w:lang w:val="en-US" w:eastAsia="zh-CN"/>
              </w:rPr>
              <w:t>加工</w:t>
            </w:r>
            <w:r>
              <w:rPr>
                <w:rFonts w:hint="default" w:ascii="Times New Roman" w:hAnsi="Times New Roman" w:eastAsia="宋体" w:cs="Times New Roman"/>
                <w:color w:val="000000" w:themeColor="text1"/>
              </w:rPr>
              <w:t>生态板量为</w:t>
            </w:r>
            <w:r>
              <w:rPr>
                <w:rFonts w:hint="eastAsia" w:ascii="Times New Roman" w:hAnsi="Times New Roman" w:cs="Times New Roman"/>
                <w:color w:val="000000" w:themeColor="text1"/>
                <w:lang w:val="en-US" w:eastAsia="zh-CN"/>
              </w:rPr>
              <w:t>1000</w:t>
            </w:r>
            <w:r>
              <w:rPr>
                <w:rFonts w:hint="default" w:ascii="Times New Roman" w:hAnsi="Times New Roman" w:eastAsia="宋体" w:cs="Times New Roman"/>
                <w:color w:val="000000" w:themeColor="text1"/>
              </w:rPr>
              <w:t>m</w:t>
            </w:r>
            <w:r>
              <w:rPr>
                <w:rFonts w:hint="default" w:ascii="Times New Roman" w:hAnsi="Times New Roman" w:eastAsia="宋体" w:cs="Times New Roman"/>
                <w:color w:val="000000" w:themeColor="text1"/>
                <w:vertAlign w:val="superscript"/>
              </w:rPr>
              <w:t>3</w:t>
            </w:r>
            <w:r>
              <w:rPr>
                <w:rFonts w:hint="default" w:ascii="Times New Roman" w:hAnsi="Times New Roman" w:eastAsia="宋体" w:cs="Times New Roman"/>
                <w:color w:val="000000" w:themeColor="text1"/>
              </w:rPr>
              <w:t>/a，项目木板</w:t>
            </w:r>
            <w:r>
              <w:rPr>
                <w:rFonts w:hint="eastAsia" w:ascii="Times New Roman" w:hAnsi="Times New Roman" w:cs="Times New Roman"/>
                <w:color w:val="000000" w:themeColor="text1"/>
                <w:lang w:val="en-US" w:eastAsia="zh-CN"/>
              </w:rPr>
              <w:t>切割</w:t>
            </w:r>
            <w:r>
              <w:rPr>
                <w:rFonts w:hint="default" w:ascii="Times New Roman" w:hAnsi="Times New Roman" w:eastAsia="宋体" w:cs="Times New Roman"/>
                <w:color w:val="000000" w:themeColor="text1"/>
              </w:rPr>
              <w:t>过程粉尘产生量为0.</w:t>
            </w:r>
            <w:r>
              <w:rPr>
                <w:rFonts w:hint="eastAsia" w:ascii="Times New Roman" w:hAnsi="Times New Roman" w:cs="Times New Roman"/>
                <w:color w:val="000000" w:themeColor="text1"/>
                <w:lang w:val="en-US" w:eastAsia="zh-CN"/>
              </w:rPr>
              <w:t>321</w:t>
            </w:r>
            <w:r>
              <w:rPr>
                <w:rFonts w:hint="default" w:ascii="Times New Roman" w:hAnsi="Times New Roman" w:eastAsia="宋体" w:cs="Times New Roman"/>
                <w:color w:val="000000" w:themeColor="text1"/>
              </w:rPr>
              <w:t>t/a</w:t>
            </w:r>
            <w:r>
              <w:rPr>
                <w:rFonts w:hint="default" w:ascii="Times New Roman" w:hAnsi="Times New Roman" w:eastAsia="宋体" w:cs="Times New Roman"/>
                <w:color w:val="000000" w:themeColor="text1"/>
                <w:lang w:eastAsia="zh-CN"/>
              </w:rPr>
              <w:t>，</w:t>
            </w:r>
            <w:r>
              <w:rPr>
                <w:rFonts w:hint="default" w:ascii="Times New Roman" w:hAnsi="Times New Roman" w:eastAsia="宋体" w:cs="Times New Roman"/>
                <w:color w:val="000000" w:themeColor="text1"/>
              </w:rPr>
              <w:t>打孔等工过程</w:t>
            </w:r>
            <w:r>
              <w:rPr>
                <w:rFonts w:hint="default" w:ascii="Times New Roman" w:hAnsi="Times New Roman" w:eastAsia="宋体" w:cs="Times New Roman"/>
                <w:color w:val="000000" w:themeColor="text1"/>
                <w:lang w:val="en-US" w:eastAsia="zh-CN"/>
              </w:rPr>
              <w:t>中</w:t>
            </w:r>
            <w:r>
              <w:rPr>
                <w:rFonts w:hint="default" w:ascii="Times New Roman" w:hAnsi="Times New Roman" w:eastAsia="宋体" w:cs="Times New Roman"/>
                <w:color w:val="000000" w:themeColor="text1"/>
              </w:rPr>
              <w:t>粉尘产生量约为0.06</w:t>
            </w:r>
            <w:r>
              <w:rPr>
                <w:rFonts w:hint="eastAsia" w:ascii="Times New Roman" w:hAnsi="Times New Roman" w:cs="Times New Roman"/>
                <w:color w:val="000000" w:themeColor="text1"/>
                <w:lang w:val="en-US" w:eastAsia="zh-CN"/>
              </w:rPr>
              <w:t>5</w:t>
            </w:r>
            <w:r>
              <w:rPr>
                <w:rFonts w:hint="default" w:ascii="Times New Roman" w:hAnsi="Times New Roman" w:eastAsia="宋体" w:cs="Times New Roman"/>
                <w:color w:val="000000" w:themeColor="text1"/>
              </w:rPr>
              <w:t>t/a。</w:t>
            </w:r>
          </w:p>
          <w:p>
            <w:pPr>
              <w:pStyle w:val="217"/>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本项目在</w:t>
            </w:r>
            <w:r>
              <w:rPr>
                <w:rFonts w:hint="eastAsia" w:ascii="Times New Roman" w:hAnsi="Times New Roman" w:cs="Times New Roman"/>
                <w:color w:val="000000" w:themeColor="text1"/>
                <w:lang w:val="en-US" w:eastAsia="zh-CN"/>
              </w:rPr>
              <w:t>切割</w:t>
            </w:r>
            <w:r>
              <w:rPr>
                <w:rFonts w:hint="default" w:ascii="Times New Roman" w:hAnsi="Times New Roman" w:eastAsia="宋体" w:cs="Times New Roman"/>
                <w:color w:val="000000" w:themeColor="text1"/>
              </w:rPr>
              <w:t>、打孔等产生粉尘工序</w:t>
            </w:r>
            <w:r>
              <w:rPr>
                <w:rFonts w:hint="default" w:ascii="Times New Roman" w:hAnsi="Times New Roman" w:eastAsia="宋体" w:cs="Times New Roman"/>
                <w:color w:val="000000" w:themeColor="text1"/>
                <w:lang w:val="en-US" w:eastAsia="zh-CN"/>
              </w:rPr>
              <w:t>均</w:t>
            </w:r>
            <w:r>
              <w:rPr>
                <w:rFonts w:hint="default" w:ascii="Times New Roman" w:hAnsi="Times New Roman" w:eastAsia="宋体" w:cs="Times New Roman"/>
                <w:color w:val="000000" w:themeColor="text1"/>
              </w:rPr>
              <w:t>安装</w:t>
            </w:r>
            <w:r>
              <w:rPr>
                <w:rFonts w:hint="eastAsia" w:ascii="Times New Roman" w:hAnsi="Times New Roman" w:cs="Times New Roman"/>
                <w:color w:val="000000" w:themeColor="text1"/>
                <w:lang w:eastAsia="zh-CN"/>
              </w:rPr>
              <w:t>双桶布袋除尘器</w:t>
            </w:r>
            <w:r>
              <w:rPr>
                <w:rFonts w:hint="default" w:ascii="Times New Roman" w:hAnsi="Times New Roman" w:eastAsia="宋体" w:cs="Times New Roman"/>
                <w:color w:val="000000" w:themeColor="text1"/>
              </w:rPr>
              <w:t>，</w:t>
            </w:r>
            <w:r>
              <w:rPr>
                <w:rFonts w:hint="eastAsia" w:ascii="Times New Roman" w:hAnsi="Times New Roman" w:cs="Times New Roman"/>
                <w:color w:val="000000" w:themeColor="text1"/>
                <w:lang w:eastAsia="zh-CN"/>
              </w:rPr>
              <w:t>双桶布袋除尘器</w:t>
            </w:r>
            <w:r>
              <w:rPr>
                <w:rFonts w:hint="default" w:ascii="Times New Roman" w:hAnsi="Times New Roman" w:eastAsia="宋体" w:cs="Times New Roman"/>
                <w:color w:val="000000" w:themeColor="text1"/>
              </w:rPr>
              <w:t>的</w:t>
            </w:r>
            <w:r>
              <w:rPr>
                <w:rFonts w:hint="eastAsia" w:ascii="Times New Roman" w:hAnsi="Times New Roman" w:cs="Times New Roman"/>
                <w:color w:val="000000" w:themeColor="text1"/>
                <w:lang w:val="en-US" w:eastAsia="zh-CN"/>
              </w:rPr>
              <w:t>除尘效率</w:t>
            </w:r>
            <w:r>
              <w:rPr>
                <w:rFonts w:hint="default" w:ascii="Times New Roman" w:hAnsi="Times New Roman" w:eastAsia="宋体" w:cs="Times New Roman"/>
                <w:color w:val="000000" w:themeColor="text1"/>
              </w:rPr>
              <w:t>为</w:t>
            </w:r>
            <w:r>
              <w:rPr>
                <w:rFonts w:hint="eastAsia" w:ascii="Times New Roman" w:hAnsi="Times New Roman" w:cs="Times New Roman"/>
                <w:color w:val="000000" w:themeColor="text1"/>
                <w:lang w:val="en-US" w:eastAsia="zh-CN"/>
              </w:rPr>
              <w:t>9</w:t>
            </w:r>
            <w:r>
              <w:rPr>
                <w:rFonts w:hint="default" w:ascii="Times New Roman" w:hAnsi="Times New Roman" w:eastAsia="宋体" w:cs="Times New Roman"/>
                <w:color w:val="000000" w:themeColor="text1"/>
              </w:rPr>
              <w:t>0%，则布袋</w:t>
            </w:r>
            <w:r>
              <w:rPr>
                <w:rFonts w:hint="eastAsia" w:ascii="Times New Roman" w:hAnsi="Times New Roman" w:cs="Times New Roman"/>
                <w:color w:val="000000" w:themeColor="text1"/>
                <w:lang w:eastAsia="zh-CN"/>
              </w:rPr>
              <w:t>除尘器</w:t>
            </w:r>
            <w:r>
              <w:rPr>
                <w:rFonts w:hint="default" w:ascii="Times New Roman" w:hAnsi="Times New Roman" w:eastAsia="宋体" w:cs="Times New Roman"/>
                <w:color w:val="000000" w:themeColor="text1"/>
              </w:rPr>
              <w:t>收集粉尘量为0.</w:t>
            </w:r>
            <w:r>
              <w:rPr>
                <w:rFonts w:hint="eastAsia" w:ascii="Times New Roman" w:hAnsi="Times New Roman" w:cs="Times New Roman"/>
                <w:color w:val="000000" w:themeColor="text1"/>
                <w:lang w:val="en-US" w:eastAsia="zh-CN"/>
              </w:rPr>
              <w:t>3474</w:t>
            </w:r>
            <w:r>
              <w:rPr>
                <w:rFonts w:hint="default" w:ascii="Times New Roman" w:hAnsi="Times New Roman" w:eastAsia="宋体" w:cs="Times New Roman"/>
                <w:color w:val="000000" w:themeColor="text1"/>
              </w:rPr>
              <w:t>t/a</w:t>
            </w:r>
            <w:r>
              <w:rPr>
                <w:rFonts w:hint="eastAsia" w:ascii="Times New Roman" w:hAnsi="Times New Roman" w:cs="Times New Roman"/>
                <w:color w:val="000000" w:themeColor="text1"/>
                <w:lang w:eastAsia="zh-CN"/>
              </w:rPr>
              <w:t>；</w:t>
            </w:r>
            <w:r>
              <w:rPr>
                <w:rFonts w:hint="eastAsia" w:ascii="Times New Roman" w:hAnsi="Times New Roman" w:cs="Times New Roman"/>
                <w:color w:val="000000" w:themeColor="text1"/>
                <w:lang w:val="en-US" w:eastAsia="zh-CN"/>
              </w:rPr>
              <w:t>未收集的粉尘以无组织形式排放，</w:t>
            </w:r>
            <w:r>
              <w:rPr>
                <w:rFonts w:hint="default" w:ascii="Times New Roman" w:hAnsi="Times New Roman" w:eastAsia="宋体" w:cs="Times New Roman"/>
                <w:color w:val="000000" w:themeColor="text1"/>
              </w:rPr>
              <w:t>无组织粉尘</w:t>
            </w:r>
            <w:r>
              <w:rPr>
                <w:rFonts w:hint="eastAsia" w:ascii="Times New Roman" w:hAnsi="Times New Roman" w:cs="Times New Roman"/>
                <w:color w:val="000000" w:themeColor="text1"/>
                <w:lang w:val="en-US" w:eastAsia="zh-CN"/>
              </w:rPr>
              <w:t>排放量</w:t>
            </w:r>
            <w:r>
              <w:rPr>
                <w:rFonts w:hint="default" w:ascii="Times New Roman" w:hAnsi="Times New Roman" w:eastAsia="宋体" w:cs="Times New Roman"/>
                <w:color w:val="000000" w:themeColor="text1"/>
              </w:rPr>
              <w:t>为0.</w:t>
            </w:r>
            <w:r>
              <w:rPr>
                <w:rFonts w:hint="eastAsia" w:ascii="Times New Roman" w:hAnsi="Times New Roman" w:cs="Times New Roman"/>
                <w:color w:val="000000" w:themeColor="text1"/>
                <w:lang w:val="en-US" w:eastAsia="zh-CN"/>
              </w:rPr>
              <w:t>0386</w:t>
            </w:r>
            <w:r>
              <w:rPr>
                <w:rFonts w:hint="default" w:ascii="Times New Roman" w:hAnsi="Times New Roman" w:eastAsia="宋体" w:cs="Times New Roman"/>
                <w:color w:val="000000" w:themeColor="text1"/>
              </w:rPr>
              <w:t>t/a。</w:t>
            </w:r>
          </w:p>
          <w:p>
            <w:pPr>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eastAsia="宋体" w:cs="Times New Roman"/>
                <w:color w:val="000000" w:themeColor="text1"/>
                <w:lang w:val="en-US"/>
              </w:rPr>
            </w:pPr>
            <w:r>
              <w:rPr>
                <w:rFonts w:hint="eastAsia"/>
                <w:snapToGrid w:val="0"/>
                <w:color w:val="000000" w:themeColor="text1"/>
                <w:sz w:val="24"/>
                <w:lang w:eastAsia="zh-CN"/>
              </w:rPr>
              <w:t>（</w:t>
            </w:r>
            <w:r>
              <w:rPr>
                <w:rFonts w:hint="eastAsia"/>
                <w:snapToGrid w:val="0"/>
                <w:color w:val="000000" w:themeColor="text1"/>
                <w:sz w:val="24"/>
                <w:lang w:val="en-US" w:eastAsia="zh-CN"/>
              </w:rPr>
              <w:t>6</w:t>
            </w:r>
            <w:r>
              <w:rPr>
                <w:rFonts w:hint="eastAsia"/>
                <w:snapToGrid w:val="0"/>
                <w:color w:val="000000" w:themeColor="text1"/>
                <w:sz w:val="24"/>
                <w:lang w:eastAsia="zh-CN"/>
              </w:rPr>
              <w:t>）</w:t>
            </w:r>
            <w:r>
              <w:rPr>
                <w:rFonts w:hint="eastAsia"/>
                <w:snapToGrid w:val="0"/>
                <w:color w:val="000000" w:themeColor="text1"/>
                <w:sz w:val="24"/>
                <w:lang w:val="en-US" w:eastAsia="zh-CN"/>
              </w:rPr>
              <w:t>封边废气</w:t>
            </w:r>
          </w:p>
          <w:p>
            <w:pPr>
              <w:ind w:firstLine="480"/>
              <w:rPr>
                <w:rFonts w:hint="eastAsia" w:ascii="Times New Roman" w:hAnsi="Times New Roman" w:cs="Times New Roman"/>
                <w:color w:val="000000" w:themeColor="text1"/>
                <w:lang w:eastAsia="zh-CN"/>
              </w:rPr>
            </w:pPr>
            <w:r>
              <w:rPr>
                <w:rFonts w:hint="default" w:ascii="Times New Roman" w:hAnsi="Times New Roman" w:eastAsia="宋体" w:cs="Times New Roman"/>
                <w:color w:val="000000" w:themeColor="text1"/>
              </w:rPr>
              <w:t>本项目封边过程需采用热熔胶，参照《印刷、制鞋、家具、表面涂装（汽车制造）行业挥发性有机物总量减排核算细则》中数据，该热熔胶中挥发性物质含量为0.4%-1%，本次评价按1%计算，考虑最不利情况，按全部挥发（以非甲烷总烃计）</w:t>
            </w:r>
            <w:r>
              <w:rPr>
                <w:rFonts w:hint="eastAsia" w:ascii="Times New Roman" w:hAnsi="Times New Roman" w:cs="Times New Roman"/>
                <w:color w:val="000000" w:themeColor="text1"/>
                <w:lang w:eastAsia="zh-CN"/>
              </w:rPr>
              <w:t>。</w:t>
            </w:r>
            <w:r>
              <w:rPr>
                <w:rFonts w:hint="eastAsia" w:ascii="Times New Roman" w:hAnsi="Times New Roman" w:cs="Times New Roman"/>
                <w:color w:val="000000" w:themeColor="text1"/>
                <w:lang w:val="en-US" w:eastAsia="zh-CN"/>
              </w:rPr>
              <w:t>项目只有部分床板需要封边，</w:t>
            </w:r>
            <w:r>
              <w:rPr>
                <w:rFonts w:hint="default" w:ascii="Times New Roman" w:hAnsi="Times New Roman" w:eastAsia="宋体" w:cs="Times New Roman"/>
                <w:color w:val="000000" w:themeColor="text1"/>
              </w:rPr>
              <w:t>热熔胶用量为0.</w:t>
            </w:r>
            <w:r>
              <w:rPr>
                <w:rFonts w:hint="eastAsia" w:ascii="Times New Roman" w:hAnsi="Times New Roman" w:cs="Times New Roman"/>
                <w:color w:val="000000" w:themeColor="text1"/>
                <w:lang w:val="en-US" w:eastAsia="zh-CN"/>
              </w:rPr>
              <w:t>020</w:t>
            </w:r>
            <w:r>
              <w:rPr>
                <w:rFonts w:hint="default" w:ascii="Times New Roman" w:hAnsi="Times New Roman" w:eastAsia="宋体" w:cs="Times New Roman"/>
                <w:color w:val="000000" w:themeColor="text1"/>
              </w:rPr>
              <w:t>t/a，封边机产生的非甲烷总烃产生量为0.000</w:t>
            </w:r>
            <w:r>
              <w:rPr>
                <w:rFonts w:hint="eastAsia" w:ascii="Times New Roman" w:hAnsi="Times New Roman" w:cs="Times New Roman"/>
                <w:color w:val="000000" w:themeColor="text1"/>
                <w:lang w:val="en-US" w:eastAsia="zh-CN"/>
              </w:rPr>
              <w:t>2</w:t>
            </w:r>
            <w:r>
              <w:rPr>
                <w:rFonts w:hint="default" w:ascii="Times New Roman" w:hAnsi="Times New Roman" w:eastAsia="宋体" w:cs="Times New Roman"/>
                <w:color w:val="000000" w:themeColor="text1"/>
              </w:rPr>
              <w:t>t/a</w:t>
            </w:r>
            <w:r>
              <w:rPr>
                <w:rFonts w:hint="eastAsia" w:ascii="Times New Roman" w:hAnsi="Times New Roman" w:cs="Times New Roman"/>
                <w:color w:val="000000" w:themeColor="text1"/>
                <w:lang w:eastAsia="zh-CN"/>
              </w:rPr>
              <w:t>。</w:t>
            </w:r>
          </w:p>
          <w:p>
            <w:pPr>
              <w:ind w:firstLine="480"/>
              <w:rPr>
                <w:rFonts w:hint="default" w:ascii="Times New Roman" w:hAnsi="Times New Roman" w:eastAsia="宋体" w:cs="Times New Roman"/>
                <w:color w:val="000000" w:themeColor="text1"/>
              </w:rPr>
            </w:pPr>
            <w:r>
              <w:rPr>
                <w:rFonts w:hint="eastAsia" w:ascii="Times New Roman" w:hAnsi="Times New Roman" w:cs="Times New Roman"/>
                <w:color w:val="000000" w:themeColor="text1"/>
                <w:lang w:val="en-US" w:eastAsia="zh-CN"/>
              </w:rPr>
              <w:t>在</w:t>
            </w:r>
            <w:r>
              <w:rPr>
                <w:rFonts w:hint="default" w:ascii="Times New Roman" w:hAnsi="Times New Roman" w:eastAsia="宋体" w:cs="Times New Roman"/>
                <w:color w:val="000000" w:themeColor="text1"/>
              </w:rPr>
              <w:t>封边机上方设</w:t>
            </w:r>
            <w:r>
              <w:rPr>
                <w:rFonts w:hint="eastAsia" w:cs="Times New Roman"/>
                <w:color w:val="000000" w:themeColor="text1"/>
                <w:lang w:val="en-US" w:eastAsia="zh-CN"/>
              </w:rPr>
              <w:t>置</w:t>
            </w:r>
            <w:r>
              <w:rPr>
                <w:rFonts w:hint="default" w:ascii="Times New Roman" w:hAnsi="Times New Roman" w:eastAsia="宋体" w:cs="Times New Roman"/>
                <w:color w:val="000000" w:themeColor="text1"/>
              </w:rPr>
              <w:t>集气罩</w:t>
            </w:r>
            <w:r>
              <w:rPr>
                <w:rFonts w:hint="eastAsia" w:ascii="Times New Roman" w:hAnsi="Times New Roman" w:cs="Times New Roman"/>
                <w:color w:val="000000" w:themeColor="text1"/>
                <w:lang w:eastAsia="zh-CN"/>
              </w:rPr>
              <w:t>，</w:t>
            </w:r>
            <w:r>
              <w:rPr>
                <w:rFonts w:hint="eastAsia" w:ascii="Times New Roman" w:hAnsi="Times New Roman" w:cs="Times New Roman"/>
                <w:color w:val="000000" w:themeColor="text1"/>
                <w:lang w:val="en-US" w:eastAsia="zh-CN"/>
              </w:rPr>
              <w:t>集气罩距离封边机的高度为0.5m，</w:t>
            </w:r>
            <w:r>
              <w:rPr>
                <w:rFonts w:hint="default" w:ascii="Times New Roman" w:hAnsi="Times New Roman" w:eastAsia="宋体" w:cs="Times New Roman"/>
                <w:color w:val="000000" w:themeColor="text1"/>
              </w:rPr>
              <w:t>收集效率</w:t>
            </w:r>
            <w:r>
              <w:rPr>
                <w:rFonts w:hint="eastAsia" w:ascii="Times New Roman" w:hAnsi="Times New Roman" w:cs="Times New Roman"/>
                <w:color w:val="000000" w:themeColor="text1"/>
                <w:lang w:val="en-US" w:eastAsia="zh-CN"/>
              </w:rPr>
              <w:t>可达90</w:t>
            </w:r>
            <w:r>
              <w:rPr>
                <w:rFonts w:hint="default" w:ascii="Times New Roman" w:hAnsi="Times New Roman" w:eastAsia="宋体" w:cs="Times New Roman"/>
                <w:color w:val="000000" w:themeColor="text1"/>
              </w:rPr>
              <w:t>%，</w:t>
            </w:r>
            <w:r>
              <w:rPr>
                <w:rFonts w:hint="eastAsia" w:ascii="Times New Roman" w:hAnsi="Times New Roman" w:cs="Times New Roman"/>
                <w:color w:val="000000" w:themeColor="text1"/>
                <w:lang w:val="en-US" w:eastAsia="zh-CN"/>
              </w:rPr>
              <w:t>将封边机产生的有机</w:t>
            </w:r>
            <w:r>
              <w:rPr>
                <w:rFonts w:hint="default" w:ascii="Times New Roman" w:hAnsi="Times New Roman" w:eastAsia="宋体" w:cs="Times New Roman"/>
                <w:color w:val="000000" w:themeColor="text1"/>
              </w:rPr>
              <w:t>废气收集后</w:t>
            </w:r>
            <w:r>
              <w:rPr>
                <w:rFonts w:hint="eastAsia" w:ascii="Times New Roman" w:hAnsi="Times New Roman" w:cs="Times New Roman"/>
                <w:color w:val="000000" w:themeColor="text1"/>
                <w:lang w:val="en-US" w:eastAsia="zh-CN"/>
              </w:rPr>
              <w:t>汇入</w:t>
            </w:r>
            <w:r>
              <w:rPr>
                <w:rFonts w:hint="eastAsia" w:ascii="宋体" w:hAnsi="宋体"/>
                <w:sz w:val="24"/>
              </w:rPr>
              <w:t>喷塑固化有机废气</w:t>
            </w:r>
            <w:r>
              <w:rPr>
                <w:rFonts w:hint="eastAsia" w:ascii="宋体" w:hAnsi="宋体"/>
                <w:sz w:val="24"/>
                <w:lang w:val="en-US" w:eastAsia="zh-CN"/>
              </w:rPr>
              <w:t>处理系统处理，即</w:t>
            </w:r>
            <w:r>
              <w:rPr>
                <w:rFonts w:hint="default" w:ascii="Times New Roman" w:hAnsi="Times New Roman" w:eastAsia="宋体" w:cs="Times New Roman"/>
                <w:color w:val="000000" w:themeColor="text1"/>
              </w:rPr>
              <w:t>经1套“UV光解+活性炭吸附”装置处理后由1根15m排气筒排放。</w:t>
            </w:r>
          </w:p>
          <w:p>
            <w:pPr>
              <w:spacing w:line="360" w:lineRule="auto"/>
              <w:ind w:firstLine="480" w:firstLineChars="200"/>
              <w:rPr>
                <w:rFonts w:hint="eastAsia"/>
              </w:rPr>
            </w:pPr>
            <w:r>
              <w:rPr>
                <w:rFonts w:hint="eastAsia" w:ascii="宋体" w:hAnsi="宋体"/>
                <w:sz w:val="24"/>
                <w:lang w:val="en-US" w:eastAsia="zh-CN"/>
              </w:rPr>
              <w:t>环评要求</w:t>
            </w:r>
            <w:r>
              <w:rPr>
                <w:rFonts w:hint="eastAsia" w:ascii="宋体" w:hAnsi="宋体"/>
                <w:sz w:val="24"/>
              </w:rPr>
              <w:t>：在</w:t>
            </w:r>
            <w:r>
              <w:rPr>
                <w:rFonts w:hint="eastAsia" w:ascii="宋体" w:hAnsi="宋体"/>
                <w:sz w:val="24"/>
                <w:lang w:eastAsia="zh-CN"/>
              </w:rPr>
              <w:t>烤箱</w:t>
            </w:r>
            <w:r>
              <w:rPr>
                <w:rFonts w:hint="eastAsia" w:ascii="宋体" w:hAnsi="宋体"/>
                <w:sz w:val="24"/>
                <w:lang w:val="en-US" w:eastAsia="zh-CN"/>
              </w:rPr>
              <w:t>和封边机</w:t>
            </w:r>
            <w:r>
              <w:rPr>
                <w:rFonts w:hint="eastAsia" w:ascii="宋体" w:hAnsi="宋体"/>
                <w:sz w:val="24"/>
              </w:rPr>
              <w:t>上</w:t>
            </w:r>
            <w:r>
              <w:rPr>
                <w:rFonts w:hint="eastAsia" w:ascii="宋体" w:hAnsi="宋体"/>
                <w:sz w:val="24"/>
                <w:lang w:val="en-US" w:eastAsia="zh-CN"/>
              </w:rPr>
              <w:t>分别</w:t>
            </w:r>
            <w:r>
              <w:rPr>
                <w:rFonts w:hint="eastAsia" w:ascii="宋体" w:hAnsi="宋体"/>
                <w:sz w:val="24"/>
              </w:rPr>
              <w:t>设置一个</w:t>
            </w:r>
            <w:r>
              <w:rPr>
                <w:rFonts w:hint="eastAsia" w:ascii="宋体" w:hAnsi="宋体"/>
                <w:sz w:val="24"/>
                <w:lang w:val="en-US" w:eastAsia="zh-CN"/>
              </w:rPr>
              <w:t>集气罩，废气收集后经</w:t>
            </w:r>
            <w:r>
              <w:rPr>
                <w:sz w:val="24"/>
              </w:rPr>
              <w:t>UV</w:t>
            </w:r>
            <w:r>
              <w:rPr>
                <w:rFonts w:hint="eastAsia" w:ascii="宋体" w:hAnsi="宋体"/>
                <w:sz w:val="24"/>
              </w:rPr>
              <w:t>光解</w:t>
            </w:r>
            <w:r>
              <w:rPr>
                <w:sz w:val="24"/>
              </w:rPr>
              <w:t>+</w:t>
            </w:r>
            <w:r>
              <w:rPr>
                <w:rFonts w:hint="eastAsia" w:ascii="宋体" w:hAnsi="宋体"/>
                <w:sz w:val="24"/>
              </w:rPr>
              <w:t>活性炭吸附收集装置处理，通过</w:t>
            </w:r>
            <w:r>
              <w:rPr>
                <w:sz w:val="24"/>
              </w:rPr>
              <w:t>15m</w:t>
            </w:r>
            <w:r>
              <w:rPr>
                <w:rFonts w:hint="eastAsia" w:ascii="宋体" w:hAnsi="宋体"/>
                <w:sz w:val="24"/>
              </w:rPr>
              <w:t>排气筒排放。风机风量为</w:t>
            </w:r>
            <w:r>
              <w:rPr>
                <w:rFonts w:hint="eastAsia"/>
                <w:sz w:val="24"/>
                <w:lang w:val="en-US" w:eastAsia="zh-CN"/>
              </w:rPr>
              <w:t>5000</w:t>
            </w:r>
            <w:r>
              <w:rPr>
                <w:sz w:val="24"/>
              </w:rPr>
              <w:t>m</w:t>
            </w:r>
            <w:r>
              <w:rPr>
                <w:sz w:val="24"/>
                <w:vertAlign w:val="superscript"/>
              </w:rPr>
              <w:t>3</w:t>
            </w:r>
            <w:r>
              <w:rPr>
                <w:sz w:val="24"/>
              </w:rPr>
              <w:t>/h</w:t>
            </w:r>
            <w:r>
              <w:rPr>
                <w:rFonts w:hint="eastAsia" w:ascii="宋体" w:hAnsi="宋体"/>
                <w:sz w:val="24"/>
              </w:rPr>
              <w:t>，</w:t>
            </w:r>
            <w:r>
              <w:rPr>
                <w:rFonts w:hint="eastAsia" w:ascii="宋体" w:hAnsi="宋体"/>
                <w:sz w:val="24"/>
                <w:lang w:val="en-US" w:eastAsia="zh-CN"/>
              </w:rPr>
              <w:t>集气罩收集效率为90%，处理后</w:t>
            </w:r>
            <w:r>
              <w:rPr>
                <w:rFonts w:hint="eastAsia" w:ascii="宋体" w:hAnsi="宋体"/>
                <w:sz w:val="24"/>
              </w:rPr>
              <w:t>挥发性有机废气有组织排放量为</w:t>
            </w:r>
            <w:r>
              <w:rPr>
                <w:rFonts w:hint="eastAsia"/>
                <w:sz w:val="24"/>
                <w:lang w:val="en-US" w:eastAsia="zh-CN"/>
              </w:rPr>
              <w:t>2.72</w:t>
            </w:r>
            <w:r>
              <w:rPr>
                <w:sz w:val="24"/>
              </w:rPr>
              <w:t>kg/a</w:t>
            </w:r>
            <w:r>
              <w:rPr>
                <w:rFonts w:hint="eastAsia" w:ascii="宋体" w:hAnsi="宋体"/>
                <w:sz w:val="24"/>
              </w:rPr>
              <w:t>，排放速率为</w:t>
            </w:r>
            <w:r>
              <w:rPr>
                <w:sz w:val="24"/>
              </w:rPr>
              <w:t>0.00</w:t>
            </w:r>
            <w:r>
              <w:rPr>
                <w:rFonts w:hint="eastAsia"/>
                <w:sz w:val="24"/>
                <w:lang w:val="en-US" w:eastAsia="zh-CN"/>
              </w:rPr>
              <w:t>227</w:t>
            </w:r>
            <w:r>
              <w:rPr>
                <w:sz w:val="24"/>
              </w:rPr>
              <w:t>kg/h</w:t>
            </w:r>
            <w:r>
              <w:rPr>
                <w:rFonts w:hint="eastAsia" w:ascii="宋体" w:hAnsi="宋体"/>
                <w:sz w:val="24"/>
              </w:rPr>
              <w:t>，排放浓度为</w:t>
            </w:r>
            <w:r>
              <w:rPr>
                <w:rFonts w:hint="eastAsia"/>
                <w:sz w:val="24"/>
                <w:lang w:val="en-US" w:eastAsia="zh-CN"/>
              </w:rPr>
              <w:t>0.45</w:t>
            </w:r>
            <w:r>
              <w:rPr>
                <w:sz w:val="24"/>
              </w:rPr>
              <w:t>mg/m</w:t>
            </w:r>
            <w:r>
              <w:rPr>
                <w:sz w:val="24"/>
                <w:vertAlign w:val="superscript"/>
              </w:rPr>
              <w:t>3</w:t>
            </w:r>
            <w:r>
              <w:rPr>
                <w:rFonts w:hint="eastAsia" w:ascii="宋体" w:hAnsi="宋体"/>
                <w:sz w:val="24"/>
              </w:rPr>
              <w:t>；无组织排放量为</w:t>
            </w:r>
            <w:r>
              <w:rPr>
                <w:rFonts w:hint="eastAsia"/>
                <w:sz w:val="24"/>
                <w:lang w:val="en-US" w:eastAsia="zh-CN"/>
              </w:rPr>
              <w:t>3.02</w:t>
            </w:r>
            <w:r>
              <w:rPr>
                <w:sz w:val="24"/>
              </w:rPr>
              <w:t>kg/a</w:t>
            </w:r>
            <w:r>
              <w:rPr>
                <w:rFonts w:hint="eastAsia" w:ascii="宋体" w:hAnsi="宋体"/>
                <w:sz w:val="24"/>
              </w:rPr>
              <w:t>，排放速率为</w:t>
            </w:r>
            <w:r>
              <w:rPr>
                <w:sz w:val="24"/>
              </w:rPr>
              <w:t>0.00</w:t>
            </w:r>
            <w:r>
              <w:rPr>
                <w:rFonts w:hint="eastAsia"/>
                <w:sz w:val="24"/>
                <w:lang w:val="en-US" w:eastAsia="zh-CN"/>
              </w:rPr>
              <w:t>25</w:t>
            </w:r>
            <w:r>
              <w:rPr>
                <w:sz w:val="24"/>
              </w:rPr>
              <w:t>kg/h</w:t>
            </w:r>
            <w:r>
              <w:rPr>
                <w:rFonts w:hint="eastAsia" w:ascii="宋体" w:hAnsi="宋体"/>
                <w:sz w:val="24"/>
              </w:rPr>
              <w:t>，能够满足《挥发性有机物排放控制标准》（</w:t>
            </w:r>
            <w:r>
              <w:rPr>
                <w:sz w:val="24"/>
              </w:rPr>
              <w:t>DB61/T1061-2017</w:t>
            </w:r>
            <w:r>
              <w:rPr>
                <w:rFonts w:hint="eastAsia" w:ascii="宋体" w:hAnsi="宋体"/>
                <w:sz w:val="24"/>
              </w:rPr>
              <w:t>）中表面涂装行业排放限值要求。</w:t>
            </w:r>
          </w:p>
          <w:p>
            <w:pPr>
              <w:autoSpaceDN w:val="0"/>
              <w:spacing w:line="360" w:lineRule="auto"/>
              <w:ind w:firstLine="482" w:firstLineChars="200"/>
              <w:rPr>
                <w:rFonts w:hint="eastAsia" w:ascii="Times New Roman" w:hAnsi="Times New Roman" w:cs="Times New Roman"/>
                <w:b/>
                <w:sz w:val="24"/>
              </w:rPr>
            </w:pPr>
            <w:r>
              <w:rPr>
                <w:rFonts w:hint="eastAsia" w:ascii="Times New Roman" w:hAnsi="Times New Roman" w:cs="Times New Roman"/>
                <w:b/>
                <w:sz w:val="24"/>
              </w:rPr>
              <w:t>2、废水</w:t>
            </w:r>
          </w:p>
          <w:p>
            <w:pPr>
              <w:keepNext w:val="0"/>
              <w:keepLines w:val="0"/>
              <w:pageBreakBefore w:val="0"/>
              <w:widowControl w:val="0"/>
              <w:kinsoku/>
              <w:wordWrap/>
              <w:overflowPunct/>
              <w:topLinePunct w:val="0"/>
              <w:autoSpaceDE/>
              <w:bidi w:val="0"/>
              <w:adjustRightInd/>
              <w:snapToGrid/>
              <w:spacing w:line="360" w:lineRule="auto"/>
              <w:ind w:firstLine="480" w:firstLineChars="200"/>
              <w:textAlignment w:val="auto"/>
              <w:rPr>
                <w:rFonts w:hint="default" w:eastAsia="宋体"/>
                <w:kern w:val="0"/>
                <w:sz w:val="24"/>
                <w:lang w:val="en-US" w:eastAsia="zh-CN"/>
              </w:rPr>
            </w:pPr>
            <w:r>
              <w:rPr>
                <w:rFonts w:hint="eastAsia"/>
                <w:kern w:val="0"/>
                <w:sz w:val="24"/>
              </w:rPr>
              <w:t>项目运营期用水主要为</w:t>
            </w:r>
            <w:r>
              <w:rPr>
                <w:rFonts w:hint="eastAsia"/>
                <w:kern w:val="0"/>
                <w:sz w:val="24"/>
                <w:lang w:val="en-US" w:eastAsia="zh-CN"/>
              </w:rPr>
              <w:t>切割冷却用水和</w:t>
            </w:r>
            <w:r>
              <w:rPr>
                <w:rFonts w:hint="eastAsia"/>
                <w:kern w:val="0"/>
                <w:sz w:val="24"/>
              </w:rPr>
              <w:t>员工生活用水。</w:t>
            </w:r>
            <w:r>
              <w:rPr>
                <w:rFonts w:hint="eastAsia"/>
                <w:kern w:val="0"/>
                <w:sz w:val="24"/>
                <w:lang w:val="en-US" w:eastAsia="zh-CN"/>
              </w:rPr>
              <w:t>切割冷却用水循环使用，不外排；</w:t>
            </w:r>
            <w:r>
              <w:rPr>
                <w:rFonts w:hint="eastAsia"/>
                <w:kern w:val="0"/>
                <w:sz w:val="24"/>
              </w:rPr>
              <w:t>员工生活用水</w:t>
            </w:r>
            <w:r>
              <w:rPr>
                <w:rFonts w:hint="eastAsia"/>
                <w:kern w:val="0"/>
                <w:sz w:val="24"/>
                <w:lang w:val="en-US" w:eastAsia="zh-CN"/>
              </w:rPr>
              <w:t>全部进入旱厕，定期清掏，不外排。</w:t>
            </w:r>
          </w:p>
          <w:p>
            <w:pPr>
              <w:pStyle w:val="2"/>
              <w:keepNext w:val="0"/>
              <w:keepLines w:val="0"/>
              <w:pageBreakBefore w:val="0"/>
              <w:widowControl w:val="0"/>
              <w:numPr>
                <w:ilvl w:val="0"/>
                <w:numId w:val="0"/>
              </w:numPr>
              <w:kinsoku/>
              <w:wordWrap/>
              <w:overflowPunct/>
              <w:topLinePunct w:val="0"/>
              <w:autoSpaceDE/>
              <w:bidi w:val="0"/>
              <w:adjustRightInd/>
              <w:snapToGrid/>
              <w:ind w:firstLine="480" w:firstLineChars="200"/>
              <w:textAlignment w:val="auto"/>
              <w:rPr>
                <w:rFonts w:hint="eastAsia"/>
                <w:kern w:val="0"/>
                <w:sz w:val="24"/>
                <w:lang w:val="en-US" w:eastAsia="zh-CN"/>
              </w:rPr>
            </w:pPr>
            <w:r>
              <w:rPr>
                <w:rFonts w:hint="eastAsia"/>
                <w:kern w:val="0"/>
                <w:sz w:val="24"/>
                <w:lang w:val="en-US" w:eastAsia="zh-CN"/>
              </w:rPr>
              <w:t>（1）切割用水</w:t>
            </w:r>
          </w:p>
          <w:p>
            <w:pPr>
              <w:spacing w:line="360" w:lineRule="auto"/>
              <w:ind w:firstLine="480" w:firstLineChars="200"/>
              <w:rPr>
                <w:rFonts w:hint="default"/>
                <w:kern w:val="0"/>
                <w:sz w:val="24"/>
                <w:lang w:val="en-US" w:eastAsia="zh-CN"/>
              </w:rPr>
            </w:pPr>
            <w:r>
              <w:rPr>
                <w:rFonts w:hint="eastAsia"/>
                <w:kern w:val="0"/>
                <w:sz w:val="24"/>
                <w:lang w:val="en-US" w:eastAsia="zh-CN"/>
              </w:rPr>
              <w:t>项目切割机下方设有0.5m</w:t>
            </w:r>
            <w:r>
              <w:rPr>
                <w:rFonts w:hint="eastAsia"/>
                <w:kern w:val="0"/>
                <w:sz w:val="24"/>
                <w:vertAlign w:val="superscript"/>
                <w:lang w:val="en-US" w:eastAsia="zh-CN"/>
              </w:rPr>
              <w:t>3</w:t>
            </w:r>
            <w:r>
              <w:rPr>
                <w:rFonts w:hint="eastAsia"/>
                <w:kern w:val="0"/>
                <w:sz w:val="24"/>
                <w:lang w:val="en-US" w:eastAsia="zh-CN"/>
              </w:rPr>
              <w:t>的循环水箱，切割时用于冷却锯盘，冷却水循环使用，定期清理切割废渣。根据建设单位提供数据，</w:t>
            </w:r>
            <w:r>
              <w:rPr>
                <w:rFonts w:hint="eastAsia"/>
                <w:bCs/>
                <w:sz w:val="24"/>
                <w:lang w:val="en-US" w:eastAsia="zh-CN"/>
              </w:rPr>
              <w:t>一周补充一次冷却水，补充钢材外带、蒸发等损耗水，则切割用水21.5</w:t>
            </w:r>
            <w:r>
              <w:rPr>
                <w:bCs/>
                <w:sz w:val="24"/>
              </w:rPr>
              <w:t>m</w:t>
            </w:r>
            <w:r>
              <w:rPr>
                <w:bCs/>
                <w:sz w:val="24"/>
                <w:vertAlign w:val="superscript"/>
              </w:rPr>
              <w:t>3</w:t>
            </w:r>
            <w:r>
              <w:rPr>
                <w:bCs/>
                <w:sz w:val="24"/>
              </w:rPr>
              <w:t>/a。</w:t>
            </w:r>
          </w:p>
          <w:p>
            <w:pPr>
              <w:pStyle w:val="2"/>
              <w:keepNext w:val="0"/>
              <w:keepLines w:val="0"/>
              <w:pageBreakBefore w:val="0"/>
              <w:widowControl w:val="0"/>
              <w:numPr>
                <w:ilvl w:val="0"/>
                <w:numId w:val="0"/>
              </w:numPr>
              <w:kinsoku/>
              <w:wordWrap/>
              <w:overflowPunct/>
              <w:topLinePunct w:val="0"/>
              <w:autoSpaceDE/>
              <w:bidi w:val="0"/>
              <w:adjustRightInd/>
              <w:snapToGrid/>
              <w:ind w:firstLine="480" w:firstLineChars="200"/>
              <w:textAlignment w:val="auto"/>
              <w:rPr>
                <w:rFonts w:hint="default"/>
                <w:kern w:val="0"/>
                <w:sz w:val="24"/>
                <w:lang w:val="en-US" w:eastAsia="zh-CN"/>
              </w:rPr>
            </w:pPr>
            <w:r>
              <w:rPr>
                <w:rFonts w:hint="eastAsia"/>
                <w:kern w:val="0"/>
                <w:sz w:val="24"/>
                <w:lang w:val="en-US" w:eastAsia="zh-CN"/>
              </w:rPr>
              <w:t>（2）生活用水</w:t>
            </w:r>
          </w:p>
          <w:p>
            <w:pPr>
              <w:widowControl/>
              <w:spacing w:line="360" w:lineRule="auto"/>
              <w:ind w:firstLine="480" w:firstLineChars="200"/>
              <w:rPr>
                <w:rFonts w:hint="default"/>
                <w:kern w:val="0"/>
                <w:sz w:val="24"/>
                <w:lang w:val="en-US" w:eastAsia="zh-CN"/>
              </w:rPr>
            </w:pPr>
            <w:r>
              <w:rPr>
                <w:rFonts w:hint="eastAsia" w:hAnsi="宋体"/>
                <w:sz w:val="24"/>
              </w:rPr>
              <w:t>项目设有员工</w:t>
            </w:r>
            <w:r>
              <w:rPr>
                <w:rFonts w:hint="eastAsia"/>
                <w:sz w:val="24"/>
                <w:lang w:val="en-US" w:eastAsia="zh-CN"/>
              </w:rPr>
              <w:t>12</w:t>
            </w:r>
            <w:r>
              <w:rPr>
                <w:rFonts w:hint="eastAsia" w:hAnsi="宋体"/>
                <w:sz w:val="24"/>
              </w:rPr>
              <w:t>人，不提供</w:t>
            </w:r>
            <w:r>
              <w:rPr>
                <w:rFonts w:hint="eastAsia" w:hAnsi="宋体"/>
                <w:sz w:val="24"/>
                <w:lang w:val="en-US" w:eastAsia="zh-CN"/>
              </w:rPr>
              <w:t>餐饮</w:t>
            </w:r>
            <w:r>
              <w:rPr>
                <w:rFonts w:hint="eastAsia" w:hAnsi="宋体"/>
                <w:sz w:val="24"/>
              </w:rPr>
              <w:t>，根据陕西省地方标准《行业用水定额》（</w:t>
            </w:r>
            <w:r>
              <w:rPr>
                <w:sz w:val="24"/>
              </w:rPr>
              <w:t>DB61/934-2014</w:t>
            </w:r>
            <w:r>
              <w:rPr>
                <w:rFonts w:hint="eastAsia" w:hAnsi="宋体"/>
                <w:sz w:val="24"/>
              </w:rPr>
              <w:t>）</w:t>
            </w:r>
            <w:r>
              <w:rPr>
                <w:rFonts w:hint="eastAsia" w:hAnsi="宋体"/>
                <w:sz w:val="24"/>
                <w:lang w:eastAsia="zh-CN"/>
              </w:rPr>
              <w:t>，</w:t>
            </w:r>
            <w:r>
              <w:rPr>
                <w:rFonts w:hAnsi="宋体"/>
                <w:sz w:val="24"/>
              </w:rPr>
              <w:t>生活用水按</w:t>
            </w:r>
            <w:r>
              <w:rPr>
                <w:rFonts w:hint="eastAsia"/>
                <w:sz w:val="24"/>
                <w:lang w:val="en-US" w:eastAsia="zh-CN"/>
              </w:rPr>
              <w:t>35</w:t>
            </w:r>
            <w:r>
              <w:rPr>
                <w:sz w:val="24"/>
              </w:rPr>
              <w:t>L/</w:t>
            </w:r>
            <w:r>
              <w:rPr>
                <w:rFonts w:hAnsi="宋体"/>
                <w:sz w:val="24"/>
              </w:rPr>
              <w:t>人</w:t>
            </w:r>
            <w:r>
              <w:rPr>
                <w:sz w:val="24"/>
              </w:rPr>
              <w:t>·d</w:t>
            </w:r>
            <w:r>
              <w:rPr>
                <w:rFonts w:hAnsi="宋体"/>
                <w:sz w:val="24"/>
              </w:rPr>
              <w:t>计，</w:t>
            </w:r>
            <w:r>
              <w:rPr>
                <w:rFonts w:hint="eastAsia"/>
                <w:sz w:val="24"/>
                <w:lang w:val="en-US" w:eastAsia="zh-CN"/>
              </w:rPr>
              <w:t>生活用水量为0.42</w:t>
            </w:r>
            <w:r>
              <w:rPr>
                <w:sz w:val="24"/>
              </w:rPr>
              <w:t>m</w:t>
            </w:r>
            <w:r>
              <w:rPr>
                <w:sz w:val="24"/>
                <w:vertAlign w:val="superscript"/>
              </w:rPr>
              <w:t>3</w:t>
            </w:r>
            <w:r>
              <w:rPr>
                <w:sz w:val="24"/>
              </w:rPr>
              <w:t>/d</w:t>
            </w:r>
            <w:r>
              <w:rPr>
                <w:rFonts w:hint="eastAsia"/>
                <w:sz w:val="24"/>
                <w:lang w:eastAsia="zh-CN"/>
              </w:rPr>
              <w:t>，</w:t>
            </w:r>
            <w:r>
              <w:rPr>
                <w:rFonts w:hint="eastAsia"/>
                <w:sz w:val="24"/>
                <w:lang w:val="en-US" w:eastAsia="zh-CN"/>
              </w:rPr>
              <w:t>126</w:t>
            </w:r>
            <w:r>
              <w:rPr>
                <w:sz w:val="24"/>
              </w:rPr>
              <w:t>m</w:t>
            </w:r>
            <w:r>
              <w:rPr>
                <w:sz w:val="24"/>
                <w:vertAlign w:val="superscript"/>
              </w:rPr>
              <w:t>3</w:t>
            </w:r>
            <w:r>
              <w:rPr>
                <w:sz w:val="24"/>
              </w:rPr>
              <w:t>/a</w:t>
            </w:r>
            <w:r>
              <w:rPr>
                <w:rFonts w:hint="eastAsia"/>
                <w:sz w:val="24"/>
                <w:lang w:eastAsia="zh-CN"/>
              </w:rPr>
              <w:t>。</w:t>
            </w:r>
            <w:r>
              <w:rPr>
                <w:rFonts w:hint="eastAsia"/>
                <w:sz w:val="24"/>
                <w:lang w:val="en-US" w:eastAsia="zh-CN"/>
              </w:rPr>
              <w:t>生活</w:t>
            </w:r>
            <w:r>
              <w:rPr>
                <w:color w:val="000000"/>
                <w:kern w:val="0"/>
                <w:sz w:val="24"/>
                <w:szCs w:val="24"/>
              </w:rPr>
              <w:t>排放系数按0.8计算，</w:t>
            </w:r>
            <w:r>
              <w:rPr>
                <w:rFonts w:hint="eastAsia"/>
                <w:color w:val="000000"/>
                <w:kern w:val="0"/>
                <w:sz w:val="24"/>
                <w:szCs w:val="24"/>
                <w:lang w:val="en-US" w:eastAsia="zh-CN"/>
              </w:rPr>
              <w:t>则生活废水产生量</w:t>
            </w:r>
            <w:r>
              <w:rPr>
                <w:rFonts w:hint="eastAsia"/>
                <w:sz w:val="24"/>
              </w:rPr>
              <w:t>0.</w:t>
            </w:r>
            <w:r>
              <w:rPr>
                <w:rFonts w:hint="eastAsia"/>
                <w:sz w:val="24"/>
                <w:lang w:val="en-US" w:eastAsia="zh-CN"/>
              </w:rPr>
              <w:t>336</w:t>
            </w:r>
            <w:r>
              <w:rPr>
                <w:sz w:val="24"/>
              </w:rPr>
              <w:t>m</w:t>
            </w:r>
            <w:r>
              <w:rPr>
                <w:sz w:val="24"/>
                <w:vertAlign w:val="superscript"/>
              </w:rPr>
              <w:t>3</w:t>
            </w:r>
            <w:r>
              <w:rPr>
                <w:sz w:val="24"/>
              </w:rPr>
              <w:t>/d</w:t>
            </w:r>
            <w:r>
              <w:rPr>
                <w:rFonts w:hint="eastAsia" w:hAnsi="宋体"/>
                <w:sz w:val="24"/>
              </w:rPr>
              <w:t>，即</w:t>
            </w:r>
            <w:r>
              <w:rPr>
                <w:rFonts w:hint="eastAsia"/>
                <w:sz w:val="24"/>
                <w:lang w:val="en-US" w:eastAsia="zh-CN"/>
              </w:rPr>
              <w:t>100.8</w:t>
            </w:r>
            <w:r>
              <w:rPr>
                <w:sz w:val="24"/>
              </w:rPr>
              <w:t>m</w:t>
            </w:r>
            <w:r>
              <w:rPr>
                <w:sz w:val="24"/>
                <w:vertAlign w:val="superscript"/>
              </w:rPr>
              <w:t>3</w:t>
            </w:r>
            <w:r>
              <w:rPr>
                <w:sz w:val="24"/>
              </w:rPr>
              <w:t>/a</w:t>
            </w:r>
            <w:r>
              <w:rPr>
                <w:rFonts w:hint="eastAsia"/>
                <w:sz w:val="24"/>
              </w:rPr>
              <w:t>。</w:t>
            </w:r>
            <w:r>
              <w:rPr>
                <w:rFonts w:hint="eastAsia"/>
                <w:kern w:val="0"/>
                <w:sz w:val="24"/>
                <w:lang w:val="en-US" w:eastAsia="zh-CN"/>
              </w:rPr>
              <w:t>生活废水进入旱厕，定期清掏，不外排。</w:t>
            </w:r>
          </w:p>
          <w:p>
            <w:pPr>
              <w:pStyle w:val="2"/>
              <w:spacing w:line="360" w:lineRule="auto"/>
              <w:rPr>
                <w:rFonts w:hint="default" w:eastAsia="宋体"/>
                <w:lang w:val="en-US" w:eastAsia="zh-CN"/>
              </w:rPr>
            </w:pPr>
            <w:r>
              <w:rPr>
                <w:sz w:val="24"/>
                <w:szCs w:val="24"/>
              </w:rPr>
              <w:t>项目给排水平衡见图5-</w:t>
            </w:r>
            <w:r>
              <w:rPr>
                <w:rFonts w:hint="eastAsia"/>
                <w:sz w:val="24"/>
                <w:szCs w:val="24"/>
                <w:lang w:val="en-US" w:eastAsia="zh-CN"/>
              </w:rPr>
              <w:t>3</w:t>
            </w:r>
            <w:r>
              <w:rPr>
                <w:sz w:val="24"/>
                <w:szCs w:val="24"/>
              </w:rPr>
              <w:t>。</w:t>
            </w:r>
          </w:p>
          <w:p>
            <w:pPr>
              <w:pStyle w:val="49"/>
              <w:jc w:val="center"/>
              <w:rPr>
                <w:rFonts w:hint="default"/>
                <w:lang w:val="en-US" w:eastAsia="zh-CN"/>
              </w:rPr>
            </w:pPr>
            <w:r>
              <w:rPr>
                <w:rFonts w:hint="default"/>
                <w:lang w:val="en-US" w:eastAsia="zh-CN"/>
              </w:rPr>
              <w:object>
                <v:shape id="_x0000_i1027" o:spt="75" type="#_x0000_t75" style="height:176.75pt;width:304.35pt;" o:ole="t" filled="f" o:preferrelative="t" stroked="f" coordsize="21600,21600">
                  <v:path/>
                  <v:fill on="f" focussize="0,0"/>
                  <v:stroke on="f"/>
                  <v:imagedata r:id="rId21" o:title=""/>
                  <o:lock v:ext="edit" aspectratio="f"/>
                  <w10:wrap type="none"/>
                  <w10:anchorlock/>
                </v:shape>
                <o:OLEObject Type="Embed" ProgID="Visio.Drawing.15" ShapeID="_x0000_i1027" DrawAspect="Content" ObjectID="_1468075727" r:id="rId20">
                  <o:LockedField>false</o:LockedField>
                </o:OLEObject>
              </w:object>
            </w:r>
          </w:p>
          <w:p>
            <w:pPr>
              <w:autoSpaceDN w:val="0"/>
              <w:spacing w:line="360" w:lineRule="auto"/>
              <w:jc w:val="center"/>
              <w:rPr>
                <w:rFonts w:hint="eastAsia" w:eastAsia="宋体"/>
                <w:b/>
                <w:bCs/>
                <w:sz w:val="24"/>
                <w:lang w:val="en-US" w:eastAsia="zh-CN"/>
              </w:rPr>
            </w:pPr>
            <w:r>
              <w:rPr>
                <w:rFonts w:hint="eastAsia"/>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矩形 13" hidden="1"/>
                      <wp:cNvGraphicFramePr/>
                      <a:graphic xmlns:a="http://schemas.openxmlformats.org/drawingml/2006/main">
                        <a:graphicData uri="http://schemas.microsoft.com/office/word/2010/wordprocessingShape">
                          <wps:wsp>
                            <wps:cNvSpPr/>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3" o:spid="_x0000_s1026" o:spt="1" style="position:absolute;left:0pt;margin-left:0pt;margin-top:0pt;height:50pt;width:50pt;visibility:hidden;z-index:251662336;mso-width-relative:page;mso-height-relative:page;" fillcolor="#FFFFFF" filled="t" stroked="t" coordsize="21600,21600" o:gfxdata="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W6XrNIAAAAFAQAADwAAAAAAAAABACAAAAAiAAAAZHJzL2Rvd25yZXYueG1s&#10;UEsBAhQAFAAAAAgAh07iQASeQx7+AQAAKQQAAA4AAAAAAAAAAQAgAAAAIQEAAGRycy9lMm9Eb2Mu&#10;eG1sUEsFBgAAAAAGAAYAWQEAAJEFAAAAAA==&#10;">
                      <v:fill on="t" focussize="0,0"/>
                      <v:stroke color="#000000" joinstyle="miter"/>
                      <v:imagedata o:title=""/>
                      <o:lock v:ext="edit" aspectratio="f"/>
                    </v:rect>
                  </w:pict>
                </mc:Fallback>
              </mc:AlternateContent>
            </w:r>
            <w:r>
              <w:rPr>
                <w:rFonts w:hint="eastAsia"/>
                <w:b/>
                <w:bCs/>
                <w:sz w:val="24"/>
              </w:rPr>
              <w:t>图</w:t>
            </w:r>
            <w:r>
              <w:rPr>
                <w:rFonts w:hint="eastAsia"/>
                <w:b/>
                <w:bCs/>
                <w:sz w:val="24"/>
                <w:lang w:val="en-US" w:eastAsia="zh-CN"/>
              </w:rPr>
              <w:t>5-3</w:t>
            </w:r>
            <w:r>
              <w:rPr>
                <w:b/>
                <w:bCs/>
                <w:sz w:val="24"/>
              </w:rPr>
              <w:t xml:space="preserve"> </w:t>
            </w:r>
            <w:r>
              <w:rPr>
                <w:rFonts w:hint="eastAsia"/>
                <w:b/>
                <w:bCs/>
                <w:sz w:val="24"/>
              </w:rPr>
              <w:t>项目水平衡图</w:t>
            </w:r>
            <w:r>
              <w:rPr>
                <w:b/>
                <w:bCs/>
                <w:sz w:val="24"/>
              </w:rPr>
              <w:t xml:space="preserve">  </w:t>
            </w:r>
            <w:r>
              <w:rPr>
                <w:rFonts w:hint="eastAsia"/>
                <w:b/>
                <w:bCs/>
                <w:sz w:val="24"/>
              </w:rPr>
              <w:t>单位：</w:t>
            </w:r>
            <w:r>
              <w:rPr>
                <w:b/>
                <w:bCs/>
                <w:sz w:val="24"/>
              </w:rPr>
              <w:t>m</w:t>
            </w:r>
            <w:r>
              <w:rPr>
                <w:b/>
                <w:bCs/>
                <w:sz w:val="24"/>
                <w:vertAlign w:val="superscript"/>
              </w:rPr>
              <w:t>3</w:t>
            </w:r>
            <w:r>
              <w:rPr>
                <w:b/>
                <w:bCs/>
                <w:sz w:val="24"/>
              </w:rPr>
              <w:t>/</w:t>
            </w:r>
            <w:r>
              <w:rPr>
                <w:rFonts w:hint="eastAsia"/>
                <w:b/>
                <w:bCs/>
                <w:sz w:val="24"/>
                <w:lang w:val="en-US" w:eastAsia="zh-CN"/>
              </w:rPr>
              <w:t>a</w:t>
            </w:r>
          </w:p>
          <w:p>
            <w:pPr>
              <w:spacing w:line="360" w:lineRule="auto"/>
              <w:ind w:firstLine="482" w:firstLineChars="200"/>
              <w:rPr>
                <w:rFonts w:hint="eastAsia"/>
                <w:b/>
                <w:bCs/>
                <w:kern w:val="24"/>
                <w:sz w:val="24"/>
              </w:rPr>
            </w:pPr>
            <w:r>
              <w:rPr>
                <w:rFonts w:hint="eastAsia"/>
                <w:b/>
                <w:bCs/>
                <w:kern w:val="24"/>
                <w:sz w:val="24"/>
              </w:rPr>
              <w:t>3、噪声</w:t>
            </w:r>
          </w:p>
          <w:p>
            <w:pPr>
              <w:spacing w:line="360" w:lineRule="auto"/>
              <w:ind w:firstLine="482"/>
              <w:rPr>
                <w:rFonts w:hint="eastAsia"/>
                <w:sz w:val="24"/>
              </w:rPr>
            </w:pPr>
            <w:r>
              <w:rPr>
                <w:rFonts w:hint="eastAsia"/>
                <w:sz w:val="24"/>
              </w:rPr>
              <w:t>本项目噪声主要是</w:t>
            </w:r>
            <w:r>
              <w:rPr>
                <w:rFonts w:hint="eastAsia" w:ascii="宋体" w:hAnsi="宋体"/>
                <w:sz w:val="24"/>
              </w:rPr>
              <w:t>空压机</w:t>
            </w:r>
            <w:r>
              <w:rPr>
                <w:rFonts w:ascii="宋体" w:hAnsi="宋体"/>
                <w:sz w:val="24"/>
              </w:rPr>
              <w:t>、</w:t>
            </w:r>
            <w:r>
              <w:rPr>
                <w:rFonts w:hint="eastAsia" w:ascii="宋体" w:hAnsi="宋体"/>
                <w:sz w:val="24"/>
              </w:rPr>
              <w:t>风机</w:t>
            </w:r>
            <w:r>
              <w:rPr>
                <w:rFonts w:ascii="宋体" w:hAnsi="宋体"/>
                <w:sz w:val="24"/>
              </w:rPr>
              <w:t>、</w:t>
            </w:r>
            <w:r>
              <w:rPr>
                <w:rFonts w:hint="eastAsia" w:ascii="宋体" w:hAnsi="宋体"/>
                <w:sz w:val="24"/>
              </w:rPr>
              <w:t>二保焊机</w:t>
            </w:r>
            <w:r>
              <w:rPr>
                <w:rFonts w:hint="eastAsia" w:ascii="宋体" w:hAnsi="宋体"/>
                <w:sz w:val="24"/>
                <w:lang w:eastAsia="zh-CN"/>
              </w:rPr>
              <w:t>、</w:t>
            </w:r>
            <w:r>
              <w:rPr>
                <w:rFonts w:hint="eastAsia" w:ascii="宋体" w:hAnsi="宋体"/>
                <w:sz w:val="24"/>
                <w:lang w:val="en-US" w:eastAsia="zh-CN"/>
              </w:rPr>
              <w:t>推台锯、排钻</w:t>
            </w:r>
            <w:r>
              <w:rPr>
                <w:rFonts w:hint="eastAsia"/>
                <w:sz w:val="24"/>
              </w:rPr>
              <w:t>等设备运行时的机械噪声，噪声源强约为70～</w:t>
            </w:r>
            <w:r>
              <w:rPr>
                <w:rFonts w:hint="eastAsia"/>
                <w:sz w:val="24"/>
                <w:lang w:val="en-US" w:eastAsia="zh-CN"/>
              </w:rPr>
              <w:t>85</w:t>
            </w:r>
            <w:r>
              <w:rPr>
                <w:sz w:val="24"/>
              </w:rPr>
              <w:t>dB(A)</w:t>
            </w:r>
            <w:r>
              <w:rPr>
                <w:rFonts w:hint="eastAsia"/>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b/>
                <w:bCs/>
                <w:sz w:val="24"/>
              </w:rPr>
            </w:pPr>
            <w:r>
              <w:rPr>
                <w:b/>
                <w:sz w:val="24"/>
                <w:szCs w:val="24"/>
              </w:rPr>
              <w:t>表</w:t>
            </w:r>
            <w:r>
              <w:rPr>
                <w:rFonts w:hint="eastAsia"/>
                <w:b/>
                <w:sz w:val="24"/>
                <w:szCs w:val="24"/>
              </w:rPr>
              <w:t>5-</w:t>
            </w:r>
            <w:r>
              <w:rPr>
                <w:rFonts w:hint="eastAsia"/>
                <w:b/>
                <w:sz w:val="24"/>
                <w:szCs w:val="24"/>
                <w:lang w:val="en-US" w:eastAsia="zh-CN"/>
              </w:rPr>
              <w:t>3</w:t>
            </w:r>
            <w:r>
              <w:rPr>
                <w:b/>
                <w:bCs/>
                <w:sz w:val="24"/>
              </w:rPr>
              <w:t xml:space="preserve"> 噪声源声级值</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862"/>
              <w:gridCol w:w="1225"/>
              <w:gridCol w:w="2263"/>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3" w:type="dxa"/>
                  <w:noWrap w:val="0"/>
                  <w:vAlign w:val="center"/>
                </w:tcPr>
                <w:p>
                  <w:pPr>
                    <w:snapToGrid w:val="0"/>
                    <w:ind w:left="0" w:leftChars="0" w:firstLine="0" w:firstLineChars="0"/>
                    <w:jc w:val="center"/>
                    <w:rPr>
                      <w:szCs w:val="21"/>
                    </w:rPr>
                  </w:pPr>
                  <w:r>
                    <w:rPr>
                      <w:szCs w:val="21"/>
                    </w:rPr>
                    <w:t>序号</w:t>
                  </w:r>
                </w:p>
              </w:tc>
              <w:tc>
                <w:tcPr>
                  <w:tcW w:w="1862" w:type="dxa"/>
                  <w:noWrap w:val="0"/>
                  <w:vAlign w:val="center"/>
                </w:tcPr>
                <w:p>
                  <w:pPr>
                    <w:snapToGrid w:val="0"/>
                    <w:ind w:left="0" w:leftChars="0" w:firstLine="0" w:firstLineChars="0"/>
                    <w:jc w:val="center"/>
                    <w:rPr>
                      <w:szCs w:val="21"/>
                    </w:rPr>
                  </w:pPr>
                  <w:r>
                    <w:rPr>
                      <w:szCs w:val="21"/>
                    </w:rPr>
                    <w:t>噪声源</w:t>
                  </w:r>
                </w:p>
              </w:tc>
              <w:tc>
                <w:tcPr>
                  <w:tcW w:w="1225" w:type="dxa"/>
                  <w:noWrap w:val="0"/>
                  <w:vAlign w:val="center"/>
                </w:tcPr>
                <w:p>
                  <w:pPr>
                    <w:snapToGrid w:val="0"/>
                    <w:ind w:left="0" w:leftChars="0" w:firstLine="0" w:firstLineChars="0"/>
                    <w:jc w:val="center"/>
                    <w:rPr>
                      <w:szCs w:val="21"/>
                    </w:rPr>
                  </w:pPr>
                  <w:r>
                    <w:rPr>
                      <w:szCs w:val="21"/>
                    </w:rPr>
                    <w:t>位置</w:t>
                  </w:r>
                </w:p>
              </w:tc>
              <w:tc>
                <w:tcPr>
                  <w:tcW w:w="2263" w:type="dxa"/>
                  <w:noWrap w:val="0"/>
                  <w:vAlign w:val="center"/>
                </w:tcPr>
                <w:p>
                  <w:pPr>
                    <w:snapToGrid w:val="0"/>
                    <w:ind w:left="0" w:leftChars="0" w:firstLine="0" w:firstLineChars="0"/>
                    <w:jc w:val="center"/>
                    <w:rPr>
                      <w:szCs w:val="21"/>
                    </w:rPr>
                  </w:pPr>
                  <w:r>
                    <w:rPr>
                      <w:szCs w:val="21"/>
                    </w:rPr>
                    <w:t>数量</w:t>
                  </w:r>
                  <w:r>
                    <w:rPr>
                      <w:rFonts w:hint="eastAsia"/>
                      <w:szCs w:val="21"/>
                    </w:rPr>
                    <w:t>（台/套）</w:t>
                  </w:r>
                </w:p>
              </w:tc>
              <w:tc>
                <w:tcPr>
                  <w:tcW w:w="2101" w:type="dxa"/>
                  <w:noWrap w:val="0"/>
                  <w:vAlign w:val="center"/>
                </w:tcPr>
                <w:p>
                  <w:pPr>
                    <w:snapToGrid w:val="0"/>
                    <w:ind w:left="0" w:leftChars="0" w:firstLine="0" w:firstLineChars="0"/>
                    <w:jc w:val="center"/>
                    <w:rPr>
                      <w:szCs w:val="21"/>
                    </w:rPr>
                  </w:pPr>
                  <w:r>
                    <w:rPr>
                      <w:szCs w:val="21"/>
                    </w:rPr>
                    <w:t>源强L</w:t>
                  </w:r>
                  <w:r>
                    <w:rPr>
                      <w:szCs w:val="21"/>
                      <w:vertAlign w:val="subscript"/>
                    </w:rPr>
                    <w:t>A</w:t>
                  </w:r>
                  <w:r>
                    <w:rPr>
                      <w:szCs w:val="21"/>
                    </w:rPr>
                    <w:t>eq（dB）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3" w:type="dxa"/>
                  <w:noWrap w:val="0"/>
                  <w:vAlign w:val="center"/>
                </w:tcPr>
                <w:p>
                  <w:pPr>
                    <w:autoSpaceDN w:val="0"/>
                    <w:ind w:left="0" w:leftChars="0" w:firstLine="0" w:firstLineChars="0"/>
                    <w:jc w:val="center"/>
                    <w:rPr>
                      <w:szCs w:val="21"/>
                    </w:rPr>
                  </w:pPr>
                  <w:r>
                    <w:rPr>
                      <w:rFonts w:hint="eastAsia"/>
                      <w:szCs w:val="21"/>
                    </w:rPr>
                    <w:t>1</w:t>
                  </w:r>
                </w:p>
              </w:tc>
              <w:tc>
                <w:tcPr>
                  <w:tcW w:w="1862" w:type="dxa"/>
                  <w:noWrap w:val="0"/>
                  <w:vAlign w:val="center"/>
                </w:tcPr>
                <w:p>
                  <w:pPr>
                    <w:autoSpaceDN w:val="0"/>
                    <w:ind w:left="0" w:leftChars="0" w:firstLine="0" w:firstLineChars="0"/>
                    <w:jc w:val="center"/>
                    <w:rPr>
                      <w:rFonts w:hint="eastAsia" w:ascii="宋体"/>
                      <w:szCs w:val="21"/>
                    </w:rPr>
                  </w:pPr>
                  <w:r>
                    <w:rPr>
                      <w:szCs w:val="21"/>
                    </w:rPr>
                    <w:t>静电喷枪</w:t>
                  </w:r>
                </w:p>
              </w:tc>
              <w:tc>
                <w:tcPr>
                  <w:tcW w:w="122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szCs w:val="21"/>
                    </w:rPr>
                  </w:pPr>
                  <w:r>
                    <w:rPr>
                      <w:szCs w:val="21"/>
                    </w:rPr>
                    <w:t>生产厂房</w:t>
                  </w:r>
                </w:p>
              </w:tc>
              <w:tc>
                <w:tcPr>
                  <w:tcW w:w="2263" w:type="dxa"/>
                  <w:noWrap w:val="0"/>
                  <w:vAlign w:val="center"/>
                </w:tcPr>
                <w:p>
                  <w:pPr>
                    <w:autoSpaceDN w:val="0"/>
                    <w:ind w:left="0" w:leftChars="0" w:firstLine="0" w:firstLineChars="0"/>
                    <w:jc w:val="center"/>
                    <w:rPr>
                      <w:szCs w:val="21"/>
                    </w:rPr>
                  </w:pPr>
                  <w:r>
                    <w:rPr>
                      <w:szCs w:val="21"/>
                    </w:rPr>
                    <w:t>4</w:t>
                  </w:r>
                  <w:r>
                    <w:rPr>
                      <w:rFonts w:hAnsi="宋体"/>
                      <w:szCs w:val="21"/>
                    </w:rPr>
                    <w:t>（</w:t>
                  </w:r>
                  <w:r>
                    <w:rPr>
                      <w:szCs w:val="21"/>
                    </w:rPr>
                    <w:t>2</w:t>
                  </w:r>
                  <w:r>
                    <w:rPr>
                      <w:rFonts w:hAnsi="宋体"/>
                      <w:szCs w:val="21"/>
                    </w:rPr>
                    <w:t>用</w:t>
                  </w:r>
                  <w:r>
                    <w:rPr>
                      <w:szCs w:val="21"/>
                    </w:rPr>
                    <w:t>2</w:t>
                  </w:r>
                  <w:r>
                    <w:rPr>
                      <w:rFonts w:hAnsi="宋体"/>
                      <w:szCs w:val="21"/>
                    </w:rPr>
                    <w:t>备</w:t>
                  </w:r>
                  <w:r>
                    <w:rPr>
                      <w:rFonts w:hint="eastAsia" w:hAnsi="宋体"/>
                      <w:szCs w:val="21"/>
                    </w:rPr>
                    <w:t>）</w:t>
                  </w:r>
                </w:p>
              </w:tc>
              <w:tc>
                <w:tcPr>
                  <w:tcW w:w="2101" w:type="dxa"/>
                  <w:noWrap w:val="0"/>
                  <w:vAlign w:val="center"/>
                </w:tcPr>
                <w:p>
                  <w:pPr>
                    <w:snapToGrid w:val="0"/>
                    <w:ind w:left="0" w:leftChars="0" w:firstLine="0" w:firstLineChars="0"/>
                    <w:jc w:val="center"/>
                    <w:rPr>
                      <w:rFonts w:hint="default" w:eastAsia="宋体"/>
                      <w:szCs w:val="21"/>
                      <w:lang w:val="en-US" w:eastAsia="zh-CN"/>
                    </w:rPr>
                  </w:pPr>
                  <w:r>
                    <w:rPr>
                      <w:rFonts w:hint="eastAsia"/>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3" w:type="dxa"/>
                  <w:noWrap w:val="0"/>
                  <w:vAlign w:val="center"/>
                </w:tcPr>
                <w:p>
                  <w:pPr>
                    <w:autoSpaceDN w:val="0"/>
                    <w:ind w:left="0" w:leftChars="0" w:firstLine="0" w:firstLineChars="0"/>
                    <w:jc w:val="center"/>
                    <w:rPr>
                      <w:szCs w:val="21"/>
                    </w:rPr>
                  </w:pPr>
                  <w:r>
                    <w:rPr>
                      <w:rFonts w:hint="eastAsia"/>
                      <w:szCs w:val="21"/>
                    </w:rPr>
                    <w:t>2</w:t>
                  </w:r>
                </w:p>
              </w:tc>
              <w:tc>
                <w:tcPr>
                  <w:tcW w:w="1862" w:type="dxa"/>
                  <w:noWrap w:val="0"/>
                  <w:vAlign w:val="center"/>
                </w:tcPr>
                <w:p>
                  <w:pPr>
                    <w:autoSpaceDN w:val="0"/>
                    <w:ind w:left="0" w:leftChars="0" w:firstLine="0" w:firstLineChars="0"/>
                    <w:jc w:val="center"/>
                    <w:rPr>
                      <w:rFonts w:hint="eastAsia" w:ascii="宋体"/>
                      <w:szCs w:val="21"/>
                    </w:rPr>
                  </w:pPr>
                  <w:r>
                    <w:rPr>
                      <w:rFonts w:hint="eastAsia" w:ascii="宋体"/>
                      <w:szCs w:val="21"/>
                    </w:rPr>
                    <w:t>二保焊机</w:t>
                  </w:r>
                </w:p>
              </w:tc>
              <w:tc>
                <w:tcPr>
                  <w:tcW w:w="1225" w:type="dxa"/>
                  <w:vMerge w:val="continue"/>
                  <w:noWrap w:val="0"/>
                  <w:vAlign w:val="center"/>
                </w:tcPr>
                <w:p>
                  <w:pPr>
                    <w:jc w:val="center"/>
                  </w:pPr>
                </w:p>
              </w:tc>
              <w:tc>
                <w:tcPr>
                  <w:tcW w:w="2263" w:type="dxa"/>
                  <w:noWrap w:val="0"/>
                  <w:vAlign w:val="center"/>
                </w:tcPr>
                <w:p>
                  <w:pPr>
                    <w:pStyle w:val="168"/>
                    <w:ind w:left="0" w:leftChars="0" w:firstLine="0" w:firstLineChars="0"/>
                    <w:jc w:val="center"/>
                    <w:rPr>
                      <w:rFonts w:hint="eastAsia" w:ascii="Times New Roman" w:eastAsia="宋体"/>
                      <w:sz w:val="21"/>
                      <w:szCs w:val="21"/>
                      <w:lang w:eastAsia="zh-CN"/>
                    </w:rPr>
                  </w:pPr>
                  <w:r>
                    <w:rPr>
                      <w:rFonts w:hint="eastAsia" w:ascii="Times New Roman"/>
                      <w:sz w:val="21"/>
                      <w:szCs w:val="21"/>
                      <w:lang w:val="en-US" w:eastAsia="zh-CN"/>
                    </w:rPr>
                    <w:t>8</w:t>
                  </w:r>
                </w:p>
              </w:tc>
              <w:tc>
                <w:tcPr>
                  <w:tcW w:w="2101" w:type="dxa"/>
                  <w:noWrap w:val="0"/>
                  <w:vAlign w:val="center"/>
                </w:tcPr>
                <w:p>
                  <w:pPr>
                    <w:ind w:left="0" w:leftChars="0" w:firstLine="0" w:firstLineChars="0"/>
                    <w:jc w:val="center"/>
                    <w:rPr>
                      <w:szCs w:val="21"/>
                    </w:rPr>
                  </w:pPr>
                  <w:r>
                    <w:rPr>
                      <w:rFonts w:hint="eastAsia"/>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3" w:type="dxa"/>
                  <w:noWrap w:val="0"/>
                  <w:vAlign w:val="center"/>
                </w:tcPr>
                <w:p>
                  <w:pPr>
                    <w:autoSpaceDN w:val="0"/>
                    <w:ind w:left="0" w:leftChars="0" w:firstLine="0" w:firstLineChars="0"/>
                    <w:jc w:val="center"/>
                    <w:rPr>
                      <w:szCs w:val="21"/>
                    </w:rPr>
                  </w:pPr>
                  <w:r>
                    <w:rPr>
                      <w:rFonts w:hint="eastAsia"/>
                      <w:szCs w:val="21"/>
                    </w:rPr>
                    <w:t>3</w:t>
                  </w:r>
                </w:p>
              </w:tc>
              <w:tc>
                <w:tcPr>
                  <w:tcW w:w="1862" w:type="dxa"/>
                  <w:noWrap w:val="0"/>
                  <w:vAlign w:val="center"/>
                </w:tcPr>
                <w:p>
                  <w:pPr>
                    <w:autoSpaceDN w:val="0"/>
                    <w:ind w:left="0" w:leftChars="0" w:firstLine="0" w:firstLineChars="0"/>
                    <w:jc w:val="center"/>
                    <w:rPr>
                      <w:rFonts w:hint="eastAsia" w:ascii="宋体"/>
                      <w:szCs w:val="21"/>
                    </w:rPr>
                  </w:pPr>
                  <w:r>
                    <w:rPr>
                      <w:rFonts w:hint="eastAsia"/>
                    </w:rPr>
                    <w:t>空压机</w:t>
                  </w:r>
                </w:p>
              </w:tc>
              <w:tc>
                <w:tcPr>
                  <w:tcW w:w="1225" w:type="dxa"/>
                  <w:vMerge w:val="continue"/>
                  <w:noWrap w:val="0"/>
                  <w:vAlign w:val="center"/>
                </w:tcPr>
                <w:p>
                  <w:pPr>
                    <w:jc w:val="center"/>
                  </w:pPr>
                </w:p>
              </w:tc>
              <w:tc>
                <w:tcPr>
                  <w:tcW w:w="2263" w:type="dxa"/>
                  <w:noWrap w:val="0"/>
                  <w:vAlign w:val="center"/>
                </w:tcPr>
                <w:p>
                  <w:pPr>
                    <w:pStyle w:val="168"/>
                    <w:ind w:left="0" w:leftChars="0" w:firstLine="0" w:firstLineChars="0"/>
                    <w:jc w:val="center"/>
                    <w:rPr>
                      <w:rFonts w:ascii="Times New Roman"/>
                      <w:sz w:val="21"/>
                      <w:szCs w:val="21"/>
                    </w:rPr>
                  </w:pPr>
                  <w:r>
                    <w:rPr>
                      <w:rFonts w:ascii="Times New Roman"/>
                      <w:sz w:val="21"/>
                      <w:szCs w:val="21"/>
                    </w:rPr>
                    <w:t>2</w:t>
                  </w:r>
                </w:p>
              </w:tc>
              <w:tc>
                <w:tcPr>
                  <w:tcW w:w="2101" w:type="dxa"/>
                  <w:noWrap w:val="0"/>
                  <w:vAlign w:val="center"/>
                </w:tcPr>
                <w:p>
                  <w:pPr>
                    <w:ind w:left="0" w:leftChars="0" w:firstLine="0" w:firstLineChars="0"/>
                    <w:jc w:val="center"/>
                    <w:rPr>
                      <w:rFonts w:hint="default" w:eastAsia="宋体"/>
                      <w:szCs w:val="21"/>
                      <w:lang w:val="en-US" w:eastAsia="zh-CN"/>
                    </w:rPr>
                  </w:pPr>
                  <w:r>
                    <w:rPr>
                      <w:rFonts w:hint="eastAsia"/>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3" w:type="dxa"/>
                  <w:noWrap w:val="0"/>
                  <w:vAlign w:val="center"/>
                </w:tcPr>
                <w:p>
                  <w:pPr>
                    <w:autoSpaceDN w:val="0"/>
                    <w:ind w:left="0" w:leftChars="0" w:firstLine="0" w:firstLineChars="0"/>
                    <w:jc w:val="center"/>
                    <w:rPr>
                      <w:szCs w:val="21"/>
                    </w:rPr>
                  </w:pPr>
                  <w:r>
                    <w:rPr>
                      <w:rFonts w:hint="eastAsia"/>
                      <w:szCs w:val="21"/>
                    </w:rPr>
                    <w:t>4</w:t>
                  </w:r>
                </w:p>
              </w:tc>
              <w:tc>
                <w:tcPr>
                  <w:tcW w:w="1862" w:type="dxa"/>
                  <w:noWrap w:val="0"/>
                  <w:vAlign w:val="center"/>
                </w:tcPr>
                <w:p>
                  <w:pPr>
                    <w:ind w:left="0" w:leftChars="0" w:firstLine="0" w:firstLineChars="0"/>
                    <w:jc w:val="center"/>
                    <w:rPr>
                      <w:rFonts w:hint="eastAsia"/>
                    </w:rPr>
                  </w:pPr>
                  <w:r>
                    <w:rPr>
                      <w:rFonts w:hint="eastAsia"/>
                    </w:rPr>
                    <w:t>风机</w:t>
                  </w:r>
                </w:p>
              </w:tc>
              <w:tc>
                <w:tcPr>
                  <w:tcW w:w="1225" w:type="dxa"/>
                  <w:vMerge w:val="continue"/>
                  <w:noWrap w:val="0"/>
                  <w:vAlign w:val="center"/>
                </w:tcPr>
                <w:p>
                  <w:pPr>
                    <w:jc w:val="center"/>
                  </w:pPr>
                </w:p>
              </w:tc>
              <w:tc>
                <w:tcPr>
                  <w:tcW w:w="2263" w:type="dxa"/>
                  <w:noWrap w:val="0"/>
                  <w:vAlign w:val="center"/>
                </w:tcPr>
                <w:p>
                  <w:pPr>
                    <w:pStyle w:val="168"/>
                    <w:ind w:left="0" w:leftChars="0" w:firstLine="0" w:firstLineChars="0"/>
                    <w:jc w:val="center"/>
                    <w:rPr>
                      <w:rFonts w:ascii="Times New Roman"/>
                      <w:sz w:val="21"/>
                      <w:szCs w:val="21"/>
                    </w:rPr>
                  </w:pPr>
                  <w:r>
                    <w:rPr>
                      <w:rFonts w:ascii="Times New Roman"/>
                      <w:sz w:val="21"/>
                      <w:szCs w:val="21"/>
                    </w:rPr>
                    <w:t>2</w:t>
                  </w:r>
                </w:p>
              </w:tc>
              <w:tc>
                <w:tcPr>
                  <w:tcW w:w="2101" w:type="dxa"/>
                  <w:noWrap w:val="0"/>
                  <w:vAlign w:val="center"/>
                </w:tcPr>
                <w:p>
                  <w:pPr>
                    <w:ind w:left="0" w:leftChars="0" w:firstLine="0" w:firstLineChars="0"/>
                    <w:jc w:val="center"/>
                    <w:rPr>
                      <w:rFonts w:hint="default" w:eastAsia="宋体"/>
                      <w:szCs w:val="21"/>
                      <w:lang w:val="en-US" w:eastAsia="zh-CN"/>
                    </w:rPr>
                  </w:pPr>
                  <w:r>
                    <w:rPr>
                      <w:rFonts w:hint="eastAsia"/>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3" w:type="dxa"/>
                  <w:noWrap w:val="0"/>
                  <w:vAlign w:val="center"/>
                </w:tcPr>
                <w:p>
                  <w:pPr>
                    <w:autoSpaceDN w:val="0"/>
                    <w:ind w:left="0" w:leftChars="0" w:firstLine="0" w:firstLineChars="0"/>
                    <w:jc w:val="center"/>
                    <w:rPr>
                      <w:rFonts w:hint="eastAsia" w:eastAsia="宋体"/>
                      <w:szCs w:val="21"/>
                      <w:lang w:val="en-US" w:eastAsia="zh-CN"/>
                    </w:rPr>
                  </w:pPr>
                  <w:r>
                    <w:rPr>
                      <w:rFonts w:hint="eastAsia"/>
                      <w:szCs w:val="21"/>
                      <w:lang w:val="en-US" w:eastAsia="zh-CN"/>
                    </w:rPr>
                    <w:t>5</w:t>
                  </w:r>
                </w:p>
              </w:tc>
              <w:tc>
                <w:tcPr>
                  <w:tcW w:w="1862" w:type="dxa"/>
                  <w:noWrap w:val="0"/>
                  <w:vAlign w:val="center"/>
                </w:tcPr>
                <w:p>
                  <w:pPr>
                    <w:ind w:left="0" w:leftChars="0" w:firstLine="0" w:firstLineChars="0"/>
                    <w:jc w:val="center"/>
                    <w:rPr>
                      <w:rFonts w:hint="eastAsia" w:eastAsia="宋体"/>
                      <w:lang w:val="en-US" w:eastAsia="zh-CN"/>
                    </w:rPr>
                  </w:pPr>
                  <w:r>
                    <w:rPr>
                      <w:rFonts w:hint="eastAsia"/>
                      <w:lang w:val="en-US" w:eastAsia="zh-CN"/>
                    </w:rPr>
                    <w:t>切割机</w:t>
                  </w:r>
                </w:p>
              </w:tc>
              <w:tc>
                <w:tcPr>
                  <w:tcW w:w="1225" w:type="dxa"/>
                  <w:vMerge w:val="continue"/>
                  <w:noWrap w:val="0"/>
                  <w:vAlign w:val="center"/>
                </w:tcPr>
                <w:p>
                  <w:pPr>
                    <w:jc w:val="center"/>
                  </w:pPr>
                </w:p>
              </w:tc>
              <w:tc>
                <w:tcPr>
                  <w:tcW w:w="2263" w:type="dxa"/>
                  <w:noWrap w:val="0"/>
                  <w:vAlign w:val="center"/>
                </w:tcPr>
                <w:p>
                  <w:pPr>
                    <w:pStyle w:val="168"/>
                    <w:ind w:left="0" w:leftChars="0" w:firstLine="0" w:firstLineChars="0"/>
                    <w:jc w:val="center"/>
                    <w:rPr>
                      <w:rFonts w:hint="eastAsia" w:ascii="Times New Roman" w:eastAsia="宋体"/>
                      <w:sz w:val="21"/>
                      <w:szCs w:val="21"/>
                      <w:lang w:val="en-US" w:eastAsia="zh-CN"/>
                    </w:rPr>
                  </w:pPr>
                  <w:r>
                    <w:rPr>
                      <w:rFonts w:hint="eastAsia" w:ascii="Times New Roman"/>
                      <w:sz w:val="21"/>
                      <w:szCs w:val="21"/>
                      <w:lang w:val="en-US" w:eastAsia="zh-CN"/>
                    </w:rPr>
                    <w:t>1</w:t>
                  </w:r>
                </w:p>
              </w:tc>
              <w:tc>
                <w:tcPr>
                  <w:tcW w:w="2101" w:type="dxa"/>
                  <w:noWrap w:val="0"/>
                  <w:vAlign w:val="center"/>
                </w:tcPr>
                <w:p>
                  <w:pPr>
                    <w:ind w:left="0" w:leftChars="0" w:firstLine="0" w:firstLineChars="0"/>
                    <w:jc w:val="center"/>
                    <w:rPr>
                      <w:rFonts w:hint="default" w:eastAsia="宋体"/>
                      <w:szCs w:val="21"/>
                      <w:lang w:val="en-US" w:eastAsia="zh-CN"/>
                    </w:rPr>
                  </w:pPr>
                  <w:r>
                    <w:rPr>
                      <w:rFonts w:hint="eastAsia"/>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3" w:type="dxa"/>
                  <w:noWrap w:val="0"/>
                  <w:vAlign w:val="center"/>
                </w:tcPr>
                <w:p>
                  <w:pPr>
                    <w:autoSpaceDN w:val="0"/>
                    <w:ind w:left="0" w:leftChars="0" w:firstLine="0" w:firstLineChars="0"/>
                    <w:jc w:val="center"/>
                    <w:rPr>
                      <w:rFonts w:hint="default"/>
                      <w:szCs w:val="21"/>
                      <w:lang w:val="en-US" w:eastAsia="zh-CN"/>
                    </w:rPr>
                  </w:pPr>
                  <w:r>
                    <w:rPr>
                      <w:rFonts w:hint="eastAsia"/>
                      <w:szCs w:val="21"/>
                      <w:lang w:val="en-US" w:eastAsia="zh-CN"/>
                    </w:rPr>
                    <w:t>6</w:t>
                  </w:r>
                </w:p>
              </w:tc>
              <w:tc>
                <w:tcPr>
                  <w:tcW w:w="1862" w:type="dxa"/>
                  <w:noWrap w:val="0"/>
                  <w:vAlign w:val="center"/>
                </w:tcPr>
                <w:p>
                  <w:pPr>
                    <w:ind w:left="0" w:leftChars="0" w:firstLine="0" w:firstLineChars="0"/>
                    <w:jc w:val="center"/>
                    <w:rPr>
                      <w:rFonts w:hint="default"/>
                      <w:lang w:val="en-US" w:eastAsia="zh-CN"/>
                    </w:rPr>
                  </w:pPr>
                  <w:r>
                    <w:rPr>
                      <w:rFonts w:hint="eastAsia"/>
                      <w:lang w:val="en-US" w:eastAsia="zh-CN"/>
                    </w:rPr>
                    <w:t>推台锯</w:t>
                  </w:r>
                </w:p>
              </w:tc>
              <w:tc>
                <w:tcPr>
                  <w:tcW w:w="1225" w:type="dxa"/>
                  <w:vMerge w:val="continue"/>
                  <w:noWrap w:val="0"/>
                  <w:vAlign w:val="center"/>
                </w:tcPr>
                <w:p>
                  <w:pPr>
                    <w:jc w:val="center"/>
                  </w:pPr>
                </w:p>
              </w:tc>
              <w:tc>
                <w:tcPr>
                  <w:tcW w:w="2263" w:type="dxa"/>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2</w:t>
                  </w:r>
                </w:p>
              </w:tc>
              <w:tc>
                <w:tcPr>
                  <w:tcW w:w="2101" w:type="dxa"/>
                  <w:noWrap w:val="0"/>
                  <w:vAlign w:val="center"/>
                </w:tcPr>
                <w:p>
                  <w:pPr>
                    <w:ind w:left="0" w:leftChars="0" w:firstLine="0" w:firstLineChars="0"/>
                    <w:jc w:val="center"/>
                    <w:rPr>
                      <w:rFonts w:hint="default"/>
                      <w:szCs w:val="21"/>
                      <w:lang w:val="en-US" w:eastAsia="zh-CN"/>
                    </w:rPr>
                  </w:pPr>
                  <w:r>
                    <w:rPr>
                      <w:rFonts w:hint="eastAsia"/>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3" w:type="dxa"/>
                  <w:noWrap w:val="0"/>
                  <w:vAlign w:val="center"/>
                </w:tcPr>
                <w:p>
                  <w:pPr>
                    <w:autoSpaceDN w:val="0"/>
                    <w:ind w:left="0" w:leftChars="0" w:firstLine="0" w:firstLineChars="0"/>
                    <w:jc w:val="center"/>
                    <w:rPr>
                      <w:rFonts w:hint="default"/>
                      <w:szCs w:val="21"/>
                      <w:lang w:val="en-US" w:eastAsia="zh-CN"/>
                    </w:rPr>
                  </w:pPr>
                  <w:r>
                    <w:rPr>
                      <w:rFonts w:hint="eastAsia"/>
                      <w:szCs w:val="21"/>
                      <w:lang w:val="en-US" w:eastAsia="zh-CN"/>
                    </w:rPr>
                    <w:t>7</w:t>
                  </w:r>
                </w:p>
              </w:tc>
              <w:tc>
                <w:tcPr>
                  <w:tcW w:w="1862" w:type="dxa"/>
                  <w:noWrap w:val="0"/>
                  <w:vAlign w:val="center"/>
                </w:tcPr>
                <w:p>
                  <w:pPr>
                    <w:ind w:left="0" w:leftChars="0" w:firstLine="0" w:firstLineChars="0"/>
                    <w:jc w:val="center"/>
                    <w:rPr>
                      <w:rFonts w:hint="default"/>
                      <w:lang w:val="en-US" w:eastAsia="zh-CN"/>
                    </w:rPr>
                  </w:pPr>
                  <w:r>
                    <w:rPr>
                      <w:rFonts w:hint="eastAsia"/>
                      <w:lang w:val="en-US" w:eastAsia="zh-CN"/>
                    </w:rPr>
                    <w:t>排钻</w:t>
                  </w:r>
                </w:p>
              </w:tc>
              <w:tc>
                <w:tcPr>
                  <w:tcW w:w="1225" w:type="dxa"/>
                  <w:vMerge w:val="continue"/>
                  <w:noWrap w:val="0"/>
                  <w:vAlign w:val="center"/>
                </w:tcPr>
                <w:p>
                  <w:pPr>
                    <w:jc w:val="center"/>
                  </w:pPr>
                </w:p>
              </w:tc>
              <w:tc>
                <w:tcPr>
                  <w:tcW w:w="2263" w:type="dxa"/>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1</w:t>
                  </w:r>
                </w:p>
              </w:tc>
              <w:tc>
                <w:tcPr>
                  <w:tcW w:w="2101" w:type="dxa"/>
                  <w:noWrap w:val="0"/>
                  <w:vAlign w:val="center"/>
                </w:tcPr>
                <w:p>
                  <w:pPr>
                    <w:ind w:left="0" w:leftChars="0" w:firstLine="0" w:firstLineChars="0"/>
                    <w:jc w:val="center"/>
                    <w:rPr>
                      <w:rFonts w:hint="default"/>
                      <w:szCs w:val="21"/>
                      <w:lang w:val="en-US" w:eastAsia="zh-CN"/>
                    </w:rPr>
                  </w:pPr>
                  <w:r>
                    <w:rPr>
                      <w:rFonts w:hint="eastAsia"/>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3" w:type="dxa"/>
                  <w:noWrap w:val="0"/>
                  <w:vAlign w:val="center"/>
                </w:tcPr>
                <w:p>
                  <w:pPr>
                    <w:autoSpaceDN w:val="0"/>
                    <w:ind w:left="0" w:leftChars="0" w:firstLine="0" w:firstLineChars="0"/>
                    <w:jc w:val="center"/>
                    <w:rPr>
                      <w:rFonts w:hint="default"/>
                      <w:szCs w:val="21"/>
                      <w:lang w:val="en-US" w:eastAsia="zh-CN"/>
                    </w:rPr>
                  </w:pPr>
                  <w:r>
                    <w:rPr>
                      <w:rFonts w:hint="eastAsia"/>
                      <w:szCs w:val="21"/>
                      <w:lang w:val="en-US" w:eastAsia="zh-CN"/>
                    </w:rPr>
                    <w:t>8</w:t>
                  </w:r>
                </w:p>
              </w:tc>
              <w:tc>
                <w:tcPr>
                  <w:tcW w:w="1862" w:type="dxa"/>
                  <w:noWrap w:val="0"/>
                  <w:vAlign w:val="center"/>
                </w:tcPr>
                <w:p>
                  <w:pPr>
                    <w:ind w:left="0" w:leftChars="0" w:firstLine="0" w:firstLineChars="0"/>
                    <w:jc w:val="center"/>
                    <w:rPr>
                      <w:rFonts w:hint="default"/>
                      <w:lang w:val="en-US" w:eastAsia="zh-CN"/>
                    </w:rPr>
                  </w:pPr>
                  <w:r>
                    <w:rPr>
                      <w:rFonts w:hint="eastAsia"/>
                      <w:lang w:val="en-US" w:eastAsia="zh-CN"/>
                    </w:rPr>
                    <w:t>封边机</w:t>
                  </w:r>
                </w:p>
              </w:tc>
              <w:tc>
                <w:tcPr>
                  <w:tcW w:w="1225" w:type="dxa"/>
                  <w:vMerge w:val="continue"/>
                  <w:noWrap w:val="0"/>
                  <w:vAlign w:val="center"/>
                </w:tcPr>
                <w:p>
                  <w:pPr>
                    <w:jc w:val="center"/>
                  </w:pPr>
                </w:p>
              </w:tc>
              <w:tc>
                <w:tcPr>
                  <w:tcW w:w="2263" w:type="dxa"/>
                  <w:noWrap w:val="0"/>
                  <w:vAlign w:val="center"/>
                </w:tcPr>
                <w:p>
                  <w:pPr>
                    <w:pStyle w:val="168"/>
                    <w:ind w:left="0" w:leftChars="0" w:firstLine="0" w:firstLineChars="0"/>
                    <w:jc w:val="center"/>
                    <w:rPr>
                      <w:rFonts w:hint="default" w:ascii="Times New Roman"/>
                      <w:sz w:val="21"/>
                      <w:szCs w:val="21"/>
                      <w:lang w:val="en-US" w:eastAsia="zh-CN"/>
                    </w:rPr>
                  </w:pPr>
                  <w:r>
                    <w:rPr>
                      <w:rFonts w:hint="eastAsia" w:ascii="Times New Roman"/>
                      <w:sz w:val="21"/>
                      <w:szCs w:val="21"/>
                      <w:lang w:val="en-US" w:eastAsia="zh-CN"/>
                    </w:rPr>
                    <w:t>1</w:t>
                  </w:r>
                </w:p>
              </w:tc>
              <w:tc>
                <w:tcPr>
                  <w:tcW w:w="2101" w:type="dxa"/>
                  <w:noWrap w:val="0"/>
                  <w:vAlign w:val="center"/>
                </w:tcPr>
                <w:p>
                  <w:pPr>
                    <w:ind w:left="0" w:leftChars="0" w:firstLine="0" w:firstLineChars="0"/>
                    <w:jc w:val="center"/>
                    <w:rPr>
                      <w:rFonts w:hint="default"/>
                      <w:szCs w:val="21"/>
                      <w:lang w:val="en-US" w:eastAsia="zh-CN"/>
                    </w:rPr>
                  </w:pPr>
                  <w:r>
                    <w:rPr>
                      <w:rFonts w:hint="eastAsia"/>
                      <w:szCs w:val="21"/>
                      <w:lang w:val="en-US" w:eastAsia="zh-CN"/>
                    </w:rPr>
                    <w:t>75</w:t>
                  </w:r>
                </w:p>
              </w:tc>
            </w:tr>
          </w:tbl>
          <w:p>
            <w:pPr>
              <w:autoSpaceDN w:val="0"/>
              <w:spacing w:line="360" w:lineRule="auto"/>
              <w:ind w:firstLine="482" w:firstLineChars="200"/>
              <w:rPr>
                <w:b/>
                <w:bCs/>
                <w:sz w:val="24"/>
              </w:rPr>
            </w:pPr>
            <w:r>
              <w:rPr>
                <w:b/>
                <w:bCs/>
                <w:sz w:val="24"/>
              </w:rPr>
              <w:t>4、固体废弃物</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本项目营运期固废主要为职工生活垃圾、</w:t>
            </w:r>
            <w:r>
              <w:rPr>
                <w:rFonts w:hint="default" w:ascii="Times New Roman" w:hAnsi="Times New Roman" w:eastAsia="宋体" w:cs="Times New Roman"/>
                <w:bCs/>
                <w:sz w:val="24"/>
                <w:szCs w:val="24"/>
                <w:lang w:val="en-US" w:eastAsia="zh-CN"/>
              </w:rPr>
              <w:t>焊接粉尘</w:t>
            </w:r>
            <w:r>
              <w:rPr>
                <w:rFonts w:hint="default" w:ascii="Times New Roman" w:hAnsi="Times New Roman" w:eastAsia="宋体" w:cs="Times New Roman"/>
                <w:bCs/>
                <w:sz w:val="24"/>
                <w:szCs w:val="24"/>
              </w:rPr>
              <w:t>、</w:t>
            </w:r>
            <w:r>
              <w:rPr>
                <w:rFonts w:hint="default" w:ascii="Times New Roman" w:hAnsi="Times New Roman" w:eastAsia="宋体" w:cs="Times New Roman"/>
                <w:kern w:val="0"/>
                <w:sz w:val="24"/>
                <w:szCs w:val="24"/>
              </w:rPr>
              <w:t>除尘器收尘</w:t>
            </w:r>
            <w:r>
              <w:rPr>
                <w:rFonts w:hint="default" w:ascii="Times New Roman" w:hAnsi="Times New Roman" w:eastAsia="宋体" w:cs="Times New Roman"/>
                <w:bCs/>
                <w:sz w:val="24"/>
                <w:szCs w:val="24"/>
              </w:rPr>
              <w:t>、废机油、</w:t>
            </w:r>
            <w:r>
              <w:rPr>
                <w:rFonts w:hint="default" w:ascii="Times New Roman" w:hAnsi="Times New Roman" w:eastAsia="宋体" w:cs="Times New Roman"/>
                <w:sz w:val="24"/>
                <w:szCs w:val="24"/>
              </w:rPr>
              <w:t>废灯管和废活性炭</w:t>
            </w:r>
            <w:r>
              <w:rPr>
                <w:rFonts w:hint="default" w:ascii="Times New Roman" w:hAnsi="Times New Roman" w:eastAsia="宋体" w:cs="Times New Roman"/>
                <w:bCs/>
                <w:sz w:val="24"/>
                <w:szCs w:val="24"/>
              </w:rPr>
              <w:t>。</w:t>
            </w:r>
          </w:p>
          <w:p>
            <w:pPr>
              <w:autoSpaceDN w:val="0"/>
              <w:spacing w:line="360" w:lineRule="auto"/>
              <w:ind w:firstLine="480" w:firstLineChars="200"/>
              <w:rPr>
                <w:rFonts w:hint="default" w:ascii="Times New Roman" w:hAnsi="Times New Roman" w:eastAsia="宋体" w:cs="Times New Roman"/>
                <w:bCs/>
                <w:sz w:val="24"/>
                <w:szCs w:val="24"/>
                <w:lang w:val="en-US" w:eastAsia="zh-CN"/>
              </w:rPr>
            </w:pPr>
            <w:r>
              <w:rPr>
                <w:rFonts w:hint="eastAsia" w:cs="Times New Roman"/>
                <w:bCs/>
                <w:sz w:val="24"/>
                <w:szCs w:val="24"/>
                <w:lang w:val="en-US" w:eastAsia="zh-CN"/>
              </w:rPr>
              <w:t>（1）生活垃圾</w:t>
            </w:r>
          </w:p>
          <w:p>
            <w:pPr>
              <w:autoSpaceDN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本项目劳动定员</w:t>
            </w:r>
            <w:r>
              <w:rPr>
                <w:rFonts w:hint="default" w:ascii="Times New Roman" w:hAnsi="Times New Roman" w:eastAsia="宋体" w:cs="Times New Roman"/>
                <w:bCs/>
                <w:sz w:val="24"/>
                <w:szCs w:val="24"/>
                <w:lang w:val="en-US" w:eastAsia="zh-CN"/>
              </w:rPr>
              <w:t>12</w:t>
            </w:r>
            <w:r>
              <w:rPr>
                <w:rFonts w:hint="default" w:ascii="Times New Roman" w:hAnsi="Times New Roman" w:eastAsia="宋体" w:cs="Times New Roman"/>
                <w:bCs/>
                <w:sz w:val="24"/>
                <w:szCs w:val="24"/>
              </w:rPr>
              <w:t>人，年工作日为300天，</w:t>
            </w:r>
            <w:r>
              <w:rPr>
                <w:rFonts w:hint="eastAsia" w:cs="Times New Roman"/>
                <w:bCs/>
                <w:sz w:val="24"/>
                <w:szCs w:val="24"/>
                <w:lang w:val="en-US" w:eastAsia="zh-CN"/>
              </w:rPr>
              <w:t>生活垃圾</w:t>
            </w:r>
            <w:r>
              <w:rPr>
                <w:rFonts w:hint="default" w:ascii="Times New Roman" w:hAnsi="Times New Roman" w:eastAsia="宋体" w:cs="Times New Roman"/>
                <w:bCs/>
                <w:sz w:val="24"/>
                <w:szCs w:val="24"/>
              </w:rPr>
              <w:t>取0.5kg/人·d，由此估算生活垃圾产生量为</w:t>
            </w:r>
            <w:r>
              <w:rPr>
                <w:rFonts w:hint="eastAsia" w:cs="Times New Roman"/>
                <w:bCs/>
                <w:sz w:val="24"/>
                <w:szCs w:val="24"/>
                <w:lang w:val="en-US" w:eastAsia="zh-CN"/>
              </w:rPr>
              <w:t>3kg/d，</w:t>
            </w:r>
            <w:r>
              <w:rPr>
                <w:rFonts w:hint="default" w:ascii="Times New Roman" w:hAnsi="Times New Roman" w:eastAsia="宋体" w:cs="Times New Roman"/>
                <w:bCs/>
                <w:sz w:val="24"/>
                <w:szCs w:val="24"/>
              </w:rPr>
              <w:t>1.</w:t>
            </w:r>
            <w:r>
              <w:rPr>
                <w:rFonts w:hint="default" w:ascii="Times New Roman" w:hAnsi="Times New Roman" w:eastAsia="宋体" w:cs="Times New Roman"/>
                <w:bCs/>
                <w:sz w:val="24"/>
                <w:szCs w:val="24"/>
                <w:lang w:val="en-US" w:eastAsia="zh-CN"/>
              </w:rPr>
              <w:t>8</w:t>
            </w:r>
            <w:r>
              <w:rPr>
                <w:rFonts w:hint="default" w:ascii="Times New Roman" w:hAnsi="Times New Roman" w:eastAsia="宋体" w:cs="Times New Roman"/>
                <w:bCs/>
                <w:sz w:val="24"/>
                <w:szCs w:val="24"/>
              </w:rPr>
              <w:t>t/a</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sz w:val="24"/>
                <w:szCs w:val="24"/>
              </w:rPr>
              <w:t>收集后按照环卫部门要求外运处置</w:t>
            </w:r>
            <w:r>
              <w:rPr>
                <w:rFonts w:hint="default" w:ascii="Times New Roman" w:hAnsi="Times New Roman" w:eastAsia="宋体" w:cs="Times New Roman"/>
                <w:bCs/>
                <w:sz w:val="24"/>
                <w:szCs w:val="24"/>
              </w:rPr>
              <w:t>。</w:t>
            </w:r>
          </w:p>
          <w:p>
            <w:pPr>
              <w:pStyle w:val="2"/>
              <w:rPr>
                <w:rFonts w:hint="default" w:eastAsia="宋体"/>
                <w:lang w:val="en-US" w:eastAsia="zh-CN"/>
              </w:rPr>
            </w:pPr>
            <w:r>
              <w:rPr>
                <w:rFonts w:hint="eastAsia" w:cs="Times New Roman"/>
                <w:bCs/>
                <w:sz w:val="24"/>
                <w:szCs w:val="24"/>
                <w:lang w:eastAsia="zh-CN"/>
              </w:rPr>
              <w:t>（</w:t>
            </w:r>
            <w:r>
              <w:rPr>
                <w:rFonts w:hint="eastAsia" w:cs="Times New Roman"/>
                <w:bCs/>
                <w:sz w:val="24"/>
                <w:szCs w:val="24"/>
                <w:lang w:val="en-US" w:eastAsia="zh-CN"/>
              </w:rPr>
              <w:t>2</w:t>
            </w:r>
            <w:r>
              <w:rPr>
                <w:rFonts w:hint="eastAsia" w:cs="Times New Roman"/>
                <w:bCs/>
                <w:sz w:val="24"/>
                <w:szCs w:val="24"/>
                <w:lang w:eastAsia="zh-CN"/>
              </w:rPr>
              <w:t>）</w:t>
            </w:r>
            <w:r>
              <w:rPr>
                <w:rFonts w:hint="eastAsia" w:cs="Times New Roman"/>
                <w:bCs/>
                <w:sz w:val="24"/>
                <w:szCs w:val="24"/>
                <w:lang w:val="en-US" w:eastAsia="zh-CN"/>
              </w:rPr>
              <w:t>一般固废</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焊接过程会产生</w:t>
            </w:r>
            <w:r>
              <w:rPr>
                <w:rFonts w:hint="eastAsia" w:cs="Times New Roman"/>
                <w:sz w:val="24"/>
                <w:szCs w:val="24"/>
                <w:lang w:val="en-US" w:eastAsia="zh-CN"/>
              </w:rPr>
              <w:t>烟尘</w:t>
            </w:r>
            <w:r>
              <w:rPr>
                <w:rFonts w:hint="default" w:ascii="Times New Roman" w:hAnsi="Times New Roman" w:eastAsia="宋体" w:cs="Times New Roman"/>
                <w:sz w:val="24"/>
                <w:szCs w:val="24"/>
                <w:lang w:val="en-US" w:eastAsia="zh-CN"/>
              </w:rPr>
              <w:t>0.12t/a</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经布袋除尘器收集</w:t>
            </w:r>
            <w:r>
              <w:rPr>
                <w:rFonts w:hint="default" w:ascii="Times New Roman" w:hAnsi="Times New Roman" w:eastAsia="宋体" w:cs="Times New Roman"/>
                <w:sz w:val="24"/>
                <w:szCs w:val="24"/>
              </w:rPr>
              <w:t>为</w:t>
            </w:r>
            <w:r>
              <w:rPr>
                <w:rFonts w:hint="default" w:ascii="Times New Roman" w:hAnsi="Times New Roman" w:eastAsia="宋体" w:cs="Times New Roman"/>
                <w:sz w:val="24"/>
                <w:szCs w:val="24"/>
                <w:lang w:val="en-US" w:eastAsia="zh-CN"/>
              </w:rPr>
              <w:t>0.1188</w:t>
            </w:r>
            <w:r>
              <w:rPr>
                <w:rFonts w:hint="default" w:ascii="Times New Roman" w:hAnsi="Times New Roman" w:eastAsia="宋体" w:cs="Times New Roman"/>
                <w:sz w:val="24"/>
                <w:szCs w:val="24"/>
              </w:rPr>
              <w:t>t/a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收集后</w:t>
            </w:r>
            <w:r>
              <w:rPr>
                <w:rFonts w:hint="default" w:ascii="Times New Roman" w:hAnsi="Times New Roman" w:eastAsia="宋体" w:cs="Times New Roman"/>
                <w:sz w:val="24"/>
                <w:szCs w:val="24"/>
              </w:rPr>
              <w:t>出售给专门回收单位。项目</w:t>
            </w:r>
            <w:r>
              <w:rPr>
                <w:rFonts w:hint="default" w:ascii="Times New Roman" w:hAnsi="Times New Roman" w:eastAsia="宋体" w:cs="Times New Roman"/>
                <w:sz w:val="24"/>
                <w:szCs w:val="24"/>
                <w:lang w:val="en-US" w:eastAsia="zh-CN"/>
              </w:rPr>
              <w:t>喷塑过程中</w:t>
            </w:r>
            <w:r>
              <w:rPr>
                <w:rFonts w:hint="default" w:ascii="Times New Roman" w:hAnsi="Times New Roman" w:eastAsia="宋体" w:cs="Times New Roman"/>
                <w:sz w:val="24"/>
                <w:szCs w:val="24"/>
              </w:rPr>
              <w:t>塑粉产生量为</w:t>
            </w:r>
            <w:r>
              <w:rPr>
                <w:rFonts w:hint="default" w:ascii="Times New Roman" w:hAnsi="Times New Roman" w:eastAsia="宋体" w:cs="Times New Roman"/>
                <w:sz w:val="24"/>
                <w:szCs w:val="24"/>
                <w:lang w:val="en-US" w:eastAsia="zh-CN"/>
              </w:rPr>
              <w:t>0.5</w:t>
            </w:r>
            <w:r>
              <w:rPr>
                <w:rFonts w:hint="default" w:ascii="Times New Roman" w:hAnsi="Times New Roman" w:eastAsia="宋体" w:cs="Times New Roman"/>
                <w:sz w:val="24"/>
                <w:szCs w:val="24"/>
              </w:rPr>
              <w:t>t/a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除尘器收尘量为</w:t>
            </w:r>
            <w:r>
              <w:rPr>
                <w:rFonts w:hint="default" w:ascii="Times New Roman" w:hAnsi="Times New Roman" w:eastAsia="宋体" w:cs="Times New Roman"/>
                <w:sz w:val="24"/>
                <w:szCs w:val="24"/>
                <w:lang w:val="en-US" w:eastAsia="zh-CN"/>
              </w:rPr>
              <w:t>0.495</w:t>
            </w:r>
            <w:r>
              <w:rPr>
                <w:rFonts w:hint="default" w:ascii="Times New Roman" w:hAnsi="Times New Roman" w:eastAsia="宋体" w:cs="Times New Roman"/>
                <w:sz w:val="24"/>
                <w:szCs w:val="24"/>
              </w:rPr>
              <w:t>t/a，收</w:t>
            </w:r>
            <w:r>
              <w:rPr>
                <w:rFonts w:hint="default" w:ascii="Times New Roman" w:hAnsi="Times New Roman" w:eastAsia="宋体" w:cs="Times New Roman"/>
                <w:sz w:val="24"/>
                <w:szCs w:val="24"/>
                <w:lang w:val="en-US" w:eastAsia="zh-CN"/>
              </w:rPr>
              <w:t>集后</w:t>
            </w:r>
            <w:r>
              <w:rPr>
                <w:rFonts w:hint="default" w:ascii="Times New Roman" w:hAnsi="Times New Roman" w:eastAsia="宋体" w:cs="Times New Roman"/>
                <w:sz w:val="24"/>
                <w:szCs w:val="24"/>
              </w:rPr>
              <w:t>回用于生产</w:t>
            </w:r>
            <w:r>
              <w:rPr>
                <w:rFonts w:hint="default" w:ascii="Times New Roman" w:hAnsi="Times New Roman" w:eastAsia="宋体" w:cs="Times New Roman"/>
                <w:sz w:val="24"/>
                <w:szCs w:val="24"/>
                <w:lang w:eastAsia="zh-CN"/>
              </w:rPr>
              <w:t>。</w:t>
            </w:r>
            <w:r>
              <w:rPr>
                <w:rFonts w:hint="eastAsia" w:cs="Times New Roman"/>
                <w:sz w:val="24"/>
                <w:szCs w:val="24"/>
                <w:lang w:val="en-US" w:eastAsia="zh-CN"/>
              </w:rPr>
              <w:t>根据建设单位提供数据，项目木板切割过程中产生的边角料</w:t>
            </w:r>
            <w:r>
              <w:rPr>
                <w:rFonts w:hint="default" w:ascii="Times New Roman" w:hAnsi="Times New Roman" w:cs="Times New Roman"/>
                <w:sz w:val="24"/>
                <w:szCs w:val="24"/>
                <w:lang w:val="en-US" w:eastAsia="zh-CN"/>
              </w:rPr>
              <w:t>为1.0t/a；双桶除尘器收集的</w:t>
            </w:r>
            <w:r>
              <w:rPr>
                <w:rFonts w:hint="eastAsia" w:ascii="Times New Roman" w:hAnsi="Times New Roman" w:cs="Times New Roman"/>
                <w:sz w:val="24"/>
                <w:szCs w:val="24"/>
                <w:lang w:val="en-US" w:eastAsia="zh-CN"/>
              </w:rPr>
              <w:t>木屑</w:t>
            </w:r>
            <w:r>
              <w:rPr>
                <w:rFonts w:hint="default" w:ascii="Times New Roman" w:hAnsi="Times New Roman" w:cs="Times New Roman"/>
                <w:sz w:val="24"/>
                <w:szCs w:val="24"/>
                <w:lang w:val="en-US" w:eastAsia="zh-CN"/>
              </w:rPr>
              <w:t>粉尘量为0.3474t/a</w:t>
            </w:r>
            <w:r>
              <w:rPr>
                <w:rFonts w:hint="eastAsia" w:ascii="Times New Roman" w:hAnsi="Times New Roman" w:cs="Times New Roman"/>
                <w:sz w:val="24"/>
                <w:szCs w:val="24"/>
                <w:lang w:val="en-US" w:eastAsia="zh-CN"/>
              </w:rPr>
              <w:t>，边角料和木屑收集后</w:t>
            </w:r>
            <w:r>
              <w:rPr>
                <w:rFonts w:hint="eastAsia" w:cs="Times New Roman"/>
                <w:sz w:val="24"/>
                <w:szCs w:val="24"/>
                <w:lang w:val="en-US" w:eastAsia="zh-CN"/>
              </w:rPr>
              <w:t>出售</w:t>
            </w:r>
            <w:r>
              <w:rPr>
                <w:rFonts w:hint="eastAsia" w:ascii="Times New Roman" w:hAnsi="Times New Roman" w:cs="Times New Roman"/>
                <w:sz w:val="24"/>
                <w:szCs w:val="24"/>
                <w:lang w:val="en-US" w:eastAsia="zh-CN"/>
              </w:rPr>
              <w:t>给废物回收单位。</w:t>
            </w:r>
          </w:p>
          <w:p>
            <w:pPr>
              <w:pStyle w:val="2"/>
              <w:rPr>
                <w:rFonts w:hint="default"/>
                <w:lang w:val="en-US" w:eastAsia="zh-CN"/>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eastAsia" w:cs="Times New Roman"/>
                <w:sz w:val="24"/>
                <w:szCs w:val="24"/>
                <w:lang w:val="en-US" w:eastAsia="zh-CN"/>
              </w:rPr>
              <w:t>危险废物</w:t>
            </w:r>
          </w:p>
          <w:p>
            <w:pPr>
              <w:pStyle w:val="212"/>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项目机械设备定期维护保养过程会产生废机油，其产生量为</w:t>
            </w:r>
            <w:r>
              <w:rPr>
                <w:rFonts w:hint="default" w:ascii="Times New Roman" w:hAnsi="Times New Roman" w:eastAsia="宋体" w:cs="Times New Roman"/>
                <w:sz w:val="24"/>
                <w:szCs w:val="24"/>
              </w:rPr>
              <w:t>0.001t/a</w:t>
            </w:r>
            <w:r>
              <w:rPr>
                <w:rFonts w:hint="default" w:ascii="Times New Roman" w:hAnsi="Times New Roman" w:eastAsia="宋体" w:cs="Times New Roman"/>
                <w:kern w:val="0"/>
                <w:sz w:val="24"/>
                <w:szCs w:val="24"/>
              </w:rPr>
              <w:t>，，</w:t>
            </w:r>
            <w:r>
              <w:rPr>
                <w:rFonts w:hint="default" w:ascii="Times New Roman" w:hAnsi="Times New Roman" w:eastAsia="宋体" w:cs="Times New Roman"/>
                <w:sz w:val="24"/>
                <w:szCs w:val="24"/>
              </w:rPr>
              <w:t>危废代码为900-249-08，收集后交由有资质单位处理。</w:t>
            </w:r>
          </w:p>
          <w:p>
            <w:pPr>
              <w:pStyle w:val="212"/>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项目废气处理中UV光解产生的废灯管为0.0</w:t>
            </w:r>
            <w:r>
              <w:rPr>
                <w:rFonts w:hint="eastAsia" w:cs="Times New Roman"/>
                <w:sz w:val="24"/>
                <w:szCs w:val="24"/>
                <w:lang w:val="en-US" w:eastAsia="zh-CN"/>
              </w:rPr>
              <w:t>0</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t/a，废灯管</w:t>
            </w:r>
            <w:r>
              <w:rPr>
                <w:rFonts w:hint="default" w:ascii="Times New Roman" w:hAnsi="Times New Roman" w:eastAsia="宋体" w:cs="Times New Roman"/>
                <w:kern w:val="0"/>
                <w:sz w:val="24"/>
                <w:szCs w:val="24"/>
              </w:rPr>
              <w:t>属于规定的HW29类非特定行业，</w:t>
            </w:r>
            <w:r>
              <w:rPr>
                <w:rFonts w:hint="default" w:ascii="Times New Roman" w:hAnsi="Times New Roman" w:eastAsia="宋体" w:cs="Times New Roman"/>
                <w:sz w:val="24"/>
                <w:szCs w:val="24"/>
              </w:rPr>
              <w:t>危废代码为900-023-29，收集后交由有资质单位处理。</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项目对有机废气采用活性碳吸附装置吸附，当活性炭吸附饱和后，需要更换活性炭，根据单位提供资料：活性炭吸附效率约为0.2kg/kg，项目有机废气的吸附量约为0.0</w:t>
            </w:r>
            <w:r>
              <w:rPr>
                <w:rFonts w:hint="default" w:ascii="Times New Roman" w:hAnsi="Times New Roman" w:eastAsia="宋体" w:cs="Times New Roman"/>
                <w:sz w:val="24"/>
                <w:szCs w:val="24"/>
                <w:lang w:val="en-US" w:eastAsia="zh-CN"/>
              </w:rPr>
              <w:t>27</w:t>
            </w:r>
            <w:r>
              <w:rPr>
                <w:rFonts w:hint="eastAsia" w:cs="Times New Roman"/>
                <w:sz w:val="24"/>
                <w:szCs w:val="24"/>
                <w:lang w:val="en-US" w:eastAsia="zh-CN"/>
              </w:rPr>
              <w:t>2</w:t>
            </w:r>
            <w:r>
              <w:rPr>
                <w:rFonts w:hint="default" w:ascii="Times New Roman" w:hAnsi="Times New Roman" w:eastAsia="宋体" w:cs="Times New Roman"/>
                <w:sz w:val="24"/>
                <w:szCs w:val="24"/>
              </w:rPr>
              <w:t>t/a，则项目废活性炭产生量约为0.</w:t>
            </w:r>
            <w:r>
              <w:rPr>
                <w:rFonts w:hint="eastAsia" w:cs="Times New Roman"/>
                <w:sz w:val="24"/>
                <w:szCs w:val="24"/>
                <w:lang w:val="en-US" w:eastAsia="zh-CN"/>
              </w:rPr>
              <w:t>136</w:t>
            </w:r>
            <w:r>
              <w:rPr>
                <w:rFonts w:hint="default" w:ascii="Times New Roman" w:hAnsi="Times New Roman" w:eastAsia="宋体" w:cs="Times New Roman"/>
                <w:sz w:val="24"/>
                <w:szCs w:val="24"/>
              </w:rPr>
              <w:t>t/a，废活性炭</w:t>
            </w:r>
            <w:r>
              <w:rPr>
                <w:rFonts w:hint="default" w:ascii="Times New Roman" w:hAnsi="Times New Roman" w:eastAsia="宋体" w:cs="Times New Roman"/>
                <w:kern w:val="0"/>
                <w:sz w:val="24"/>
                <w:szCs w:val="24"/>
              </w:rPr>
              <w:t>属于规定的HW49类其他废物，</w:t>
            </w:r>
            <w:r>
              <w:rPr>
                <w:rFonts w:hint="default" w:ascii="Times New Roman" w:hAnsi="Times New Roman" w:eastAsia="宋体" w:cs="Times New Roman"/>
                <w:sz w:val="24"/>
                <w:szCs w:val="24"/>
              </w:rPr>
              <w:t>危废代码为900-039-49，收集后交由有资质单位处理。</w:t>
            </w:r>
          </w:p>
          <w:p>
            <w:pPr>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项目主要固体废物产生及排放情况见表5</w:t>
            </w: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4</w:t>
            </w:r>
            <w:r>
              <w:rPr>
                <w:rFonts w:hint="default" w:ascii="Times New Roman" w:hAnsi="Times New Roman" w:eastAsia="宋体" w:cs="Times New Roman"/>
                <w:sz w:val="24"/>
                <w:szCs w:val="24"/>
              </w:rPr>
              <w:t>。</w:t>
            </w:r>
          </w:p>
          <w:p>
            <w:pPr>
              <w:ind w:firstLine="482"/>
              <w:jc w:val="center"/>
              <w:rPr>
                <w:b/>
                <w:bCs/>
                <w:color w:val="000000" w:themeColor="text1"/>
                <w:szCs w:val="21"/>
              </w:rPr>
            </w:pPr>
            <w:r>
              <w:rPr>
                <w:rFonts w:hint="eastAsia"/>
                <w:b/>
                <w:bCs/>
                <w:color w:val="000000" w:themeColor="text1"/>
                <w:szCs w:val="21"/>
              </w:rPr>
              <w:t>表5</w:t>
            </w:r>
            <w:r>
              <w:rPr>
                <w:rFonts w:hint="eastAsia"/>
                <w:b/>
                <w:bCs/>
                <w:color w:val="000000" w:themeColor="text1"/>
                <w:szCs w:val="21"/>
                <w:lang w:val="en-US" w:eastAsia="zh-CN"/>
              </w:rPr>
              <w:t>-4</w:t>
            </w:r>
            <w:r>
              <w:rPr>
                <w:rFonts w:hint="eastAsia"/>
                <w:b/>
                <w:bCs/>
                <w:color w:val="000000" w:themeColor="text1"/>
                <w:szCs w:val="21"/>
              </w:rPr>
              <w:t xml:space="preserve"> 项目主要固体废物产生及排放情况一览表</w:t>
            </w:r>
          </w:p>
          <w:tbl>
            <w:tblPr>
              <w:tblStyle w:val="33"/>
              <w:tblW w:w="8504"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540"/>
              <w:gridCol w:w="863"/>
              <w:gridCol w:w="2223"/>
              <w:gridCol w:w="1147"/>
              <w:gridCol w:w="2707"/>
              <w:gridCol w:w="1024"/>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540"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863"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2223"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主要成份</w:t>
                  </w:r>
                </w:p>
              </w:tc>
              <w:tc>
                <w:tcPr>
                  <w:tcW w:w="114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产生量</w:t>
                  </w:r>
                </w:p>
              </w:tc>
              <w:tc>
                <w:tcPr>
                  <w:tcW w:w="270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处置方式</w:t>
                  </w:r>
                </w:p>
              </w:tc>
              <w:tc>
                <w:tcPr>
                  <w:tcW w:w="1024"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排放量</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540"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863"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w:t>
                  </w:r>
                </w:p>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垃圾</w:t>
                  </w:r>
                </w:p>
              </w:tc>
              <w:tc>
                <w:tcPr>
                  <w:tcW w:w="2223"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职工生活垃圾</w:t>
                  </w:r>
                </w:p>
              </w:tc>
              <w:tc>
                <w:tcPr>
                  <w:tcW w:w="114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rPr>
                    <w:t>t/a</w:t>
                  </w:r>
                </w:p>
              </w:tc>
              <w:tc>
                <w:tcPr>
                  <w:tcW w:w="270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收集后按照环卫部门要求外运处置</w:t>
                  </w:r>
                </w:p>
              </w:tc>
              <w:tc>
                <w:tcPr>
                  <w:tcW w:w="1024"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540" w:type="dxa"/>
                  <w:vMerge w:val="restart"/>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863" w:type="dxa"/>
                  <w:vMerge w:val="restart"/>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w:t>
                  </w:r>
                </w:p>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w:t>
                  </w:r>
                </w:p>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2223" w:type="dxa"/>
                  <w:vAlign w:val="center"/>
                </w:tcPr>
                <w:p>
                  <w:pPr>
                    <w:spacing w:line="32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焊接烟尘</w:t>
                  </w:r>
                </w:p>
              </w:tc>
              <w:tc>
                <w:tcPr>
                  <w:tcW w:w="114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eastAsia" w:cs="Times New Roman"/>
                      <w:sz w:val="21"/>
                      <w:szCs w:val="21"/>
                      <w:lang w:val="en-US" w:eastAsia="zh-CN"/>
                    </w:rPr>
                    <w:t>0.1188</w:t>
                  </w:r>
                  <w:r>
                    <w:rPr>
                      <w:rFonts w:hint="default" w:ascii="Times New Roman" w:hAnsi="Times New Roman" w:eastAsia="宋体" w:cs="Times New Roman"/>
                      <w:sz w:val="21"/>
                      <w:szCs w:val="21"/>
                    </w:rPr>
                    <w:t>t/a</w:t>
                  </w:r>
                </w:p>
              </w:tc>
              <w:tc>
                <w:tcPr>
                  <w:tcW w:w="270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作为一般固废收集后外售</w:t>
                  </w:r>
                </w:p>
              </w:tc>
              <w:tc>
                <w:tcPr>
                  <w:tcW w:w="1024"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540"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863"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2223" w:type="dxa"/>
                  <w:vAlign w:val="center"/>
                </w:tcPr>
                <w:p>
                  <w:pPr>
                    <w:spacing w:line="320" w:lineRule="exact"/>
                    <w:ind w:firstLine="0" w:firstLineChars="0"/>
                    <w:jc w:val="center"/>
                    <w:rPr>
                      <w:rFonts w:hint="eastAsia" w:cs="Times New Roman"/>
                      <w:sz w:val="21"/>
                      <w:szCs w:val="21"/>
                      <w:lang w:val="en-US" w:eastAsia="zh-CN"/>
                    </w:rPr>
                  </w:pPr>
                  <w:r>
                    <w:rPr>
                      <w:rFonts w:hint="eastAsia" w:cs="Times New Roman"/>
                      <w:sz w:val="21"/>
                      <w:szCs w:val="21"/>
                      <w:lang w:val="en-US" w:eastAsia="zh-CN"/>
                    </w:rPr>
                    <w:t>塑粉</w:t>
                  </w:r>
                </w:p>
              </w:tc>
              <w:tc>
                <w:tcPr>
                  <w:tcW w:w="114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r>
                    <w:rPr>
                      <w:rFonts w:hint="eastAsia" w:cs="Times New Roman"/>
                      <w:sz w:val="21"/>
                      <w:szCs w:val="21"/>
                      <w:lang w:val="en-US" w:eastAsia="zh-CN"/>
                    </w:rPr>
                    <w:t>495</w:t>
                  </w:r>
                  <w:r>
                    <w:rPr>
                      <w:rFonts w:hint="default" w:ascii="Times New Roman" w:hAnsi="Times New Roman" w:eastAsia="宋体" w:cs="Times New Roman"/>
                      <w:sz w:val="21"/>
                      <w:szCs w:val="21"/>
                    </w:rPr>
                    <w:t>t/a</w:t>
                  </w:r>
                </w:p>
              </w:tc>
              <w:tc>
                <w:tcPr>
                  <w:tcW w:w="2707" w:type="dxa"/>
                  <w:vAlign w:val="center"/>
                </w:tcPr>
                <w:p>
                  <w:pPr>
                    <w:spacing w:line="32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回用生产</w:t>
                  </w:r>
                </w:p>
              </w:tc>
              <w:tc>
                <w:tcPr>
                  <w:tcW w:w="1024" w:type="dxa"/>
                  <w:vAlign w:val="center"/>
                </w:tcPr>
                <w:p>
                  <w:pPr>
                    <w:spacing w:line="320" w:lineRule="exact"/>
                    <w:ind w:firstLine="0" w:firstLineChars="0"/>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540"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863"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2223" w:type="dxa"/>
                  <w:vAlign w:val="center"/>
                </w:tcPr>
                <w:p>
                  <w:pPr>
                    <w:spacing w:line="320" w:lineRule="exact"/>
                    <w:ind w:firstLine="0" w:firstLineChars="0"/>
                    <w:jc w:val="center"/>
                    <w:rPr>
                      <w:rFonts w:hint="default" w:cs="Times New Roman"/>
                      <w:sz w:val="21"/>
                      <w:szCs w:val="21"/>
                      <w:lang w:val="en-US" w:eastAsia="zh-CN"/>
                    </w:rPr>
                  </w:pPr>
                  <w:r>
                    <w:rPr>
                      <w:rFonts w:hint="eastAsia" w:cs="Times New Roman"/>
                      <w:sz w:val="21"/>
                      <w:szCs w:val="21"/>
                      <w:lang w:val="en-US" w:eastAsia="zh-CN"/>
                    </w:rPr>
                    <w:t>木材边角料</w:t>
                  </w:r>
                </w:p>
              </w:tc>
              <w:tc>
                <w:tcPr>
                  <w:tcW w:w="1147" w:type="dxa"/>
                  <w:vAlign w:val="center"/>
                </w:tcPr>
                <w:p>
                  <w:pPr>
                    <w:spacing w:line="320" w:lineRule="exact"/>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r>
                    <w:rPr>
                      <w:rFonts w:hint="default" w:ascii="Times New Roman" w:hAnsi="Times New Roman" w:eastAsia="宋体" w:cs="Times New Roman"/>
                      <w:sz w:val="21"/>
                      <w:szCs w:val="21"/>
                    </w:rPr>
                    <w:t>t/a</w:t>
                  </w:r>
                </w:p>
              </w:tc>
              <w:tc>
                <w:tcPr>
                  <w:tcW w:w="2707" w:type="dxa"/>
                  <w:vMerge w:val="restart"/>
                  <w:vAlign w:val="center"/>
                </w:tcPr>
                <w:p>
                  <w:pPr>
                    <w:spacing w:line="320" w:lineRule="exact"/>
                    <w:ind w:firstLine="0" w:firstLineChars="0"/>
                    <w:jc w:val="center"/>
                    <w:rPr>
                      <w:rFonts w:hint="eastAsia" w:cs="Times New Roman"/>
                      <w:sz w:val="21"/>
                      <w:szCs w:val="21"/>
                      <w:lang w:val="en-US" w:eastAsia="zh-CN"/>
                    </w:rPr>
                  </w:pPr>
                  <w:r>
                    <w:rPr>
                      <w:rFonts w:hint="default" w:ascii="Times New Roman" w:hAnsi="Times New Roman" w:eastAsia="宋体" w:cs="Times New Roman"/>
                      <w:sz w:val="21"/>
                      <w:szCs w:val="21"/>
                    </w:rPr>
                    <w:t>作为一般固废收集后外售</w:t>
                  </w:r>
                </w:p>
              </w:tc>
              <w:tc>
                <w:tcPr>
                  <w:tcW w:w="1024" w:type="dxa"/>
                  <w:vAlign w:val="center"/>
                </w:tcPr>
                <w:p>
                  <w:pPr>
                    <w:spacing w:line="320" w:lineRule="exact"/>
                    <w:ind w:firstLine="0" w:firstLineChars="0"/>
                    <w:jc w:val="center"/>
                    <w:rPr>
                      <w:rFonts w:hint="default" w:cs="Times New Roman"/>
                      <w:sz w:val="21"/>
                      <w:szCs w:val="21"/>
                      <w:lang w:val="en-US" w:eastAsia="zh-CN"/>
                    </w:rPr>
                  </w:pPr>
                  <w:r>
                    <w:rPr>
                      <w:rFonts w:hint="eastAsia" w:cs="Times New Roman"/>
                      <w:sz w:val="21"/>
                      <w:szCs w:val="21"/>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540"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863"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2223" w:type="dxa"/>
                  <w:vAlign w:val="center"/>
                </w:tcPr>
                <w:p>
                  <w:pPr>
                    <w:spacing w:line="320" w:lineRule="exact"/>
                    <w:ind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木屑</w:t>
                  </w:r>
                  <w:r>
                    <w:rPr>
                      <w:rFonts w:hint="default" w:ascii="Times New Roman" w:hAnsi="Times New Roman" w:cs="Times New Roman"/>
                      <w:sz w:val="21"/>
                      <w:szCs w:val="21"/>
                      <w:lang w:val="en-US" w:eastAsia="zh-CN"/>
                    </w:rPr>
                    <w:t>粉尘</w:t>
                  </w:r>
                </w:p>
              </w:tc>
              <w:tc>
                <w:tcPr>
                  <w:tcW w:w="1147" w:type="dxa"/>
                  <w:vAlign w:val="center"/>
                </w:tcPr>
                <w:p>
                  <w:pPr>
                    <w:spacing w:line="320" w:lineRule="exact"/>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0.3475</w:t>
                  </w:r>
                  <w:r>
                    <w:rPr>
                      <w:rFonts w:hint="default" w:ascii="Times New Roman" w:hAnsi="Times New Roman" w:eastAsia="宋体" w:cs="Times New Roman"/>
                      <w:sz w:val="21"/>
                      <w:szCs w:val="21"/>
                    </w:rPr>
                    <w:t>t/a</w:t>
                  </w:r>
                </w:p>
              </w:tc>
              <w:tc>
                <w:tcPr>
                  <w:tcW w:w="2707" w:type="dxa"/>
                  <w:vMerge w:val="continue"/>
                  <w:vAlign w:val="center"/>
                </w:tcPr>
                <w:p>
                  <w:pPr>
                    <w:spacing w:line="320" w:lineRule="exact"/>
                    <w:ind w:firstLine="0" w:firstLineChars="0"/>
                    <w:jc w:val="center"/>
                    <w:rPr>
                      <w:rFonts w:hint="eastAsia" w:ascii="Times New Roman" w:hAnsi="Times New Roman" w:cs="Times New Roman"/>
                      <w:sz w:val="21"/>
                      <w:szCs w:val="21"/>
                      <w:lang w:val="en-US" w:eastAsia="zh-CN"/>
                    </w:rPr>
                  </w:pPr>
                </w:p>
              </w:tc>
              <w:tc>
                <w:tcPr>
                  <w:tcW w:w="1024" w:type="dxa"/>
                  <w:vAlign w:val="center"/>
                </w:tcPr>
                <w:p>
                  <w:pPr>
                    <w:spacing w:line="320" w:lineRule="exact"/>
                    <w:ind w:firstLine="0" w:firstLineChars="0"/>
                    <w:jc w:val="center"/>
                    <w:rPr>
                      <w:rFonts w:hint="default" w:cs="Times New Roman"/>
                      <w:sz w:val="21"/>
                      <w:szCs w:val="21"/>
                      <w:lang w:val="en-US" w:eastAsia="zh-CN"/>
                    </w:rPr>
                  </w:pPr>
                  <w:r>
                    <w:rPr>
                      <w:rFonts w:hint="eastAsia" w:cs="Times New Roman"/>
                      <w:sz w:val="21"/>
                      <w:szCs w:val="21"/>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540" w:type="dxa"/>
                  <w:vMerge w:val="restart"/>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863" w:type="dxa"/>
                  <w:vMerge w:val="restart"/>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w:t>
                  </w:r>
                </w:p>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废物</w:t>
                  </w:r>
                </w:p>
              </w:tc>
              <w:tc>
                <w:tcPr>
                  <w:tcW w:w="2223" w:type="dxa"/>
                  <w:vAlign w:val="center"/>
                </w:tcPr>
                <w:p>
                  <w:pPr>
                    <w:spacing w:line="320" w:lineRule="exact"/>
                    <w:ind w:firstLine="0" w:firstLineChars="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废</w:t>
                  </w:r>
                  <w:r>
                    <w:rPr>
                      <w:rFonts w:hint="eastAsia" w:cs="Times New Roman"/>
                      <w:sz w:val="21"/>
                      <w:szCs w:val="21"/>
                      <w:lang w:val="en-US" w:eastAsia="zh-CN"/>
                    </w:rPr>
                    <w:t>机油</w:t>
                  </w:r>
                </w:p>
              </w:tc>
              <w:tc>
                <w:tcPr>
                  <w:tcW w:w="114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r>
                    <w:rPr>
                      <w:rFonts w:hint="eastAsia" w:cs="Times New Roman"/>
                      <w:sz w:val="21"/>
                      <w:szCs w:val="21"/>
                      <w:lang w:val="en-US" w:eastAsia="zh-CN"/>
                    </w:rPr>
                    <w:t>001</w:t>
                  </w:r>
                  <w:r>
                    <w:rPr>
                      <w:rFonts w:hint="default" w:ascii="Times New Roman" w:hAnsi="Times New Roman" w:eastAsia="宋体" w:cs="Times New Roman"/>
                      <w:sz w:val="21"/>
                      <w:szCs w:val="21"/>
                    </w:rPr>
                    <w:t>t/a</w:t>
                  </w:r>
                </w:p>
              </w:tc>
              <w:tc>
                <w:tcPr>
                  <w:tcW w:w="2707" w:type="dxa"/>
                  <w:vMerge w:val="restart"/>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委托有资质的单位进行处置</w:t>
                  </w:r>
                </w:p>
              </w:tc>
              <w:tc>
                <w:tcPr>
                  <w:tcW w:w="1024"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540"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863"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2223"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废活性炭</w:t>
                  </w:r>
                </w:p>
              </w:tc>
              <w:tc>
                <w:tcPr>
                  <w:tcW w:w="114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r>
                    <w:rPr>
                      <w:rFonts w:hint="eastAsia" w:cs="Times New Roman"/>
                      <w:sz w:val="21"/>
                      <w:szCs w:val="21"/>
                      <w:lang w:val="en-US" w:eastAsia="zh-CN"/>
                    </w:rPr>
                    <w:t>136</w:t>
                  </w:r>
                  <w:r>
                    <w:rPr>
                      <w:rFonts w:hint="default" w:ascii="Times New Roman" w:hAnsi="Times New Roman" w:eastAsia="宋体" w:cs="Times New Roman"/>
                      <w:sz w:val="21"/>
                      <w:szCs w:val="21"/>
                    </w:rPr>
                    <w:t>t/a</w:t>
                  </w:r>
                </w:p>
              </w:tc>
              <w:tc>
                <w:tcPr>
                  <w:tcW w:w="2707"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1024"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510" w:hRule="atLeast"/>
                <w:jc w:val="center"/>
              </w:trPr>
              <w:tc>
                <w:tcPr>
                  <w:tcW w:w="540"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863"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2223" w:type="dxa"/>
                  <w:vAlign w:val="center"/>
                </w:tcPr>
                <w:p>
                  <w:pPr>
                    <w:spacing w:line="320" w:lineRule="exact"/>
                    <w:ind w:firstLine="0" w:firstLineChars="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废</w:t>
                  </w:r>
                  <w:r>
                    <w:rPr>
                      <w:rFonts w:hint="eastAsia" w:cs="Times New Roman"/>
                      <w:sz w:val="21"/>
                      <w:szCs w:val="21"/>
                      <w:lang w:val="en-US" w:eastAsia="zh-CN"/>
                    </w:rPr>
                    <w:t>灯管</w:t>
                  </w:r>
                </w:p>
              </w:tc>
              <w:tc>
                <w:tcPr>
                  <w:tcW w:w="1147"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w:t>
                  </w:r>
                  <w:r>
                    <w:rPr>
                      <w:rFonts w:hint="eastAsia" w:cs="Times New Roman"/>
                      <w:sz w:val="21"/>
                      <w:szCs w:val="21"/>
                      <w:lang w:val="en-US" w:eastAsia="zh-CN"/>
                    </w:rPr>
                    <w:t>0</w:t>
                  </w:r>
                  <w:r>
                    <w:rPr>
                      <w:rFonts w:hint="default" w:ascii="Times New Roman" w:hAnsi="Times New Roman" w:eastAsia="宋体" w:cs="Times New Roman"/>
                      <w:sz w:val="21"/>
                      <w:szCs w:val="21"/>
                    </w:rPr>
                    <w:t>1t/a</w:t>
                  </w:r>
                </w:p>
              </w:tc>
              <w:tc>
                <w:tcPr>
                  <w:tcW w:w="2707" w:type="dxa"/>
                  <w:vMerge w:val="continue"/>
                  <w:vAlign w:val="center"/>
                </w:tcPr>
                <w:p>
                  <w:pPr>
                    <w:spacing w:line="320" w:lineRule="exact"/>
                    <w:ind w:firstLine="0" w:firstLineChars="0"/>
                    <w:jc w:val="center"/>
                    <w:rPr>
                      <w:rFonts w:hint="default" w:ascii="Times New Roman" w:hAnsi="Times New Roman" w:eastAsia="宋体" w:cs="Times New Roman"/>
                      <w:sz w:val="21"/>
                      <w:szCs w:val="21"/>
                    </w:rPr>
                  </w:pPr>
                </w:p>
              </w:tc>
              <w:tc>
                <w:tcPr>
                  <w:tcW w:w="1024" w:type="dxa"/>
                  <w:vAlign w:val="center"/>
                </w:tcPr>
                <w:p>
                  <w:pPr>
                    <w:spacing w:line="32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r>
          </w:tbl>
          <w:p>
            <w:pPr>
              <w:pStyle w:val="32"/>
              <w:ind w:left="0" w:leftChars="0" w:firstLine="0" w:firstLineChars="0"/>
            </w:pPr>
          </w:p>
          <w:p>
            <w:pPr>
              <w:pStyle w:val="32"/>
              <w:ind w:left="0" w:leftChars="0" w:firstLine="0" w:firstLineChars="0"/>
            </w:pPr>
          </w:p>
        </w:tc>
      </w:tr>
    </w:tbl>
    <w:p>
      <w:pPr>
        <w:ind w:firstLine="643"/>
        <w:rPr>
          <w:rFonts w:eastAsia="黑体"/>
          <w:b/>
          <w:bCs/>
          <w:sz w:val="32"/>
          <w:szCs w:val="32"/>
        </w:rPr>
      </w:pPr>
      <w:r>
        <w:rPr>
          <w:rFonts w:hint="eastAsia" w:eastAsia="黑体"/>
          <w:b/>
          <w:bCs/>
          <w:sz w:val="32"/>
          <w:szCs w:val="32"/>
        </w:rPr>
        <w:br w:type="page"/>
      </w:r>
    </w:p>
    <w:p>
      <w:pPr>
        <w:spacing w:line="240" w:lineRule="auto"/>
        <w:ind w:firstLine="0" w:firstLineChars="0"/>
        <w:jc w:val="left"/>
        <w:outlineLvl w:val="0"/>
        <w:rPr>
          <w:rFonts w:hint="eastAsia" w:ascii="Times New Roman" w:hAnsi="Times New Roman" w:eastAsia="黑体" w:cs="Times New Roman"/>
          <w:sz w:val="32"/>
        </w:rPr>
      </w:pPr>
      <w:r>
        <w:rPr>
          <w:rFonts w:hint="eastAsia" w:ascii="Times New Roman" w:hAnsi="Times New Roman" w:eastAsia="黑体" w:cs="Times New Roman"/>
          <w:sz w:val="32"/>
        </w:rPr>
        <w:t>六、项目主要污染物产生及预计排放情况</w:t>
      </w:r>
    </w:p>
    <w:tbl>
      <w:tblPr>
        <w:tblStyle w:val="33"/>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94"/>
        <w:gridCol w:w="1403"/>
        <w:gridCol w:w="1256"/>
        <w:gridCol w:w="2355"/>
        <w:gridCol w:w="32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27" w:hRule="atLeast"/>
          <w:jc w:val="center"/>
        </w:trPr>
        <w:tc>
          <w:tcPr>
            <w:tcW w:w="1094" w:type="dxa"/>
            <w:tcBorders>
              <w:tl2br w:val="nil"/>
              <w:tr2bl w:val="nil"/>
            </w:tcBorders>
            <w:noWrap w:val="0"/>
            <w:vAlign w:val="center"/>
          </w:tcPr>
          <w:p>
            <w:pPr>
              <w:spacing w:line="280" w:lineRule="exact"/>
              <w:jc w:val="center"/>
              <w:rPr>
                <w:rFonts w:hint="default" w:ascii="Times New Roman" w:hAnsi="Times New Roman" w:eastAsia="宋体" w:cs="Times New Roman"/>
                <w:sz w:val="24"/>
                <w:szCs w:val="24"/>
              </w:rPr>
            </w:pPr>
            <w:r>
              <w:rPr>
                <w:sz w:val="24"/>
                <w:szCs w:val="24"/>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-12065</wp:posOffset>
                      </wp:positionV>
                      <wp:extent cx="695960" cy="610235"/>
                      <wp:effectExtent l="3175" t="3810" r="12065" b="8255"/>
                      <wp:wrapNone/>
                      <wp:docPr id="2" name="直线 4"/>
                      <wp:cNvGraphicFramePr/>
                      <a:graphic xmlns:a="http://schemas.openxmlformats.org/drawingml/2006/main">
                        <a:graphicData uri="http://schemas.microsoft.com/office/word/2010/wordprocessingShape">
                          <wps:wsp>
                            <wps:cNvSpPr/>
                            <wps:spPr>
                              <a:xfrm>
                                <a:off x="0" y="0"/>
                                <a:ext cx="695960" cy="6102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5pt;margin-top:-0.95pt;height:48.05pt;width:54.8pt;z-index:251663360;mso-width-relative:page;mso-height-relative:page;" filled="f" stroked="t" coordsize="21600,21600" o:gfxdata="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SCt&#10;0dcAAAAIAQAADwAAAAAAAAABACAAAAAiAAAAZHJzL2Rvd25yZXYueG1sUEsBAhQAFAAAAAgAh07i&#10;QNhbrR3qAQAA3wMAAA4AAAAAAAAAAQAgAAAAJgEAAGRycy9lMm9Eb2MueG1sUEsFBgAAAAAGAAYA&#10;WQEAAIIFAAAAAA==&#10;">
                      <v:fill on="f" focussize="0,0"/>
                      <v:stroke color="#000000" joinstyle="round"/>
                      <v:imagedata o:title=""/>
                      <o:lock v:ext="edit" aspectratio="f"/>
                    </v:line>
                  </w:pict>
                </mc:Fallback>
              </mc:AlternateContent>
            </w:r>
            <w:r>
              <w:rPr>
                <w:rFonts w:hint="default" w:ascii="Times New Roman" w:hAnsi="Times New Roman" w:eastAsia="宋体" w:cs="Times New Roman"/>
                <w:sz w:val="24"/>
                <w:szCs w:val="24"/>
              </w:rPr>
              <w:t>内容</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类型</w:t>
            </w:r>
          </w:p>
        </w:tc>
        <w:tc>
          <w:tcPr>
            <w:tcW w:w="1403" w:type="dxa"/>
            <w:tcBorders>
              <w:tl2br w:val="nil"/>
              <w:tr2bl w:val="nil"/>
            </w:tcBorders>
            <w:noWrap w:val="0"/>
            <w:vAlign w:val="center"/>
          </w:tcPr>
          <w:p>
            <w:pPr>
              <w:spacing w:line="360" w:lineRule="exact"/>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排放源</w:t>
            </w:r>
          </w:p>
          <w:p>
            <w:pPr>
              <w:spacing w:line="360" w:lineRule="exact"/>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(编号)</w:t>
            </w:r>
          </w:p>
        </w:tc>
        <w:tc>
          <w:tcPr>
            <w:tcW w:w="1256" w:type="dxa"/>
            <w:tcBorders>
              <w:tl2br w:val="nil"/>
              <w:tr2bl w:val="nil"/>
            </w:tcBorders>
            <w:noWrap w:val="0"/>
            <w:vAlign w:val="center"/>
          </w:tcPr>
          <w:p>
            <w:pPr>
              <w:spacing w:line="360" w:lineRule="exact"/>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污染物</w:t>
            </w:r>
          </w:p>
          <w:p>
            <w:pPr>
              <w:spacing w:line="360" w:lineRule="exact"/>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名称</w:t>
            </w:r>
          </w:p>
        </w:tc>
        <w:tc>
          <w:tcPr>
            <w:tcW w:w="2355" w:type="dxa"/>
            <w:tcBorders>
              <w:tl2br w:val="nil"/>
              <w:tr2bl w:val="nil"/>
            </w:tcBorders>
            <w:noWrap w:val="0"/>
            <w:vAlign w:val="center"/>
          </w:tcPr>
          <w:p>
            <w:pPr>
              <w:spacing w:line="360" w:lineRule="exact"/>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处理前产生浓度及产生量(单位)</w:t>
            </w:r>
          </w:p>
        </w:tc>
        <w:tc>
          <w:tcPr>
            <w:tcW w:w="3246" w:type="dxa"/>
            <w:tcBorders>
              <w:tl2br w:val="nil"/>
              <w:tr2bl w:val="nil"/>
            </w:tcBorders>
            <w:noWrap w:val="0"/>
            <w:vAlign w:val="center"/>
          </w:tcPr>
          <w:p>
            <w:pPr>
              <w:spacing w:line="360" w:lineRule="exact"/>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排放浓度及排放量(单位)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2" w:hRule="atLeast"/>
          <w:jc w:val="center"/>
        </w:trPr>
        <w:tc>
          <w:tcPr>
            <w:tcW w:w="1094" w:type="dxa"/>
            <w:vMerge w:val="restart"/>
            <w:tcBorders>
              <w:tl2br w:val="nil"/>
              <w:tr2bl w:val="nil"/>
            </w:tcBorders>
            <w:noWrap w:val="0"/>
            <w:vAlign w:val="center"/>
          </w:tcPr>
          <w:p>
            <w:pPr>
              <w:spacing w:line="340" w:lineRule="exac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w:t>
            </w:r>
          </w:p>
          <w:p>
            <w:pPr>
              <w:spacing w:line="340" w:lineRule="exac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140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焊接</w:t>
            </w:r>
          </w:p>
        </w:tc>
        <w:tc>
          <w:tcPr>
            <w:tcW w:w="125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烟尘</w:t>
            </w:r>
          </w:p>
        </w:tc>
        <w:tc>
          <w:tcPr>
            <w:tcW w:w="235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0.12t</w:t>
            </w:r>
            <w:r>
              <w:rPr>
                <w:rFonts w:hint="default" w:ascii="Times New Roman" w:hAnsi="Times New Roman" w:eastAsia="宋体" w:cs="Times New Roman"/>
                <w:sz w:val="21"/>
                <w:szCs w:val="21"/>
              </w:rPr>
              <w:t>/a</w:t>
            </w:r>
          </w:p>
        </w:tc>
        <w:tc>
          <w:tcPr>
            <w:tcW w:w="3246" w:type="dxa"/>
            <w:tcBorders>
              <w:tl2br w:val="nil"/>
              <w:tr2bl w:val="nil"/>
            </w:tcBorders>
            <w:noWrap w:val="0"/>
            <w:vAlign w:val="center"/>
          </w:tcPr>
          <w:p>
            <w:pPr>
              <w:autoSpaceDN w:val="0"/>
              <w:ind w:left="0" w:leftChars="0" w:firstLine="0" w:firstLineChars="0"/>
              <w:jc w:val="center"/>
              <w:rPr>
                <w:rFonts w:hint="eastAsia" w:ascii="Times New Roman" w:hAnsi="Times New Roman" w:eastAsia="宋体" w:cs="Times New Roman"/>
                <w:sz w:val="21"/>
                <w:szCs w:val="21"/>
                <w:highlight w:val="yellow"/>
                <w:lang w:val="en-US" w:eastAsia="zh-CN"/>
              </w:rPr>
            </w:pPr>
            <w:r>
              <w:rPr>
                <w:rFonts w:hint="eastAsia" w:ascii="Times New Roman" w:hAnsi="Times New Roman" w:cs="Times New Roman"/>
                <w:sz w:val="21"/>
                <w:szCs w:val="21"/>
                <w:lang w:val="en-US" w:eastAsia="zh-CN"/>
              </w:rPr>
              <w:t>0.</w:t>
            </w:r>
            <w:r>
              <w:rPr>
                <w:rFonts w:hint="eastAsia" w:cs="Times New Roman"/>
                <w:sz w:val="21"/>
                <w:szCs w:val="21"/>
                <w:lang w:val="en-US" w:eastAsia="zh-CN"/>
              </w:rPr>
              <w:t>00</w:t>
            </w:r>
            <w:r>
              <w:rPr>
                <w:rFonts w:hint="eastAsia" w:ascii="Times New Roman" w:hAnsi="Times New Roman" w:cs="Times New Roman"/>
                <w:sz w:val="21"/>
                <w:szCs w:val="21"/>
                <w:lang w:val="en-US" w:eastAsia="zh-CN"/>
              </w:rPr>
              <w:t>12t</w:t>
            </w:r>
            <w:r>
              <w:rPr>
                <w:rFonts w:hint="default" w:ascii="Times New Roman" w:hAnsi="Times New Roman" w:eastAsia="宋体" w:cs="Times New Roman"/>
                <w:sz w:val="21"/>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17" w:hRule="atLeast"/>
          <w:jc w:val="center"/>
        </w:trPr>
        <w:tc>
          <w:tcPr>
            <w:tcW w:w="1094" w:type="dxa"/>
            <w:vMerge w:val="continue"/>
            <w:tcBorders>
              <w:tl2br w:val="nil"/>
              <w:tr2bl w:val="nil"/>
            </w:tcBorders>
            <w:noWrap w:val="0"/>
            <w:vAlign w:val="center"/>
          </w:tcPr>
          <w:p>
            <w:pPr>
              <w:spacing w:line="340" w:lineRule="exact"/>
              <w:jc w:val="center"/>
              <w:rPr>
                <w:rFonts w:hint="default" w:ascii="Times New Roman" w:hAnsi="Times New Roman" w:eastAsia="宋体" w:cs="Times New Roman"/>
                <w:sz w:val="21"/>
                <w:szCs w:val="21"/>
              </w:rPr>
            </w:pPr>
          </w:p>
        </w:tc>
        <w:tc>
          <w:tcPr>
            <w:tcW w:w="140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喷塑</w:t>
            </w:r>
          </w:p>
        </w:tc>
        <w:tc>
          <w:tcPr>
            <w:tcW w:w="125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粉尘</w:t>
            </w:r>
          </w:p>
        </w:tc>
        <w:tc>
          <w:tcPr>
            <w:tcW w:w="235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0.5</w:t>
            </w:r>
            <w:r>
              <w:rPr>
                <w:rFonts w:hint="default" w:ascii="Times New Roman" w:hAnsi="Times New Roman" w:eastAsia="宋体" w:cs="Times New Roman"/>
                <w:sz w:val="21"/>
                <w:szCs w:val="21"/>
              </w:rPr>
              <w:t>t/a</w:t>
            </w:r>
          </w:p>
        </w:tc>
        <w:tc>
          <w:tcPr>
            <w:tcW w:w="3246"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sz w:val="21"/>
                <w:szCs w:val="21"/>
                <w:highlight w:val="yellow"/>
              </w:rPr>
            </w:pPr>
            <w:r>
              <w:rPr>
                <w:sz w:val="21"/>
                <w:szCs w:val="21"/>
              </w:rPr>
              <w:t>0.</w:t>
            </w:r>
            <w:r>
              <w:rPr>
                <w:rFonts w:hint="eastAsia"/>
                <w:sz w:val="21"/>
                <w:szCs w:val="21"/>
              </w:rPr>
              <w:t>0</w:t>
            </w:r>
            <w:r>
              <w:rPr>
                <w:rFonts w:hint="eastAsia"/>
                <w:sz w:val="21"/>
                <w:szCs w:val="21"/>
                <w:lang w:val="en-US" w:eastAsia="zh-CN"/>
              </w:rPr>
              <w:t>05</w:t>
            </w:r>
            <w:r>
              <w:rPr>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20" w:hRule="atLeast"/>
          <w:jc w:val="center"/>
        </w:trPr>
        <w:tc>
          <w:tcPr>
            <w:tcW w:w="1094" w:type="dxa"/>
            <w:vMerge w:val="continue"/>
            <w:tcBorders>
              <w:tl2br w:val="nil"/>
              <w:tr2bl w:val="nil"/>
            </w:tcBorders>
            <w:noWrap w:val="0"/>
            <w:vAlign w:val="center"/>
          </w:tcPr>
          <w:p>
            <w:pPr>
              <w:spacing w:line="340" w:lineRule="exact"/>
              <w:jc w:val="center"/>
              <w:rPr>
                <w:rFonts w:hint="default" w:ascii="Times New Roman" w:hAnsi="Times New Roman" w:eastAsia="宋体" w:cs="Times New Roman"/>
                <w:sz w:val="21"/>
                <w:szCs w:val="21"/>
              </w:rPr>
            </w:pPr>
          </w:p>
        </w:tc>
        <w:tc>
          <w:tcPr>
            <w:tcW w:w="1403" w:type="dxa"/>
            <w:vMerge w:val="restart"/>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固化</w:t>
            </w:r>
            <w:r>
              <w:rPr>
                <w:rFonts w:hint="eastAsia" w:cs="Times New Roman"/>
                <w:sz w:val="21"/>
                <w:szCs w:val="21"/>
                <w:lang w:eastAsia="zh-CN"/>
              </w:rPr>
              <w:t>、</w:t>
            </w:r>
            <w:r>
              <w:rPr>
                <w:rFonts w:hint="eastAsia" w:cs="Times New Roman"/>
                <w:sz w:val="21"/>
                <w:szCs w:val="21"/>
                <w:lang w:val="en-US" w:eastAsia="zh-CN"/>
              </w:rPr>
              <w:t>封边</w:t>
            </w:r>
          </w:p>
        </w:tc>
        <w:tc>
          <w:tcPr>
            <w:tcW w:w="1256" w:type="dxa"/>
            <w:vMerge w:val="restart"/>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2355" w:type="dxa"/>
            <w:vMerge w:val="restart"/>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sz w:val="21"/>
                <w:szCs w:val="21"/>
              </w:rPr>
              <w:t>0.0</w:t>
            </w:r>
            <w:r>
              <w:rPr>
                <w:rFonts w:hint="eastAsia"/>
                <w:sz w:val="21"/>
                <w:szCs w:val="21"/>
                <w:lang w:val="en-US" w:eastAsia="zh-CN"/>
              </w:rPr>
              <w:t>302</w:t>
            </w:r>
            <w:r>
              <w:rPr>
                <w:sz w:val="21"/>
                <w:szCs w:val="21"/>
              </w:rPr>
              <w:t xml:space="preserve"> t/a</w:t>
            </w:r>
          </w:p>
        </w:tc>
        <w:tc>
          <w:tcPr>
            <w:tcW w:w="3246" w:type="dxa"/>
            <w:tcBorders>
              <w:tl2br w:val="nil"/>
              <w:tr2bl w:val="nil"/>
            </w:tcBorders>
            <w:noWrap w:val="0"/>
            <w:vAlign w:val="center"/>
          </w:tcPr>
          <w:p>
            <w:pPr>
              <w:autoSpaceDN w:val="0"/>
              <w:ind w:left="0" w:leftChars="0" w:firstLine="0" w:firstLineChars="0"/>
              <w:jc w:val="center"/>
              <w:rPr>
                <w:rFonts w:hint="eastAsia"/>
                <w:sz w:val="21"/>
                <w:szCs w:val="21"/>
                <w:lang w:val="en-US" w:eastAsia="zh-CN"/>
              </w:rPr>
            </w:pPr>
            <w:r>
              <w:rPr>
                <w:rFonts w:hint="default" w:ascii="Times New Roman" w:hAnsi="Times New Roman" w:eastAsia="宋体" w:cs="Times New Roman"/>
                <w:sz w:val="21"/>
                <w:szCs w:val="21"/>
              </w:rPr>
              <w:t>有组织</w:t>
            </w:r>
            <w:r>
              <w:rPr>
                <w:rFonts w:hint="eastAsia" w:ascii="Times New Roman" w:hAnsi="Times New Roman" w:cs="Times New Roman"/>
                <w:sz w:val="21"/>
                <w:szCs w:val="21"/>
                <w:lang w:eastAsia="zh-CN"/>
              </w:rPr>
              <w:t>：</w:t>
            </w:r>
            <w:r>
              <w:rPr>
                <w:rFonts w:hint="eastAsia"/>
                <w:sz w:val="21"/>
                <w:szCs w:val="21"/>
                <w:lang w:val="en-US" w:eastAsia="zh-CN"/>
              </w:rPr>
              <w:t>0.45</w:t>
            </w:r>
            <w:r>
              <w:rPr>
                <w:sz w:val="21"/>
                <w:szCs w:val="21"/>
              </w:rPr>
              <w:t>mg/m</w:t>
            </w:r>
            <w:r>
              <w:rPr>
                <w:sz w:val="21"/>
                <w:szCs w:val="21"/>
                <w:vertAlign w:val="superscript"/>
              </w:rPr>
              <w:t>3</w:t>
            </w:r>
            <w:r>
              <w:rPr>
                <w:rFonts w:hint="eastAsia"/>
                <w:sz w:val="21"/>
                <w:szCs w:val="21"/>
                <w:vertAlign w:val="baseline"/>
                <w:lang w:eastAsia="zh-CN"/>
              </w:rPr>
              <w:t>，</w:t>
            </w:r>
            <w:r>
              <w:rPr>
                <w:rFonts w:hint="eastAsia"/>
                <w:sz w:val="21"/>
                <w:szCs w:val="21"/>
                <w:lang w:val="en-US" w:eastAsia="zh-CN"/>
              </w:rPr>
              <w:t>2.72</w:t>
            </w:r>
            <w:r>
              <w:rPr>
                <w:sz w:val="21"/>
                <w:szCs w:val="21"/>
              </w:rPr>
              <w:t>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41" w:hRule="atLeast"/>
          <w:jc w:val="center"/>
        </w:trPr>
        <w:tc>
          <w:tcPr>
            <w:tcW w:w="1094" w:type="dxa"/>
            <w:vMerge w:val="continue"/>
            <w:tcBorders>
              <w:tl2br w:val="nil"/>
              <w:tr2bl w:val="nil"/>
            </w:tcBorders>
            <w:noWrap w:val="0"/>
            <w:vAlign w:val="center"/>
          </w:tcPr>
          <w:p>
            <w:pPr>
              <w:spacing w:line="340" w:lineRule="exact"/>
              <w:jc w:val="center"/>
              <w:rPr>
                <w:rFonts w:hint="default" w:ascii="Times New Roman" w:hAnsi="Times New Roman" w:eastAsia="宋体" w:cs="Times New Roman"/>
                <w:sz w:val="21"/>
                <w:szCs w:val="21"/>
              </w:rPr>
            </w:pPr>
          </w:p>
        </w:tc>
        <w:tc>
          <w:tcPr>
            <w:tcW w:w="1403" w:type="dxa"/>
            <w:vMerge w:val="continue"/>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p>
        </w:tc>
        <w:tc>
          <w:tcPr>
            <w:tcW w:w="1256" w:type="dxa"/>
            <w:vMerge w:val="continue"/>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p>
        </w:tc>
        <w:tc>
          <w:tcPr>
            <w:tcW w:w="2355" w:type="dxa"/>
            <w:vMerge w:val="continue"/>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p>
        </w:tc>
        <w:tc>
          <w:tcPr>
            <w:tcW w:w="3246"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无组织</w:t>
            </w:r>
            <w:r>
              <w:rPr>
                <w:rFonts w:hint="eastAsia" w:ascii="Times New Roman" w:hAnsi="Times New Roman" w:cs="Times New Roman"/>
                <w:sz w:val="21"/>
                <w:szCs w:val="21"/>
                <w:lang w:eastAsia="zh-CN"/>
              </w:rPr>
              <w:t>：</w:t>
            </w:r>
            <w:r>
              <w:rPr>
                <w:rFonts w:hint="eastAsia"/>
                <w:sz w:val="21"/>
                <w:szCs w:val="21"/>
                <w:lang w:val="en-US" w:eastAsia="zh-CN"/>
              </w:rPr>
              <w:t>3.02</w:t>
            </w:r>
            <w:r>
              <w:rPr>
                <w:sz w:val="21"/>
                <w:szCs w:val="21"/>
              </w:rPr>
              <w:t>kg/a</w:t>
            </w:r>
            <w:r>
              <w:rPr>
                <w:rFonts w:hint="default" w:ascii="Times New Roman" w:hAnsi="Times New Roman" w:eastAsia="宋体" w:cs="Times New Roman"/>
                <w:sz w:val="21"/>
                <w:szCs w:val="21"/>
              </w:rPr>
              <w:t>，0.00</w:t>
            </w:r>
            <w:r>
              <w:rPr>
                <w:rFonts w:hint="eastAsia" w:ascii="Times New Roman" w:hAnsi="Times New Roman" w:cs="Times New Roman"/>
                <w:sz w:val="21"/>
                <w:szCs w:val="21"/>
                <w:lang w:val="en-US" w:eastAsia="zh-CN"/>
              </w:rPr>
              <w:t>2</w:t>
            </w:r>
            <w:r>
              <w:rPr>
                <w:rFonts w:hint="eastAsia" w:cs="Times New Roman"/>
                <w:sz w:val="21"/>
                <w:szCs w:val="21"/>
                <w:lang w:val="en-US" w:eastAsia="zh-CN"/>
              </w:rPr>
              <w:t>5</w:t>
            </w:r>
            <w:r>
              <w:rPr>
                <w:rFonts w:hint="default" w:ascii="Times New Roman" w:hAnsi="Times New Roman" w:eastAsia="宋体" w:cs="Times New Roman"/>
                <w:sz w:val="21"/>
                <w:szCs w:val="21"/>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20" w:hRule="atLeast"/>
          <w:jc w:val="center"/>
        </w:trPr>
        <w:tc>
          <w:tcPr>
            <w:tcW w:w="1094" w:type="dxa"/>
            <w:vMerge w:val="continue"/>
            <w:tcBorders>
              <w:tl2br w:val="nil"/>
              <w:tr2bl w:val="nil"/>
            </w:tcBorders>
            <w:noWrap w:val="0"/>
            <w:vAlign w:val="center"/>
          </w:tcPr>
          <w:p>
            <w:pPr>
              <w:spacing w:line="340" w:lineRule="exact"/>
              <w:jc w:val="center"/>
              <w:rPr>
                <w:rFonts w:hint="default" w:ascii="Times New Roman" w:hAnsi="Times New Roman" w:eastAsia="宋体" w:cs="Times New Roman"/>
                <w:sz w:val="21"/>
                <w:szCs w:val="21"/>
              </w:rPr>
            </w:pPr>
          </w:p>
        </w:tc>
        <w:tc>
          <w:tcPr>
            <w:tcW w:w="1403" w:type="dxa"/>
            <w:vMerge w:val="restart"/>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天然气燃烧废气</w:t>
            </w:r>
          </w:p>
        </w:tc>
        <w:tc>
          <w:tcPr>
            <w:tcW w:w="125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颗粒物</w:t>
            </w:r>
          </w:p>
        </w:tc>
        <w:tc>
          <w:tcPr>
            <w:tcW w:w="235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1.047</w:t>
            </w:r>
            <w:r>
              <w:rPr>
                <w:color w:val="000000" w:themeColor="text1"/>
                <w:sz w:val="21"/>
                <w:szCs w:val="21"/>
              </w:rPr>
              <w:t>kg/a</w:t>
            </w:r>
          </w:p>
        </w:tc>
        <w:tc>
          <w:tcPr>
            <w:tcW w:w="324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1.047</w:t>
            </w:r>
            <w:r>
              <w:rPr>
                <w:color w:val="000000" w:themeColor="text1"/>
                <w:sz w:val="21"/>
                <w:szCs w:val="21"/>
              </w:rPr>
              <w:t>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54" w:hRule="atLeast"/>
          <w:jc w:val="center"/>
        </w:trPr>
        <w:tc>
          <w:tcPr>
            <w:tcW w:w="1094" w:type="dxa"/>
            <w:vMerge w:val="continue"/>
            <w:tcBorders>
              <w:tl2br w:val="nil"/>
              <w:tr2bl w:val="nil"/>
            </w:tcBorders>
            <w:noWrap w:val="0"/>
            <w:vAlign w:val="center"/>
          </w:tcPr>
          <w:p>
            <w:pPr>
              <w:spacing w:line="340" w:lineRule="exact"/>
              <w:jc w:val="center"/>
              <w:rPr>
                <w:rFonts w:hint="default" w:ascii="Times New Roman" w:hAnsi="Times New Roman" w:eastAsia="宋体" w:cs="Times New Roman"/>
                <w:sz w:val="21"/>
                <w:szCs w:val="21"/>
              </w:rPr>
            </w:pPr>
          </w:p>
        </w:tc>
        <w:tc>
          <w:tcPr>
            <w:tcW w:w="1403"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25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235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1.345</w:t>
            </w:r>
            <w:r>
              <w:rPr>
                <w:color w:val="000000" w:themeColor="text1"/>
                <w:sz w:val="21"/>
                <w:szCs w:val="21"/>
              </w:rPr>
              <w:t>kg/a</w:t>
            </w:r>
          </w:p>
        </w:tc>
        <w:tc>
          <w:tcPr>
            <w:tcW w:w="324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1.345</w:t>
            </w:r>
            <w:r>
              <w:rPr>
                <w:color w:val="000000" w:themeColor="text1"/>
                <w:sz w:val="21"/>
                <w:szCs w:val="21"/>
              </w:rPr>
              <w:t>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20" w:hRule="atLeast"/>
          <w:jc w:val="center"/>
        </w:trPr>
        <w:tc>
          <w:tcPr>
            <w:tcW w:w="1094" w:type="dxa"/>
            <w:vMerge w:val="continue"/>
            <w:tcBorders>
              <w:tl2br w:val="nil"/>
              <w:tr2bl w:val="nil"/>
            </w:tcBorders>
            <w:noWrap w:val="0"/>
            <w:vAlign w:val="center"/>
          </w:tcPr>
          <w:p>
            <w:pPr>
              <w:spacing w:line="340" w:lineRule="exact"/>
              <w:jc w:val="center"/>
              <w:rPr>
                <w:rFonts w:hint="default" w:ascii="Times New Roman" w:hAnsi="Times New Roman" w:eastAsia="宋体" w:cs="Times New Roman"/>
                <w:sz w:val="21"/>
                <w:szCs w:val="21"/>
              </w:rPr>
            </w:pPr>
          </w:p>
        </w:tc>
        <w:tc>
          <w:tcPr>
            <w:tcW w:w="1403" w:type="dxa"/>
            <w:vMerge w:val="continue"/>
            <w:tcBorders>
              <w:tl2br w:val="nil"/>
              <w:tr2bl w:val="nil"/>
            </w:tcBorders>
            <w:noWrap w:val="0"/>
            <w:vAlign w:val="center"/>
          </w:tcPr>
          <w:p>
            <w:pPr>
              <w:jc w:val="center"/>
              <w:rPr>
                <w:rFonts w:hint="default" w:ascii="Times New Roman" w:hAnsi="Times New Roman" w:eastAsia="宋体" w:cs="Times New Roman"/>
                <w:sz w:val="21"/>
                <w:szCs w:val="21"/>
                <w:highlight w:val="yellow"/>
              </w:rPr>
            </w:pPr>
          </w:p>
        </w:tc>
        <w:tc>
          <w:tcPr>
            <w:tcW w:w="1256"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p>
        </w:tc>
        <w:tc>
          <w:tcPr>
            <w:tcW w:w="2355"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13.156</w:t>
            </w:r>
            <w:r>
              <w:rPr>
                <w:color w:val="000000" w:themeColor="text1"/>
                <w:sz w:val="21"/>
                <w:szCs w:val="21"/>
              </w:rPr>
              <w:t>kg/a</w:t>
            </w:r>
          </w:p>
        </w:tc>
        <w:tc>
          <w:tcPr>
            <w:tcW w:w="3246"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13.156</w:t>
            </w:r>
            <w:r>
              <w:rPr>
                <w:color w:val="000000" w:themeColor="text1"/>
                <w:sz w:val="21"/>
                <w:szCs w:val="21"/>
              </w:rPr>
              <w:t>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20" w:hRule="atLeast"/>
          <w:jc w:val="center"/>
        </w:trPr>
        <w:tc>
          <w:tcPr>
            <w:tcW w:w="1094" w:type="dxa"/>
            <w:vMerge w:val="continue"/>
            <w:tcBorders>
              <w:tl2br w:val="nil"/>
              <w:tr2bl w:val="nil"/>
            </w:tcBorders>
            <w:noWrap w:val="0"/>
            <w:vAlign w:val="center"/>
          </w:tcPr>
          <w:p>
            <w:pPr>
              <w:spacing w:line="340" w:lineRule="exact"/>
              <w:jc w:val="center"/>
              <w:rPr>
                <w:rFonts w:hint="default" w:ascii="Times New Roman" w:hAnsi="Times New Roman" w:eastAsia="宋体" w:cs="Times New Roman"/>
                <w:sz w:val="21"/>
                <w:szCs w:val="21"/>
              </w:rPr>
            </w:pPr>
          </w:p>
        </w:tc>
        <w:tc>
          <w:tcPr>
            <w:tcW w:w="1403" w:type="dxa"/>
            <w:tcBorders>
              <w:tl2br w:val="nil"/>
              <w:tr2bl w:val="nil"/>
            </w:tcBorders>
            <w:noWrap w:val="0"/>
            <w:vAlign w:val="center"/>
          </w:tcPr>
          <w:p>
            <w:pPr>
              <w:ind w:left="0" w:leftChars="0" w:firstLine="0" w:firstLineChars="0"/>
              <w:jc w:val="both"/>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lang w:val="en-US" w:eastAsia="zh-CN"/>
              </w:rPr>
              <w:t>切割</w:t>
            </w:r>
            <w:r>
              <w:rPr>
                <w:rFonts w:hint="eastAsia" w:ascii="Times New Roman" w:hAnsi="Times New Roman" w:cs="Times New Roman"/>
                <w:sz w:val="21"/>
                <w:szCs w:val="21"/>
                <w:lang w:val="en-US" w:eastAsia="zh-CN"/>
              </w:rPr>
              <w:t>、打孔</w:t>
            </w:r>
          </w:p>
        </w:tc>
        <w:tc>
          <w:tcPr>
            <w:tcW w:w="1256"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粉尘</w:t>
            </w:r>
          </w:p>
        </w:tc>
        <w:tc>
          <w:tcPr>
            <w:tcW w:w="2355" w:type="dxa"/>
            <w:tcBorders>
              <w:tl2br w:val="nil"/>
              <w:tr2bl w:val="nil"/>
            </w:tcBorders>
            <w:noWrap w:val="0"/>
            <w:vAlign w:val="center"/>
          </w:tcPr>
          <w:p>
            <w:pPr>
              <w:autoSpaceDN w:val="0"/>
              <w:ind w:left="0" w:leftChars="0" w:firstLine="0" w:firstLineChars="0"/>
              <w:jc w:val="center"/>
              <w:rPr>
                <w:rFonts w:hint="default"/>
                <w:color w:val="000000" w:themeColor="text1"/>
                <w:sz w:val="21"/>
                <w:szCs w:val="21"/>
                <w:lang w:val="en-US" w:eastAsia="zh-CN"/>
              </w:rPr>
            </w:pPr>
            <w:r>
              <w:rPr>
                <w:rFonts w:hint="eastAsia"/>
                <w:color w:val="000000" w:themeColor="text1"/>
                <w:sz w:val="21"/>
                <w:szCs w:val="21"/>
                <w:lang w:val="en-US" w:eastAsia="zh-CN"/>
              </w:rPr>
              <w:t>0.386</w:t>
            </w:r>
            <w:r>
              <w:rPr>
                <w:sz w:val="21"/>
                <w:szCs w:val="21"/>
              </w:rPr>
              <w:t>t/a</w:t>
            </w:r>
          </w:p>
        </w:tc>
        <w:tc>
          <w:tcPr>
            <w:tcW w:w="3246" w:type="dxa"/>
            <w:tcBorders>
              <w:tl2br w:val="nil"/>
              <w:tr2bl w:val="nil"/>
            </w:tcBorders>
            <w:noWrap w:val="0"/>
            <w:vAlign w:val="center"/>
          </w:tcPr>
          <w:p>
            <w:pPr>
              <w:autoSpaceDN w:val="0"/>
              <w:ind w:left="0" w:leftChars="0" w:firstLine="0" w:firstLineChars="0"/>
              <w:jc w:val="center"/>
              <w:rPr>
                <w:rFonts w:hint="default" w:eastAsia="宋体"/>
                <w:color w:val="000000" w:themeColor="text1"/>
                <w:sz w:val="21"/>
                <w:szCs w:val="21"/>
                <w:lang w:val="en-US" w:eastAsia="zh-CN"/>
              </w:rPr>
            </w:pPr>
            <w:r>
              <w:rPr>
                <w:rFonts w:hint="default" w:ascii="Times New Roman" w:hAnsi="Times New Roman" w:eastAsia="宋体" w:cs="Times New Roman"/>
                <w:color w:val="000000" w:themeColor="text1"/>
                <w:sz w:val="21"/>
                <w:szCs w:val="21"/>
              </w:rPr>
              <w:t>0.</w:t>
            </w:r>
            <w:r>
              <w:rPr>
                <w:rFonts w:hint="eastAsia" w:ascii="Times New Roman" w:hAnsi="Times New Roman" w:cs="Times New Roman"/>
                <w:color w:val="000000" w:themeColor="text1"/>
                <w:sz w:val="21"/>
                <w:szCs w:val="21"/>
                <w:lang w:val="en-US" w:eastAsia="zh-CN"/>
              </w:rPr>
              <w:t>0386</w:t>
            </w:r>
            <w:r>
              <w:rPr>
                <w:rFonts w:hint="default" w:ascii="Times New Roman" w:hAnsi="Times New Roman" w:eastAsia="宋体" w:cs="Times New Roman"/>
                <w:color w:val="000000" w:themeColor="text1"/>
                <w:sz w:val="21"/>
                <w:szCs w:val="21"/>
              </w:rPr>
              <w:t>t/a</w:t>
            </w:r>
            <w:r>
              <w:rPr>
                <w:rFonts w:hint="eastAsia" w:ascii="Times New Roman" w:hAnsi="Times New Roman" w:cs="Times New Roman"/>
                <w:color w:val="000000" w:themeColor="text1"/>
                <w:sz w:val="21"/>
                <w:szCs w:val="21"/>
                <w:lang w:eastAsia="zh-CN"/>
              </w:rPr>
              <w:t>，</w:t>
            </w:r>
            <w:r>
              <w:rPr>
                <w:rFonts w:hint="eastAsia" w:ascii="Times New Roman" w:hAnsi="Times New Roman" w:cs="Times New Roman"/>
                <w:color w:val="000000" w:themeColor="text1"/>
                <w:sz w:val="21"/>
                <w:szCs w:val="21"/>
                <w:lang w:val="en-US" w:eastAsia="zh-CN"/>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79" w:hRule="atLeast"/>
          <w:jc w:val="center"/>
        </w:trPr>
        <w:tc>
          <w:tcPr>
            <w:tcW w:w="1094" w:type="dxa"/>
            <w:vMerge w:val="restart"/>
            <w:tcBorders>
              <w:tl2br w:val="nil"/>
              <w:tr2bl w:val="nil"/>
            </w:tcBorders>
            <w:noWrap w:val="0"/>
            <w:vAlign w:val="center"/>
          </w:tcPr>
          <w:p>
            <w:pPr>
              <w:spacing w:line="340" w:lineRule="exac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水污染物</w:t>
            </w:r>
          </w:p>
        </w:tc>
        <w:tc>
          <w:tcPr>
            <w:tcW w:w="140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sz w:val="21"/>
                <w:szCs w:val="21"/>
                <w:highlight w:val="none"/>
                <w:lang w:val="en-US" w:eastAsia="zh-CN"/>
              </w:rPr>
              <w:t>切割用水</w:t>
            </w:r>
          </w:p>
        </w:tc>
        <w:tc>
          <w:tcPr>
            <w:tcW w:w="6857" w:type="dxa"/>
            <w:gridSpan w:val="3"/>
            <w:tcBorders>
              <w:tl2br w:val="nil"/>
              <w:tr2bl w:val="nil"/>
            </w:tcBorders>
            <w:noWrap w:val="0"/>
            <w:vAlign w:val="center"/>
          </w:tcPr>
          <w:p>
            <w:pPr>
              <w:autoSpaceDN w:val="0"/>
              <w:ind w:left="0" w:leftChars="0" w:firstLine="0" w:firstLineChars="0"/>
              <w:jc w:val="center"/>
              <w:rPr>
                <w:rFonts w:hint="default" w:cs="Times New Roman"/>
                <w:color w:val="000000"/>
                <w:kern w:val="0"/>
                <w:sz w:val="21"/>
                <w:szCs w:val="21"/>
                <w:lang w:val="en-US" w:eastAsia="zh-CN"/>
              </w:rPr>
            </w:pPr>
            <w:r>
              <w:rPr>
                <w:rFonts w:hint="eastAsia" w:cs="Times New Roman"/>
                <w:color w:val="000000"/>
                <w:kern w:val="0"/>
                <w:sz w:val="21"/>
                <w:szCs w:val="21"/>
                <w:lang w:val="en-US" w:eastAsia="zh-CN"/>
              </w:rPr>
              <w:t>循环使用不外排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632" w:hRule="atLeast"/>
          <w:jc w:val="center"/>
        </w:trPr>
        <w:tc>
          <w:tcPr>
            <w:tcW w:w="1094" w:type="dxa"/>
            <w:vMerge w:val="continue"/>
            <w:tcBorders>
              <w:tl2br w:val="nil"/>
              <w:tr2bl w:val="nil"/>
            </w:tcBorders>
            <w:noWrap w:val="0"/>
            <w:vAlign w:val="center"/>
          </w:tcPr>
          <w:p>
            <w:pPr>
              <w:spacing w:line="340" w:lineRule="exact"/>
              <w:ind w:left="0" w:leftChars="0" w:firstLine="0" w:firstLineChars="0"/>
              <w:jc w:val="center"/>
              <w:rPr>
                <w:rFonts w:hint="default" w:ascii="Times New Roman" w:hAnsi="Times New Roman" w:eastAsia="宋体" w:cs="Times New Roman"/>
                <w:sz w:val="21"/>
                <w:szCs w:val="21"/>
              </w:rPr>
            </w:pPr>
          </w:p>
        </w:tc>
        <w:tc>
          <w:tcPr>
            <w:tcW w:w="1403" w:type="dxa"/>
            <w:tcBorders>
              <w:tl2br w:val="nil"/>
              <w:tr2bl w:val="nil"/>
            </w:tcBorders>
            <w:noWrap w:val="0"/>
            <w:vAlign w:val="center"/>
          </w:tcPr>
          <w:p>
            <w:pPr>
              <w:spacing w:line="440" w:lineRule="exac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生活废水</w:t>
            </w:r>
          </w:p>
        </w:tc>
        <w:tc>
          <w:tcPr>
            <w:tcW w:w="1256" w:type="dxa"/>
            <w:tcBorders>
              <w:tl2br w:val="nil"/>
              <w:tr2bl w:val="nil"/>
            </w:tcBorders>
            <w:noWrap w:val="0"/>
            <w:vAlign w:val="center"/>
          </w:tcPr>
          <w:p>
            <w:pPr>
              <w:autoSpaceDN w:val="0"/>
              <w:spacing w:line="320" w:lineRule="exac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r>
              <w:rPr>
                <w:rFonts w:hint="eastAsia" w:cs="Times New Roman"/>
                <w:sz w:val="21"/>
                <w:szCs w:val="21"/>
                <w:lang w:eastAsia="zh-CN"/>
              </w:rPr>
              <w:t>、</w:t>
            </w: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r>
              <w:rPr>
                <w:rFonts w:hint="eastAsia" w:ascii="Times New Roman" w:hAnsi="Times New Roman" w:cs="Times New Roman"/>
                <w:sz w:val="21"/>
                <w:szCs w:val="21"/>
                <w:vertAlign w:val="subscript"/>
                <w:lang w:eastAsia="zh-CN"/>
              </w:rPr>
              <w:t>、</w:t>
            </w:r>
            <w:r>
              <w:rPr>
                <w:rFonts w:hint="default" w:ascii="Times New Roman" w:hAnsi="Times New Roman" w:eastAsia="宋体" w:cs="Times New Roman"/>
                <w:sz w:val="21"/>
                <w:szCs w:val="21"/>
              </w:rPr>
              <w:t>SS</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氨氮</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总氮</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总磷</w:t>
            </w:r>
          </w:p>
        </w:tc>
        <w:tc>
          <w:tcPr>
            <w:tcW w:w="5601" w:type="dxa"/>
            <w:gridSpan w:val="2"/>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eastAsia" w:cs="Times New Roman"/>
                <w:sz w:val="21"/>
                <w:szCs w:val="21"/>
                <w:lang w:val="en-US" w:eastAsia="zh-CN"/>
              </w:rPr>
              <w:t>生活废水进入旱厕，</w:t>
            </w:r>
            <w:r>
              <w:rPr>
                <w:rFonts w:hint="default" w:ascii="Times New Roman" w:hAnsi="Times New Roman" w:eastAsia="宋体" w:cs="Times New Roman"/>
                <w:sz w:val="21"/>
                <w:szCs w:val="21"/>
              </w:rPr>
              <w:t>由当地农户拉走做农肥，不外排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8" w:hRule="atLeast"/>
          <w:jc w:val="center"/>
        </w:trPr>
        <w:tc>
          <w:tcPr>
            <w:tcW w:w="1094" w:type="dxa"/>
            <w:vMerge w:val="restart"/>
            <w:tcBorders>
              <w:tl2br w:val="nil"/>
              <w:tr2bl w:val="nil"/>
            </w:tcBorders>
            <w:noWrap w:val="0"/>
            <w:vAlign w:val="center"/>
          </w:tcPr>
          <w:p>
            <w:pPr>
              <w:spacing w:line="340" w:lineRule="exac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w:t>
            </w:r>
          </w:p>
        </w:tc>
        <w:tc>
          <w:tcPr>
            <w:tcW w:w="1403" w:type="dxa"/>
            <w:vMerge w:val="restart"/>
            <w:tcBorders>
              <w:tl2br w:val="nil"/>
              <w:tr2bl w:val="nil"/>
            </w:tcBorders>
            <w:noWrap w:val="0"/>
            <w:vAlign w:val="center"/>
          </w:tcPr>
          <w:p>
            <w:pPr>
              <w:spacing w:line="440" w:lineRule="exact"/>
              <w:ind w:left="0" w:leftChars="0" w:firstLine="0" w:firstLineChars="0"/>
              <w:jc w:val="center"/>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生产车间</w:t>
            </w:r>
          </w:p>
        </w:tc>
        <w:tc>
          <w:tcPr>
            <w:tcW w:w="125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sz w:val="21"/>
                <w:szCs w:val="21"/>
                <w:lang w:val="en-US" w:eastAsia="zh-CN"/>
              </w:rPr>
              <w:t>焊接烟尘</w:t>
            </w:r>
          </w:p>
        </w:tc>
        <w:tc>
          <w:tcPr>
            <w:tcW w:w="235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highlight w:val="yellow"/>
              </w:rPr>
            </w:pPr>
            <w:r>
              <w:rPr>
                <w:rFonts w:hint="eastAsia" w:cs="Times New Roman"/>
                <w:sz w:val="21"/>
                <w:szCs w:val="21"/>
                <w:lang w:val="en-US" w:eastAsia="zh-CN"/>
              </w:rPr>
              <w:t>0.1188</w:t>
            </w:r>
            <w:r>
              <w:rPr>
                <w:rFonts w:hint="default" w:ascii="Times New Roman" w:hAnsi="Times New Roman" w:eastAsia="宋体" w:cs="Times New Roman"/>
                <w:sz w:val="21"/>
                <w:szCs w:val="21"/>
              </w:rPr>
              <w:t>t/a</w:t>
            </w:r>
          </w:p>
        </w:tc>
        <w:tc>
          <w:tcPr>
            <w:tcW w:w="3246" w:type="dxa"/>
            <w:tcBorders>
              <w:tl2br w:val="nil"/>
              <w:tr2bl w:val="nil"/>
            </w:tcBorders>
            <w:noWrap w:val="0"/>
            <w:vAlign w:val="center"/>
          </w:tcPr>
          <w:p>
            <w:pPr>
              <w:pStyle w:val="145"/>
              <w:autoSpaceDN w:val="0"/>
              <w:snapToGrid w:val="0"/>
              <w:spacing w:after="0" w:line="320" w:lineRule="exact"/>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收集后外售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8" w:hRule="atLeast"/>
          <w:jc w:val="center"/>
        </w:trPr>
        <w:tc>
          <w:tcPr>
            <w:tcW w:w="1094"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403" w:type="dxa"/>
            <w:vMerge w:val="continue"/>
            <w:tcBorders>
              <w:tl2br w:val="nil"/>
              <w:tr2bl w:val="nil"/>
            </w:tcBorders>
            <w:noWrap w:val="0"/>
            <w:vAlign w:val="center"/>
          </w:tcPr>
          <w:p>
            <w:pPr>
              <w:jc w:val="center"/>
              <w:rPr>
                <w:rFonts w:hint="default" w:ascii="Times New Roman" w:hAnsi="Times New Roman" w:eastAsia="宋体" w:cs="Times New Roman"/>
                <w:sz w:val="21"/>
                <w:szCs w:val="21"/>
                <w:highlight w:val="yellow"/>
              </w:rPr>
            </w:pPr>
          </w:p>
        </w:tc>
        <w:tc>
          <w:tcPr>
            <w:tcW w:w="125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eastAsia" w:cs="Times New Roman"/>
                <w:sz w:val="21"/>
                <w:szCs w:val="21"/>
                <w:lang w:val="en-US" w:eastAsia="zh-CN"/>
              </w:rPr>
              <w:t>塑粉</w:t>
            </w:r>
          </w:p>
        </w:tc>
        <w:tc>
          <w:tcPr>
            <w:tcW w:w="235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r>
              <w:rPr>
                <w:rFonts w:hint="eastAsia" w:cs="Times New Roman"/>
                <w:sz w:val="21"/>
                <w:szCs w:val="21"/>
                <w:lang w:val="en-US" w:eastAsia="zh-CN"/>
              </w:rPr>
              <w:t>495</w:t>
            </w:r>
            <w:r>
              <w:rPr>
                <w:rFonts w:hint="default" w:ascii="Times New Roman" w:hAnsi="Times New Roman" w:eastAsia="宋体" w:cs="Times New Roman"/>
                <w:sz w:val="21"/>
                <w:szCs w:val="21"/>
              </w:rPr>
              <w:t>t/a</w:t>
            </w:r>
          </w:p>
        </w:tc>
        <w:tc>
          <w:tcPr>
            <w:tcW w:w="3246"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回用于生产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8" w:hRule="atLeast"/>
          <w:jc w:val="center"/>
        </w:trPr>
        <w:tc>
          <w:tcPr>
            <w:tcW w:w="1094"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403" w:type="dxa"/>
            <w:vMerge w:val="continue"/>
            <w:tcBorders>
              <w:tl2br w:val="nil"/>
              <w:tr2bl w:val="nil"/>
            </w:tcBorders>
            <w:noWrap w:val="0"/>
            <w:vAlign w:val="center"/>
          </w:tcPr>
          <w:p>
            <w:pPr>
              <w:jc w:val="center"/>
              <w:rPr>
                <w:rFonts w:hint="default" w:ascii="Times New Roman" w:hAnsi="Times New Roman" w:eastAsia="宋体" w:cs="Times New Roman"/>
                <w:sz w:val="21"/>
                <w:szCs w:val="21"/>
                <w:highlight w:val="yellow"/>
              </w:rPr>
            </w:pPr>
          </w:p>
        </w:tc>
        <w:tc>
          <w:tcPr>
            <w:tcW w:w="1256" w:type="dxa"/>
            <w:tcBorders>
              <w:tl2br w:val="nil"/>
              <w:tr2bl w:val="nil"/>
            </w:tcBorders>
            <w:noWrap w:val="0"/>
            <w:vAlign w:val="center"/>
          </w:tcPr>
          <w:p>
            <w:pPr>
              <w:ind w:left="0" w:leftChars="0"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木材边角料</w:t>
            </w:r>
          </w:p>
        </w:tc>
        <w:tc>
          <w:tcPr>
            <w:tcW w:w="2355" w:type="dxa"/>
            <w:tcBorders>
              <w:tl2br w:val="nil"/>
              <w:tr2bl w:val="nil"/>
            </w:tcBorders>
            <w:noWrap w:val="0"/>
            <w:vAlign w:val="center"/>
          </w:tcPr>
          <w:p>
            <w:pPr>
              <w:spacing w:line="32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1.0</w:t>
            </w:r>
            <w:r>
              <w:rPr>
                <w:rFonts w:hint="default" w:ascii="Times New Roman" w:hAnsi="Times New Roman" w:eastAsia="宋体" w:cs="Times New Roman"/>
                <w:sz w:val="21"/>
                <w:szCs w:val="21"/>
              </w:rPr>
              <w:t>t/a</w:t>
            </w:r>
          </w:p>
        </w:tc>
        <w:tc>
          <w:tcPr>
            <w:tcW w:w="3246"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收集后外售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8" w:hRule="atLeast"/>
          <w:jc w:val="center"/>
        </w:trPr>
        <w:tc>
          <w:tcPr>
            <w:tcW w:w="1094"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403" w:type="dxa"/>
            <w:vMerge w:val="continue"/>
            <w:tcBorders>
              <w:tl2br w:val="nil"/>
              <w:tr2bl w:val="nil"/>
            </w:tcBorders>
            <w:noWrap w:val="0"/>
            <w:vAlign w:val="center"/>
          </w:tcPr>
          <w:p>
            <w:pPr>
              <w:jc w:val="center"/>
              <w:rPr>
                <w:rFonts w:hint="default" w:ascii="Times New Roman" w:hAnsi="Times New Roman" w:eastAsia="宋体" w:cs="Times New Roman"/>
                <w:sz w:val="21"/>
                <w:szCs w:val="21"/>
                <w:highlight w:val="yellow"/>
              </w:rPr>
            </w:pPr>
          </w:p>
        </w:tc>
        <w:tc>
          <w:tcPr>
            <w:tcW w:w="1256" w:type="dxa"/>
            <w:tcBorders>
              <w:tl2br w:val="nil"/>
              <w:tr2bl w:val="nil"/>
            </w:tcBorders>
            <w:noWrap w:val="0"/>
            <w:vAlign w:val="center"/>
          </w:tcPr>
          <w:p>
            <w:pPr>
              <w:ind w:left="0" w:leftChars="0"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木屑</w:t>
            </w:r>
            <w:r>
              <w:rPr>
                <w:rFonts w:hint="default" w:ascii="Times New Roman" w:hAnsi="Times New Roman" w:cs="Times New Roman"/>
                <w:sz w:val="21"/>
                <w:szCs w:val="21"/>
                <w:lang w:val="en-US" w:eastAsia="zh-CN"/>
              </w:rPr>
              <w:t>粉尘</w:t>
            </w:r>
          </w:p>
        </w:tc>
        <w:tc>
          <w:tcPr>
            <w:tcW w:w="2355" w:type="dxa"/>
            <w:tcBorders>
              <w:tl2br w:val="nil"/>
              <w:tr2bl w:val="nil"/>
            </w:tcBorders>
            <w:noWrap w:val="0"/>
            <w:vAlign w:val="center"/>
          </w:tcPr>
          <w:p>
            <w:pPr>
              <w:spacing w:line="32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0.3475</w:t>
            </w:r>
            <w:r>
              <w:rPr>
                <w:rFonts w:hint="default" w:ascii="Times New Roman" w:hAnsi="Times New Roman" w:eastAsia="宋体" w:cs="Times New Roman"/>
                <w:sz w:val="21"/>
                <w:szCs w:val="21"/>
              </w:rPr>
              <w:t>t/a</w:t>
            </w:r>
          </w:p>
        </w:tc>
        <w:tc>
          <w:tcPr>
            <w:tcW w:w="3246"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收集后外售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2" w:hRule="atLeast"/>
          <w:jc w:val="center"/>
        </w:trPr>
        <w:tc>
          <w:tcPr>
            <w:tcW w:w="1094"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403" w:type="dxa"/>
            <w:vMerge w:val="continue"/>
            <w:tcBorders>
              <w:tl2br w:val="nil"/>
              <w:tr2bl w:val="nil"/>
            </w:tcBorders>
            <w:noWrap w:val="0"/>
            <w:vAlign w:val="center"/>
          </w:tcPr>
          <w:p>
            <w:pPr>
              <w:jc w:val="center"/>
              <w:rPr>
                <w:rFonts w:hint="default" w:ascii="Times New Roman" w:hAnsi="Times New Roman" w:eastAsia="宋体" w:cs="Times New Roman"/>
                <w:sz w:val="21"/>
                <w:szCs w:val="21"/>
                <w:highlight w:val="yellow"/>
              </w:rPr>
            </w:pPr>
          </w:p>
        </w:tc>
        <w:tc>
          <w:tcPr>
            <w:tcW w:w="1256" w:type="dxa"/>
            <w:tcBorders>
              <w:tl2br w:val="nil"/>
              <w:tr2bl w:val="nil"/>
            </w:tcBorders>
            <w:noWrap w:val="0"/>
            <w:vAlign w:val="center"/>
          </w:tcPr>
          <w:p>
            <w:pPr>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废机油</w:t>
            </w:r>
          </w:p>
        </w:tc>
        <w:tc>
          <w:tcPr>
            <w:tcW w:w="2355"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bCs/>
                <w:sz w:val="21"/>
                <w:szCs w:val="21"/>
              </w:rPr>
              <w:t>0.001t/a</w:t>
            </w:r>
          </w:p>
        </w:tc>
        <w:tc>
          <w:tcPr>
            <w:tcW w:w="3246" w:type="dxa"/>
            <w:vMerge w:val="restart"/>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统一收集，交由有资质的单位回收处理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2" w:hRule="atLeast"/>
          <w:jc w:val="center"/>
        </w:trPr>
        <w:tc>
          <w:tcPr>
            <w:tcW w:w="1094"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403" w:type="dxa"/>
            <w:vMerge w:val="continue"/>
            <w:tcBorders>
              <w:tl2br w:val="nil"/>
              <w:tr2bl w:val="nil"/>
            </w:tcBorders>
            <w:noWrap w:val="0"/>
            <w:vAlign w:val="center"/>
          </w:tcPr>
          <w:p>
            <w:pPr>
              <w:jc w:val="center"/>
              <w:rPr>
                <w:rFonts w:hint="default" w:ascii="Times New Roman" w:hAnsi="Times New Roman" w:eastAsia="宋体" w:cs="Times New Roman"/>
                <w:sz w:val="21"/>
                <w:szCs w:val="21"/>
                <w:highlight w:val="yellow"/>
              </w:rPr>
            </w:pPr>
          </w:p>
        </w:tc>
        <w:tc>
          <w:tcPr>
            <w:tcW w:w="125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废灯管</w:t>
            </w:r>
          </w:p>
        </w:tc>
        <w:tc>
          <w:tcPr>
            <w:tcW w:w="235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0.0</w:t>
            </w:r>
            <w:r>
              <w:rPr>
                <w:rFonts w:hint="eastAsia" w:ascii="Times New Roman" w:hAnsi="Times New Roman" w:cs="Times New Roman"/>
                <w:kern w:val="0"/>
                <w:sz w:val="21"/>
                <w:szCs w:val="21"/>
                <w:lang w:val="en-US" w:eastAsia="zh-CN"/>
              </w:rPr>
              <w:t>01</w:t>
            </w:r>
            <w:r>
              <w:rPr>
                <w:rFonts w:hint="default" w:ascii="Times New Roman" w:hAnsi="Times New Roman" w:eastAsia="宋体" w:cs="Times New Roman"/>
                <w:sz w:val="21"/>
                <w:szCs w:val="21"/>
              </w:rPr>
              <w:t>t/a</w:t>
            </w:r>
          </w:p>
        </w:tc>
        <w:tc>
          <w:tcPr>
            <w:tcW w:w="3246" w:type="dxa"/>
            <w:vMerge w:val="continue"/>
            <w:tcBorders>
              <w:tl2br w:val="nil"/>
              <w:tr2bl w:val="nil"/>
            </w:tcBorders>
            <w:noWrap w:val="0"/>
            <w:vAlign w:val="center"/>
          </w:tcPr>
          <w:p>
            <w:pPr>
              <w:jc w:val="center"/>
              <w:rPr>
                <w:rFonts w:hint="default" w:ascii="Times New Roman" w:hAnsi="Times New Roman" w:eastAsia="宋体" w:cs="Times New Roman"/>
                <w:sz w:val="21"/>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1094"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403" w:type="dxa"/>
            <w:vMerge w:val="continue"/>
            <w:tcBorders>
              <w:tl2br w:val="nil"/>
              <w:tr2bl w:val="nil"/>
            </w:tcBorders>
            <w:noWrap w:val="0"/>
            <w:vAlign w:val="center"/>
          </w:tcPr>
          <w:p>
            <w:pPr>
              <w:jc w:val="center"/>
              <w:rPr>
                <w:rFonts w:hint="default" w:ascii="Times New Roman" w:hAnsi="Times New Roman" w:eastAsia="宋体" w:cs="Times New Roman"/>
                <w:sz w:val="21"/>
                <w:szCs w:val="21"/>
                <w:highlight w:val="yellow"/>
              </w:rPr>
            </w:pPr>
          </w:p>
        </w:tc>
        <w:tc>
          <w:tcPr>
            <w:tcW w:w="1256" w:type="dxa"/>
            <w:tcBorders>
              <w:tl2br w:val="nil"/>
              <w:tr2bl w:val="nil"/>
            </w:tcBorders>
            <w:noWrap w:val="0"/>
            <w:vAlign w:val="center"/>
          </w:tcPr>
          <w:p>
            <w:pPr>
              <w:pStyle w:val="15"/>
              <w:autoSpaceDN w:val="0"/>
              <w:spacing w:line="24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废活性炭</w:t>
            </w:r>
          </w:p>
        </w:tc>
        <w:tc>
          <w:tcPr>
            <w:tcW w:w="2355" w:type="dxa"/>
            <w:tcBorders>
              <w:tl2br w:val="nil"/>
              <w:tr2bl w:val="nil"/>
            </w:tcBorders>
            <w:noWrap w:val="0"/>
            <w:vAlign w:val="center"/>
          </w:tcPr>
          <w:p>
            <w:pPr>
              <w:autoSpaceDN w:val="0"/>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0.</w:t>
            </w:r>
            <w:r>
              <w:rPr>
                <w:rFonts w:hint="eastAsia" w:cs="Times New Roman"/>
                <w:kern w:val="0"/>
                <w:sz w:val="21"/>
                <w:szCs w:val="21"/>
                <w:lang w:val="en-US" w:eastAsia="zh-CN"/>
              </w:rPr>
              <w:t>136</w:t>
            </w:r>
            <w:r>
              <w:rPr>
                <w:rFonts w:hint="default" w:ascii="Times New Roman" w:hAnsi="Times New Roman" w:eastAsia="宋体" w:cs="Times New Roman"/>
                <w:sz w:val="21"/>
                <w:szCs w:val="21"/>
              </w:rPr>
              <w:t>t/a</w:t>
            </w:r>
          </w:p>
        </w:tc>
        <w:tc>
          <w:tcPr>
            <w:tcW w:w="3246" w:type="dxa"/>
            <w:vMerge w:val="continue"/>
            <w:tcBorders>
              <w:tl2br w:val="nil"/>
              <w:tr2bl w:val="nil"/>
            </w:tcBorders>
            <w:noWrap w:val="0"/>
            <w:vAlign w:val="center"/>
          </w:tcPr>
          <w:p>
            <w:pPr>
              <w:jc w:val="center"/>
              <w:rPr>
                <w:rFonts w:hint="default" w:ascii="Times New Roman" w:hAnsi="Times New Roman" w:eastAsia="宋体" w:cs="Times New Roman"/>
                <w:sz w:val="21"/>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8" w:hRule="atLeast"/>
          <w:jc w:val="center"/>
        </w:trPr>
        <w:tc>
          <w:tcPr>
            <w:tcW w:w="1094"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40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职工生活</w:t>
            </w:r>
          </w:p>
        </w:tc>
        <w:tc>
          <w:tcPr>
            <w:tcW w:w="125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235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1.</w:t>
            </w:r>
            <w:r>
              <w:rPr>
                <w:rFonts w:hint="eastAsia" w:ascii="Times New Roman" w:hAnsi="Times New Roman" w:cs="Times New Roman"/>
                <w:sz w:val="21"/>
                <w:szCs w:val="21"/>
                <w:lang w:val="en-US" w:eastAsia="zh-CN"/>
              </w:rPr>
              <w:t>8</w:t>
            </w:r>
            <w:r>
              <w:rPr>
                <w:rFonts w:hint="default" w:ascii="Times New Roman" w:hAnsi="Times New Roman" w:eastAsia="宋体" w:cs="Times New Roman"/>
                <w:bCs/>
                <w:sz w:val="21"/>
                <w:szCs w:val="21"/>
              </w:rPr>
              <w:t>t/a</w:t>
            </w:r>
          </w:p>
        </w:tc>
        <w:tc>
          <w:tcPr>
            <w:tcW w:w="324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集中收集后环卫部门统一处理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01" w:hRule="atLeast"/>
          <w:jc w:val="center"/>
        </w:trPr>
        <w:tc>
          <w:tcPr>
            <w:tcW w:w="1094" w:type="dxa"/>
            <w:tcBorders>
              <w:tl2br w:val="nil"/>
              <w:tr2bl w:val="nil"/>
            </w:tcBorders>
            <w:noWrap w:val="0"/>
            <w:vAlign w:val="center"/>
          </w:tcPr>
          <w:p>
            <w:pPr>
              <w:spacing w:line="300" w:lineRule="exac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8260" w:type="dxa"/>
            <w:gridSpan w:val="4"/>
            <w:tcBorders>
              <w:tl2br w:val="nil"/>
              <w:tr2bl w:val="nil"/>
            </w:tcBorders>
            <w:noWrap w:val="0"/>
            <w:vAlign w:val="center"/>
          </w:tcPr>
          <w:p>
            <w:pPr>
              <w:autoSpaceDN w:val="0"/>
              <w:ind w:left="0" w:leftChars="0" w:firstLine="0" w:firstLineChars="0"/>
              <w:jc w:val="left"/>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lang w:val="zh-CN"/>
              </w:rPr>
              <w:t>本项目营运期主要噪声为</w:t>
            </w:r>
            <w:r>
              <w:rPr>
                <w:rFonts w:hint="default" w:ascii="Times New Roman" w:hAnsi="Times New Roman" w:eastAsia="宋体" w:cs="Times New Roman"/>
                <w:sz w:val="21"/>
                <w:szCs w:val="21"/>
              </w:rPr>
              <w:t>空压机、风机、二保焊机</w:t>
            </w:r>
            <w:r>
              <w:rPr>
                <w:rFonts w:hint="eastAsia" w:cs="Times New Roman"/>
                <w:sz w:val="21"/>
                <w:szCs w:val="21"/>
                <w:lang w:eastAsia="zh-CN"/>
              </w:rPr>
              <w:t>、</w:t>
            </w:r>
            <w:r>
              <w:rPr>
                <w:rFonts w:hint="eastAsia" w:cs="Times New Roman"/>
                <w:sz w:val="21"/>
                <w:szCs w:val="21"/>
                <w:lang w:val="en-US" w:eastAsia="zh-CN"/>
              </w:rPr>
              <w:t>推台锯、排钻、封边机</w:t>
            </w:r>
            <w:r>
              <w:rPr>
                <w:rFonts w:hint="default" w:ascii="Times New Roman" w:hAnsi="Times New Roman" w:eastAsia="宋体" w:cs="Times New Roman"/>
                <w:sz w:val="21"/>
                <w:szCs w:val="21"/>
              </w:rPr>
              <w:t>等设</w:t>
            </w:r>
            <w:r>
              <w:rPr>
                <w:rFonts w:hint="default" w:ascii="Times New Roman" w:hAnsi="Times New Roman" w:eastAsia="宋体" w:cs="Times New Roman"/>
                <w:sz w:val="21"/>
                <w:szCs w:val="21"/>
                <w:lang w:val="zh-CN"/>
              </w:rPr>
              <w:t>备的运行噪声，噪声值约为</w:t>
            </w:r>
            <w:r>
              <w:rPr>
                <w:rFonts w:hint="default" w:ascii="Times New Roman" w:hAnsi="Times New Roman" w:eastAsia="宋体" w:cs="Times New Roman"/>
                <w:sz w:val="21"/>
                <w:szCs w:val="21"/>
              </w:rPr>
              <w:t>70~</w:t>
            </w:r>
            <w:r>
              <w:rPr>
                <w:rFonts w:hint="eastAsia" w:ascii="Times New Roman" w:hAnsi="Times New Roman" w:cs="Times New Roman"/>
                <w:sz w:val="21"/>
                <w:szCs w:val="21"/>
                <w:lang w:val="en-US" w:eastAsia="zh-CN"/>
              </w:rPr>
              <w:t>85</w:t>
            </w:r>
            <w:r>
              <w:rPr>
                <w:rFonts w:hint="default" w:ascii="Times New Roman" w:hAnsi="Times New Roman" w:eastAsia="宋体" w:cs="Times New Roman"/>
                <w:sz w:val="21"/>
                <w:szCs w:val="21"/>
              </w:rPr>
              <w:t>dB(A)</w:t>
            </w:r>
            <w:r>
              <w:rPr>
                <w:rFonts w:hint="default" w:ascii="Times New Roman" w:hAnsi="Times New Roman" w:eastAsia="宋体" w:cs="Times New Roman"/>
                <w:sz w:val="21"/>
                <w:szCs w:val="21"/>
                <w:lang w:val="zh-CN"/>
              </w:rPr>
              <w:t>。</w:t>
            </w:r>
            <w:r>
              <w:rPr>
                <w:rFonts w:hint="default" w:ascii="Times New Roman" w:hAnsi="Times New Roman" w:eastAsia="宋体" w:cs="Times New Roman"/>
                <w:spacing w:val="-6"/>
                <w:sz w:val="21"/>
                <w:szCs w:val="21"/>
              </w:rPr>
              <w:t>项目采取隔声、减振及合理布局等措施后，对环境影响较小。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9354" w:type="dxa"/>
            <w:gridSpan w:val="5"/>
            <w:tcBorders>
              <w:tl2br w:val="nil"/>
              <w:tr2bl w:val="nil"/>
            </w:tcBorders>
            <w:noWrap w:val="0"/>
            <w:vAlign w:val="center"/>
          </w:tcPr>
          <w:p>
            <w:pPr>
              <w:spacing w:after="156" w:afterLines="50" w:line="360" w:lineRule="exact"/>
              <w:ind w:left="0" w:leftChars="0" w:firstLine="0" w:firstLineChars="0"/>
              <w:jc w:val="left"/>
              <w:rPr>
                <w:rFonts w:hint="default"/>
                <w:b/>
                <w:bCs/>
                <w:sz w:val="24"/>
                <w:szCs w:val="24"/>
              </w:rPr>
            </w:pPr>
            <w:r>
              <w:rPr>
                <w:rFonts w:hint="default"/>
                <w:b/>
                <w:bCs/>
                <w:sz w:val="24"/>
                <w:szCs w:val="24"/>
              </w:rPr>
              <w:t>主要生态影响(不够时可附另页)</w:t>
            </w:r>
          </w:p>
          <w:p>
            <w:pPr>
              <w:pStyle w:val="2"/>
              <w:jc w:val="both"/>
              <w:rPr>
                <w:rFonts w:hint="default" w:ascii="Times New Roman" w:hAnsi="Times New Roman" w:eastAsia="宋体" w:cs="Times New Roman"/>
                <w:kern w:val="0"/>
                <w:sz w:val="24"/>
                <w:szCs w:val="24"/>
              </w:rPr>
            </w:pPr>
            <w:r>
              <w:rPr>
                <w:rFonts w:hint="eastAsia" w:ascii="Times New Roman" w:hAnsi="Times New Roman" w:eastAsia="宋体" w:cs="Times New Roman"/>
                <w:bCs/>
                <w:snapToGrid w:val="0"/>
                <w:color w:val="auto"/>
                <w:sz w:val="24"/>
                <w:szCs w:val="24"/>
                <w:lang w:val="en-US" w:eastAsia="zh-CN"/>
              </w:rPr>
              <w:t>项目已建成，</w:t>
            </w:r>
            <w:r>
              <w:rPr>
                <w:rFonts w:hint="default" w:ascii="Times New Roman" w:hAnsi="Times New Roman" w:cs="Times New Roman"/>
                <w:sz w:val="24"/>
                <w:szCs w:val="24"/>
                <w:lang w:val="en-US" w:eastAsia="zh-CN"/>
              </w:rPr>
              <w:t>不进行地面施工活动，对生态影响甚微。</w:t>
            </w:r>
          </w:p>
        </w:tc>
      </w:tr>
    </w:tbl>
    <w:p>
      <w:pPr>
        <w:ind w:left="0" w:leftChars="0" w:firstLine="0" w:firstLineChars="0"/>
        <w:rPr>
          <w:rFonts w:eastAsia="黑体"/>
          <w:b/>
          <w:bCs/>
          <w:sz w:val="32"/>
          <w:szCs w:val="32"/>
        </w:rPr>
      </w:pPr>
      <w:r>
        <w:rPr>
          <w:rFonts w:hint="eastAsia" w:eastAsia="黑体"/>
          <w:b/>
          <w:bCs/>
          <w:sz w:val="32"/>
          <w:szCs w:val="32"/>
        </w:rPr>
        <w:br w:type="page"/>
      </w:r>
    </w:p>
    <w:p>
      <w:pPr>
        <w:spacing w:line="240" w:lineRule="auto"/>
        <w:ind w:firstLine="0" w:firstLineChars="0"/>
        <w:jc w:val="left"/>
        <w:outlineLvl w:val="0"/>
        <w:rPr>
          <w:rFonts w:hint="eastAsia" w:ascii="Times New Roman" w:hAnsi="Times New Roman" w:eastAsia="黑体" w:cs="Times New Roman"/>
          <w:sz w:val="32"/>
        </w:rPr>
      </w:pPr>
      <w:r>
        <w:rPr>
          <w:rFonts w:hint="eastAsia" w:ascii="Times New Roman" w:hAnsi="Times New Roman" w:eastAsia="黑体" w:cs="Times New Roman"/>
          <w:sz w:val="32"/>
        </w:rPr>
        <w:t>七、环境影响分析</w:t>
      </w:r>
    </w:p>
    <w:tbl>
      <w:tblPr>
        <w:tblStyle w:val="34"/>
        <w:tblW w:w="935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354" w:type="dxa"/>
            <w:tcBorders>
              <w:tl2br w:val="nil"/>
              <w:tr2bl w:val="nil"/>
            </w:tcBorders>
            <w:vAlign w:val="top"/>
          </w:tcPr>
          <w:p>
            <w:pPr>
              <w:ind w:firstLine="0" w:firstLineChars="0"/>
              <w:rPr>
                <w:b/>
                <w:bCs/>
                <w:sz w:val="28"/>
                <w:szCs w:val="28"/>
              </w:rPr>
            </w:pPr>
            <w:r>
              <w:rPr>
                <w:b/>
                <w:bCs/>
                <w:sz w:val="28"/>
                <w:szCs w:val="28"/>
              </w:rPr>
              <w:t>施工期环境影响分析</w:t>
            </w:r>
          </w:p>
          <w:p>
            <w:pPr>
              <w:spacing w:line="360" w:lineRule="auto"/>
              <w:ind w:firstLine="480" w:firstLineChars="200"/>
            </w:pPr>
            <w:r>
              <w:rPr>
                <w:rFonts w:hint="eastAsia" w:ascii="宋体" w:hAnsi="宋体"/>
                <w:sz w:val="24"/>
              </w:rPr>
              <w:t>本项</w:t>
            </w:r>
            <w:r>
              <w:rPr>
                <w:rFonts w:ascii="宋体" w:hAnsi="宋体"/>
                <w:sz w:val="24"/>
              </w:rPr>
              <w:t>目租赁原有厂房</w:t>
            </w:r>
            <w:r>
              <w:rPr>
                <w:rFonts w:hint="eastAsia" w:ascii="宋体" w:hAnsi="宋体"/>
                <w:sz w:val="24"/>
              </w:rPr>
              <w:t>，</w:t>
            </w:r>
            <w:r>
              <w:rPr>
                <w:rFonts w:ascii="宋体" w:hAnsi="宋体"/>
                <w:sz w:val="24"/>
              </w:rPr>
              <w:t>且设备已经安装完成</w:t>
            </w:r>
            <w:r>
              <w:rPr>
                <w:rFonts w:hint="eastAsia" w:ascii="宋体" w:hAnsi="宋体"/>
                <w:sz w:val="24"/>
              </w:rPr>
              <w:t>，</w:t>
            </w:r>
            <w:r>
              <w:rPr>
                <w:rFonts w:ascii="宋体" w:hAnsi="宋体"/>
                <w:sz w:val="24"/>
              </w:rPr>
              <w:t>因此本项目不对</w:t>
            </w:r>
            <w:r>
              <w:rPr>
                <w:rFonts w:hint="eastAsia" w:ascii="宋体" w:hAnsi="宋体"/>
                <w:sz w:val="24"/>
              </w:rPr>
              <w:t>施工期进行环境影响评价</w:t>
            </w:r>
            <w:r>
              <w:rPr>
                <w:rFonts w:hint="eastAsia"/>
                <w:sz w:val="24"/>
              </w:rPr>
              <w:t>。</w:t>
            </w:r>
          </w:p>
          <w:p>
            <w:pPr>
              <w:ind w:firstLine="0" w:firstLineChars="0"/>
              <w:rPr>
                <w:rFonts w:ascii="Times New Roman" w:hAnsi="Times New Roman" w:cs="Times New Roman"/>
                <w:b/>
                <w:bCs/>
                <w:sz w:val="28"/>
                <w:szCs w:val="28"/>
              </w:rPr>
            </w:pPr>
            <w:r>
              <w:rPr>
                <w:rFonts w:ascii="Times New Roman" w:hAnsi="Times New Roman" w:cs="Times New Roman"/>
                <w:b/>
                <w:bCs/>
                <w:sz w:val="28"/>
                <w:szCs w:val="28"/>
              </w:rPr>
              <w:t>运营期环境影响分析</w:t>
            </w:r>
          </w:p>
          <w:p>
            <w:pPr>
              <w:keepNext w:val="0"/>
              <w:keepLines w:val="0"/>
              <w:pageBreakBefore w:val="0"/>
              <w:widowControl w:val="0"/>
              <w:kinsoku/>
              <w:wordWrap/>
              <w:overflowPunct/>
              <w:topLinePunct w:val="0"/>
              <w:autoSpaceDE/>
              <w:bidi w:val="0"/>
              <w:adjustRightInd/>
              <w:snapToGrid/>
              <w:spacing w:line="360" w:lineRule="auto"/>
              <w:ind w:left="0" w:leftChars="0" w:firstLine="0" w:firstLineChars="0"/>
              <w:textAlignment w:val="auto"/>
              <w:rPr>
                <w:rFonts w:hint="eastAsia" w:ascii="宋体" w:hAnsi="宋体" w:eastAsia="宋体" w:cs="宋体"/>
                <w:b/>
                <w:bCs w:val="0"/>
                <w:sz w:val="28"/>
                <w:szCs w:val="28"/>
              </w:rPr>
            </w:pPr>
            <w:r>
              <w:rPr>
                <w:rFonts w:hint="eastAsia" w:ascii="宋体" w:hAnsi="宋体" w:eastAsia="宋体" w:cs="宋体"/>
                <w:b/>
                <w:bCs w:val="0"/>
                <w:sz w:val="28"/>
                <w:szCs w:val="28"/>
              </w:rPr>
              <w:t>一、大气环境影响分析</w:t>
            </w:r>
          </w:p>
          <w:p>
            <w:pPr>
              <w:keepNext w:val="0"/>
              <w:keepLines w:val="0"/>
              <w:pageBreakBefore w:val="0"/>
              <w:widowControl w:val="0"/>
              <w:kinsoku/>
              <w:wordWrap/>
              <w:overflowPunct/>
              <w:topLinePunct w:val="0"/>
              <w:autoSpaceDE/>
              <w:autoSpaceDN w:val="0"/>
              <w:bidi w:val="0"/>
              <w:adjustRightInd/>
              <w:snapToGrid/>
              <w:spacing w:line="360" w:lineRule="auto"/>
              <w:ind w:firstLine="482" w:firstLineChars="200"/>
              <w:textAlignment w:val="auto"/>
              <w:rPr>
                <w:rFonts w:hint="eastAsia"/>
                <w:b/>
                <w:sz w:val="24"/>
              </w:rPr>
            </w:pPr>
            <w:r>
              <w:rPr>
                <w:rFonts w:hint="eastAsia"/>
                <w:b/>
                <w:sz w:val="24"/>
              </w:rPr>
              <w:t>1、废气达标性分析</w:t>
            </w:r>
          </w:p>
          <w:p>
            <w:pPr>
              <w:pStyle w:val="2"/>
              <w:rPr>
                <w:sz w:val="24"/>
              </w:rPr>
            </w:pPr>
            <w:r>
              <w:rPr>
                <w:sz w:val="24"/>
              </w:rPr>
              <w:t>本</w:t>
            </w:r>
            <w:r>
              <w:rPr>
                <w:rFonts w:hint="eastAsia"/>
                <w:sz w:val="24"/>
              </w:rPr>
              <w:t>项目运营期</w:t>
            </w:r>
            <w:r>
              <w:rPr>
                <w:rFonts w:hint="eastAsia"/>
                <w:sz w:val="24"/>
                <w:lang w:val="en-US" w:eastAsia="zh-CN"/>
              </w:rPr>
              <w:t>架子床生产工序</w:t>
            </w:r>
            <w:r>
              <w:rPr>
                <w:rFonts w:hint="eastAsia"/>
                <w:sz w:val="24"/>
              </w:rPr>
              <w:t>大气污染物主要为</w:t>
            </w:r>
            <w:r>
              <w:rPr>
                <w:rFonts w:hint="eastAsia" w:ascii="宋体" w:hAnsi="宋体"/>
                <w:sz w:val="24"/>
              </w:rPr>
              <w:t>焊接过程产生焊接烟尘、工件喷塑过程产生的粉尘及固化过程产生的有机废气</w:t>
            </w:r>
            <w:r>
              <w:rPr>
                <w:rFonts w:hint="eastAsia" w:ascii="宋体" w:hAnsi="宋体"/>
                <w:sz w:val="24"/>
                <w:lang w:val="en-US" w:eastAsia="zh-CN"/>
              </w:rPr>
              <w:t>和</w:t>
            </w:r>
            <w:r>
              <w:rPr>
                <w:rFonts w:hint="eastAsia" w:ascii="宋体" w:hAnsi="宋体"/>
                <w:sz w:val="24"/>
              </w:rPr>
              <w:t>燃烧机燃烧产生的燃烧废气。</w:t>
            </w:r>
            <w:r>
              <w:rPr>
                <w:rFonts w:hint="eastAsia" w:ascii="宋体" w:hAnsi="宋体"/>
                <w:sz w:val="24"/>
                <w:lang w:val="en-US" w:eastAsia="zh-CN"/>
              </w:rPr>
              <w:t>床板生产工序产生的</w:t>
            </w:r>
            <w:r>
              <w:rPr>
                <w:rFonts w:hint="eastAsia"/>
                <w:sz w:val="24"/>
              </w:rPr>
              <w:t>大气污染物主要</w:t>
            </w:r>
            <w:r>
              <w:rPr>
                <w:rFonts w:hint="eastAsia"/>
                <w:sz w:val="24"/>
                <w:lang w:val="en-US" w:eastAsia="zh-CN"/>
              </w:rPr>
              <w:t>为木板切割、打孔产生的粉尘以及封边产生的有机废气。</w:t>
            </w:r>
          </w:p>
          <w:p>
            <w:pPr>
              <w:autoSpaceDN w:val="0"/>
              <w:spacing w:line="360" w:lineRule="auto"/>
              <w:ind w:firstLine="470" w:firstLineChars="196"/>
              <w:rPr>
                <w:sz w:val="24"/>
              </w:rPr>
            </w:pPr>
            <w:r>
              <w:rPr>
                <w:rFonts w:hint="eastAsia" w:cs="宋体"/>
                <w:sz w:val="24"/>
              </w:rPr>
              <w:t>（</w:t>
            </w:r>
            <w:r>
              <w:rPr>
                <w:sz w:val="24"/>
              </w:rPr>
              <w:t>1）</w:t>
            </w:r>
            <w:r>
              <w:rPr>
                <w:rFonts w:hint="eastAsia"/>
                <w:sz w:val="24"/>
              </w:rPr>
              <w:t>焊接烟尘</w:t>
            </w:r>
          </w:p>
          <w:p>
            <w:pPr>
              <w:spacing w:line="360" w:lineRule="auto"/>
              <w:ind w:firstLine="480" w:firstLineChars="200"/>
            </w:pPr>
            <w:r>
              <w:rPr>
                <w:rFonts w:hint="eastAsia" w:ascii="宋体" w:hAnsi="宋体"/>
                <w:sz w:val="24"/>
              </w:rPr>
              <w:t>项目焊</w:t>
            </w:r>
            <w:r>
              <w:rPr>
                <w:rFonts w:hint="eastAsia" w:ascii="宋体" w:hAnsi="宋体"/>
                <w:sz w:val="24"/>
                <w:lang w:val="en-US" w:eastAsia="zh-CN"/>
              </w:rPr>
              <w:t>工</w:t>
            </w:r>
            <w:r>
              <w:rPr>
                <w:rFonts w:hint="eastAsia" w:ascii="宋体" w:hAnsi="宋体"/>
                <w:sz w:val="24"/>
              </w:rPr>
              <w:t>间</w:t>
            </w:r>
            <w:r>
              <w:rPr>
                <w:rFonts w:hint="eastAsia" w:ascii="宋体" w:hAnsi="宋体"/>
                <w:sz w:val="24"/>
                <w:lang w:val="en-US" w:eastAsia="zh-CN"/>
              </w:rPr>
              <w:t>设有8个焊接工位，每个焊接工位有1台</w:t>
            </w:r>
            <w:r>
              <w:rPr>
                <w:rFonts w:hint="eastAsia"/>
                <w:sz w:val="24"/>
                <w:szCs w:val="24"/>
              </w:rPr>
              <w:t>二保焊机，</w:t>
            </w:r>
            <w:r>
              <w:rPr>
                <w:rFonts w:hint="eastAsia"/>
                <w:sz w:val="24"/>
                <w:szCs w:val="24"/>
                <w:lang w:val="en-US" w:eastAsia="zh-CN"/>
              </w:rPr>
              <w:t>每个焊接工位上方</w:t>
            </w:r>
            <w:r>
              <w:rPr>
                <w:rFonts w:hint="eastAsia" w:ascii="宋体" w:hAnsi="宋体"/>
                <w:sz w:val="24"/>
              </w:rPr>
              <w:t>设置</w:t>
            </w:r>
            <w:r>
              <w:rPr>
                <w:rFonts w:hint="eastAsia" w:ascii="宋体" w:hAnsi="宋体"/>
                <w:sz w:val="24"/>
                <w:lang w:val="en-US" w:eastAsia="zh-CN"/>
              </w:rPr>
              <w:t>1个集气罩</w:t>
            </w:r>
            <w:r>
              <w:rPr>
                <w:rFonts w:hint="eastAsia" w:ascii="宋体" w:hAnsi="宋体"/>
                <w:sz w:val="24"/>
              </w:rPr>
              <w:t>，</w:t>
            </w:r>
            <w:r>
              <w:rPr>
                <w:rFonts w:hint="eastAsia" w:ascii="宋体" w:hAnsi="宋体"/>
                <w:sz w:val="24"/>
                <w:lang w:val="en-US" w:eastAsia="zh-CN"/>
              </w:rPr>
              <w:t>收集后经</w:t>
            </w:r>
            <w:r>
              <w:rPr>
                <w:rFonts w:hint="eastAsia" w:ascii="宋体" w:hAnsi="宋体"/>
                <w:sz w:val="24"/>
              </w:rPr>
              <w:t>脉冲</w:t>
            </w:r>
            <w:r>
              <w:rPr>
                <w:rFonts w:hint="eastAsia" w:ascii="宋体" w:hAnsi="宋体"/>
                <w:sz w:val="24"/>
                <w:lang w:val="en-US" w:eastAsia="zh-CN"/>
              </w:rPr>
              <w:t>布袋</w:t>
            </w:r>
            <w:r>
              <w:rPr>
                <w:rFonts w:hint="eastAsia" w:ascii="宋体" w:hAnsi="宋体"/>
                <w:sz w:val="24"/>
              </w:rPr>
              <w:t>除尘器处理后排放，年排放烟尘</w:t>
            </w:r>
            <w:r>
              <w:rPr>
                <w:rFonts w:hint="eastAsia"/>
                <w:sz w:val="24"/>
              </w:rPr>
              <w:t>0.</w:t>
            </w:r>
            <w:r>
              <w:rPr>
                <w:rFonts w:hint="eastAsia"/>
                <w:sz w:val="24"/>
                <w:lang w:val="en-US" w:eastAsia="zh-CN"/>
              </w:rPr>
              <w:t>0012t</w:t>
            </w:r>
            <w:r>
              <w:rPr>
                <w:rFonts w:hint="eastAsia"/>
                <w:sz w:val="24"/>
              </w:rPr>
              <w:t>/a</w:t>
            </w:r>
            <w:r>
              <w:rPr>
                <w:rFonts w:hint="eastAsia"/>
                <w:sz w:val="24"/>
                <w:lang w:eastAsia="zh-CN"/>
              </w:rPr>
              <w:t>，</w:t>
            </w:r>
            <w:r>
              <w:rPr>
                <w:rFonts w:hint="eastAsia"/>
                <w:sz w:val="24"/>
                <w:lang w:val="en-US" w:eastAsia="zh-CN"/>
              </w:rPr>
              <w:t>排放浓度0.2</w:t>
            </w:r>
            <w:r>
              <w:rPr>
                <w:sz w:val="24"/>
              </w:rPr>
              <w:t>mg/m</w:t>
            </w:r>
            <w:r>
              <w:rPr>
                <w:sz w:val="24"/>
                <w:vertAlign w:val="superscript"/>
              </w:rPr>
              <w:t>3</w:t>
            </w:r>
            <w:r>
              <w:rPr>
                <w:rFonts w:hint="eastAsia" w:ascii="宋体" w:hAnsi="宋体"/>
                <w:sz w:val="24"/>
              </w:rPr>
              <w:t>。经</w:t>
            </w:r>
            <w:r>
              <w:rPr>
                <w:rFonts w:hint="eastAsia" w:ascii="宋体" w:hAnsi="宋体"/>
                <w:sz w:val="24"/>
                <w:lang w:val="en-US" w:eastAsia="zh-CN"/>
              </w:rPr>
              <w:t>排气筒排放</w:t>
            </w:r>
            <w:r>
              <w:rPr>
                <w:rFonts w:hint="eastAsia" w:ascii="宋体" w:hAnsi="宋体"/>
                <w:sz w:val="24"/>
              </w:rPr>
              <w:t>，对周围环境影响很小。</w:t>
            </w:r>
          </w:p>
          <w:p>
            <w:pPr>
              <w:autoSpaceDN w:val="0"/>
              <w:spacing w:line="360" w:lineRule="auto"/>
              <w:ind w:firstLine="480" w:firstLineChars="200"/>
              <w:rPr>
                <w:rFonts w:hint="eastAsia"/>
                <w:sz w:val="24"/>
              </w:rPr>
            </w:pPr>
            <w:r>
              <w:rPr>
                <w:rFonts w:hint="eastAsia"/>
                <w:sz w:val="24"/>
              </w:rPr>
              <w:t>（2）喷塑粉尘</w:t>
            </w:r>
          </w:p>
          <w:p>
            <w:pPr>
              <w:spacing w:line="360" w:lineRule="auto"/>
              <w:ind w:firstLine="480" w:firstLineChars="200"/>
              <w:rPr>
                <w:rFonts w:hint="eastAsia" w:ascii="宋体" w:hAnsi="宋体"/>
                <w:sz w:val="24"/>
              </w:rPr>
            </w:pPr>
            <w:r>
              <w:rPr>
                <w:rFonts w:hint="eastAsia" w:ascii="宋体" w:hAnsi="宋体"/>
                <w:sz w:val="24"/>
              </w:rPr>
              <w:t>项目静电喷涂在专门的静电喷涂室内进行，喷塑设备配套密封柜、</w:t>
            </w:r>
            <w:r>
              <w:rPr>
                <w:rFonts w:hint="eastAsia" w:ascii="宋体" w:hAnsi="宋体"/>
                <w:sz w:val="24"/>
                <w:lang w:val="en-US" w:eastAsia="zh-CN"/>
              </w:rPr>
              <w:t>脉冲布袋</w:t>
            </w:r>
            <w:r>
              <w:rPr>
                <w:rFonts w:hint="eastAsia" w:ascii="宋体" w:hAnsi="宋体"/>
                <w:sz w:val="24"/>
              </w:rPr>
              <w:t>除尘器和</w:t>
            </w:r>
            <w:r>
              <w:rPr>
                <w:sz w:val="24"/>
              </w:rPr>
              <w:t>15</w:t>
            </w:r>
            <w:r>
              <w:rPr>
                <w:rFonts w:hint="eastAsia" w:ascii="宋体" w:hAnsi="宋体"/>
                <w:sz w:val="24"/>
              </w:rPr>
              <w:t>米高的排气筒，</w:t>
            </w:r>
            <w:r>
              <w:rPr>
                <w:rFonts w:hint="eastAsia" w:ascii="宋体" w:hAnsi="宋体"/>
                <w:sz w:val="24"/>
                <w:lang w:val="en-US" w:eastAsia="zh-CN"/>
              </w:rPr>
              <w:t>项目</w:t>
            </w:r>
            <w:r>
              <w:rPr>
                <w:rFonts w:hint="eastAsia" w:ascii="宋体" w:hAnsi="宋体"/>
                <w:sz w:val="24"/>
              </w:rPr>
              <w:t>塑粉产生量为</w:t>
            </w:r>
            <w:r>
              <w:rPr>
                <w:rFonts w:hint="eastAsia"/>
                <w:sz w:val="24"/>
                <w:lang w:val="en-US" w:eastAsia="zh-CN"/>
              </w:rPr>
              <w:t>0.5</w:t>
            </w:r>
            <w:r>
              <w:rPr>
                <w:sz w:val="24"/>
              </w:rPr>
              <w:t>t/a</w:t>
            </w:r>
            <w:r>
              <w:rPr>
                <w:rFonts w:hint="eastAsia" w:ascii="宋体" w:hAnsi="宋体"/>
                <w:sz w:val="24"/>
              </w:rPr>
              <w:t>，回收量为</w:t>
            </w:r>
            <w:r>
              <w:rPr>
                <w:rFonts w:hint="eastAsia"/>
                <w:sz w:val="24"/>
                <w:lang w:val="en-US" w:eastAsia="zh-CN"/>
              </w:rPr>
              <w:t>0.495</w:t>
            </w:r>
            <w:r>
              <w:rPr>
                <w:sz w:val="24"/>
              </w:rPr>
              <w:t>t/a</w:t>
            </w:r>
            <w:r>
              <w:rPr>
                <w:rFonts w:hint="eastAsia" w:ascii="宋体" w:hAnsi="宋体"/>
                <w:sz w:val="24"/>
              </w:rPr>
              <w:t>，排放量为</w:t>
            </w:r>
            <w:r>
              <w:rPr>
                <w:sz w:val="24"/>
              </w:rPr>
              <w:t>0.</w:t>
            </w:r>
            <w:r>
              <w:rPr>
                <w:rFonts w:hint="eastAsia"/>
                <w:sz w:val="24"/>
              </w:rPr>
              <w:t>0</w:t>
            </w:r>
            <w:r>
              <w:rPr>
                <w:rFonts w:hint="eastAsia"/>
                <w:sz w:val="24"/>
                <w:lang w:val="en-US" w:eastAsia="zh-CN"/>
              </w:rPr>
              <w:t>05</w:t>
            </w:r>
            <w:r>
              <w:rPr>
                <w:sz w:val="24"/>
              </w:rPr>
              <w:t>t/a</w:t>
            </w:r>
            <w:r>
              <w:rPr>
                <w:rFonts w:hint="eastAsia" w:ascii="宋体" w:hAnsi="宋体"/>
                <w:sz w:val="24"/>
              </w:rPr>
              <w:t>，排放速率为</w:t>
            </w:r>
            <w:r>
              <w:rPr>
                <w:sz w:val="24"/>
              </w:rPr>
              <w:t>0.00</w:t>
            </w:r>
            <w:r>
              <w:rPr>
                <w:rFonts w:hint="eastAsia"/>
                <w:sz w:val="24"/>
                <w:lang w:val="en-US" w:eastAsia="zh-CN"/>
              </w:rPr>
              <w:t>42</w:t>
            </w:r>
            <w:r>
              <w:rPr>
                <w:sz w:val="24"/>
              </w:rPr>
              <w:t>kg/h</w:t>
            </w:r>
            <w:r>
              <w:rPr>
                <w:rFonts w:hint="eastAsia" w:ascii="宋体" w:hAnsi="宋体"/>
                <w:sz w:val="24"/>
              </w:rPr>
              <w:t>，排放浓度</w:t>
            </w:r>
            <w:r>
              <w:rPr>
                <w:rFonts w:hint="eastAsia"/>
                <w:sz w:val="24"/>
                <w:lang w:val="en-US" w:eastAsia="zh-CN"/>
              </w:rPr>
              <w:t>0.84</w:t>
            </w:r>
            <w:r>
              <w:rPr>
                <w:sz w:val="24"/>
              </w:rPr>
              <w:t>mg/m</w:t>
            </w:r>
            <w:r>
              <w:rPr>
                <w:sz w:val="24"/>
                <w:vertAlign w:val="superscript"/>
              </w:rPr>
              <w:t>3</w:t>
            </w:r>
            <w:r>
              <w:rPr>
                <w:rFonts w:hint="eastAsia" w:ascii="宋体" w:hAnsi="宋体"/>
                <w:sz w:val="24"/>
              </w:rPr>
              <w:t>，能够满足《大气污染物综合排放标准》（</w:t>
            </w:r>
            <w:r>
              <w:rPr>
                <w:sz w:val="24"/>
              </w:rPr>
              <w:t>GB16297-1996</w:t>
            </w:r>
            <w:r>
              <w:rPr>
                <w:rFonts w:hint="eastAsia" w:ascii="宋体" w:hAnsi="宋体"/>
                <w:sz w:val="24"/>
              </w:rPr>
              <w:t>）表</w:t>
            </w:r>
            <w:r>
              <w:rPr>
                <w:sz w:val="24"/>
              </w:rPr>
              <w:t>2</w:t>
            </w:r>
            <w:r>
              <w:rPr>
                <w:rFonts w:hint="eastAsia" w:ascii="宋体" w:hAnsi="宋体"/>
                <w:sz w:val="24"/>
              </w:rPr>
              <w:t>中二级标准。</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cs="Times New Roman"/>
                <w:sz w:val="24"/>
                <w:szCs w:val="24"/>
                <w:lang w:val="en-US" w:eastAsia="zh-CN"/>
              </w:rPr>
              <w:t>3</w:t>
            </w:r>
            <w:r>
              <w:rPr>
                <w:rFonts w:hint="default" w:ascii="Times New Roman" w:hAnsi="Times New Roman" w:eastAsia="宋体" w:cs="Times New Roman"/>
                <w:sz w:val="24"/>
                <w:szCs w:val="24"/>
              </w:rPr>
              <w:t>）天然气燃烧废气</w:t>
            </w:r>
          </w:p>
          <w:p>
            <w:pPr>
              <w:pStyle w:val="236"/>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both"/>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themeColor="text1"/>
                <w:sz w:val="24"/>
                <w:szCs w:val="24"/>
              </w:rPr>
              <w:t>本项目固化采用天然气燃烧机加热，天然气燃烧机每天运行5h</w:t>
            </w:r>
            <w:r>
              <w:rPr>
                <w:rFonts w:hint="default" w:ascii="Times New Roman" w:hAnsi="Times New Roman" w:eastAsia="宋体" w:cs="Times New Roman"/>
                <w:color w:val="000000" w:themeColor="text1"/>
                <w:sz w:val="24"/>
                <w:szCs w:val="24"/>
                <w:lang w:eastAsia="zh-CN"/>
              </w:rPr>
              <w:t>，</w:t>
            </w:r>
            <w:r>
              <w:rPr>
                <w:rFonts w:hint="default" w:ascii="Times New Roman" w:hAnsi="Times New Roman" w:eastAsia="宋体" w:cs="Times New Roman"/>
                <w:color w:val="000000" w:themeColor="text1"/>
                <w:sz w:val="24"/>
                <w:szCs w:val="24"/>
                <w:lang w:val="en-US" w:eastAsia="zh-CN"/>
              </w:rPr>
              <w:t>年运行300天</w:t>
            </w:r>
            <w:r>
              <w:rPr>
                <w:rFonts w:hint="default" w:ascii="Times New Roman" w:hAnsi="Times New Roman" w:eastAsia="宋体" w:cs="Times New Roman"/>
                <w:color w:val="000000" w:themeColor="text1"/>
                <w:sz w:val="24"/>
                <w:szCs w:val="24"/>
                <w:lang w:eastAsia="zh-CN"/>
              </w:rPr>
              <w:t>，</w:t>
            </w:r>
            <w:r>
              <w:rPr>
                <w:rFonts w:hint="default" w:ascii="Times New Roman" w:hAnsi="Times New Roman" w:eastAsia="宋体" w:cs="Times New Roman"/>
                <w:color w:val="000000" w:themeColor="text1"/>
                <w:sz w:val="24"/>
                <w:szCs w:val="24"/>
              </w:rPr>
              <w:t>燃料为天然气，液化天然气使用量为</w:t>
            </w:r>
            <w:r>
              <w:rPr>
                <w:rFonts w:hint="default" w:ascii="Times New Roman" w:hAnsi="Times New Roman" w:eastAsia="宋体" w:cs="Times New Roman"/>
                <w:color w:val="000000" w:themeColor="text1"/>
                <w:sz w:val="24"/>
                <w:szCs w:val="24"/>
                <w:lang w:val="en-US" w:eastAsia="zh-CN"/>
              </w:rPr>
              <w:t>5</w:t>
            </w:r>
            <w:r>
              <w:rPr>
                <w:rFonts w:hint="default" w:ascii="Times New Roman" w:hAnsi="Times New Roman" w:eastAsia="宋体" w:cs="Times New Roman"/>
                <w:color w:val="000000" w:themeColor="text1"/>
                <w:spacing w:val="8"/>
                <w:kern w:val="24"/>
                <w:sz w:val="24"/>
                <w:szCs w:val="24"/>
              </w:rPr>
              <w:t>t/a</w:t>
            </w:r>
            <w:r>
              <w:rPr>
                <w:rFonts w:hint="default" w:ascii="Times New Roman" w:hAnsi="Times New Roman" w:eastAsia="宋体" w:cs="Times New Roman"/>
                <w:color w:val="000000" w:themeColor="text1"/>
                <w:spacing w:val="8"/>
                <w:kern w:val="24"/>
                <w:sz w:val="24"/>
                <w:szCs w:val="24"/>
                <w:lang w:eastAsia="zh-CN"/>
              </w:rPr>
              <w:t>。</w:t>
            </w:r>
            <w:r>
              <w:rPr>
                <w:rFonts w:hint="default" w:ascii="Times New Roman" w:hAnsi="Times New Roman" w:eastAsia="宋体" w:cs="Times New Roman"/>
                <w:color w:val="000000" w:themeColor="text1"/>
                <w:kern w:val="0"/>
                <w:sz w:val="24"/>
                <w:szCs w:val="24"/>
                <w:lang w:val="en-US" w:eastAsia="zh-CN"/>
              </w:rPr>
              <w:t>燃烧产生</w:t>
            </w:r>
            <w:r>
              <w:rPr>
                <w:rFonts w:hint="default" w:ascii="Times New Roman" w:hAnsi="Times New Roman" w:eastAsia="宋体" w:cs="Times New Roman"/>
                <w:color w:val="000000" w:themeColor="text1"/>
                <w:kern w:val="0"/>
                <w:sz w:val="24"/>
                <w:szCs w:val="24"/>
              </w:rPr>
              <w:t>颗粒物</w:t>
            </w:r>
            <w:r>
              <w:rPr>
                <w:rFonts w:hint="default" w:ascii="Times New Roman" w:hAnsi="Times New Roman" w:eastAsia="宋体" w:cs="Times New Roman"/>
                <w:color w:val="000000" w:themeColor="text1"/>
                <w:sz w:val="24"/>
                <w:szCs w:val="24"/>
                <w:lang w:val="en-US" w:eastAsia="zh-CN"/>
              </w:rPr>
              <w:t>1.047</w:t>
            </w:r>
            <w:r>
              <w:rPr>
                <w:rFonts w:hint="default" w:ascii="Times New Roman" w:hAnsi="Times New Roman" w:eastAsia="宋体" w:cs="Times New Roman"/>
                <w:color w:val="000000" w:themeColor="text1"/>
                <w:sz w:val="24"/>
                <w:szCs w:val="24"/>
              </w:rPr>
              <w:t>kg/a</w:t>
            </w:r>
            <w:r>
              <w:rPr>
                <w:rFonts w:hint="default" w:ascii="Times New Roman" w:hAnsi="Times New Roman" w:eastAsia="宋体" w:cs="Times New Roman"/>
                <w:color w:val="000000" w:themeColor="text1"/>
                <w:kern w:val="0"/>
                <w:sz w:val="24"/>
                <w:szCs w:val="24"/>
                <w:lang w:val="en-US" w:eastAsia="zh-CN"/>
              </w:rPr>
              <w:t>，排放浓度为13.2mg/m</w:t>
            </w:r>
            <w:r>
              <w:rPr>
                <w:rFonts w:hint="default" w:ascii="Times New Roman" w:hAnsi="Times New Roman" w:eastAsia="宋体" w:cs="Times New Roman"/>
                <w:color w:val="000000" w:themeColor="text1"/>
                <w:kern w:val="0"/>
                <w:sz w:val="24"/>
                <w:szCs w:val="24"/>
                <w:vertAlign w:val="superscript"/>
                <w:lang w:val="en-US" w:eastAsia="zh-CN"/>
              </w:rPr>
              <w:t>3</w:t>
            </w:r>
            <w:r>
              <w:rPr>
                <w:rFonts w:hint="default" w:ascii="Times New Roman" w:hAnsi="Times New Roman" w:eastAsia="宋体" w:cs="Times New Roman"/>
                <w:color w:val="000000" w:themeColor="text1"/>
                <w:kern w:val="0"/>
                <w:sz w:val="24"/>
                <w:szCs w:val="24"/>
              </w:rPr>
              <w:t>。</w:t>
            </w:r>
            <w:r>
              <w:rPr>
                <w:rFonts w:hint="default" w:ascii="Times New Roman" w:hAnsi="Times New Roman" w:eastAsia="宋体" w:cs="Times New Roman"/>
                <w:color w:val="000000" w:themeColor="text1"/>
                <w:sz w:val="24"/>
                <w:szCs w:val="24"/>
              </w:rPr>
              <w:t>产生</w:t>
            </w:r>
            <w:r>
              <w:rPr>
                <w:rFonts w:hint="default" w:ascii="Times New Roman" w:hAnsi="Times New Roman" w:eastAsia="宋体" w:cs="Times New Roman"/>
                <w:color w:val="000000" w:themeColor="text1"/>
                <w:sz w:val="24"/>
                <w:szCs w:val="24"/>
                <w:lang w:val="en-US" w:eastAsia="zh-CN"/>
              </w:rPr>
              <w:t>二氧化硫1.345</w:t>
            </w:r>
            <w:r>
              <w:rPr>
                <w:rFonts w:hint="default" w:ascii="Times New Roman" w:hAnsi="Times New Roman" w:eastAsia="宋体" w:cs="Times New Roman"/>
                <w:color w:val="000000" w:themeColor="text1"/>
                <w:sz w:val="24"/>
                <w:szCs w:val="24"/>
              </w:rPr>
              <w:t>kg/a，</w:t>
            </w:r>
            <w:r>
              <w:rPr>
                <w:rFonts w:hint="default" w:ascii="Times New Roman" w:hAnsi="Times New Roman" w:eastAsia="宋体" w:cs="Times New Roman"/>
                <w:color w:val="000000" w:themeColor="text1"/>
                <w:kern w:val="0"/>
                <w:sz w:val="24"/>
                <w:szCs w:val="24"/>
                <w:lang w:val="en-US" w:eastAsia="zh-CN"/>
              </w:rPr>
              <w:t>排放浓度为</w:t>
            </w:r>
            <w:r>
              <w:rPr>
                <w:rFonts w:hint="default" w:ascii="Times New Roman" w:hAnsi="Times New Roman" w:eastAsia="宋体" w:cs="Times New Roman"/>
                <w:color w:val="000000" w:themeColor="text1"/>
                <w:sz w:val="24"/>
                <w:szCs w:val="24"/>
              </w:rPr>
              <w:t>16.9</w:t>
            </w:r>
            <w:r>
              <w:rPr>
                <w:rFonts w:hint="default" w:ascii="Times New Roman" w:hAnsi="Times New Roman" w:eastAsia="宋体" w:cs="Times New Roman"/>
                <w:color w:val="000000" w:themeColor="text1"/>
                <w:kern w:val="0"/>
                <w:sz w:val="24"/>
                <w:szCs w:val="24"/>
                <w:lang w:val="en-US" w:eastAsia="zh-CN"/>
              </w:rPr>
              <w:t>mg/m</w:t>
            </w:r>
            <w:r>
              <w:rPr>
                <w:rFonts w:hint="default" w:ascii="Times New Roman" w:hAnsi="Times New Roman" w:eastAsia="宋体" w:cs="Times New Roman"/>
                <w:color w:val="000000" w:themeColor="text1"/>
                <w:kern w:val="0"/>
                <w:sz w:val="24"/>
                <w:szCs w:val="24"/>
                <w:vertAlign w:val="superscript"/>
                <w:lang w:val="en-US" w:eastAsia="zh-CN"/>
              </w:rPr>
              <w:t>3</w:t>
            </w:r>
            <w:r>
              <w:rPr>
                <w:rFonts w:hint="default" w:ascii="Times New Roman" w:hAnsi="Times New Roman" w:eastAsia="宋体" w:cs="Times New Roman"/>
                <w:color w:val="000000" w:themeColor="text1"/>
                <w:kern w:val="0"/>
                <w:sz w:val="24"/>
                <w:szCs w:val="24"/>
              </w:rPr>
              <w:t>。NOx年排放量为</w:t>
            </w:r>
            <w:r>
              <w:rPr>
                <w:rFonts w:hint="default" w:ascii="Times New Roman" w:hAnsi="Times New Roman" w:eastAsia="宋体" w:cs="Times New Roman"/>
                <w:color w:val="000000" w:themeColor="text1"/>
                <w:sz w:val="24"/>
                <w:szCs w:val="24"/>
                <w:lang w:val="en-US" w:eastAsia="zh-CN"/>
              </w:rPr>
              <w:t>13.156</w:t>
            </w:r>
            <w:r>
              <w:rPr>
                <w:rFonts w:hint="default" w:ascii="Times New Roman" w:hAnsi="Times New Roman" w:eastAsia="宋体" w:cs="Times New Roman"/>
                <w:color w:val="000000" w:themeColor="text1"/>
                <w:sz w:val="24"/>
                <w:szCs w:val="24"/>
              </w:rPr>
              <w:t>kg/a</w:t>
            </w:r>
            <w:r>
              <w:rPr>
                <w:rFonts w:hint="default" w:ascii="Times New Roman" w:hAnsi="Times New Roman" w:eastAsia="宋体" w:cs="Times New Roman"/>
                <w:color w:val="000000" w:themeColor="text1"/>
                <w:kern w:val="0"/>
                <w:sz w:val="24"/>
                <w:szCs w:val="24"/>
                <w:lang w:eastAsia="zh-CN"/>
              </w:rPr>
              <w:t>，</w:t>
            </w:r>
            <w:r>
              <w:rPr>
                <w:rFonts w:hint="default" w:ascii="Times New Roman" w:hAnsi="Times New Roman" w:eastAsia="宋体" w:cs="Times New Roman"/>
                <w:color w:val="000000" w:themeColor="text1"/>
                <w:kern w:val="0"/>
                <w:sz w:val="24"/>
                <w:szCs w:val="24"/>
                <w:lang w:val="en-US" w:eastAsia="zh-CN"/>
              </w:rPr>
              <w:t>排放浓度为</w:t>
            </w:r>
            <w:r>
              <w:rPr>
                <w:rFonts w:hint="default" w:ascii="Times New Roman" w:hAnsi="Times New Roman" w:eastAsia="宋体" w:cs="Times New Roman"/>
                <w:color w:val="000000" w:themeColor="text1"/>
                <w:sz w:val="24"/>
                <w:szCs w:val="24"/>
              </w:rPr>
              <w:t>165.7</w:t>
            </w:r>
            <w:r>
              <w:rPr>
                <w:rFonts w:hint="default" w:ascii="Times New Roman" w:hAnsi="Times New Roman" w:eastAsia="宋体" w:cs="Times New Roman"/>
                <w:color w:val="000000" w:themeColor="text1"/>
                <w:kern w:val="0"/>
                <w:sz w:val="24"/>
                <w:szCs w:val="24"/>
                <w:lang w:val="en-US" w:eastAsia="zh-CN"/>
              </w:rPr>
              <w:t>mg/m</w:t>
            </w:r>
            <w:r>
              <w:rPr>
                <w:rFonts w:hint="default" w:ascii="Times New Roman" w:hAnsi="Times New Roman" w:eastAsia="宋体" w:cs="Times New Roman"/>
                <w:color w:val="000000" w:themeColor="text1"/>
                <w:kern w:val="0"/>
                <w:sz w:val="24"/>
                <w:szCs w:val="24"/>
                <w:vertAlign w:val="superscript"/>
                <w:lang w:val="en-US" w:eastAsia="zh-CN"/>
              </w:rPr>
              <w:t>3</w:t>
            </w:r>
            <w:r>
              <w:rPr>
                <w:rFonts w:hint="default" w:ascii="Times New Roman" w:hAnsi="Times New Roman" w:eastAsia="宋体" w:cs="Times New Roman"/>
                <w:color w:val="000000" w:themeColor="text1"/>
                <w:kern w:val="0"/>
                <w:sz w:val="24"/>
                <w:szCs w:val="24"/>
              </w:rPr>
              <w:t>。</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颗粒物、SO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eastAsia="宋体" w:cs="Times New Roman"/>
                <w:sz w:val="24"/>
                <w:szCs w:val="24"/>
              </w:rPr>
              <w:t>排放浓度均低于</w:t>
            </w:r>
            <w:r>
              <w:rPr>
                <w:rFonts w:hint="eastAsia"/>
                <w:color w:val="000000" w:themeColor="text1"/>
                <w:sz w:val="24"/>
              </w:rPr>
              <w:t>《工业炉窑大气污染综合治理方案》的通知中关于重点区域工业炉窑颗粒物、二氧化硫、氮氧化物实施改造的要求</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天然气</w:t>
            </w:r>
            <w:r>
              <w:rPr>
                <w:rFonts w:hint="default" w:ascii="Times New Roman" w:hAnsi="Times New Roman" w:eastAsia="宋体" w:cs="Times New Roman"/>
                <w:sz w:val="24"/>
                <w:szCs w:val="24"/>
                <w:lang w:val="en-US" w:eastAsia="zh-CN"/>
              </w:rPr>
              <w:t>燃烧</w:t>
            </w:r>
            <w:r>
              <w:rPr>
                <w:rFonts w:hint="default" w:ascii="Times New Roman" w:hAnsi="Times New Roman" w:eastAsia="宋体" w:cs="Times New Roman"/>
                <w:sz w:val="24"/>
                <w:szCs w:val="24"/>
              </w:rPr>
              <w:t>产生的颗粒物、SO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eastAsia="宋体" w:cs="Times New Roman"/>
                <w:sz w:val="24"/>
                <w:szCs w:val="24"/>
              </w:rPr>
              <w:t>经</w:t>
            </w:r>
            <w:r>
              <w:rPr>
                <w:rFonts w:hint="eastAsia" w:cs="Times New Roman"/>
                <w:sz w:val="24"/>
                <w:szCs w:val="24"/>
                <w:lang w:val="en-US" w:eastAsia="zh-CN"/>
              </w:rPr>
              <w:t>集气罩收集后通过15m</w:t>
            </w:r>
            <w:r>
              <w:rPr>
                <w:rFonts w:hint="eastAsia" w:eastAsia="宋体" w:cs="Times New Roman"/>
                <w:sz w:val="24"/>
                <w:szCs w:val="24"/>
                <w:lang w:val="en-US" w:eastAsia="zh-CN"/>
              </w:rPr>
              <w:t>排气筒</w:t>
            </w:r>
            <w:r>
              <w:rPr>
                <w:rFonts w:hint="default" w:ascii="Times New Roman" w:hAnsi="Times New Roman" w:eastAsia="宋体" w:cs="Times New Roman"/>
                <w:sz w:val="24"/>
                <w:szCs w:val="24"/>
              </w:rPr>
              <w:t>排放，对周围环境影响较小。</w:t>
            </w:r>
          </w:p>
          <w:p>
            <w:pPr>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eastAsia="宋体" w:cs="Times New Roman"/>
                <w:color w:val="000000" w:themeColor="text1"/>
              </w:rPr>
            </w:pPr>
            <w:r>
              <w:rPr>
                <w:rFonts w:hint="eastAsia"/>
                <w:snapToGrid w:val="0"/>
                <w:color w:val="000000" w:themeColor="text1"/>
                <w:sz w:val="24"/>
                <w:lang w:eastAsia="zh-CN"/>
              </w:rPr>
              <w:t>（</w:t>
            </w:r>
            <w:r>
              <w:rPr>
                <w:rFonts w:hint="eastAsia"/>
                <w:snapToGrid w:val="0"/>
                <w:color w:val="000000" w:themeColor="text1"/>
                <w:sz w:val="24"/>
                <w:lang w:val="en-US" w:eastAsia="zh-CN"/>
              </w:rPr>
              <w:t>4</w:t>
            </w:r>
            <w:r>
              <w:rPr>
                <w:rFonts w:hint="eastAsia"/>
                <w:snapToGrid w:val="0"/>
                <w:color w:val="000000" w:themeColor="text1"/>
                <w:sz w:val="24"/>
                <w:lang w:eastAsia="zh-CN"/>
              </w:rPr>
              <w:t>）</w:t>
            </w:r>
            <w:r>
              <w:rPr>
                <w:rFonts w:hint="eastAsia"/>
                <w:snapToGrid w:val="0"/>
                <w:color w:val="000000" w:themeColor="text1"/>
                <w:sz w:val="24"/>
                <w:lang w:val="en-US" w:eastAsia="zh-CN"/>
              </w:rPr>
              <w:t>木板切割、打孔</w:t>
            </w:r>
            <w:r>
              <w:rPr>
                <w:rFonts w:hint="default" w:ascii="Times New Roman" w:hAnsi="Times New Roman" w:eastAsia="宋体" w:cs="Times New Roman"/>
                <w:color w:val="000000" w:themeColor="text1"/>
              </w:rPr>
              <w:t>粉尘</w:t>
            </w:r>
          </w:p>
          <w:p>
            <w:pPr>
              <w:pStyle w:val="217"/>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本项目在</w:t>
            </w:r>
            <w:r>
              <w:rPr>
                <w:rFonts w:hint="eastAsia" w:ascii="Times New Roman" w:hAnsi="Times New Roman" w:cs="Times New Roman"/>
                <w:color w:val="000000" w:themeColor="text1"/>
                <w:lang w:val="en-US" w:eastAsia="zh-CN"/>
              </w:rPr>
              <w:t>切割</w:t>
            </w:r>
            <w:r>
              <w:rPr>
                <w:rFonts w:hint="default" w:ascii="Times New Roman" w:hAnsi="Times New Roman" w:eastAsia="宋体" w:cs="Times New Roman"/>
                <w:color w:val="000000" w:themeColor="text1"/>
              </w:rPr>
              <w:t>、打孔等产生粉尘工序</w:t>
            </w:r>
            <w:r>
              <w:rPr>
                <w:rFonts w:hint="default" w:ascii="Times New Roman" w:hAnsi="Times New Roman" w:eastAsia="宋体" w:cs="Times New Roman"/>
                <w:color w:val="000000" w:themeColor="text1"/>
                <w:lang w:val="en-US" w:eastAsia="zh-CN"/>
              </w:rPr>
              <w:t>均</w:t>
            </w:r>
            <w:r>
              <w:rPr>
                <w:rFonts w:hint="default" w:ascii="Times New Roman" w:hAnsi="Times New Roman" w:eastAsia="宋体" w:cs="Times New Roman"/>
                <w:color w:val="000000" w:themeColor="text1"/>
              </w:rPr>
              <w:t>安装</w:t>
            </w:r>
            <w:r>
              <w:rPr>
                <w:rFonts w:hint="eastAsia" w:ascii="Times New Roman" w:hAnsi="Times New Roman" w:cs="Times New Roman"/>
                <w:color w:val="000000" w:themeColor="text1"/>
                <w:lang w:eastAsia="zh-CN"/>
              </w:rPr>
              <w:t>双桶布袋除尘器</w:t>
            </w:r>
            <w:r>
              <w:rPr>
                <w:rFonts w:hint="default" w:ascii="Times New Roman" w:hAnsi="Times New Roman" w:eastAsia="宋体" w:cs="Times New Roman"/>
                <w:color w:val="000000" w:themeColor="text1"/>
              </w:rPr>
              <w:t>，</w:t>
            </w:r>
            <w:r>
              <w:rPr>
                <w:rFonts w:hint="eastAsia" w:ascii="Times New Roman" w:hAnsi="Times New Roman" w:cs="Times New Roman"/>
                <w:color w:val="000000" w:themeColor="text1"/>
                <w:lang w:eastAsia="zh-CN"/>
              </w:rPr>
              <w:t>双桶布袋除尘器</w:t>
            </w:r>
            <w:r>
              <w:rPr>
                <w:rFonts w:hint="default" w:ascii="Times New Roman" w:hAnsi="Times New Roman" w:eastAsia="宋体" w:cs="Times New Roman"/>
                <w:color w:val="000000" w:themeColor="text1"/>
              </w:rPr>
              <w:t>的</w:t>
            </w:r>
            <w:r>
              <w:rPr>
                <w:rFonts w:hint="eastAsia" w:ascii="Times New Roman" w:hAnsi="Times New Roman" w:cs="Times New Roman"/>
                <w:color w:val="000000" w:themeColor="text1"/>
                <w:lang w:val="en-US" w:eastAsia="zh-CN"/>
              </w:rPr>
              <w:t>除尘效率</w:t>
            </w:r>
            <w:r>
              <w:rPr>
                <w:rFonts w:hint="default" w:ascii="Times New Roman" w:hAnsi="Times New Roman" w:eastAsia="宋体" w:cs="Times New Roman"/>
                <w:color w:val="000000" w:themeColor="text1"/>
              </w:rPr>
              <w:t>为</w:t>
            </w:r>
            <w:r>
              <w:rPr>
                <w:rFonts w:hint="eastAsia" w:ascii="Times New Roman" w:hAnsi="Times New Roman" w:cs="Times New Roman"/>
                <w:color w:val="000000" w:themeColor="text1"/>
                <w:lang w:val="en-US" w:eastAsia="zh-CN"/>
              </w:rPr>
              <w:t>9</w:t>
            </w:r>
            <w:r>
              <w:rPr>
                <w:rFonts w:hint="default" w:ascii="Times New Roman" w:hAnsi="Times New Roman" w:eastAsia="宋体" w:cs="Times New Roman"/>
                <w:color w:val="000000" w:themeColor="text1"/>
              </w:rPr>
              <w:t>0%，则布袋</w:t>
            </w:r>
            <w:r>
              <w:rPr>
                <w:rFonts w:hint="eastAsia" w:ascii="Times New Roman" w:hAnsi="Times New Roman" w:cs="Times New Roman"/>
                <w:color w:val="000000" w:themeColor="text1"/>
                <w:lang w:eastAsia="zh-CN"/>
              </w:rPr>
              <w:t>除尘器</w:t>
            </w:r>
            <w:r>
              <w:rPr>
                <w:rFonts w:hint="default" w:ascii="Times New Roman" w:hAnsi="Times New Roman" w:eastAsia="宋体" w:cs="Times New Roman"/>
                <w:color w:val="000000" w:themeColor="text1"/>
              </w:rPr>
              <w:t>收集粉尘量为0.</w:t>
            </w:r>
            <w:r>
              <w:rPr>
                <w:rFonts w:hint="eastAsia" w:ascii="Times New Roman" w:hAnsi="Times New Roman" w:cs="Times New Roman"/>
                <w:color w:val="000000" w:themeColor="text1"/>
                <w:lang w:val="en-US" w:eastAsia="zh-CN"/>
              </w:rPr>
              <w:t>3474</w:t>
            </w:r>
            <w:r>
              <w:rPr>
                <w:rFonts w:hint="default" w:ascii="Times New Roman" w:hAnsi="Times New Roman" w:eastAsia="宋体" w:cs="Times New Roman"/>
                <w:color w:val="000000" w:themeColor="text1"/>
              </w:rPr>
              <w:t>t/a</w:t>
            </w:r>
            <w:r>
              <w:rPr>
                <w:rFonts w:hint="eastAsia" w:ascii="Times New Roman" w:hAnsi="Times New Roman" w:cs="Times New Roman"/>
                <w:color w:val="000000" w:themeColor="text1"/>
                <w:lang w:eastAsia="zh-CN"/>
              </w:rPr>
              <w:t>；</w:t>
            </w:r>
            <w:r>
              <w:rPr>
                <w:rFonts w:hint="eastAsia" w:ascii="Times New Roman" w:hAnsi="Times New Roman" w:cs="Times New Roman"/>
                <w:color w:val="000000" w:themeColor="text1"/>
                <w:lang w:val="en-US" w:eastAsia="zh-CN"/>
              </w:rPr>
              <w:t>未收集的粉尘以无组织形式排放，</w:t>
            </w:r>
            <w:r>
              <w:rPr>
                <w:rFonts w:hint="default" w:ascii="Times New Roman" w:hAnsi="Times New Roman" w:eastAsia="宋体" w:cs="Times New Roman"/>
                <w:color w:val="000000" w:themeColor="text1"/>
              </w:rPr>
              <w:t>无组织粉尘</w:t>
            </w:r>
            <w:r>
              <w:rPr>
                <w:rFonts w:hint="eastAsia" w:ascii="Times New Roman" w:hAnsi="Times New Roman" w:cs="Times New Roman"/>
                <w:color w:val="000000" w:themeColor="text1"/>
                <w:lang w:val="en-US" w:eastAsia="zh-CN"/>
              </w:rPr>
              <w:t>排放量</w:t>
            </w:r>
            <w:r>
              <w:rPr>
                <w:rFonts w:hint="default" w:ascii="Times New Roman" w:hAnsi="Times New Roman" w:eastAsia="宋体" w:cs="Times New Roman"/>
                <w:color w:val="000000" w:themeColor="text1"/>
              </w:rPr>
              <w:t>为0.</w:t>
            </w:r>
            <w:r>
              <w:rPr>
                <w:rFonts w:hint="eastAsia" w:ascii="Times New Roman" w:hAnsi="Times New Roman" w:cs="Times New Roman"/>
                <w:color w:val="000000" w:themeColor="text1"/>
                <w:lang w:val="en-US" w:eastAsia="zh-CN"/>
              </w:rPr>
              <w:t>0386</w:t>
            </w:r>
            <w:r>
              <w:rPr>
                <w:rFonts w:hint="default" w:ascii="Times New Roman" w:hAnsi="Times New Roman" w:eastAsia="宋体" w:cs="Times New Roman"/>
                <w:color w:val="000000" w:themeColor="text1"/>
              </w:rPr>
              <w:t>t/a</w:t>
            </w:r>
            <w:r>
              <w:rPr>
                <w:rFonts w:hint="eastAsia" w:ascii="Times New Roman" w:hAnsi="Times New Roman" w:cs="Times New Roman"/>
                <w:color w:val="000000" w:themeColor="text1"/>
                <w:lang w:eastAsia="zh-CN"/>
              </w:rPr>
              <w:t>，</w:t>
            </w:r>
            <w:r>
              <w:rPr>
                <w:rFonts w:hint="eastAsia" w:ascii="Times New Roman" w:hAnsi="Times New Roman" w:cs="Times New Roman"/>
                <w:color w:val="000000" w:themeColor="text1"/>
                <w:lang w:val="en-US" w:eastAsia="zh-CN"/>
              </w:rPr>
              <w:t>排放速率0.016kg/h</w:t>
            </w:r>
            <w:r>
              <w:rPr>
                <w:rFonts w:hint="default" w:ascii="Times New Roman" w:hAnsi="Times New Roman" w:eastAsia="宋体" w:cs="Times New Roman"/>
                <w:color w:val="000000" w:themeColor="text1"/>
              </w:rPr>
              <w:t>。</w:t>
            </w:r>
          </w:p>
          <w:p>
            <w:pPr>
              <w:numPr>
                <w:ilvl w:val="0"/>
                <w:numId w:val="2"/>
              </w:numPr>
              <w:autoSpaceDN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有机废气</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lang w:val="en-US" w:eastAsia="zh-CN"/>
              </w:rPr>
            </w:pPr>
            <w:r>
              <w:rPr>
                <w:rFonts w:hint="eastAsia"/>
                <w:lang w:val="en-US" w:eastAsia="zh-CN"/>
              </w:rPr>
              <w:t>本项目有机废气包括固化废气和封边废气。</w:t>
            </w:r>
          </w:p>
          <w:p>
            <w:pPr>
              <w:spacing w:line="348" w:lineRule="auto"/>
              <w:ind w:firstLine="480" w:firstLineChars="200"/>
              <w:rPr>
                <w:rFonts w:hint="eastAsia" w:ascii="Times New Roman" w:hAnsi="Times New Roman" w:cs="Times New Roman"/>
                <w:color w:val="000000" w:themeColor="text1"/>
                <w:lang w:eastAsia="zh-CN"/>
              </w:rPr>
            </w:pPr>
            <w:r>
              <w:rPr>
                <w:rFonts w:hint="eastAsia" w:ascii="宋体" w:hAnsi="宋体"/>
                <w:sz w:val="24"/>
              </w:rPr>
              <w:t>本项目使用的塑料粉沫为环氧聚酯树脂，</w:t>
            </w:r>
            <w:r>
              <w:rPr>
                <w:rFonts w:hint="eastAsia" w:ascii="宋体" w:hAnsi="宋体"/>
                <w:sz w:val="24"/>
                <w:lang w:val="en-US" w:eastAsia="zh-CN"/>
              </w:rPr>
              <w:t>固化时产生</w:t>
            </w:r>
            <w:r>
              <w:rPr>
                <w:rFonts w:hint="eastAsia" w:ascii="宋体" w:hAnsi="宋体"/>
                <w:sz w:val="24"/>
              </w:rPr>
              <w:t>挥发性有机废气</w:t>
            </w:r>
            <w:r>
              <w:rPr>
                <w:rFonts w:hint="eastAsia" w:ascii="宋体" w:hAnsi="宋体"/>
                <w:sz w:val="24"/>
                <w:lang w:eastAsia="zh-CN"/>
              </w:rPr>
              <w:t>（</w:t>
            </w:r>
            <w:r>
              <w:rPr>
                <w:rFonts w:hint="eastAsia" w:ascii="宋体" w:hAnsi="宋体"/>
                <w:sz w:val="24"/>
                <w:lang w:val="en-US" w:eastAsia="zh-CN"/>
              </w:rPr>
              <w:t>以非甲烷总烃计</w:t>
            </w:r>
            <w:r>
              <w:rPr>
                <w:rFonts w:hint="eastAsia" w:ascii="宋体" w:hAnsi="宋体"/>
                <w:sz w:val="24"/>
                <w:lang w:eastAsia="zh-CN"/>
              </w:rPr>
              <w:t>）</w:t>
            </w:r>
            <w:r>
              <w:rPr>
                <w:sz w:val="24"/>
              </w:rPr>
              <w:t>0.0</w:t>
            </w:r>
            <w:r>
              <w:rPr>
                <w:rFonts w:hint="eastAsia"/>
                <w:sz w:val="24"/>
                <w:lang w:val="en-US" w:eastAsia="zh-CN"/>
              </w:rPr>
              <w:t>3</w:t>
            </w:r>
            <w:r>
              <w:rPr>
                <w:sz w:val="24"/>
              </w:rPr>
              <w:t xml:space="preserve"> t/a</w:t>
            </w:r>
            <w:r>
              <w:rPr>
                <w:rFonts w:hint="eastAsia" w:ascii="宋体" w:hAnsi="宋体"/>
                <w:sz w:val="24"/>
              </w:rPr>
              <w:t>。</w:t>
            </w:r>
            <w:r>
              <w:rPr>
                <w:rFonts w:hint="eastAsia" w:ascii="Times New Roman" w:hAnsi="Times New Roman" w:cs="Times New Roman"/>
                <w:color w:val="000000" w:themeColor="text1"/>
                <w:lang w:val="en-US" w:eastAsia="zh-CN"/>
              </w:rPr>
              <w:t>封边使用</w:t>
            </w:r>
            <w:r>
              <w:rPr>
                <w:rFonts w:hint="default" w:ascii="Times New Roman" w:hAnsi="Times New Roman" w:eastAsia="宋体" w:cs="Times New Roman"/>
                <w:color w:val="000000" w:themeColor="text1"/>
              </w:rPr>
              <w:t>热熔胶用量为0.</w:t>
            </w:r>
            <w:r>
              <w:rPr>
                <w:rFonts w:hint="eastAsia" w:ascii="Times New Roman" w:hAnsi="Times New Roman" w:cs="Times New Roman"/>
                <w:color w:val="000000" w:themeColor="text1"/>
                <w:lang w:val="en-US" w:eastAsia="zh-CN"/>
              </w:rPr>
              <w:t>020</w:t>
            </w:r>
            <w:r>
              <w:rPr>
                <w:rFonts w:hint="default" w:ascii="Times New Roman" w:hAnsi="Times New Roman" w:eastAsia="宋体" w:cs="Times New Roman"/>
                <w:color w:val="000000" w:themeColor="text1"/>
              </w:rPr>
              <w:t>t/a，封边机产生的非甲烷总烃产生量为0.000</w:t>
            </w:r>
            <w:r>
              <w:rPr>
                <w:rFonts w:hint="eastAsia" w:ascii="Times New Roman" w:hAnsi="Times New Roman" w:cs="Times New Roman"/>
                <w:color w:val="000000" w:themeColor="text1"/>
                <w:lang w:val="en-US" w:eastAsia="zh-CN"/>
              </w:rPr>
              <w:t>2</w:t>
            </w:r>
            <w:r>
              <w:rPr>
                <w:rFonts w:hint="default" w:ascii="Times New Roman" w:hAnsi="Times New Roman" w:eastAsia="宋体" w:cs="Times New Roman"/>
                <w:color w:val="000000" w:themeColor="text1"/>
              </w:rPr>
              <w:t>t/a</w:t>
            </w:r>
            <w:r>
              <w:rPr>
                <w:rFonts w:hint="eastAsia" w:ascii="Times New Roman" w:hAnsi="Times New Roman" w:cs="Times New Roman"/>
                <w:color w:val="000000" w:themeColor="text1"/>
                <w:lang w:eastAsia="zh-CN"/>
              </w:rPr>
              <w:t>。</w:t>
            </w:r>
          </w:p>
          <w:p>
            <w:pPr>
              <w:spacing w:line="360" w:lineRule="auto"/>
              <w:ind w:firstLine="480" w:firstLineChars="200"/>
              <w:rPr>
                <w:rFonts w:hint="default" w:ascii="Times New Roman" w:hAnsi="Times New Roman" w:eastAsia="宋体" w:cs="Times New Roman"/>
                <w:sz w:val="24"/>
                <w:szCs w:val="24"/>
              </w:rPr>
            </w:pPr>
            <w:r>
              <w:rPr>
                <w:rFonts w:hint="eastAsia" w:ascii="宋体" w:hAnsi="宋体"/>
                <w:sz w:val="24"/>
              </w:rPr>
              <w:t>在</w:t>
            </w:r>
            <w:r>
              <w:rPr>
                <w:rFonts w:hint="eastAsia" w:ascii="宋体" w:hAnsi="宋体"/>
                <w:sz w:val="24"/>
                <w:lang w:eastAsia="zh-CN"/>
              </w:rPr>
              <w:t>烤箱</w:t>
            </w:r>
            <w:r>
              <w:rPr>
                <w:rFonts w:hint="eastAsia" w:ascii="宋体" w:hAnsi="宋体"/>
                <w:sz w:val="24"/>
                <w:lang w:val="en-US" w:eastAsia="zh-CN"/>
              </w:rPr>
              <w:t>和封边机</w:t>
            </w:r>
            <w:r>
              <w:rPr>
                <w:rFonts w:hint="eastAsia" w:ascii="宋体" w:hAnsi="宋体"/>
                <w:sz w:val="24"/>
              </w:rPr>
              <w:t>上</w:t>
            </w:r>
            <w:r>
              <w:rPr>
                <w:rFonts w:hint="eastAsia" w:ascii="宋体" w:hAnsi="宋体"/>
                <w:sz w:val="24"/>
                <w:lang w:val="en-US" w:eastAsia="zh-CN"/>
              </w:rPr>
              <w:t>分别</w:t>
            </w:r>
            <w:r>
              <w:rPr>
                <w:rFonts w:hint="eastAsia" w:ascii="宋体" w:hAnsi="宋体"/>
                <w:sz w:val="24"/>
              </w:rPr>
              <w:t>设置一个</w:t>
            </w:r>
            <w:r>
              <w:rPr>
                <w:rFonts w:hint="eastAsia" w:ascii="宋体" w:hAnsi="宋体"/>
                <w:sz w:val="24"/>
                <w:lang w:val="en-US" w:eastAsia="zh-CN"/>
              </w:rPr>
              <w:t>集气罩，废气收集后经</w:t>
            </w:r>
            <w:r>
              <w:rPr>
                <w:sz w:val="24"/>
              </w:rPr>
              <w:t>UV</w:t>
            </w:r>
            <w:r>
              <w:rPr>
                <w:rFonts w:hint="eastAsia" w:ascii="宋体" w:hAnsi="宋体"/>
                <w:sz w:val="24"/>
              </w:rPr>
              <w:t>光解</w:t>
            </w:r>
            <w:r>
              <w:rPr>
                <w:sz w:val="24"/>
              </w:rPr>
              <w:t>+</w:t>
            </w:r>
            <w:r>
              <w:rPr>
                <w:rFonts w:hint="eastAsia" w:ascii="宋体" w:hAnsi="宋体"/>
                <w:sz w:val="24"/>
              </w:rPr>
              <w:t>活性炭吸附收集装置处理，通过</w:t>
            </w:r>
            <w:r>
              <w:rPr>
                <w:sz w:val="24"/>
              </w:rPr>
              <w:t>15m</w:t>
            </w:r>
            <w:r>
              <w:rPr>
                <w:rFonts w:hint="eastAsia" w:ascii="宋体" w:hAnsi="宋体"/>
                <w:sz w:val="24"/>
              </w:rPr>
              <w:t>排气筒排放。风机风量为</w:t>
            </w:r>
            <w:r>
              <w:rPr>
                <w:rFonts w:hint="eastAsia"/>
                <w:sz w:val="24"/>
                <w:lang w:val="en-US" w:eastAsia="zh-CN"/>
              </w:rPr>
              <w:t>5000</w:t>
            </w:r>
            <w:r>
              <w:rPr>
                <w:sz w:val="24"/>
              </w:rPr>
              <w:t>m</w:t>
            </w:r>
            <w:r>
              <w:rPr>
                <w:sz w:val="24"/>
                <w:vertAlign w:val="superscript"/>
              </w:rPr>
              <w:t>3</w:t>
            </w:r>
            <w:r>
              <w:rPr>
                <w:sz w:val="24"/>
              </w:rPr>
              <w:t>/h</w:t>
            </w:r>
            <w:r>
              <w:rPr>
                <w:rFonts w:hint="eastAsia" w:ascii="宋体" w:hAnsi="宋体"/>
                <w:sz w:val="24"/>
              </w:rPr>
              <w:t>，</w:t>
            </w:r>
            <w:r>
              <w:rPr>
                <w:rFonts w:hint="eastAsia" w:ascii="宋体" w:hAnsi="宋体"/>
                <w:sz w:val="24"/>
                <w:lang w:val="en-US" w:eastAsia="zh-CN"/>
              </w:rPr>
              <w:t>集气罩收集效率为90%，处理后</w:t>
            </w:r>
            <w:r>
              <w:rPr>
                <w:rFonts w:hint="eastAsia" w:ascii="宋体" w:hAnsi="宋体"/>
                <w:sz w:val="24"/>
              </w:rPr>
              <w:t>挥发性有机废气有组织排放量为</w:t>
            </w:r>
            <w:r>
              <w:rPr>
                <w:rFonts w:hint="eastAsia"/>
                <w:sz w:val="24"/>
                <w:lang w:val="en-US" w:eastAsia="zh-CN"/>
              </w:rPr>
              <w:t>2.72</w:t>
            </w:r>
            <w:r>
              <w:rPr>
                <w:sz w:val="24"/>
              </w:rPr>
              <w:t>kg/a</w:t>
            </w:r>
            <w:r>
              <w:rPr>
                <w:rFonts w:hint="eastAsia" w:ascii="宋体" w:hAnsi="宋体"/>
                <w:sz w:val="24"/>
              </w:rPr>
              <w:t>，排放速率为</w:t>
            </w:r>
            <w:r>
              <w:rPr>
                <w:sz w:val="24"/>
              </w:rPr>
              <w:t>0.00</w:t>
            </w:r>
            <w:r>
              <w:rPr>
                <w:rFonts w:hint="eastAsia"/>
                <w:sz w:val="24"/>
                <w:lang w:val="en-US" w:eastAsia="zh-CN"/>
              </w:rPr>
              <w:t>227</w:t>
            </w:r>
            <w:r>
              <w:rPr>
                <w:sz w:val="24"/>
              </w:rPr>
              <w:t>kg/h</w:t>
            </w:r>
            <w:r>
              <w:rPr>
                <w:rFonts w:hint="eastAsia" w:ascii="宋体" w:hAnsi="宋体"/>
                <w:sz w:val="24"/>
              </w:rPr>
              <w:t>，排放浓度为</w:t>
            </w:r>
            <w:r>
              <w:rPr>
                <w:rFonts w:hint="eastAsia"/>
                <w:sz w:val="24"/>
                <w:lang w:val="en-US" w:eastAsia="zh-CN"/>
              </w:rPr>
              <w:t>0.45</w:t>
            </w:r>
            <w:r>
              <w:rPr>
                <w:sz w:val="24"/>
              </w:rPr>
              <w:t>mg/m</w:t>
            </w:r>
            <w:r>
              <w:rPr>
                <w:sz w:val="24"/>
                <w:vertAlign w:val="superscript"/>
              </w:rPr>
              <w:t>3</w:t>
            </w:r>
            <w:r>
              <w:rPr>
                <w:rFonts w:hint="eastAsia" w:ascii="宋体" w:hAnsi="宋体"/>
                <w:sz w:val="24"/>
              </w:rPr>
              <w:t>；无组织排放量为</w:t>
            </w:r>
            <w:r>
              <w:rPr>
                <w:rFonts w:hint="eastAsia"/>
                <w:sz w:val="24"/>
                <w:lang w:val="en-US" w:eastAsia="zh-CN"/>
              </w:rPr>
              <w:t>3.02</w:t>
            </w:r>
            <w:r>
              <w:rPr>
                <w:sz w:val="24"/>
              </w:rPr>
              <w:t>kg/a</w:t>
            </w:r>
            <w:r>
              <w:rPr>
                <w:rFonts w:hint="eastAsia" w:ascii="宋体" w:hAnsi="宋体"/>
                <w:sz w:val="24"/>
              </w:rPr>
              <w:t>，排放速率为</w:t>
            </w:r>
            <w:r>
              <w:rPr>
                <w:sz w:val="24"/>
              </w:rPr>
              <w:t>0.00</w:t>
            </w:r>
            <w:r>
              <w:rPr>
                <w:rFonts w:hint="eastAsia"/>
                <w:sz w:val="24"/>
                <w:lang w:val="en-US" w:eastAsia="zh-CN"/>
              </w:rPr>
              <w:t>25</w:t>
            </w:r>
            <w:r>
              <w:rPr>
                <w:sz w:val="24"/>
              </w:rPr>
              <w:t>kg/h</w:t>
            </w:r>
            <w:r>
              <w:rPr>
                <w:rFonts w:hint="eastAsia" w:ascii="宋体" w:hAnsi="宋体"/>
                <w:sz w:val="24"/>
              </w:rPr>
              <w:t>，能够满足《挥发性有机物排放控制标准》（</w:t>
            </w:r>
            <w:r>
              <w:rPr>
                <w:sz w:val="24"/>
              </w:rPr>
              <w:t>DB61/T1061-2017</w:t>
            </w:r>
            <w:r>
              <w:rPr>
                <w:rFonts w:hint="eastAsia" w:ascii="宋体" w:hAnsi="宋体"/>
                <w:sz w:val="24"/>
              </w:rPr>
              <w:t>）中表面涂装行业排放限值要求。</w:t>
            </w:r>
          </w:p>
          <w:p>
            <w:pPr>
              <w:keepNext w:val="0"/>
              <w:keepLines w:val="0"/>
              <w:pageBreakBefore w:val="0"/>
              <w:widowControl w:val="0"/>
              <w:kinsoku/>
              <w:wordWrap/>
              <w:overflowPunct/>
              <w:topLinePunct w:val="0"/>
              <w:autoSpaceDE/>
              <w:autoSpaceDN w:val="0"/>
              <w:bidi w:val="0"/>
              <w:adjustRightInd/>
              <w:snapToGrid/>
              <w:spacing w:line="360" w:lineRule="auto"/>
              <w:ind w:firstLine="482" w:firstLineChars="200"/>
              <w:textAlignment w:val="auto"/>
              <w:rPr>
                <w:rFonts w:hint="eastAsia" w:ascii="Times New Roman" w:hAnsi="Times New Roman" w:cs="Times New Roman"/>
                <w:b/>
                <w:sz w:val="24"/>
              </w:rPr>
            </w:pPr>
            <w:r>
              <w:rPr>
                <w:rFonts w:hint="eastAsia" w:ascii="Times New Roman" w:hAnsi="Times New Roman" w:cs="Times New Roman"/>
                <w:b/>
                <w:sz w:val="24"/>
                <w:lang w:val="en-US" w:eastAsia="zh-CN"/>
              </w:rPr>
              <w:t>2、</w:t>
            </w:r>
            <w:r>
              <w:rPr>
                <w:rFonts w:hint="eastAsia" w:ascii="Times New Roman" w:hAnsi="Times New Roman" w:cs="Times New Roman"/>
                <w:b/>
                <w:sz w:val="24"/>
              </w:rPr>
              <w:t>大气环境影响预测</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大气环境影响评价工作等级的确定依据《环境影响评价技术导则-大气环境》</w:t>
            </w:r>
          </w:p>
          <w:p>
            <w:pPr>
              <w:pStyle w:val="32"/>
              <w:keepNext w:val="0"/>
              <w:keepLines w:val="0"/>
              <w:pageBreakBefore w:val="0"/>
              <w:widowControl w:val="0"/>
              <w:tabs>
                <w:tab w:val="left" w:pos="8607"/>
              </w:tabs>
              <w:kinsoku/>
              <w:wordWrap/>
              <w:overflowPunct/>
              <w:topLinePunct w:val="0"/>
              <w:autoSpaceDE/>
              <w:bidi w:val="0"/>
              <w:adjustRightInd/>
              <w:snapToGrid/>
              <w:spacing w:before="0" w:after="0" w:line="360" w:lineRule="auto"/>
              <w:ind w:left="0" w:leftChars="0" w:firstLine="0" w:firstLineChars="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(HJ2.2-2018)中5.3节工作等级的确定方法，结合项目工程分析结果，选择正常排放的主要污染物及排放参数，采用附录A推荐模型中的AERSCREEN模式计算项目污染源的最大环境影响，然后按评价工作分级判据进行分级。</w:t>
            </w:r>
          </w:p>
          <w:p>
            <w:pPr>
              <w:pStyle w:val="32"/>
              <w:keepNext w:val="0"/>
              <w:keepLines w:val="0"/>
              <w:pageBreakBefore w:val="0"/>
              <w:widowControl w:val="0"/>
              <w:tabs>
                <w:tab w:val="left" w:pos="8607"/>
              </w:tabs>
              <w:kinsoku/>
              <w:wordWrap/>
              <w:overflowPunct/>
              <w:topLinePunct w:val="0"/>
              <w:autoSpaceDE/>
              <w:bidi w:val="0"/>
              <w:adjustRightInd/>
              <w:snapToGrid/>
              <w:spacing w:before="0" w:after="0" w:line="360" w:lineRule="auto"/>
              <w:ind w:left="0" w:leftChars="0" w:firstLine="480" w:firstLineChars="200"/>
              <w:jc w:val="both"/>
              <w:textAlignment w:val="auto"/>
              <w:rPr>
                <w:sz w:val="24"/>
                <w:szCs w:val="24"/>
              </w:rPr>
            </w:pPr>
            <w:r>
              <w:rPr>
                <w:rFonts w:hint="eastAsia"/>
                <w:sz w:val="24"/>
                <w:szCs w:val="24"/>
              </w:rPr>
              <w:t>（1）</w:t>
            </w:r>
            <w:r>
              <w:rPr>
                <w:sz w:val="24"/>
                <w:szCs w:val="24"/>
              </w:rPr>
              <w:t>评价等级判别</w:t>
            </w:r>
          </w:p>
          <w:p>
            <w:pPr>
              <w:pStyle w:val="32"/>
              <w:keepNext w:val="0"/>
              <w:keepLines w:val="0"/>
              <w:pageBreakBefore w:val="0"/>
              <w:widowControl w:val="0"/>
              <w:tabs>
                <w:tab w:val="left" w:pos="8607"/>
              </w:tabs>
              <w:kinsoku/>
              <w:wordWrap/>
              <w:overflowPunct/>
              <w:topLinePunct w:val="0"/>
              <w:autoSpaceDE/>
              <w:bidi w:val="0"/>
              <w:adjustRightInd/>
              <w:snapToGrid/>
              <w:spacing w:before="0" w:after="0" w:line="360" w:lineRule="auto"/>
              <w:ind w:left="0" w:leftChars="0" w:firstLine="480" w:firstLineChars="200"/>
              <w:jc w:val="both"/>
              <w:textAlignment w:val="auto"/>
              <w:rPr>
                <w:sz w:val="24"/>
                <w:szCs w:val="22"/>
              </w:rPr>
            </w:pPr>
            <w:r>
              <w:rPr>
                <w:rFonts w:hint="eastAsia"/>
                <w:sz w:val="24"/>
                <w:szCs w:val="22"/>
              </w:rPr>
              <w:t>本项目</w:t>
            </w:r>
            <w:r>
              <w:rPr>
                <w:sz w:val="24"/>
                <w:szCs w:val="22"/>
              </w:rPr>
              <w:t>评价等级按表</w:t>
            </w:r>
            <w:r>
              <w:rPr>
                <w:rFonts w:hint="eastAsia"/>
                <w:sz w:val="24"/>
                <w:szCs w:val="22"/>
              </w:rPr>
              <w:t>7-</w:t>
            </w:r>
            <w:r>
              <w:rPr>
                <w:rFonts w:hint="eastAsia"/>
                <w:sz w:val="24"/>
                <w:szCs w:val="22"/>
                <w:lang w:val="en-US" w:eastAsia="zh-CN"/>
              </w:rPr>
              <w:t>1</w:t>
            </w:r>
            <w:r>
              <w:rPr>
                <w:sz w:val="24"/>
                <w:szCs w:val="22"/>
              </w:rPr>
              <w:t>的分级判据进行划分</w:t>
            </w:r>
            <w:r>
              <w:rPr>
                <w:rFonts w:hint="eastAsia"/>
                <w:sz w:val="24"/>
                <w:szCs w:val="22"/>
              </w:rPr>
              <w:t>。</w:t>
            </w:r>
          </w:p>
          <w:p>
            <w:pPr>
              <w:adjustRightInd w:val="0"/>
              <w:snapToGrid w:val="0"/>
              <w:spacing w:line="360" w:lineRule="auto"/>
              <w:jc w:val="center"/>
              <w:rPr>
                <w:b/>
                <w:sz w:val="24"/>
                <w:szCs w:val="24"/>
              </w:rPr>
            </w:pPr>
            <w:r>
              <w:rPr>
                <w:b/>
                <w:sz w:val="24"/>
                <w:szCs w:val="24"/>
              </w:rPr>
              <w:t>表7-</w:t>
            </w:r>
            <w:r>
              <w:rPr>
                <w:rFonts w:hint="eastAsia"/>
                <w:b/>
                <w:sz w:val="24"/>
                <w:szCs w:val="24"/>
                <w:lang w:val="en-US" w:eastAsia="zh-CN"/>
              </w:rPr>
              <w:t>1</w:t>
            </w:r>
            <w:r>
              <w:rPr>
                <w:rFonts w:hint="eastAsia"/>
                <w:b/>
                <w:sz w:val="24"/>
                <w:szCs w:val="24"/>
              </w:rPr>
              <w:t xml:space="preserve"> </w:t>
            </w:r>
            <w:r>
              <w:rPr>
                <w:b/>
                <w:sz w:val="24"/>
                <w:szCs w:val="24"/>
              </w:rPr>
              <w:t>评价工作等级的判定</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52" w:type="dxa"/>
                  <w:tcBorders>
                    <w:tl2br w:val="nil"/>
                    <w:tr2bl w:val="nil"/>
                  </w:tcBorders>
                  <w:vAlign w:val="top"/>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sz w:val="21"/>
                      <w:szCs w:val="21"/>
                    </w:rPr>
                  </w:pPr>
                  <w:r>
                    <w:rPr>
                      <w:sz w:val="21"/>
                      <w:szCs w:val="21"/>
                    </w:rPr>
                    <w:t>评价工作等级</w:t>
                  </w:r>
                </w:p>
              </w:tc>
              <w:tc>
                <w:tcPr>
                  <w:tcW w:w="4252" w:type="dxa"/>
                  <w:tcBorders>
                    <w:tl2br w:val="nil"/>
                    <w:tr2bl w:val="nil"/>
                  </w:tcBorders>
                  <w:vAlign w:val="top"/>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sz w:val="21"/>
                      <w:szCs w:val="21"/>
                    </w:rPr>
                  </w:pPr>
                  <w:r>
                    <w:rPr>
                      <w:sz w:val="21"/>
                      <w:szCs w:val="21"/>
                    </w:rPr>
                    <w:t>评价工作分级判据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52" w:type="dxa"/>
                  <w:tcBorders>
                    <w:tl2br w:val="nil"/>
                    <w:tr2bl w:val="nil"/>
                  </w:tcBorders>
                  <w:vAlign w:val="top"/>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sz w:val="21"/>
                      <w:szCs w:val="21"/>
                    </w:rPr>
                  </w:pPr>
                  <w:r>
                    <w:rPr>
                      <w:sz w:val="21"/>
                      <w:szCs w:val="21"/>
                    </w:rPr>
                    <w:t>一级评价</w:t>
                  </w:r>
                </w:p>
              </w:tc>
              <w:tc>
                <w:tcPr>
                  <w:tcW w:w="4252" w:type="dxa"/>
                  <w:tcBorders>
                    <w:tl2br w:val="nil"/>
                    <w:tr2bl w:val="nil"/>
                  </w:tcBorders>
                  <w:vAlign w:val="top"/>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sz w:val="21"/>
                      <w:szCs w:val="21"/>
                    </w:rPr>
                  </w:pPr>
                  <w:r>
                    <w:rPr>
                      <w:sz w:val="21"/>
                      <w:szCs w:val="21"/>
                    </w:rPr>
                    <w:t>P</w:t>
                  </w:r>
                  <w:r>
                    <w:rPr>
                      <w:sz w:val="21"/>
                      <w:szCs w:val="21"/>
                      <w:vertAlign w:val="subscript"/>
                    </w:rPr>
                    <w:t>max</w:t>
                  </w:r>
                  <w:r>
                    <w:rPr>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52" w:type="dxa"/>
                  <w:tcBorders>
                    <w:tl2br w:val="nil"/>
                    <w:tr2bl w:val="nil"/>
                  </w:tcBorders>
                  <w:vAlign w:val="top"/>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sz w:val="21"/>
                      <w:szCs w:val="21"/>
                    </w:rPr>
                  </w:pPr>
                  <w:r>
                    <w:rPr>
                      <w:sz w:val="21"/>
                      <w:szCs w:val="21"/>
                    </w:rPr>
                    <w:t>二级评价</w:t>
                  </w:r>
                </w:p>
              </w:tc>
              <w:tc>
                <w:tcPr>
                  <w:tcW w:w="4252" w:type="dxa"/>
                  <w:tcBorders>
                    <w:tl2br w:val="nil"/>
                    <w:tr2bl w:val="nil"/>
                  </w:tcBorders>
                  <w:vAlign w:val="top"/>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sz w:val="21"/>
                      <w:szCs w:val="21"/>
                    </w:rPr>
                  </w:pPr>
                  <w:r>
                    <w:rPr>
                      <w:sz w:val="21"/>
                      <w:szCs w:val="21"/>
                    </w:rPr>
                    <w:t>1%≤P</w:t>
                  </w:r>
                  <w:r>
                    <w:rPr>
                      <w:sz w:val="21"/>
                      <w:szCs w:val="21"/>
                      <w:vertAlign w:val="subscript"/>
                    </w:rPr>
                    <w:t>max</w:t>
                  </w:r>
                  <w:r>
                    <w:rPr>
                      <w:sz w:val="21"/>
                      <w:szCs w:val="21"/>
                    </w:rPr>
                    <w:t>&lt;10%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52" w:type="dxa"/>
                  <w:tcBorders>
                    <w:tl2br w:val="nil"/>
                    <w:tr2bl w:val="nil"/>
                  </w:tcBorders>
                  <w:vAlign w:val="top"/>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sz w:val="21"/>
                      <w:szCs w:val="21"/>
                    </w:rPr>
                  </w:pPr>
                  <w:r>
                    <w:rPr>
                      <w:sz w:val="21"/>
                      <w:szCs w:val="21"/>
                    </w:rPr>
                    <w:t>三级评价</w:t>
                  </w:r>
                </w:p>
              </w:tc>
              <w:tc>
                <w:tcPr>
                  <w:tcW w:w="4252" w:type="dxa"/>
                  <w:tcBorders>
                    <w:tl2br w:val="nil"/>
                    <w:tr2bl w:val="nil"/>
                  </w:tcBorders>
                  <w:vAlign w:val="top"/>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sz w:val="21"/>
                      <w:szCs w:val="21"/>
                    </w:rPr>
                  </w:pPr>
                  <w:r>
                    <w:rPr>
                      <w:sz w:val="21"/>
                      <w:szCs w:val="21"/>
                    </w:rPr>
                    <w:t>P</w:t>
                  </w:r>
                  <w:r>
                    <w:rPr>
                      <w:sz w:val="21"/>
                      <w:szCs w:val="21"/>
                      <w:vertAlign w:val="subscript"/>
                    </w:rPr>
                    <w:t>max</w:t>
                  </w:r>
                  <w:r>
                    <w:rPr>
                      <w:sz w:val="21"/>
                      <w:szCs w:val="21"/>
                    </w:rPr>
                    <w:t>&lt;1%</w:t>
                  </w:r>
                </w:p>
              </w:tc>
            </w:tr>
          </w:tbl>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360" w:lineRule="auto"/>
              <w:ind w:left="0" w:leftChars="0" w:firstLine="48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（2）污染物排放标准及来源</w:t>
            </w:r>
          </w:p>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360" w:lineRule="auto"/>
              <w:ind w:left="0" w:leftChars="0" w:firstLine="480"/>
              <w:jc w:val="left"/>
              <w:textAlignment w:val="auto"/>
              <w:rPr>
                <w:rFonts w:hint="default"/>
              </w:rPr>
            </w:pPr>
            <w:r>
              <w:rPr>
                <w:rFonts w:hint="default" w:ascii="Times New Roman" w:hAnsi="Times New Roman" w:eastAsia="宋体" w:cs="Times New Roman"/>
                <w:sz w:val="24"/>
                <w:szCs w:val="22"/>
              </w:rPr>
              <w:t>本项目污染物评价标准及来源见表7-</w:t>
            </w:r>
            <w:r>
              <w:rPr>
                <w:rFonts w:hint="eastAsia" w:ascii="Times New Roman" w:hAnsi="Times New Roman" w:cs="Times New Roman"/>
                <w:sz w:val="24"/>
                <w:szCs w:val="22"/>
                <w:lang w:val="en-US" w:eastAsia="zh-CN"/>
              </w:rPr>
              <w:t>2</w:t>
            </w:r>
            <w:r>
              <w:rPr>
                <w:rFonts w:hint="default" w:ascii="Times New Roman" w:hAnsi="Times New Roman" w:eastAsia="宋体" w:cs="Times New Roman"/>
                <w:sz w:val="24"/>
                <w:szCs w:val="22"/>
              </w:rPr>
              <w:t>。</w:t>
            </w:r>
          </w:p>
          <w:p>
            <w:pPr>
              <w:adjustRightInd w:val="0"/>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eastAsia="zh-CN"/>
              </w:rPr>
              <w:t xml:space="preserve">7-2 </w:t>
            </w:r>
            <w:r>
              <w:rPr>
                <w:rFonts w:ascii="Times New Roman" w:hAnsi="Times New Roman" w:cs="Times New Roman"/>
                <w:b/>
                <w:sz w:val="24"/>
                <w:szCs w:val="24"/>
              </w:rPr>
              <w:t>污染物评价标准</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1455"/>
              <w:gridCol w:w="1020"/>
              <w:gridCol w:w="1110"/>
              <w:gridCol w:w="28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污染物名称</w:t>
                  </w:r>
                </w:p>
              </w:tc>
              <w:tc>
                <w:tcPr>
                  <w:tcW w:w="14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功能区</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取值时间</w:t>
                  </w:r>
                </w:p>
              </w:tc>
              <w:tc>
                <w:tcPr>
                  <w:tcW w:w="11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(μg/m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2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54" w:type="dxa"/>
                  <w:tcBorders>
                    <w:tl2br w:val="nil"/>
                    <w:tr2bl w:val="nil"/>
                  </w:tcBorders>
                  <w:noWrap w:val="0"/>
                  <w:vAlign w:val="center"/>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颗粒物</w:t>
                  </w:r>
                  <w:r>
                    <w:rPr>
                      <w:rFonts w:hint="default" w:ascii="Times New Roman" w:hAnsi="Times New Roman" w:eastAsia="宋体" w:cs="Times New Roman"/>
                      <w:bCs/>
                      <w:sz w:val="21"/>
                      <w:szCs w:val="21"/>
                    </w:rPr>
                    <w:t>（以</w:t>
                  </w:r>
                  <w:r>
                    <w:rPr>
                      <w:rFonts w:hint="default" w:ascii="Times New Roman" w:hAnsi="Times New Roman" w:eastAsia="宋体" w:cs="Times New Roman"/>
                      <w:sz w:val="21"/>
                      <w:szCs w:val="21"/>
                    </w:rPr>
                    <w:t>TSP</w:t>
                  </w:r>
                  <w:r>
                    <w:rPr>
                      <w:rFonts w:hint="default" w:ascii="Times New Roman" w:hAnsi="Times New Roman" w:eastAsia="宋体" w:cs="Times New Roman"/>
                      <w:bCs/>
                      <w:sz w:val="21"/>
                      <w:szCs w:val="21"/>
                    </w:rPr>
                    <w:t>计）</w:t>
                  </w:r>
                </w:p>
              </w:tc>
              <w:tc>
                <w:tcPr>
                  <w:tcW w:w="1455" w:type="dxa"/>
                  <w:tcBorders>
                    <w:tl2br w:val="nil"/>
                    <w:tr2bl w:val="nil"/>
                  </w:tcBorders>
                  <w:noWrap w:val="0"/>
                  <w:vAlign w:val="center"/>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二类功能区</w:t>
                  </w:r>
                </w:p>
              </w:tc>
              <w:tc>
                <w:tcPr>
                  <w:tcW w:w="1020" w:type="dxa"/>
                  <w:tcBorders>
                    <w:tl2br w:val="nil"/>
                    <w:tr2bl w:val="nil"/>
                  </w:tcBorders>
                  <w:noWrap w:val="0"/>
                  <w:vAlign w:val="center"/>
                </w:tcPr>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1h平均值</w:t>
                  </w:r>
                </w:p>
              </w:tc>
              <w:tc>
                <w:tcPr>
                  <w:tcW w:w="11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900</w:t>
                  </w:r>
                </w:p>
              </w:tc>
              <w:tc>
                <w:tcPr>
                  <w:tcW w:w="2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3095-2012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4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二类功能区</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1h平均值</w:t>
                  </w:r>
                </w:p>
              </w:tc>
              <w:tc>
                <w:tcPr>
                  <w:tcW w:w="11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2000</w:t>
                  </w:r>
                </w:p>
              </w:tc>
              <w:tc>
                <w:tcPr>
                  <w:tcW w:w="2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《大气污染物综合排放标准 详解》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54"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NOx</w:t>
                  </w:r>
                </w:p>
              </w:tc>
              <w:tc>
                <w:tcPr>
                  <w:tcW w:w="1455"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二类功能区</w:t>
                  </w:r>
                </w:p>
              </w:tc>
              <w:tc>
                <w:tcPr>
                  <w:tcW w:w="1020"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1h均值</w:t>
                  </w:r>
                </w:p>
              </w:tc>
              <w:tc>
                <w:tcPr>
                  <w:tcW w:w="1110"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w:t>
                  </w:r>
                </w:p>
              </w:tc>
              <w:tc>
                <w:tcPr>
                  <w:tcW w:w="2865"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3095—2012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54"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455"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二类功能区</w:t>
                  </w:r>
                </w:p>
              </w:tc>
              <w:tc>
                <w:tcPr>
                  <w:tcW w:w="1020"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1h均值</w:t>
                  </w:r>
                </w:p>
              </w:tc>
              <w:tc>
                <w:tcPr>
                  <w:tcW w:w="1110"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500</w:t>
                  </w:r>
                </w:p>
              </w:tc>
              <w:tc>
                <w:tcPr>
                  <w:tcW w:w="2865" w:type="dxa"/>
                  <w:tcBorders>
                    <w:tl2br w:val="nil"/>
                    <w:tr2bl w:val="nil"/>
                  </w:tcBorders>
                  <w:noWrap w:val="0"/>
                  <w:vAlign w:val="center"/>
                </w:tcPr>
                <w:p>
                  <w:pPr>
                    <w:pStyle w:val="32"/>
                    <w:tabs>
                      <w:tab w:val="left" w:pos="8607"/>
                    </w:tabs>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3095—2012</w:t>
                  </w:r>
                </w:p>
              </w:tc>
            </w:tr>
          </w:tbl>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360" w:lineRule="auto"/>
              <w:ind w:left="0" w:leftChars="0" w:firstLine="48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（3）估算模型参数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sz w:val="24"/>
              </w:rPr>
              <w:t>估算模式所用参数见表</w:t>
            </w:r>
            <w:r>
              <w:rPr>
                <w:rFonts w:hint="eastAsia"/>
                <w:sz w:val="24"/>
                <w:lang w:val="en-US" w:eastAsia="zh-CN"/>
              </w:rPr>
              <w:t>7-3</w:t>
            </w:r>
            <w:r>
              <w:rPr>
                <w:sz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4"/>
              </w:rPr>
            </w:pPr>
            <w:r>
              <w:rPr>
                <w:b/>
                <w:sz w:val="24"/>
              </w:rPr>
              <w:t>表</w:t>
            </w:r>
            <w:r>
              <w:rPr>
                <w:rFonts w:hint="eastAsia"/>
                <w:b/>
                <w:sz w:val="24"/>
                <w:lang w:val="en-US" w:eastAsia="zh-CN"/>
              </w:rPr>
              <w:t xml:space="preserve">7-3 </w:t>
            </w:r>
            <w:r>
              <w:rPr>
                <w:b/>
                <w:sz w:val="24"/>
              </w:rPr>
              <w:t>估算模型参数表</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2645"/>
              <w:gridCol w:w="3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937" w:type="dxa"/>
                  <w:gridSpan w:val="2"/>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参数</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292" w:type="dxa"/>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城市农村/选项</w:t>
                  </w:r>
                </w:p>
              </w:tc>
              <w:tc>
                <w:tcPr>
                  <w:tcW w:w="2645"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城市/农村</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292" w:type="dxa"/>
                  <w:vMerge w:val="continue"/>
                  <w:tcBorders>
                    <w:tl2br w:val="nil"/>
                    <w:tr2bl w:val="nil"/>
                  </w:tcBorders>
                  <w:noWrap w:val="0"/>
                  <w:vAlign w:val="center"/>
                </w:tcPr>
                <w:p>
                  <w:pPr>
                    <w:rPr>
                      <w:rFonts w:hint="default" w:ascii="Times New Roman" w:hAnsi="Times New Roman" w:eastAsia="宋体" w:cs="Times New Roman"/>
                      <w:sz w:val="21"/>
                      <w:szCs w:val="21"/>
                    </w:rPr>
                  </w:pPr>
                </w:p>
              </w:tc>
              <w:tc>
                <w:tcPr>
                  <w:tcW w:w="2645"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人口数(城市人口数)</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937" w:type="dxa"/>
                  <w:gridSpan w:val="2"/>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最高环境温度</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4937" w:type="dxa"/>
                  <w:gridSpan w:val="2"/>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最低环境温度</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-20.6℃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937" w:type="dxa"/>
                  <w:gridSpan w:val="2"/>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土地利用类型</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937" w:type="dxa"/>
                  <w:gridSpan w:val="2"/>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区域湿度条件</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中等湿度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92" w:type="dxa"/>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是否考虑地形</w:t>
                  </w:r>
                </w:p>
              </w:tc>
              <w:tc>
                <w:tcPr>
                  <w:tcW w:w="2645"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考虑地形</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292" w:type="dxa"/>
                  <w:vMerge w:val="continue"/>
                  <w:tcBorders>
                    <w:tl2br w:val="nil"/>
                    <w:tr2bl w:val="nil"/>
                  </w:tcBorders>
                  <w:noWrap w:val="0"/>
                  <w:vAlign w:val="center"/>
                </w:tcPr>
                <w:p>
                  <w:pPr>
                    <w:rPr>
                      <w:rFonts w:hint="default" w:ascii="Times New Roman" w:hAnsi="Times New Roman" w:eastAsia="宋体" w:cs="Times New Roman"/>
                      <w:sz w:val="21"/>
                      <w:szCs w:val="21"/>
                    </w:rPr>
                  </w:pPr>
                </w:p>
              </w:tc>
              <w:tc>
                <w:tcPr>
                  <w:tcW w:w="2645"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地形数据分辨率(m)</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92" w:type="dxa"/>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是否考虑海岸线熏烟</w:t>
                  </w:r>
                </w:p>
              </w:tc>
              <w:tc>
                <w:tcPr>
                  <w:tcW w:w="2645"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考虑海岸线熏烟</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92" w:type="dxa"/>
                  <w:vMerge w:val="continue"/>
                  <w:tcBorders>
                    <w:tl2br w:val="nil"/>
                    <w:tr2bl w:val="nil"/>
                  </w:tcBorders>
                  <w:noWrap w:val="0"/>
                  <w:vAlign w:val="center"/>
                </w:tcPr>
                <w:p>
                  <w:pPr>
                    <w:rPr>
                      <w:rFonts w:hint="default" w:ascii="Times New Roman" w:hAnsi="Times New Roman" w:eastAsia="宋体" w:cs="Times New Roman"/>
                      <w:sz w:val="21"/>
                      <w:szCs w:val="21"/>
                    </w:rPr>
                  </w:pPr>
                </w:p>
              </w:tc>
              <w:tc>
                <w:tcPr>
                  <w:tcW w:w="2645"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海岸线距离/km</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292" w:type="dxa"/>
                  <w:vMerge w:val="continue"/>
                  <w:tcBorders>
                    <w:tl2br w:val="nil"/>
                    <w:tr2bl w:val="nil"/>
                  </w:tcBorders>
                  <w:noWrap w:val="0"/>
                  <w:vAlign w:val="center"/>
                </w:tcPr>
                <w:p>
                  <w:pPr>
                    <w:rPr>
                      <w:rFonts w:hint="default" w:ascii="Times New Roman" w:hAnsi="Times New Roman" w:eastAsia="宋体" w:cs="Times New Roman"/>
                      <w:sz w:val="21"/>
                      <w:szCs w:val="21"/>
                    </w:rPr>
                  </w:pPr>
                </w:p>
              </w:tc>
              <w:tc>
                <w:tcPr>
                  <w:tcW w:w="2645"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海岸线方向/</w:t>
                  </w:r>
                  <w:r>
                    <w:rPr>
                      <w:rFonts w:hint="default" w:ascii="Times New Roman" w:hAnsi="Times New Roman" w:eastAsia="宋体" w:cs="Times New Roman"/>
                      <w:sz w:val="21"/>
                      <w:szCs w:val="21"/>
                      <w:vertAlign w:val="superscript"/>
                    </w:rPr>
                    <w:t>o</w:t>
                  </w:r>
                </w:p>
              </w:tc>
              <w:tc>
                <w:tcPr>
                  <w:tcW w:w="3567"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360" w:lineRule="auto"/>
              <w:ind w:left="0" w:leftChars="0" w:firstLine="48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w:t>
            </w:r>
            <w:r>
              <w:rPr>
                <w:rFonts w:hint="eastAsia" w:ascii="Times New Roman" w:hAnsi="Times New Roman" w:cs="Times New Roman"/>
                <w:sz w:val="24"/>
                <w:szCs w:val="24"/>
                <w:lang w:val="en-US" w:eastAsia="zh-CN"/>
              </w:rPr>
              <w:t>有组织排放源预测</w:t>
            </w:r>
          </w:p>
          <w:p>
            <w:pPr>
              <w:spacing w:line="360" w:lineRule="auto"/>
              <w:ind w:firstLine="422" w:firstLineChars="176"/>
              <w:jc w:val="left"/>
              <w:rPr>
                <w:rFonts w:hint="eastAsia"/>
                <w:sz w:val="24"/>
              </w:rPr>
            </w:pPr>
            <w:r>
              <w:rPr>
                <w:rFonts w:hint="eastAsia"/>
                <w:sz w:val="24"/>
                <w:lang w:val="en-US" w:eastAsia="zh-CN"/>
              </w:rPr>
              <w:t>项目有组织</w:t>
            </w:r>
            <w:r>
              <w:rPr>
                <w:sz w:val="24"/>
              </w:rPr>
              <w:t>废气污染源排放参数见下表：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sz w:val="24"/>
              </w:rPr>
            </w:pPr>
            <w:r>
              <w:rPr>
                <w:rFonts w:ascii="Times New Roman" w:hAnsi="Times New Roman" w:cs="Times New Roman"/>
                <w:b/>
                <w:sz w:val="24"/>
              </w:rPr>
              <w:t>表</w:t>
            </w:r>
            <w:r>
              <w:rPr>
                <w:rFonts w:hint="eastAsia" w:ascii="Times New Roman" w:hAnsi="Times New Roman" w:cs="Times New Roman"/>
                <w:b/>
                <w:sz w:val="24"/>
                <w:lang w:val="en-US" w:eastAsia="zh-CN"/>
              </w:rPr>
              <w:t>7-4</w:t>
            </w:r>
            <w:r>
              <w:rPr>
                <w:rFonts w:hint="eastAsia" w:ascii="Times New Roman" w:hAnsi="Times New Roman" w:cs="Times New Roman"/>
                <w:b/>
                <w:sz w:val="24"/>
              </w:rPr>
              <w:t xml:space="preserve"> </w:t>
            </w:r>
            <w:r>
              <w:rPr>
                <w:rFonts w:ascii="Times New Roman" w:hAnsi="Times New Roman" w:cs="Times New Roman"/>
                <w:b/>
                <w:sz w:val="24"/>
              </w:rPr>
              <w:t>主要废气污染源参数一览表</w:t>
            </w:r>
            <w:r>
              <w:rPr>
                <w:rFonts w:hint="eastAsia" w:ascii="Times New Roman" w:hAnsi="Times New Roman" w:cs="Times New Roman"/>
                <w:b/>
                <w:sz w:val="24"/>
              </w:rPr>
              <w:t>（</w:t>
            </w:r>
            <w:r>
              <w:rPr>
                <w:rFonts w:ascii="Times New Roman" w:hAnsi="Times New Roman" w:cs="Times New Roman"/>
                <w:b/>
                <w:sz w:val="24"/>
              </w:rPr>
              <w:t>点源</w:t>
            </w:r>
            <w:r>
              <w:rPr>
                <w:rFonts w:hint="eastAsia" w:ascii="Times New Roman" w:hAnsi="Times New Roman" w:cs="Times New Roman"/>
                <w:b/>
                <w:sz w:val="24"/>
              </w:rPr>
              <w:t>）</w:t>
            </w:r>
          </w:p>
          <w:tbl>
            <w:tblPr>
              <w:tblStyle w:val="34"/>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3"/>
              <w:gridCol w:w="873"/>
              <w:gridCol w:w="615"/>
              <w:gridCol w:w="551"/>
              <w:gridCol w:w="889"/>
              <w:gridCol w:w="675"/>
              <w:gridCol w:w="797"/>
              <w:gridCol w:w="673"/>
              <w:gridCol w:w="625"/>
              <w:gridCol w:w="782"/>
              <w:gridCol w:w="673"/>
              <w:gridCol w:w="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3"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编号</w:t>
                  </w:r>
                </w:p>
              </w:tc>
              <w:tc>
                <w:tcPr>
                  <w:tcW w:w="873"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名称</w:t>
                  </w:r>
                </w:p>
              </w:tc>
              <w:tc>
                <w:tcPr>
                  <w:tcW w:w="1166" w:type="dxa"/>
                  <w:gridSpan w:val="2"/>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lang w:val="en-US"/>
                    </w:rPr>
                    <w:t>排气筒底部中心坐标</w:t>
                  </w:r>
                  <w:r>
                    <w:rPr>
                      <w:rFonts w:hint="default" w:ascii="Times New Roman" w:hAnsi="Times New Roman" w:eastAsia="宋体" w:cs="Times New Roman"/>
                      <w:b w:val="0"/>
                      <w:bCs/>
                      <w:color w:val="auto"/>
                      <w:spacing w:val="0"/>
                      <w:sz w:val="21"/>
                      <w:szCs w:val="21"/>
                      <w:lang w:val="en-US" w:eastAsia="zh-CN"/>
                    </w:rPr>
                    <w:t>/</w:t>
                  </w:r>
                  <w:r>
                    <w:rPr>
                      <w:rFonts w:hint="default" w:ascii="Times New Roman" w:hAnsi="Times New Roman" w:eastAsia="宋体" w:cs="Times New Roman"/>
                      <w:b w:val="0"/>
                      <w:bCs/>
                      <w:color w:val="auto"/>
                      <w:spacing w:val="0"/>
                      <w:sz w:val="21"/>
                      <w:szCs w:val="21"/>
                      <w:lang w:val="en-US"/>
                    </w:rPr>
                    <w:t>m</w:t>
                  </w:r>
                </w:p>
              </w:tc>
              <w:tc>
                <w:tcPr>
                  <w:tcW w:w="889"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排气筒底部海拔高度/m</w:t>
                  </w:r>
                </w:p>
              </w:tc>
              <w:tc>
                <w:tcPr>
                  <w:tcW w:w="675"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排气筒高度/m</w:t>
                  </w:r>
                </w:p>
              </w:tc>
              <w:tc>
                <w:tcPr>
                  <w:tcW w:w="797"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排气筒出口内径/m</w:t>
                  </w:r>
                </w:p>
              </w:tc>
              <w:tc>
                <w:tcPr>
                  <w:tcW w:w="673"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烟气流速</w:t>
                  </w:r>
                  <w:r>
                    <w:rPr>
                      <w:rFonts w:hint="default" w:ascii="Times New Roman" w:hAnsi="Times New Roman" w:eastAsia="宋体" w:cs="Times New Roman"/>
                      <w:b w:val="0"/>
                      <w:bCs/>
                      <w:color w:val="auto"/>
                      <w:sz w:val="21"/>
                      <w:szCs w:val="21"/>
                    </w:rPr>
                    <w:t>（m/s）</w:t>
                  </w:r>
                </w:p>
              </w:tc>
              <w:tc>
                <w:tcPr>
                  <w:tcW w:w="625"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z w:val="21"/>
                      <w:szCs w:val="21"/>
                    </w:rPr>
                    <w:t>烟气温度</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w:t>
                  </w:r>
                </w:p>
              </w:tc>
              <w:tc>
                <w:tcPr>
                  <w:tcW w:w="782"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rPr>
                    <w:t>年排放小时数</w:t>
                  </w:r>
                  <w:r>
                    <w:rPr>
                      <w:rFonts w:hint="default" w:ascii="Times New Roman" w:hAnsi="Times New Roman" w:eastAsia="宋体" w:cs="Times New Roman"/>
                      <w:b w:val="0"/>
                      <w:bCs/>
                      <w:color w:val="auto"/>
                      <w:spacing w:val="0"/>
                      <w:sz w:val="21"/>
                      <w:szCs w:val="21"/>
                      <w:lang w:val="en-US" w:eastAsia="zh-CN"/>
                    </w:rPr>
                    <w:t>/h</w:t>
                  </w:r>
                </w:p>
              </w:tc>
              <w:tc>
                <w:tcPr>
                  <w:tcW w:w="673"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排放工况</w:t>
                  </w:r>
                </w:p>
              </w:tc>
              <w:tc>
                <w:tcPr>
                  <w:tcW w:w="918"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污染物排放速率/</w:t>
                  </w:r>
                  <w:r>
                    <w:rPr>
                      <w:rFonts w:hint="default" w:ascii="Times New Roman" w:hAnsi="Times New Roman" w:eastAsia="宋体" w:cs="Times New Roman"/>
                      <w:b w:val="0"/>
                      <w:bCs/>
                      <w:color w:val="auto"/>
                      <w:sz w:val="21"/>
                      <w:szCs w:val="21"/>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3"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873"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61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lang w:val="en-US"/>
                    </w:rPr>
                    <w:t>X</w:t>
                  </w:r>
                </w:p>
              </w:tc>
              <w:tc>
                <w:tcPr>
                  <w:tcW w:w="551"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lang w:val="en-US"/>
                    </w:rPr>
                    <w:t>Y</w:t>
                  </w:r>
                </w:p>
              </w:tc>
              <w:tc>
                <w:tcPr>
                  <w:tcW w:w="889"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675"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797"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673"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625"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z w:val="21"/>
                      <w:szCs w:val="21"/>
                    </w:rPr>
                  </w:pPr>
                </w:p>
              </w:tc>
              <w:tc>
                <w:tcPr>
                  <w:tcW w:w="782"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673"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918"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1</w:t>
                  </w:r>
                </w:p>
              </w:tc>
              <w:tc>
                <w:tcPr>
                  <w:tcW w:w="87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非甲烷总烃</w:t>
                  </w:r>
                </w:p>
              </w:tc>
              <w:tc>
                <w:tcPr>
                  <w:tcW w:w="61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15</w:t>
                  </w:r>
                </w:p>
              </w:tc>
              <w:tc>
                <w:tcPr>
                  <w:tcW w:w="551"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40</w:t>
                  </w:r>
                </w:p>
              </w:tc>
              <w:tc>
                <w:tcPr>
                  <w:tcW w:w="889"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714</w:t>
                  </w:r>
                </w:p>
              </w:tc>
              <w:tc>
                <w:tcPr>
                  <w:tcW w:w="67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15</w:t>
                  </w:r>
                </w:p>
              </w:tc>
              <w:tc>
                <w:tcPr>
                  <w:tcW w:w="797"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rPr>
                    <w:t>0.</w:t>
                  </w:r>
                  <w:r>
                    <w:rPr>
                      <w:rFonts w:hint="eastAsia" w:ascii="Times New Roman" w:hAnsi="Times New Roman" w:cs="Times New Roman"/>
                      <w:b w:val="0"/>
                      <w:bCs/>
                      <w:color w:val="auto"/>
                      <w:spacing w:val="0"/>
                      <w:sz w:val="21"/>
                      <w:szCs w:val="21"/>
                      <w:lang w:val="en-US" w:eastAsia="zh-CN"/>
                    </w:rPr>
                    <w:t>4</w:t>
                  </w:r>
                </w:p>
              </w:tc>
              <w:tc>
                <w:tcPr>
                  <w:tcW w:w="67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z w:val="21"/>
                      <w:szCs w:val="21"/>
                      <w:lang w:val="en-US" w:eastAsia="zh-CN"/>
                    </w:rPr>
                    <w:t>11</w:t>
                  </w:r>
                </w:p>
              </w:tc>
              <w:tc>
                <w:tcPr>
                  <w:tcW w:w="62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2</w:t>
                  </w:r>
                  <w:r>
                    <w:rPr>
                      <w:rFonts w:hint="eastAsia" w:ascii="Times New Roman" w:hAnsi="Times New Roman" w:cs="Times New Roman"/>
                      <w:b w:val="0"/>
                      <w:bCs/>
                      <w:color w:val="auto"/>
                      <w:spacing w:val="0"/>
                      <w:sz w:val="21"/>
                      <w:szCs w:val="21"/>
                      <w:lang w:val="en-US" w:eastAsia="zh-CN"/>
                    </w:rPr>
                    <w:t>5</w:t>
                  </w:r>
                </w:p>
              </w:tc>
              <w:tc>
                <w:tcPr>
                  <w:tcW w:w="782"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1500</w:t>
                  </w:r>
                </w:p>
              </w:tc>
              <w:tc>
                <w:tcPr>
                  <w:tcW w:w="67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正常工况</w:t>
                  </w:r>
                </w:p>
              </w:tc>
              <w:tc>
                <w:tcPr>
                  <w:tcW w:w="918"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0.00</w:t>
                  </w:r>
                  <w:r>
                    <w:rPr>
                      <w:rFonts w:hint="eastAsia" w:ascii="Times New Roman" w:hAnsi="Times New Roman" w:cs="Times New Roman"/>
                      <w:b w:val="0"/>
                      <w:bCs/>
                      <w:color w:val="auto"/>
                      <w:spacing w:val="0"/>
                      <w:sz w:val="21"/>
                      <w:szCs w:val="21"/>
                      <w:lang w:val="en-US" w:eastAsia="zh-CN"/>
                    </w:rPr>
                    <w:t>227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2</w:t>
                  </w:r>
                </w:p>
              </w:tc>
              <w:tc>
                <w:tcPr>
                  <w:tcW w:w="87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sz w:val="21"/>
                      <w:szCs w:val="21"/>
                    </w:rPr>
                    <w:t>颗粒物（以TSP计）</w:t>
                  </w:r>
                </w:p>
              </w:tc>
              <w:tc>
                <w:tcPr>
                  <w:tcW w:w="61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15</w:t>
                  </w:r>
                </w:p>
              </w:tc>
              <w:tc>
                <w:tcPr>
                  <w:tcW w:w="551"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40</w:t>
                  </w:r>
                </w:p>
              </w:tc>
              <w:tc>
                <w:tcPr>
                  <w:tcW w:w="889"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714</w:t>
                  </w:r>
                </w:p>
              </w:tc>
              <w:tc>
                <w:tcPr>
                  <w:tcW w:w="67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15</w:t>
                  </w:r>
                </w:p>
              </w:tc>
              <w:tc>
                <w:tcPr>
                  <w:tcW w:w="797"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0.4</w:t>
                  </w:r>
                </w:p>
              </w:tc>
              <w:tc>
                <w:tcPr>
                  <w:tcW w:w="67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11</w:t>
                  </w:r>
                </w:p>
              </w:tc>
              <w:tc>
                <w:tcPr>
                  <w:tcW w:w="62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2</w:t>
                  </w:r>
                  <w:r>
                    <w:rPr>
                      <w:rFonts w:hint="eastAsia" w:ascii="Times New Roman" w:hAnsi="Times New Roman" w:cs="Times New Roman"/>
                      <w:b w:val="0"/>
                      <w:bCs/>
                      <w:color w:val="auto"/>
                      <w:spacing w:val="0"/>
                      <w:sz w:val="21"/>
                      <w:szCs w:val="21"/>
                      <w:lang w:val="en-US" w:eastAsia="zh-CN"/>
                    </w:rPr>
                    <w:t>5</w:t>
                  </w:r>
                </w:p>
              </w:tc>
              <w:tc>
                <w:tcPr>
                  <w:tcW w:w="782"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1200</w:t>
                  </w:r>
                </w:p>
              </w:tc>
              <w:tc>
                <w:tcPr>
                  <w:tcW w:w="67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正常工况</w:t>
                  </w:r>
                </w:p>
              </w:tc>
              <w:tc>
                <w:tcPr>
                  <w:tcW w:w="918"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0.0052</w:t>
                  </w:r>
                </w:p>
              </w:tc>
            </w:tr>
          </w:tbl>
          <w:p>
            <w:pPr>
              <w:spacing w:before="156" w:beforeLines="50" w:after="156" w:afterLines="50" w:line="360" w:lineRule="auto"/>
              <w:ind w:left="0" w:leftChars="0" w:firstLine="0" w:firstLineChars="0"/>
              <w:jc w:val="center"/>
              <w:rPr>
                <w:rFonts w:hint="eastAsia" w:ascii="宋体" w:hAnsi="宋体" w:cs="Times New Roman"/>
                <w:b/>
                <w:bCs/>
                <w:sz w:val="24"/>
                <w:lang w:val="en-US" w:eastAsia="zh-CN"/>
              </w:rPr>
            </w:pPr>
            <w:r>
              <w:rPr>
                <w:rFonts w:hint="default" w:ascii="宋体" w:hAnsi="宋体" w:cs="Times New Roman"/>
                <w:b/>
                <w:bCs/>
                <w:sz w:val="24"/>
              </w:rPr>
              <w:t>表</w:t>
            </w:r>
            <w:r>
              <w:rPr>
                <w:rFonts w:hint="eastAsia" w:ascii="宋体" w:hAnsi="宋体" w:cs="Times New Roman"/>
                <w:b/>
                <w:bCs/>
                <w:sz w:val="24"/>
                <w:lang w:val="en-US" w:eastAsia="zh-CN"/>
              </w:rPr>
              <w:t>7-5</w:t>
            </w:r>
            <w:r>
              <w:rPr>
                <w:rFonts w:hint="default" w:ascii="宋体" w:hAnsi="宋体" w:cs="Times New Roman"/>
                <w:b/>
                <w:bCs/>
                <w:sz w:val="24"/>
              </w:rPr>
              <w:t xml:space="preserve"> 有组织</w:t>
            </w:r>
            <w:r>
              <w:rPr>
                <w:rFonts w:hint="eastAsia" w:ascii="宋体" w:hAnsi="宋体" w:cs="Times New Roman"/>
                <w:b/>
                <w:bCs/>
                <w:sz w:val="24"/>
                <w:lang w:val="en-US" w:eastAsia="zh-CN"/>
              </w:rPr>
              <w:t>废气</w:t>
            </w:r>
            <w:r>
              <w:rPr>
                <w:rFonts w:hint="default" w:ascii="宋体" w:hAnsi="宋体" w:cs="Times New Roman"/>
                <w:b/>
                <w:bCs/>
                <w:sz w:val="24"/>
              </w:rPr>
              <w:t>估算</w:t>
            </w:r>
            <w:r>
              <w:rPr>
                <w:rFonts w:hint="default" w:ascii="宋体" w:hAnsi="宋体" w:cs="Times New Roman"/>
                <w:b/>
                <w:bCs/>
                <w:sz w:val="24"/>
                <w:lang w:val="en-US" w:eastAsia="zh-CN"/>
              </w:rPr>
              <w:t>模型计算</w:t>
            </w:r>
            <w:r>
              <w:rPr>
                <w:rFonts w:hint="default" w:ascii="宋体" w:hAnsi="宋体" w:cs="Times New Roman"/>
                <w:b/>
                <w:bCs/>
                <w:sz w:val="24"/>
              </w:rPr>
              <w:t>表</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0" w:type="dxa"/>
                <w:bottom w:w="28" w:type="dxa"/>
                <w:right w:w="0" w:type="dxa"/>
              </w:tblCellMar>
            </w:tblPr>
            <w:tblGrid>
              <w:gridCol w:w="1709"/>
              <w:gridCol w:w="1770"/>
              <w:gridCol w:w="1695"/>
              <w:gridCol w:w="1723"/>
              <w:gridCol w:w="16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下风向距离（m）</w:t>
                  </w:r>
                </w:p>
              </w:tc>
              <w:tc>
                <w:tcPr>
                  <w:tcW w:w="6795"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有组织废气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rPr>
                  </w:pPr>
                </w:p>
              </w:tc>
              <w:tc>
                <w:tcPr>
                  <w:tcW w:w="346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333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sz w:val="21"/>
                      <w:szCs w:val="21"/>
                    </w:rPr>
                    <w:t>颗粒物（以TSP计）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rPr>
                  </w:pPr>
                </w:p>
              </w:tc>
              <w:tc>
                <w:tcPr>
                  <w:tcW w:w="177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预测</w:t>
                  </w:r>
                  <w:r>
                    <w:rPr>
                      <w:rFonts w:hint="default" w:ascii="Times New Roman" w:hAnsi="Times New Roman" w:eastAsia="宋体" w:cs="Times New Roman"/>
                      <w:color w:val="auto"/>
                      <w:sz w:val="21"/>
                      <w:szCs w:val="21"/>
                      <w:lang w:val="en-US" w:eastAsia="zh-CN"/>
                    </w:rPr>
                    <w:t>质量</w:t>
                  </w:r>
                  <w:r>
                    <w:rPr>
                      <w:rFonts w:hint="default" w:ascii="Times New Roman" w:hAnsi="Times New Roman" w:eastAsia="宋体" w:cs="Times New Roman"/>
                      <w:color w:val="auto"/>
                      <w:sz w:val="21"/>
                      <w:szCs w:val="21"/>
                    </w:rPr>
                    <w:t>浓度（</w:t>
                  </w:r>
                  <w:r>
                    <w:rPr>
                      <w:rFonts w:hint="default" w:ascii="Times New Roman" w:hAnsi="Times New Roman" w:eastAsia="宋体" w:cs="Times New Roman"/>
                      <w:bCs/>
                      <w:color w:val="auto"/>
                      <w:kern w:val="0"/>
                      <w:sz w:val="21"/>
                      <w:szCs w:val="21"/>
                      <w:highlight w:val="none"/>
                      <w:vertAlign w:val="baseline"/>
                      <w:lang w:val="en-US" w:eastAsia="zh-CN"/>
                    </w:rPr>
                    <w:t>ug/m</w:t>
                  </w:r>
                  <w:r>
                    <w:rPr>
                      <w:rFonts w:hint="default" w:ascii="Times New Roman" w:hAnsi="Times New Roman" w:eastAsia="宋体" w:cs="Times New Roman"/>
                      <w:bCs/>
                      <w:color w:val="auto"/>
                      <w:kern w:val="0"/>
                      <w:sz w:val="21"/>
                      <w:szCs w:val="21"/>
                      <w:highlight w:val="none"/>
                      <w:vertAlign w:val="superscript"/>
                      <w:lang w:val="en-US" w:eastAsia="zh-CN"/>
                    </w:rPr>
                    <w:t>3</w:t>
                  </w:r>
                  <w:r>
                    <w:rPr>
                      <w:rFonts w:hint="default" w:ascii="Times New Roman" w:hAnsi="Times New Roman" w:eastAsia="宋体" w:cs="Times New Roman"/>
                      <w:color w:val="auto"/>
                      <w:sz w:val="21"/>
                      <w:szCs w:val="21"/>
                    </w:rPr>
                    <w:t>）</w:t>
                  </w:r>
                </w:p>
              </w:tc>
              <w:tc>
                <w:tcPr>
                  <w:tcW w:w="169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占标率（%）</w:t>
                  </w:r>
                </w:p>
              </w:tc>
              <w:tc>
                <w:tcPr>
                  <w:tcW w:w="172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预测</w:t>
                  </w:r>
                  <w:r>
                    <w:rPr>
                      <w:rFonts w:hint="default" w:ascii="Times New Roman" w:hAnsi="Times New Roman" w:eastAsia="宋体" w:cs="Times New Roman"/>
                      <w:color w:val="auto"/>
                      <w:sz w:val="21"/>
                      <w:szCs w:val="21"/>
                      <w:lang w:val="en-US" w:eastAsia="zh-CN"/>
                    </w:rPr>
                    <w:t>质量</w:t>
                  </w:r>
                  <w:r>
                    <w:rPr>
                      <w:rFonts w:hint="default" w:ascii="Times New Roman" w:hAnsi="Times New Roman" w:eastAsia="宋体" w:cs="Times New Roman"/>
                      <w:color w:val="auto"/>
                      <w:sz w:val="21"/>
                      <w:szCs w:val="21"/>
                    </w:rPr>
                    <w:t>浓度（</w:t>
                  </w:r>
                  <w:r>
                    <w:rPr>
                      <w:rFonts w:hint="default" w:ascii="Times New Roman" w:hAnsi="Times New Roman" w:eastAsia="宋体" w:cs="Times New Roman"/>
                      <w:bCs/>
                      <w:color w:val="auto"/>
                      <w:kern w:val="0"/>
                      <w:sz w:val="21"/>
                      <w:szCs w:val="21"/>
                      <w:highlight w:val="none"/>
                      <w:vertAlign w:val="baseline"/>
                      <w:lang w:val="en-US" w:eastAsia="zh-CN"/>
                    </w:rPr>
                    <w:t>ug/m</w:t>
                  </w:r>
                  <w:r>
                    <w:rPr>
                      <w:rFonts w:hint="default" w:ascii="Times New Roman" w:hAnsi="Times New Roman" w:eastAsia="宋体" w:cs="Times New Roman"/>
                      <w:bCs/>
                      <w:color w:val="auto"/>
                      <w:kern w:val="0"/>
                      <w:sz w:val="21"/>
                      <w:szCs w:val="21"/>
                      <w:highlight w:val="none"/>
                      <w:vertAlign w:val="superscript"/>
                      <w:lang w:val="en-US" w:eastAsia="zh-CN"/>
                    </w:rPr>
                    <w:t>3</w:t>
                  </w:r>
                  <w:r>
                    <w:rPr>
                      <w:rFonts w:hint="default" w:ascii="Times New Roman" w:hAnsi="Times New Roman" w:eastAsia="宋体" w:cs="Times New Roman"/>
                      <w:color w:val="auto"/>
                      <w:sz w:val="21"/>
                      <w:szCs w:val="21"/>
                    </w:rPr>
                    <w:t>）</w:t>
                  </w:r>
                </w:p>
              </w:tc>
              <w:tc>
                <w:tcPr>
                  <w:tcW w:w="16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8.68E-06</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4.3405E-07</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1.94E-05</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0.1112</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0.0056</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0.249</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0.0277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0.1396</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w:t>
                  </w:r>
                  <w:r>
                    <w:rPr>
                      <w:rFonts w:hint="eastAsia" w:ascii="Times New Roman" w:hAnsi="Times New Roman" w:cs="Times New Roman"/>
                      <w:sz w:val="21"/>
                      <w:szCs w:val="21"/>
                      <w:lang w:val="en-US" w:eastAsia="zh-CN"/>
                    </w:rPr>
                    <w:t>70</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0.3126</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75</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0.2133</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0.010</w:t>
                  </w:r>
                  <w:r>
                    <w:rPr>
                      <w:rFonts w:hint="eastAsia" w:ascii="Times New Roman" w:hAnsi="Times New Roman" w:cs="Times New Roman"/>
                      <w:sz w:val="21"/>
                      <w:szCs w:val="21"/>
                      <w:lang w:val="en-US" w:eastAsia="zh-CN"/>
                    </w:rPr>
                    <w:t>7</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0.4778</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0.053</w:t>
                  </w:r>
                  <w:r>
                    <w:rPr>
                      <w:rFonts w:hint="eastAsia" w:cs="Times New Roman"/>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0.207</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0.010</w:t>
                  </w:r>
                  <w:r>
                    <w:rPr>
                      <w:rFonts w:hint="eastAsia" w:ascii="Times New Roman" w:hAnsi="Times New Roman" w:cs="Times New Roman"/>
                      <w:sz w:val="21"/>
                      <w:szCs w:val="21"/>
                      <w:lang w:val="en-US" w:eastAsia="zh-CN"/>
                    </w:rPr>
                    <w:t>4</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0.4637</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0.0515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0.2073</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0.010</w:t>
                  </w:r>
                  <w:r>
                    <w:rPr>
                      <w:rFonts w:hint="eastAsia" w:ascii="Times New Roman" w:hAnsi="Times New Roman" w:cs="Times New Roman"/>
                      <w:sz w:val="21"/>
                      <w:szCs w:val="21"/>
                      <w:lang w:val="en-US" w:eastAsia="zh-CN"/>
                    </w:rPr>
                    <w:t>4</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0.4643</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0.051</w:t>
                  </w:r>
                  <w:r>
                    <w:rPr>
                      <w:rFonts w:hint="eastAsia" w:cs="Times New Roman"/>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0.1789</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0.0089</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0.4008</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0.0445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0.1423</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0.007</w:t>
                  </w:r>
                  <w:r>
                    <w:rPr>
                      <w:rFonts w:hint="eastAsia" w:ascii="Times New Roman" w:hAnsi="Times New Roman" w:cs="Times New Roman"/>
                      <w:sz w:val="21"/>
                      <w:szCs w:val="21"/>
                      <w:lang w:val="en-US" w:eastAsia="zh-CN"/>
                    </w:rPr>
                    <w:t>2</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0.3187</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0.1142</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0.0057</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0.2557</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0.0284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8.51E-02</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0.004</w:t>
                  </w:r>
                  <w:r>
                    <w:rPr>
                      <w:rFonts w:hint="eastAsia" w:ascii="Times New Roman" w:hAnsi="Times New Roman" w:cs="Times New Roman"/>
                      <w:sz w:val="21"/>
                      <w:szCs w:val="21"/>
                      <w:lang w:val="en-US" w:eastAsia="zh-CN"/>
                    </w:rPr>
                    <w:t>3</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0.1907</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0.021</w:t>
                  </w:r>
                  <w:r>
                    <w:rPr>
                      <w:rFonts w:hint="eastAsia"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1500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6.72E-02</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0.003</w:t>
                  </w:r>
                  <w:r>
                    <w:rPr>
                      <w:rFonts w:hint="eastAsia" w:ascii="Times New Roman" w:hAnsi="Times New Roman" w:cs="Times New Roman"/>
                      <w:sz w:val="21"/>
                      <w:szCs w:val="21"/>
                      <w:lang w:val="en-US" w:eastAsia="zh-CN"/>
                    </w:rPr>
                    <w:t>4</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0.1506</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5.32E-02</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0.002</w:t>
                  </w:r>
                  <w:r>
                    <w:rPr>
                      <w:rFonts w:hint="eastAsia" w:ascii="Times New Roman" w:hAnsi="Times New Roman" w:cs="Times New Roman"/>
                      <w:sz w:val="21"/>
                      <w:szCs w:val="21"/>
                      <w:lang w:val="en-US" w:eastAsia="zh-CN"/>
                    </w:rPr>
                    <w:t>7</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0.1191</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2500</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4.58E-02</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0.002</w:t>
                  </w:r>
                  <w:r>
                    <w:rPr>
                      <w:rFonts w:hint="eastAsia" w:ascii="Times New Roman" w:hAnsi="Times New Roman" w:cs="Times New Roman"/>
                      <w:sz w:val="21"/>
                      <w:szCs w:val="21"/>
                      <w:lang w:val="en-US" w:eastAsia="zh-CN"/>
                    </w:rPr>
                    <w:t>3</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0.1026</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709"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下风向最大质量浓度及占标率</w:t>
                  </w:r>
                </w:p>
              </w:tc>
              <w:tc>
                <w:tcPr>
                  <w:tcW w:w="17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0.2162</w:t>
                  </w:r>
                </w:p>
              </w:tc>
              <w:tc>
                <w:tcPr>
                  <w:tcW w:w="1695"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0.0108</w:t>
                  </w:r>
                </w:p>
              </w:tc>
              <w:tc>
                <w:tcPr>
                  <w:tcW w:w="1723"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0.4844</w:t>
                  </w:r>
                </w:p>
              </w:tc>
              <w:tc>
                <w:tcPr>
                  <w:tcW w:w="1607"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0.0538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315" w:hRule="atLeast"/>
                <w:jc w:val="center"/>
              </w:trPr>
              <w:tc>
                <w:tcPr>
                  <w:tcW w:w="170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最大落地浓度出现距离m</w:t>
                  </w:r>
                </w:p>
              </w:tc>
              <w:tc>
                <w:tcPr>
                  <w:tcW w:w="346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83</w:t>
                  </w:r>
                </w:p>
              </w:tc>
              <w:tc>
                <w:tcPr>
                  <w:tcW w:w="333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83</w:t>
                  </w:r>
                </w:p>
              </w:tc>
            </w:tr>
          </w:tbl>
          <w:p>
            <w:pPr>
              <w:pStyle w:val="32"/>
              <w:tabs>
                <w:tab w:val="left" w:pos="8607"/>
              </w:tabs>
              <w:spacing w:after="0" w:line="360" w:lineRule="auto"/>
              <w:ind w:left="0" w:leftChars="0" w:firstLine="480"/>
              <w:jc w:val="left"/>
              <w:rPr>
                <w:color w:val="000000" w:themeColor="text1"/>
                <w:sz w:val="24"/>
                <w:szCs w:val="24"/>
              </w:rPr>
            </w:pPr>
            <w:r>
              <w:rPr>
                <w:color w:val="000000" w:themeColor="text1"/>
                <w:sz w:val="24"/>
                <w:szCs w:val="24"/>
              </w:rPr>
              <w:t>本项目</w:t>
            </w:r>
            <w:r>
              <w:rPr>
                <w:rFonts w:hint="eastAsia"/>
                <w:color w:val="000000" w:themeColor="text1"/>
                <w:sz w:val="24"/>
                <w:szCs w:val="24"/>
                <w:lang w:val="en-US" w:eastAsia="zh-CN"/>
              </w:rPr>
              <w:t>天然气燃烧</w:t>
            </w:r>
            <w:r>
              <w:rPr>
                <w:color w:val="000000" w:themeColor="text1"/>
                <w:sz w:val="24"/>
                <w:szCs w:val="24"/>
              </w:rPr>
              <w:t>废气排放源参数见表7-</w:t>
            </w:r>
            <w:r>
              <w:rPr>
                <w:rFonts w:hint="eastAsia"/>
                <w:color w:val="000000" w:themeColor="text1"/>
                <w:sz w:val="24"/>
                <w:szCs w:val="24"/>
                <w:lang w:val="en-US" w:eastAsia="zh-CN"/>
              </w:rPr>
              <w:t>6</w:t>
            </w:r>
            <w:r>
              <w:rPr>
                <w:color w:val="000000" w:themeColor="text1"/>
                <w:sz w:val="24"/>
                <w:szCs w:val="24"/>
              </w:rPr>
              <w:t>。</w:t>
            </w:r>
          </w:p>
          <w:p>
            <w:pPr>
              <w:adjustRightInd w:val="0"/>
              <w:snapToGrid w:val="0"/>
              <w:spacing w:line="360" w:lineRule="auto"/>
              <w:jc w:val="center"/>
              <w:rPr>
                <w:rFonts w:hint="eastAsia"/>
                <w:b/>
                <w:sz w:val="24"/>
                <w:szCs w:val="24"/>
              </w:rPr>
            </w:pPr>
            <w:r>
              <w:rPr>
                <w:b/>
                <w:sz w:val="24"/>
                <w:szCs w:val="24"/>
              </w:rPr>
              <w:t>表7-</w:t>
            </w:r>
            <w:r>
              <w:rPr>
                <w:rFonts w:hint="eastAsia"/>
                <w:b/>
                <w:sz w:val="24"/>
                <w:szCs w:val="24"/>
                <w:lang w:val="en-US" w:eastAsia="zh-CN"/>
              </w:rPr>
              <w:t>6 天然气燃烧</w:t>
            </w:r>
            <w:r>
              <w:rPr>
                <w:rFonts w:hint="eastAsia"/>
                <w:b/>
                <w:sz w:val="24"/>
                <w:szCs w:val="24"/>
              </w:rPr>
              <w:t>废气排放源参数表</w:t>
            </w:r>
          </w:p>
          <w:tbl>
            <w:tblPr>
              <w:tblStyle w:val="34"/>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6"/>
              <w:gridCol w:w="717"/>
              <w:gridCol w:w="506"/>
              <w:gridCol w:w="453"/>
              <w:gridCol w:w="731"/>
              <w:gridCol w:w="555"/>
              <w:gridCol w:w="655"/>
              <w:gridCol w:w="554"/>
              <w:gridCol w:w="514"/>
              <w:gridCol w:w="643"/>
              <w:gridCol w:w="495"/>
              <w:gridCol w:w="705"/>
              <w:gridCol w:w="825"/>
              <w:gridCol w:w="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6"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编号</w:t>
                  </w:r>
                </w:p>
              </w:tc>
              <w:tc>
                <w:tcPr>
                  <w:tcW w:w="717"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名称</w:t>
                  </w:r>
                </w:p>
              </w:tc>
              <w:tc>
                <w:tcPr>
                  <w:tcW w:w="959" w:type="dxa"/>
                  <w:gridSpan w:val="2"/>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lang w:val="en-US"/>
                    </w:rPr>
                    <w:t>排气筒底部中心坐标</w:t>
                  </w:r>
                  <w:r>
                    <w:rPr>
                      <w:rFonts w:hint="default" w:ascii="Times New Roman" w:hAnsi="Times New Roman" w:eastAsia="宋体" w:cs="Times New Roman"/>
                      <w:b w:val="0"/>
                      <w:bCs/>
                      <w:color w:val="auto"/>
                      <w:spacing w:val="0"/>
                      <w:sz w:val="21"/>
                      <w:szCs w:val="21"/>
                      <w:lang w:val="en-US" w:eastAsia="zh-CN"/>
                    </w:rPr>
                    <w:t>/</w:t>
                  </w:r>
                  <w:r>
                    <w:rPr>
                      <w:rFonts w:hint="default" w:ascii="Times New Roman" w:hAnsi="Times New Roman" w:eastAsia="宋体" w:cs="Times New Roman"/>
                      <w:b w:val="0"/>
                      <w:bCs/>
                      <w:color w:val="auto"/>
                      <w:spacing w:val="0"/>
                      <w:sz w:val="21"/>
                      <w:szCs w:val="21"/>
                      <w:lang w:val="en-US"/>
                    </w:rPr>
                    <w:t>m</w:t>
                  </w:r>
                </w:p>
              </w:tc>
              <w:tc>
                <w:tcPr>
                  <w:tcW w:w="731"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排气筒底部海拔高度/m</w:t>
                  </w:r>
                </w:p>
              </w:tc>
              <w:tc>
                <w:tcPr>
                  <w:tcW w:w="555"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排气筒高度/m</w:t>
                  </w:r>
                </w:p>
              </w:tc>
              <w:tc>
                <w:tcPr>
                  <w:tcW w:w="655"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排气筒出口内径/m</w:t>
                  </w:r>
                </w:p>
              </w:tc>
              <w:tc>
                <w:tcPr>
                  <w:tcW w:w="554"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烟气流速</w:t>
                  </w:r>
                  <w:r>
                    <w:rPr>
                      <w:rFonts w:hint="default" w:ascii="Times New Roman" w:hAnsi="Times New Roman" w:eastAsia="宋体" w:cs="Times New Roman"/>
                      <w:b w:val="0"/>
                      <w:bCs/>
                      <w:color w:val="auto"/>
                      <w:sz w:val="21"/>
                      <w:szCs w:val="21"/>
                    </w:rPr>
                    <w:t>（m/s）</w:t>
                  </w:r>
                </w:p>
              </w:tc>
              <w:tc>
                <w:tcPr>
                  <w:tcW w:w="514"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z w:val="21"/>
                      <w:szCs w:val="21"/>
                    </w:rPr>
                    <w:t>烟气温度</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w:t>
                  </w:r>
                </w:p>
              </w:tc>
              <w:tc>
                <w:tcPr>
                  <w:tcW w:w="643"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rPr>
                    <w:t>年排放小时数</w:t>
                  </w:r>
                  <w:r>
                    <w:rPr>
                      <w:rFonts w:hint="default" w:ascii="Times New Roman" w:hAnsi="Times New Roman" w:eastAsia="宋体" w:cs="Times New Roman"/>
                      <w:b w:val="0"/>
                      <w:bCs/>
                      <w:color w:val="auto"/>
                      <w:spacing w:val="0"/>
                      <w:sz w:val="21"/>
                      <w:szCs w:val="21"/>
                      <w:lang w:val="en-US" w:eastAsia="zh-CN"/>
                    </w:rPr>
                    <w:t>/h</w:t>
                  </w:r>
                </w:p>
              </w:tc>
              <w:tc>
                <w:tcPr>
                  <w:tcW w:w="495" w:type="dxa"/>
                  <w:vMerge w:val="restart"/>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排放工况</w:t>
                  </w:r>
                </w:p>
              </w:tc>
              <w:tc>
                <w:tcPr>
                  <w:tcW w:w="2325" w:type="dxa"/>
                  <w:gridSpan w:val="3"/>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rPr>
                    <w:t>污染物排放速率/</w:t>
                  </w:r>
                  <w:r>
                    <w:rPr>
                      <w:rFonts w:hint="default" w:ascii="Times New Roman" w:hAnsi="Times New Roman" w:eastAsia="宋体" w:cs="Times New Roman"/>
                      <w:b w:val="0"/>
                      <w:bCs/>
                      <w:color w:val="auto"/>
                      <w:sz w:val="21"/>
                      <w:szCs w:val="21"/>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6"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717"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506"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lang w:val="en-US"/>
                    </w:rPr>
                    <w:t>X</w:t>
                  </w:r>
                </w:p>
              </w:tc>
              <w:tc>
                <w:tcPr>
                  <w:tcW w:w="45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color w:val="auto"/>
                      <w:spacing w:val="0"/>
                      <w:sz w:val="21"/>
                      <w:szCs w:val="21"/>
                      <w:lang w:val="en-US"/>
                    </w:rPr>
                    <w:t>Y</w:t>
                  </w:r>
                </w:p>
              </w:tc>
              <w:tc>
                <w:tcPr>
                  <w:tcW w:w="731"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555"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655"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554"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514"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z w:val="21"/>
                      <w:szCs w:val="21"/>
                    </w:rPr>
                  </w:pPr>
                </w:p>
              </w:tc>
              <w:tc>
                <w:tcPr>
                  <w:tcW w:w="643"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495" w:type="dxa"/>
                  <w:vMerge w:val="continue"/>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rPr>
                  </w:pPr>
                </w:p>
              </w:tc>
              <w:tc>
                <w:tcPr>
                  <w:tcW w:w="705" w:type="dxa"/>
                  <w:tcBorders>
                    <w:tl2br w:val="nil"/>
                    <w:tr2bl w:val="nil"/>
                  </w:tcBorders>
                  <w:noWrap w:val="0"/>
                  <w:vAlign w:val="center"/>
                </w:tcPr>
                <w:p>
                  <w:pPr>
                    <w:pStyle w:val="142"/>
                    <w:spacing w:before="78" w:line="320" w:lineRule="exact"/>
                    <w:ind w:left="0" w:leftChars="0" w:firstLine="0" w:firstLineChars="0"/>
                    <w:jc w:val="both"/>
                    <w:textAlignment w:val="auto"/>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sz w:val="21"/>
                      <w:szCs w:val="21"/>
                    </w:rPr>
                    <w:t>颗粒物（以TSP计）</w:t>
                  </w:r>
                </w:p>
              </w:tc>
              <w:tc>
                <w:tcPr>
                  <w:tcW w:w="825" w:type="dxa"/>
                  <w:tcBorders>
                    <w:tl2br w:val="nil"/>
                    <w:tr2bl w:val="nil"/>
                  </w:tcBorders>
                  <w:noWrap w:val="0"/>
                  <w:vAlign w:val="center"/>
                </w:tcPr>
                <w:p>
                  <w:pPr>
                    <w:pStyle w:val="142"/>
                    <w:spacing w:before="78" w:line="320" w:lineRule="exact"/>
                    <w:ind w:left="0" w:leftChars="0" w:firstLine="0" w:firstLineChars="0"/>
                    <w:jc w:val="both"/>
                    <w:textAlignment w:val="auto"/>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sz w:val="21"/>
                      <w:szCs w:val="21"/>
                    </w:rPr>
                    <w:t>NO</w:t>
                  </w:r>
                  <w:r>
                    <w:rPr>
                      <w:rFonts w:hint="default" w:ascii="Times New Roman" w:hAnsi="Times New Roman" w:eastAsia="宋体" w:cs="Times New Roman"/>
                      <w:b w:val="0"/>
                      <w:bCs/>
                      <w:sz w:val="21"/>
                      <w:szCs w:val="21"/>
                      <w:lang w:val="en-US" w:eastAsia="zh-CN"/>
                    </w:rPr>
                    <w:t>x</w:t>
                  </w:r>
                </w:p>
              </w:tc>
              <w:tc>
                <w:tcPr>
                  <w:tcW w:w="795" w:type="dxa"/>
                  <w:tcBorders>
                    <w:tl2br w:val="nil"/>
                    <w:tr2bl w:val="nil"/>
                  </w:tcBorders>
                  <w:noWrap w:val="0"/>
                  <w:vAlign w:val="center"/>
                </w:tcPr>
                <w:p>
                  <w:pPr>
                    <w:pStyle w:val="142"/>
                    <w:spacing w:before="78" w:line="320" w:lineRule="exact"/>
                    <w:ind w:left="0" w:leftChars="0" w:firstLine="0" w:firstLineChars="0"/>
                    <w:jc w:val="both"/>
                    <w:textAlignment w:val="auto"/>
                    <w:rPr>
                      <w:rFonts w:hint="default" w:ascii="Times New Roman" w:hAnsi="Times New Roman" w:eastAsia="宋体" w:cs="Times New Roman"/>
                      <w:b w:val="0"/>
                      <w:bCs/>
                      <w:color w:val="auto"/>
                      <w:spacing w:val="0"/>
                      <w:sz w:val="21"/>
                      <w:szCs w:val="21"/>
                    </w:rPr>
                  </w:pPr>
                  <w:r>
                    <w:rPr>
                      <w:rFonts w:hint="default" w:ascii="Times New Roman" w:hAnsi="Times New Roman" w:eastAsia="宋体" w:cs="Times New Roman"/>
                      <w:b w:val="0"/>
                      <w:bCs/>
                      <w:sz w:val="21"/>
                      <w:szCs w:val="21"/>
                    </w:rPr>
                    <w:t>SO</w:t>
                  </w:r>
                  <w:r>
                    <w:rPr>
                      <w:rFonts w:hint="default" w:ascii="Times New Roman" w:hAnsi="Times New Roman" w:eastAsia="宋体" w:cs="Times New Roman"/>
                      <w:b w:val="0"/>
                      <w:bCs/>
                      <w:sz w:val="21"/>
                      <w:szCs w:val="21"/>
                      <w:vertAlign w:val="sub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6"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1</w:t>
                  </w:r>
                </w:p>
              </w:tc>
              <w:tc>
                <w:tcPr>
                  <w:tcW w:w="717"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燃烧废气</w:t>
                  </w:r>
                </w:p>
              </w:tc>
              <w:tc>
                <w:tcPr>
                  <w:tcW w:w="506"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15</w:t>
                  </w:r>
                </w:p>
              </w:tc>
              <w:tc>
                <w:tcPr>
                  <w:tcW w:w="45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30</w:t>
                  </w:r>
                </w:p>
              </w:tc>
              <w:tc>
                <w:tcPr>
                  <w:tcW w:w="731"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714</w:t>
                  </w:r>
                </w:p>
              </w:tc>
              <w:tc>
                <w:tcPr>
                  <w:tcW w:w="55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pacing w:val="0"/>
                      <w:sz w:val="21"/>
                      <w:szCs w:val="21"/>
                      <w:lang w:val="en-US" w:eastAsia="zh-CN"/>
                    </w:rPr>
                    <w:t>15</w:t>
                  </w:r>
                </w:p>
              </w:tc>
              <w:tc>
                <w:tcPr>
                  <w:tcW w:w="65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rPr>
                    <w:t>0.</w:t>
                  </w:r>
                  <w:r>
                    <w:rPr>
                      <w:rFonts w:hint="default" w:ascii="Times New Roman" w:hAnsi="Times New Roman" w:eastAsia="宋体" w:cs="Times New Roman"/>
                      <w:b w:val="0"/>
                      <w:bCs/>
                      <w:color w:val="auto"/>
                      <w:spacing w:val="0"/>
                      <w:sz w:val="21"/>
                      <w:szCs w:val="21"/>
                      <w:lang w:val="en-US" w:eastAsia="zh-CN"/>
                    </w:rPr>
                    <w:t>4</w:t>
                  </w:r>
                </w:p>
              </w:tc>
              <w:tc>
                <w:tcPr>
                  <w:tcW w:w="554"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eastAsia" w:ascii="Times New Roman" w:hAnsi="Times New Roman" w:cs="Times New Roman"/>
                      <w:b w:val="0"/>
                      <w:bCs/>
                      <w:color w:val="auto"/>
                      <w:sz w:val="21"/>
                      <w:szCs w:val="21"/>
                      <w:lang w:val="en-US" w:eastAsia="zh-CN"/>
                    </w:rPr>
                    <w:t>11</w:t>
                  </w:r>
                </w:p>
              </w:tc>
              <w:tc>
                <w:tcPr>
                  <w:tcW w:w="514"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80</w:t>
                  </w:r>
                </w:p>
              </w:tc>
              <w:tc>
                <w:tcPr>
                  <w:tcW w:w="643"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1500</w:t>
                  </w:r>
                </w:p>
              </w:tc>
              <w:tc>
                <w:tcPr>
                  <w:tcW w:w="49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auto"/>
                      <w:spacing w:val="0"/>
                      <w:sz w:val="21"/>
                      <w:szCs w:val="21"/>
                      <w:lang w:val="en-US" w:eastAsia="zh-CN"/>
                    </w:rPr>
                    <w:t>正常工况</w:t>
                  </w:r>
                </w:p>
              </w:tc>
              <w:tc>
                <w:tcPr>
                  <w:tcW w:w="70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000000"/>
                      <w:kern w:val="0"/>
                      <w:sz w:val="21"/>
                      <w:szCs w:val="21"/>
                      <w:lang w:val="en-US" w:eastAsia="zh-CN"/>
                    </w:rPr>
                    <w:t>0.000</w:t>
                  </w:r>
                  <w:r>
                    <w:rPr>
                      <w:rFonts w:hint="eastAsia" w:ascii="Times New Roman" w:hAnsi="Times New Roman" w:cs="Times New Roman"/>
                      <w:b w:val="0"/>
                      <w:bCs/>
                      <w:color w:val="000000"/>
                      <w:kern w:val="0"/>
                      <w:sz w:val="21"/>
                      <w:szCs w:val="21"/>
                      <w:lang w:val="en-US" w:eastAsia="zh-CN"/>
                    </w:rPr>
                    <w:t>7</w:t>
                  </w:r>
                </w:p>
              </w:tc>
              <w:tc>
                <w:tcPr>
                  <w:tcW w:w="82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000000"/>
                      <w:kern w:val="0"/>
                      <w:sz w:val="21"/>
                      <w:szCs w:val="21"/>
                      <w:lang w:val="en-US" w:eastAsia="zh-CN"/>
                    </w:rPr>
                    <w:t>0.00</w:t>
                  </w:r>
                  <w:r>
                    <w:rPr>
                      <w:rFonts w:hint="eastAsia" w:ascii="Times New Roman" w:hAnsi="Times New Roman" w:cs="Times New Roman"/>
                      <w:b w:val="0"/>
                      <w:bCs/>
                      <w:color w:val="000000"/>
                      <w:kern w:val="0"/>
                      <w:sz w:val="21"/>
                      <w:szCs w:val="21"/>
                      <w:lang w:val="en-US" w:eastAsia="zh-CN"/>
                    </w:rPr>
                    <w:t>88</w:t>
                  </w:r>
                </w:p>
              </w:tc>
              <w:tc>
                <w:tcPr>
                  <w:tcW w:w="795" w:type="dxa"/>
                  <w:tcBorders>
                    <w:tl2br w:val="nil"/>
                    <w:tr2bl w:val="nil"/>
                  </w:tcBorders>
                  <w:noWrap w:val="0"/>
                  <w:vAlign w:val="center"/>
                </w:tcPr>
                <w:p>
                  <w:pPr>
                    <w:pStyle w:val="142"/>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宋体" w:cs="Times New Roman"/>
                      <w:b w:val="0"/>
                      <w:bCs/>
                      <w:color w:val="auto"/>
                      <w:spacing w:val="0"/>
                      <w:sz w:val="21"/>
                      <w:szCs w:val="21"/>
                      <w:lang w:val="en-US" w:eastAsia="zh-CN"/>
                    </w:rPr>
                  </w:pPr>
                  <w:r>
                    <w:rPr>
                      <w:rFonts w:hint="default" w:ascii="Times New Roman" w:hAnsi="Times New Roman" w:eastAsia="宋体" w:cs="Times New Roman"/>
                      <w:b w:val="0"/>
                      <w:bCs/>
                      <w:color w:val="000000"/>
                      <w:kern w:val="0"/>
                      <w:sz w:val="21"/>
                      <w:szCs w:val="21"/>
                    </w:rPr>
                    <w:t>0.0</w:t>
                  </w:r>
                  <w:r>
                    <w:rPr>
                      <w:rFonts w:hint="default" w:ascii="Times New Roman" w:hAnsi="Times New Roman" w:eastAsia="宋体" w:cs="Times New Roman"/>
                      <w:b w:val="0"/>
                      <w:bCs/>
                      <w:color w:val="000000"/>
                      <w:kern w:val="0"/>
                      <w:sz w:val="21"/>
                      <w:szCs w:val="21"/>
                      <w:lang w:val="en-US" w:eastAsia="zh-CN"/>
                    </w:rPr>
                    <w:t>00</w:t>
                  </w:r>
                  <w:r>
                    <w:rPr>
                      <w:rFonts w:hint="eastAsia" w:ascii="Times New Roman" w:hAnsi="Times New Roman" w:cs="Times New Roman"/>
                      <w:b w:val="0"/>
                      <w:bCs/>
                      <w:color w:val="000000"/>
                      <w:kern w:val="0"/>
                      <w:sz w:val="21"/>
                      <w:szCs w:val="21"/>
                      <w:lang w:val="en-US" w:eastAsia="zh-CN"/>
                    </w:rPr>
                    <w:t>9</w:t>
                  </w:r>
                </w:p>
              </w:tc>
            </w:tr>
          </w:tbl>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360" w:lineRule="auto"/>
              <w:ind w:left="0" w:leftChars="0" w:firstLine="480" w:firstLineChars="200"/>
              <w:jc w:val="left"/>
              <w:textAlignment w:val="auto"/>
              <w:rPr>
                <w:sz w:val="24"/>
                <w:szCs w:val="22"/>
              </w:rPr>
            </w:pPr>
            <w:r>
              <w:rPr>
                <w:sz w:val="24"/>
                <w:szCs w:val="22"/>
              </w:rPr>
              <w:t>采用估算模型AERSCREEN预测本项目</w:t>
            </w:r>
            <w:r>
              <w:rPr>
                <w:rFonts w:hint="eastAsia"/>
                <w:sz w:val="24"/>
                <w:szCs w:val="22"/>
                <w:lang w:val="en-US" w:eastAsia="zh-CN"/>
              </w:rPr>
              <w:t>天然气燃烧</w:t>
            </w:r>
            <w:r>
              <w:rPr>
                <w:sz w:val="24"/>
                <w:szCs w:val="22"/>
              </w:rPr>
              <w:t>废气排放对周围大气环境的影响，</w:t>
            </w:r>
            <w:r>
              <w:rPr>
                <w:rFonts w:hint="eastAsia"/>
                <w:sz w:val="24"/>
                <w:szCs w:val="22"/>
              </w:rPr>
              <w:t>估算模型计算结果</w:t>
            </w:r>
            <w:r>
              <w:rPr>
                <w:sz w:val="24"/>
                <w:szCs w:val="22"/>
              </w:rPr>
              <w:t>见表7-</w:t>
            </w:r>
            <w:r>
              <w:rPr>
                <w:rFonts w:hint="eastAsia"/>
                <w:sz w:val="24"/>
                <w:szCs w:val="22"/>
                <w:lang w:val="en-US" w:eastAsia="zh-CN"/>
              </w:rPr>
              <w:t>7</w:t>
            </w:r>
            <w:r>
              <w:rPr>
                <w:sz w:val="24"/>
                <w:szCs w:val="22"/>
              </w:rPr>
              <w:t>。</w:t>
            </w:r>
          </w:p>
          <w:p>
            <w:pPr>
              <w:adjustRightInd w:val="0"/>
              <w:snapToGrid w:val="0"/>
              <w:spacing w:line="360" w:lineRule="auto"/>
              <w:jc w:val="center"/>
              <w:rPr>
                <w:b/>
                <w:sz w:val="24"/>
                <w:szCs w:val="24"/>
              </w:rPr>
            </w:pPr>
            <w:r>
              <w:rPr>
                <w:b/>
                <w:sz w:val="24"/>
                <w:szCs w:val="24"/>
              </w:rPr>
              <w:t>表7-</w:t>
            </w:r>
            <w:r>
              <w:rPr>
                <w:rFonts w:hint="eastAsia"/>
                <w:b/>
                <w:sz w:val="24"/>
                <w:szCs w:val="24"/>
                <w:lang w:val="en-US" w:eastAsia="zh-CN"/>
              </w:rPr>
              <w:t>7</w:t>
            </w:r>
            <w:r>
              <w:rPr>
                <w:b/>
                <w:sz w:val="24"/>
                <w:szCs w:val="24"/>
              </w:rPr>
              <w:t xml:space="preserve"> </w:t>
            </w:r>
            <w:r>
              <w:rPr>
                <w:rFonts w:hint="eastAsia"/>
                <w:b/>
                <w:sz w:val="24"/>
                <w:szCs w:val="24"/>
                <w:lang w:val="en-US" w:eastAsia="zh-CN"/>
              </w:rPr>
              <w:t>天然气燃烧</w:t>
            </w:r>
            <w:r>
              <w:rPr>
                <w:b/>
                <w:sz w:val="24"/>
                <w:szCs w:val="24"/>
              </w:rPr>
              <w:t>废气估算模型计算结果表</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0" w:type="dxa"/>
                <w:bottom w:w="28" w:type="dxa"/>
                <w:right w:w="0" w:type="dxa"/>
              </w:tblCellMar>
            </w:tblPr>
            <w:tblGrid>
              <w:gridCol w:w="921"/>
              <w:gridCol w:w="1443"/>
              <w:gridCol w:w="1083"/>
              <w:gridCol w:w="1372"/>
              <w:gridCol w:w="1154"/>
              <w:gridCol w:w="1491"/>
              <w:gridCol w:w="1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vMerge w:val="restart"/>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下风向距离（m）</w:t>
                  </w:r>
                </w:p>
              </w:tc>
              <w:tc>
                <w:tcPr>
                  <w:tcW w:w="7583" w:type="dxa"/>
                  <w:gridSpan w:val="6"/>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天然气燃烧废气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526" w:type="dxa"/>
                  <w:gridSpan w:val="2"/>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颗粒物（以TSP计）</w:t>
                  </w:r>
                </w:p>
              </w:tc>
              <w:tc>
                <w:tcPr>
                  <w:tcW w:w="2526" w:type="dxa"/>
                  <w:gridSpan w:val="2"/>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w:t>
                  </w:r>
                  <w:r>
                    <w:rPr>
                      <w:rFonts w:hint="default" w:ascii="Times New Roman" w:hAnsi="Times New Roman" w:eastAsia="宋体" w:cs="Times New Roman"/>
                      <w:sz w:val="21"/>
                      <w:szCs w:val="21"/>
                      <w:lang w:val="en-US" w:eastAsia="zh-CN"/>
                    </w:rPr>
                    <w:t>O</w:t>
                  </w:r>
                  <w:r>
                    <w:rPr>
                      <w:rFonts w:hint="default" w:ascii="Times New Roman" w:hAnsi="Times New Roman" w:eastAsia="宋体" w:cs="Times New Roman"/>
                      <w:sz w:val="21"/>
                      <w:szCs w:val="21"/>
                    </w:rPr>
                    <w:t>x</w:t>
                  </w:r>
                </w:p>
              </w:tc>
              <w:tc>
                <w:tcPr>
                  <w:tcW w:w="2531" w:type="dxa"/>
                  <w:gridSpan w:val="2"/>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预测质量浓度（ug/m3）</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预测质量浓度（ug/m3）</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预测质量浓度（ug/m3）</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1.34E-04</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0.00001</w:t>
                  </w:r>
                  <w:r>
                    <w:rPr>
                      <w:rFonts w:hint="eastAsia" w:cs="Times New Roman"/>
                      <w:sz w:val="21"/>
                      <w:szCs w:val="21"/>
                      <w:lang w:val="en-US" w:eastAsia="zh-CN"/>
                    </w:rPr>
                    <w:t>5</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4.18E-04</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0.0001</w:t>
                  </w:r>
                  <w:r>
                    <w:rPr>
                      <w:rFonts w:hint="eastAsia" w:cs="Times New Roman"/>
                      <w:sz w:val="21"/>
                      <w:szCs w:val="21"/>
                      <w:lang w:val="en-US" w:eastAsia="zh-CN"/>
                    </w:rPr>
                    <w:t>7</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1.11E-04</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25</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3.88E-02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0.0043</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0.121</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0.0484</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3.20E-02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0.006</w:t>
                  </w:r>
                  <w:r>
                    <w:rPr>
                      <w:rFonts w:hint="eastAsia"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5.16E-02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0.0057</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0.1609</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0.064</w:t>
                  </w:r>
                  <w:r>
                    <w:rPr>
                      <w:rFonts w:hint="eastAsia" w:cs="Times New Roman"/>
                      <w:sz w:val="21"/>
                      <w:szCs w:val="21"/>
                      <w:lang w:val="en-US" w:eastAsia="zh-CN"/>
                    </w:rPr>
                    <w:t>4</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4.25E-02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5.08E-02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0.0056</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0.1582</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0.063</w:t>
                  </w:r>
                  <w:r>
                    <w:rPr>
                      <w:rFonts w:hint="eastAsia" w:cs="Times New Roman"/>
                      <w:sz w:val="21"/>
                      <w:szCs w:val="21"/>
                      <w:lang w:val="en-US" w:eastAsia="zh-CN"/>
                    </w:rPr>
                    <w:t>3</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4.18E-02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0.008</w:t>
                  </w:r>
                  <w:r>
                    <w:rPr>
                      <w:rFonts w:hint="eastAsia" w:cs="Times New Roman"/>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5.19E-02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0.0058</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0.1619</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0.064</w:t>
                  </w:r>
                  <w:r>
                    <w:rPr>
                      <w:rFonts w:hint="eastAsia" w:cs="Times New Roman"/>
                      <w:sz w:val="21"/>
                      <w:szCs w:val="21"/>
                      <w:lang w:val="en-US" w:eastAsia="zh-CN"/>
                    </w:rPr>
                    <w:t>8</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4.28E-02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4.81E-02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0.005</w:t>
                  </w:r>
                  <w:r>
                    <w:rPr>
                      <w:rFonts w:hint="eastAsia" w:cs="Times New Roman"/>
                      <w:sz w:val="21"/>
                      <w:szCs w:val="21"/>
                      <w:lang w:val="en-US" w:eastAsia="zh-CN"/>
                    </w:rPr>
                    <w:t>4</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0.15</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0.06</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3.96E-02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4.42E-02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0.0049</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0.1379</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0.055</w:t>
                  </w:r>
                  <w:r>
                    <w:rPr>
                      <w:rFonts w:hint="eastAsia" w:cs="Times New Roman"/>
                      <w:sz w:val="21"/>
                      <w:szCs w:val="21"/>
                      <w:lang w:val="en-US" w:eastAsia="zh-CN"/>
                    </w:rPr>
                    <w:t>2</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3.64E-02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0.007</w:t>
                  </w:r>
                  <w:r>
                    <w:rPr>
                      <w:rFonts w:hint="eastAsia" w:cs="Times New Roman"/>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3.79E-02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0.0042</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0.1182</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0.047</w:t>
                  </w:r>
                  <w:r>
                    <w:rPr>
                      <w:rFonts w:hint="eastAsia" w:cs="Times New Roman"/>
                      <w:sz w:val="21"/>
                      <w:szCs w:val="21"/>
                      <w:lang w:val="en-US" w:eastAsia="zh-CN"/>
                    </w:rPr>
                    <w:t>3</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3.12E-02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3.17E-02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0.0035</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9.87E-02</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0.039</w:t>
                  </w:r>
                  <w:r>
                    <w:rPr>
                      <w:rFonts w:hint="eastAsia" w:cs="Times New Roman"/>
                      <w:sz w:val="21"/>
                      <w:szCs w:val="21"/>
                      <w:lang w:val="en-US" w:eastAsia="zh-CN"/>
                    </w:rPr>
                    <w:t>5</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2.61E-02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2.00E-02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0.0022</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6.24E-02</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0.0249</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1.65E-02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0.003</w:t>
                  </w:r>
                  <w:r>
                    <w:rPr>
                      <w:rFonts w:hint="eastAsia" w:cs="Times New Roman"/>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1.55E-02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0.0017</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4.82E-02</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0.019</w:t>
                  </w:r>
                  <w:r>
                    <w:rPr>
                      <w:rFonts w:hint="eastAsia" w:cs="Times New Roman"/>
                      <w:sz w:val="21"/>
                      <w:szCs w:val="21"/>
                      <w:lang w:val="en-US" w:eastAsia="zh-CN"/>
                    </w:rPr>
                    <w:t>3</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1.27E-02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1.33E-02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0.001</w:t>
                  </w:r>
                  <w:r>
                    <w:rPr>
                      <w:rFonts w:hint="eastAsia" w:cs="Times New Roman"/>
                      <w:sz w:val="21"/>
                      <w:szCs w:val="21"/>
                      <w:lang w:val="en-US" w:eastAsia="zh-CN"/>
                    </w:rPr>
                    <w:t>5</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4.15E-02</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0.016</w:t>
                  </w:r>
                  <w:r>
                    <w:rPr>
                      <w:rFonts w:hint="eastAsia" w:cs="Times New Roman"/>
                      <w:sz w:val="21"/>
                      <w:szCs w:val="21"/>
                      <w:lang w:val="en-US" w:eastAsia="zh-CN"/>
                    </w:rPr>
                    <w:t>7</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1.10E-02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0.002</w:t>
                  </w:r>
                  <w:r>
                    <w:rPr>
                      <w:rFonts w:hint="eastAsia" w:cs="Times New Roman"/>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2500</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1.16E-02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0.001</w:t>
                  </w:r>
                  <w:r>
                    <w:rPr>
                      <w:rFonts w:hint="eastAsia" w:cs="Times New Roman"/>
                      <w:sz w:val="21"/>
                      <w:szCs w:val="21"/>
                      <w:lang w:val="en-US" w:eastAsia="zh-CN"/>
                    </w:rPr>
                    <w:t>3</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3.62E-02</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0.014</w:t>
                  </w:r>
                  <w:r>
                    <w:rPr>
                      <w:rFonts w:hint="eastAsia" w:cs="Times New Roman"/>
                      <w:sz w:val="21"/>
                      <w:szCs w:val="21"/>
                      <w:lang w:val="en-US" w:eastAsia="zh-CN"/>
                    </w:rPr>
                    <w:t>5</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9.57E-03</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下风向最大质量浓度及占标率%</w:t>
                  </w:r>
                </w:p>
              </w:tc>
              <w:tc>
                <w:tcPr>
                  <w:tcW w:w="144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5.40E-02</w:t>
                  </w:r>
                </w:p>
              </w:tc>
              <w:tc>
                <w:tcPr>
                  <w:tcW w:w="1083"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0.006</w:t>
                  </w:r>
                </w:p>
              </w:tc>
              <w:tc>
                <w:tcPr>
                  <w:tcW w:w="1372"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0.1684</w:t>
                  </w:r>
                </w:p>
              </w:tc>
              <w:tc>
                <w:tcPr>
                  <w:tcW w:w="1154"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0.067</w:t>
                  </w:r>
                  <w:r>
                    <w:rPr>
                      <w:rFonts w:hint="eastAsia" w:cs="Times New Roman"/>
                      <w:sz w:val="21"/>
                      <w:szCs w:val="21"/>
                      <w:lang w:val="en-US" w:eastAsia="zh-CN"/>
                    </w:rPr>
                    <w:t>4</w:t>
                  </w:r>
                </w:p>
              </w:tc>
              <w:tc>
                <w:tcPr>
                  <w:tcW w:w="1491"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4.45E-02</w:t>
                  </w:r>
                </w:p>
              </w:tc>
              <w:tc>
                <w:tcPr>
                  <w:tcW w:w="1040" w:type="dxa"/>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0.008</w:t>
                  </w:r>
                  <w:r>
                    <w:rPr>
                      <w:rFonts w:hint="eastAsia" w:cs="Times New Roman"/>
                      <w:sz w:val="21"/>
                      <w:szCs w:val="21"/>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10" w:hRule="atLeast"/>
                <w:jc w:val="center"/>
              </w:trPr>
              <w:tc>
                <w:tcPr>
                  <w:tcW w:w="9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最大落地浓度出现距离m</w:t>
                  </w:r>
                </w:p>
              </w:tc>
              <w:tc>
                <w:tcPr>
                  <w:tcW w:w="2526" w:type="dxa"/>
                  <w:gridSpan w:val="2"/>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132</w:t>
                  </w:r>
                </w:p>
              </w:tc>
              <w:tc>
                <w:tcPr>
                  <w:tcW w:w="2526" w:type="dxa"/>
                  <w:gridSpan w:val="2"/>
                  <w:tcBorders>
                    <w:tl2br w:val="nil"/>
                    <w:tr2bl w:val="nil"/>
                  </w:tcBorders>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132</w:t>
                  </w:r>
                </w:p>
              </w:tc>
              <w:tc>
                <w:tcPr>
                  <w:tcW w:w="2531" w:type="dxa"/>
                  <w:gridSpan w:val="2"/>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132</w:t>
                  </w:r>
                </w:p>
              </w:tc>
            </w:tr>
          </w:tbl>
          <w:p>
            <w:pPr>
              <w:pStyle w:val="32"/>
              <w:keepNext w:val="0"/>
              <w:keepLines w:val="0"/>
              <w:pageBreakBefore w:val="0"/>
              <w:widowControl w:val="0"/>
              <w:tabs>
                <w:tab w:val="left" w:pos="8607"/>
              </w:tabs>
              <w:kinsoku/>
              <w:wordWrap/>
              <w:overflowPunct/>
              <w:topLinePunct w:val="0"/>
              <w:autoSpaceDE/>
              <w:autoSpaceDN/>
              <w:bidi w:val="0"/>
              <w:adjustRightInd/>
              <w:snapToGrid/>
              <w:spacing w:before="0" w:after="0" w:line="360" w:lineRule="auto"/>
              <w:ind w:left="0" w:leftChars="0" w:firstLine="0" w:firstLine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5</w:t>
            </w:r>
            <w:r>
              <w:rPr>
                <w:rFonts w:hint="eastAsia"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无组织排放源预测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rPr>
            </w:pPr>
            <w:r>
              <w:rPr>
                <w:rFonts w:hint="eastAsia"/>
                <w:sz w:val="24"/>
                <w:lang w:val="en-US" w:eastAsia="zh-CN"/>
              </w:rPr>
              <w:t>项目无组织</w:t>
            </w:r>
            <w:r>
              <w:rPr>
                <w:sz w:val="24"/>
              </w:rPr>
              <w:t>废气污染源排放参数见下表：</w:t>
            </w:r>
          </w:p>
          <w:p>
            <w:pPr>
              <w:spacing w:before="156" w:beforeLines="50" w:after="156" w:afterLines="50" w:line="360" w:lineRule="auto"/>
              <w:jc w:val="center"/>
              <w:rPr>
                <w:rFonts w:hint="eastAsia" w:ascii="宋体" w:hAnsi="宋体"/>
                <w:b/>
                <w:bCs/>
                <w:sz w:val="24"/>
              </w:rPr>
            </w:pPr>
            <w:r>
              <w:rPr>
                <w:rFonts w:ascii="宋体" w:hAnsi="宋体"/>
                <w:b/>
                <w:bCs/>
                <w:sz w:val="24"/>
              </w:rPr>
              <w:t>表</w:t>
            </w:r>
            <w:r>
              <w:rPr>
                <w:rFonts w:hint="eastAsia"/>
                <w:b/>
                <w:bCs/>
                <w:sz w:val="24"/>
                <w:lang w:val="en-US" w:eastAsia="zh-CN"/>
              </w:rPr>
              <w:t>7-8 无组织</w:t>
            </w:r>
            <w:r>
              <w:rPr>
                <w:rFonts w:ascii="宋体" w:hAnsi="宋体"/>
                <w:b/>
                <w:bCs/>
                <w:sz w:val="24"/>
              </w:rPr>
              <w:t>废气污染源参数一览表</w:t>
            </w:r>
            <w:r>
              <w:rPr>
                <w:rFonts w:hint="eastAsia" w:ascii="宋体" w:hAnsi="宋体"/>
                <w:b/>
                <w:bCs/>
                <w:sz w:val="24"/>
              </w:rPr>
              <w:t>（</w:t>
            </w:r>
            <w:r>
              <w:rPr>
                <w:rFonts w:hint="eastAsia" w:ascii="宋体" w:hAnsi="宋体"/>
                <w:b/>
                <w:bCs/>
                <w:sz w:val="24"/>
                <w:lang w:val="en-US" w:eastAsia="zh-CN"/>
              </w:rPr>
              <w:t>面</w:t>
            </w:r>
            <w:r>
              <w:rPr>
                <w:rFonts w:ascii="宋体" w:hAnsi="宋体"/>
                <w:b/>
                <w:bCs/>
                <w:sz w:val="24"/>
              </w:rPr>
              <w:t>源</w:t>
            </w:r>
            <w:r>
              <w:rPr>
                <w:rFonts w:hint="eastAsia" w:ascii="宋体" w:hAnsi="宋体"/>
                <w:b/>
                <w:bCs/>
                <w:sz w:val="24"/>
              </w:rPr>
              <w:t>）</w:t>
            </w:r>
          </w:p>
          <w:tbl>
            <w:tblPr>
              <w:tblStyle w:val="34"/>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00"/>
              <w:gridCol w:w="889"/>
              <w:gridCol w:w="751"/>
              <w:gridCol w:w="875"/>
              <w:gridCol w:w="713"/>
              <w:gridCol w:w="900"/>
              <w:gridCol w:w="1300"/>
              <w:gridCol w:w="1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restart"/>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污染源名称</w:t>
                  </w:r>
                </w:p>
              </w:tc>
              <w:tc>
                <w:tcPr>
                  <w:tcW w:w="1889" w:type="dxa"/>
                  <w:gridSpan w:val="2"/>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坐标</w:t>
                  </w:r>
                </w:p>
              </w:tc>
              <w:tc>
                <w:tcPr>
                  <w:tcW w:w="751" w:type="dxa"/>
                  <w:vMerge w:val="restart"/>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海拔高度/m</w:t>
                  </w:r>
                </w:p>
              </w:tc>
              <w:tc>
                <w:tcPr>
                  <w:tcW w:w="2488" w:type="dxa"/>
                  <w:gridSpan w:val="3"/>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矩形面源</w:t>
                  </w:r>
                </w:p>
              </w:tc>
              <w:tc>
                <w:tcPr>
                  <w:tcW w:w="1300" w:type="dxa"/>
                  <w:vMerge w:val="restart"/>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污染物</w:t>
                  </w:r>
                </w:p>
              </w:tc>
              <w:tc>
                <w:tcPr>
                  <w:tcW w:w="1072" w:type="dxa"/>
                  <w:vMerge w:val="restart"/>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排放</w:t>
                  </w:r>
                </w:p>
                <w:p>
                  <w:pPr>
                    <w:spacing w:line="320" w:lineRule="exact"/>
                    <w:ind w:firstLine="0" w:firstLineChars="0"/>
                    <w:jc w:val="center"/>
                    <w:rPr>
                      <w:rFonts w:hint="default" w:ascii="Times New Roman" w:hAnsi="Times New Roman" w:eastAsia="宋体" w:cs="Times New Roman"/>
                      <w:color w:val="000000" w:themeColor="text1"/>
                      <w:sz w:val="21"/>
                      <w:szCs w:val="21"/>
                      <w:lang w:eastAsia="zh-CN"/>
                    </w:rPr>
                  </w:pPr>
                  <w:r>
                    <w:rPr>
                      <w:rFonts w:hint="default" w:ascii="Times New Roman" w:hAnsi="Times New Roman" w:eastAsia="宋体" w:cs="Times New Roman"/>
                      <w:color w:val="000000" w:themeColor="text1"/>
                      <w:sz w:val="21"/>
                      <w:szCs w:val="21"/>
                    </w:rPr>
                    <w:t>速率</w:t>
                  </w:r>
                  <w:r>
                    <w:rPr>
                      <w:rFonts w:hint="default" w:ascii="Times New Roman" w:hAnsi="Times New Roman" w:eastAsia="宋体" w:cs="Times New Roman"/>
                      <w:color w:val="000000" w:themeColor="text1"/>
                      <w:sz w:val="21"/>
                      <w:szCs w:val="21"/>
                      <w:lang w:eastAsia="zh-CN"/>
                    </w:rPr>
                    <w:t>（</w:t>
                  </w:r>
                  <w:r>
                    <w:rPr>
                      <w:rFonts w:hint="default" w:ascii="Times New Roman" w:hAnsi="Times New Roman" w:eastAsia="宋体" w:cs="Times New Roman"/>
                      <w:color w:val="000000" w:themeColor="text1"/>
                      <w:sz w:val="21"/>
                      <w:szCs w:val="21"/>
                    </w:rPr>
                    <w:t>kg/h</w:t>
                  </w:r>
                  <w:r>
                    <w:rPr>
                      <w:rFonts w:hint="default" w:ascii="Times New Roman" w:hAnsi="Times New Roman" w:eastAsia="宋体" w:cs="Times New Roman"/>
                      <w:color w:val="000000" w:themeColor="text1"/>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p>
              </w:tc>
              <w:tc>
                <w:tcPr>
                  <w:tcW w:w="1000" w:type="dxa"/>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X</w:t>
                  </w:r>
                </w:p>
              </w:tc>
              <w:tc>
                <w:tcPr>
                  <w:tcW w:w="889" w:type="dxa"/>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Y</w:t>
                  </w:r>
                </w:p>
              </w:tc>
              <w:tc>
                <w:tcPr>
                  <w:tcW w:w="751" w:type="dxa"/>
                  <w:vMerge w:val="continue"/>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p>
              </w:tc>
              <w:tc>
                <w:tcPr>
                  <w:tcW w:w="875" w:type="dxa"/>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长度</w:t>
                  </w:r>
                </w:p>
              </w:tc>
              <w:tc>
                <w:tcPr>
                  <w:tcW w:w="713" w:type="dxa"/>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宽度</w:t>
                  </w:r>
                </w:p>
              </w:tc>
              <w:tc>
                <w:tcPr>
                  <w:tcW w:w="900" w:type="dxa"/>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有效高度</w:t>
                  </w:r>
                </w:p>
              </w:tc>
              <w:tc>
                <w:tcPr>
                  <w:tcW w:w="1300" w:type="dxa"/>
                  <w:vMerge w:val="continue"/>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p>
              </w:tc>
              <w:tc>
                <w:tcPr>
                  <w:tcW w:w="1072" w:type="dxa"/>
                  <w:vMerge w:val="continue"/>
                  <w:tcBorders>
                    <w:tl2br w:val="nil"/>
                    <w:tr2bl w:val="nil"/>
                  </w:tcBorders>
                  <w:vAlign w:val="center"/>
                </w:tcPr>
                <w:p>
                  <w:pPr>
                    <w:spacing w:line="320" w:lineRule="exact"/>
                    <w:ind w:firstLine="0" w:firstLineChars="0"/>
                    <w:jc w:val="center"/>
                    <w:rPr>
                      <w:rFonts w:hint="default" w:ascii="Times New Roman" w:hAnsi="Times New Roman" w:eastAsia="宋体" w:cs="Times New Roman"/>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restart"/>
                  <w:tcBorders>
                    <w:tl2br w:val="nil"/>
                    <w:tr2bl w:val="nil"/>
                  </w:tcBorders>
                  <w:vAlign w:val="center"/>
                </w:tcPr>
                <w:p>
                  <w:pPr>
                    <w:pStyle w:val="208"/>
                    <w:rPr>
                      <w:rFonts w:hint="default" w:ascii="Times New Roman" w:hAnsi="Times New Roman" w:eastAsia="宋体" w:cs="Times New Roman"/>
                      <w:color w:val="000000" w:themeColor="text1"/>
                      <w:sz w:val="21"/>
                      <w:szCs w:val="21"/>
                      <w:lang w:val="en-US" w:eastAsia="zh-CN"/>
                    </w:rPr>
                  </w:pPr>
                  <w:r>
                    <w:rPr>
                      <w:rFonts w:hint="eastAsia"/>
                      <w:color w:val="000000" w:themeColor="text1"/>
                      <w:lang w:val="en-US" w:eastAsia="zh-CN"/>
                    </w:rPr>
                    <w:t>生产车间</w:t>
                  </w:r>
                </w:p>
              </w:tc>
              <w:tc>
                <w:tcPr>
                  <w:tcW w:w="1000" w:type="dxa"/>
                  <w:vMerge w:val="restart"/>
                  <w:tcBorders>
                    <w:tl2br w:val="nil"/>
                    <w:tr2bl w:val="nil"/>
                  </w:tcBorders>
                  <w:vAlign w:val="center"/>
                </w:tcPr>
                <w:p>
                  <w:pPr>
                    <w:pStyle w:val="208"/>
                    <w:rPr>
                      <w:rFonts w:hint="eastAsia" w:ascii="Times New Roman" w:hAnsi="Times New Roman" w:eastAsia="宋体" w:cs="Times New Roman"/>
                      <w:color w:val="000000" w:themeColor="text1"/>
                      <w:sz w:val="21"/>
                      <w:szCs w:val="21"/>
                      <w:lang w:eastAsia="zh-CN"/>
                    </w:rPr>
                  </w:pPr>
                  <w:r>
                    <w:rPr>
                      <w:rFonts w:hint="eastAsia" w:cs="Times New Roman"/>
                      <w:color w:val="000000" w:themeColor="text1"/>
                      <w:sz w:val="21"/>
                      <w:szCs w:val="21"/>
                      <w:lang w:val="en-US" w:eastAsia="zh-CN"/>
                    </w:rPr>
                    <w:t>0</w:t>
                  </w:r>
                </w:p>
              </w:tc>
              <w:tc>
                <w:tcPr>
                  <w:tcW w:w="889" w:type="dxa"/>
                  <w:vMerge w:val="restart"/>
                  <w:tcBorders>
                    <w:tl2br w:val="nil"/>
                    <w:tr2bl w:val="nil"/>
                  </w:tcBorders>
                  <w:vAlign w:val="center"/>
                </w:tcPr>
                <w:p>
                  <w:pPr>
                    <w:pStyle w:val="208"/>
                    <w:rPr>
                      <w:rFonts w:hint="eastAsia" w:ascii="Times New Roman" w:hAnsi="Times New Roman" w:eastAsia="宋体" w:cs="Times New Roman"/>
                      <w:color w:val="000000" w:themeColor="text1"/>
                      <w:sz w:val="21"/>
                      <w:szCs w:val="21"/>
                      <w:lang w:eastAsia="zh-CN"/>
                    </w:rPr>
                  </w:pPr>
                  <w:r>
                    <w:rPr>
                      <w:rFonts w:hint="eastAsia" w:cs="Times New Roman"/>
                      <w:color w:val="000000" w:themeColor="text1"/>
                      <w:sz w:val="21"/>
                      <w:szCs w:val="21"/>
                      <w:lang w:val="en-US" w:eastAsia="zh-CN"/>
                    </w:rPr>
                    <w:t>0</w:t>
                  </w:r>
                </w:p>
              </w:tc>
              <w:tc>
                <w:tcPr>
                  <w:tcW w:w="751" w:type="dxa"/>
                  <w:vMerge w:val="restart"/>
                  <w:tcBorders>
                    <w:tl2br w:val="nil"/>
                    <w:tr2bl w:val="nil"/>
                  </w:tcBorders>
                  <w:vAlign w:val="center"/>
                </w:tcPr>
                <w:p>
                  <w:pPr>
                    <w:pStyle w:val="208"/>
                    <w:rPr>
                      <w:rFonts w:hint="default" w:ascii="Times New Roman" w:hAnsi="Times New Roman" w:eastAsia="宋体" w:cs="Times New Roman"/>
                      <w:color w:val="000000" w:themeColor="text1"/>
                      <w:sz w:val="21"/>
                      <w:szCs w:val="21"/>
                      <w:lang w:val="en-US" w:eastAsia="zh-CN"/>
                    </w:rPr>
                  </w:pPr>
                  <w:r>
                    <w:rPr>
                      <w:rFonts w:hint="eastAsia" w:ascii="Times New Roman" w:hAnsi="Times New Roman" w:cs="Times New Roman"/>
                      <w:color w:val="000000" w:themeColor="text1"/>
                      <w:sz w:val="21"/>
                      <w:szCs w:val="21"/>
                      <w:lang w:val="en-US" w:eastAsia="zh-CN"/>
                    </w:rPr>
                    <w:t>456</w:t>
                  </w:r>
                </w:p>
              </w:tc>
              <w:tc>
                <w:tcPr>
                  <w:tcW w:w="875" w:type="dxa"/>
                  <w:vMerge w:val="restart"/>
                  <w:tcBorders>
                    <w:tl2br w:val="nil"/>
                    <w:tr2bl w:val="nil"/>
                  </w:tcBorders>
                  <w:vAlign w:val="center"/>
                </w:tcPr>
                <w:p>
                  <w:pPr>
                    <w:pStyle w:val="208"/>
                    <w:rPr>
                      <w:rFonts w:hint="default" w:ascii="Times New Roman" w:hAnsi="Times New Roman" w:eastAsia="宋体" w:cs="Times New Roman"/>
                      <w:color w:val="000000" w:themeColor="text1"/>
                      <w:sz w:val="21"/>
                      <w:szCs w:val="21"/>
                      <w:lang w:val="en-US" w:eastAsia="zh-CN"/>
                    </w:rPr>
                  </w:pPr>
                  <w:r>
                    <w:rPr>
                      <w:rFonts w:hint="eastAsia" w:cs="Times New Roman"/>
                      <w:color w:val="000000" w:themeColor="text1"/>
                      <w:sz w:val="21"/>
                      <w:szCs w:val="21"/>
                      <w:lang w:val="en-US" w:eastAsia="zh-CN"/>
                    </w:rPr>
                    <w:t>60</w:t>
                  </w:r>
                </w:p>
              </w:tc>
              <w:tc>
                <w:tcPr>
                  <w:tcW w:w="713" w:type="dxa"/>
                  <w:vMerge w:val="restart"/>
                  <w:tcBorders>
                    <w:tl2br w:val="nil"/>
                    <w:tr2bl w:val="nil"/>
                  </w:tcBorders>
                  <w:vAlign w:val="center"/>
                </w:tcPr>
                <w:p>
                  <w:pPr>
                    <w:pStyle w:val="208"/>
                    <w:rPr>
                      <w:rFonts w:hint="default" w:ascii="Times New Roman" w:hAnsi="Times New Roman" w:eastAsia="宋体" w:cs="Times New Roman"/>
                      <w:color w:val="000000" w:themeColor="text1"/>
                      <w:sz w:val="21"/>
                      <w:szCs w:val="21"/>
                      <w:lang w:val="en-US" w:eastAsia="zh-CN"/>
                    </w:rPr>
                  </w:pPr>
                  <w:r>
                    <w:rPr>
                      <w:rFonts w:hint="eastAsia" w:cs="Times New Roman"/>
                      <w:color w:val="000000" w:themeColor="text1"/>
                      <w:sz w:val="21"/>
                      <w:szCs w:val="21"/>
                      <w:lang w:val="en-US" w:eastAsia="zh-CN"/>
                    </w:rPr>
                    <w:t>47</w:t>
                  </w:r>
                </w:p>
              </w:tc>
              <w:tc>
                <w:tcPr>
                  <w:tcW w:w="900" w:type="dxa"/>
                  <w:vMerge w:val="restart"/>
                  <w:tcBorders>
                    <w:tl2br w:val="nil"/>
                    <w:tr2bl w:val="nil"/>
                  </w:tcBorders>
                  <w:vAlign w:val="center"/>
                </w:tcPr>
                <w:p>
                  <w:pPr>
                    <w:pStyle w:val="208"/>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8</w:t>
                  </w:r>
                </w:p>
              </w:tc>
              <w:tc>
                <w:tcPr>
                  <w:tcW w:w="1300" w:type="dxa"/>
                  <w:tcBorders>
                    <w:tl2br w:val="nil"/>
                    <w:tr2bl w:val="nil"/>
                  </w:tcBorders>
                  <w:vAlign w:val="center"/>
                </w:tcPr>
                <w:p>
                  <w:pPr>
                    <w:pStyle w:val="208"/>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TSP</w:t>
                  </w:r>
                </w:p>
              </w:tc>
              <w:tc>
                <w:tcPr>
                  <w:tcW w:w="1072" w:type="dxa"/>
                  <w:tcBorders>
                    <w:tl2br w:val="nil"/>
                    <w:tr2bl w:val="nil"/>
                  </w:tcBorders>
                  <w:vAlign w:val="center"/>
                </w:tcPr>
                <w:p>
                  <w:pPr>
                    <w:pStyle w:val="208"/>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rPr>
                    <w:t>0.0</w:t>
                  </w:r>
                  <w:r>
                    <w:rPr>
                      <w:rFonts w:hint="eastAsia" w:cs="Times New Roman"/>
                      <w:color w:val="000000" w:themeColor="text1"/>
                      <w:sz w:val="21"/>
                      <w:szCs w:val="21"/>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tcBorders>
                    <w:tl2br w:val="nil"/>
                    <w:tr2bl w:val="nil"/>
                  </w:tcBorders>
                  <w:vAlign w:val="center"/>
                </w:tcPr>
                <w:p>
                  <w:pPr>
                    <w:pStyle w:val="208"/>
                    <w:rPr>
                      <w:rFonts w:hint="default" w:ascii="Times New Roman" w:hAnsi="Times New Roman" w:eastAsia="宋体" w:cs="Times New Roman"/>
                      <w:color w:val="000000" w:themeColor="text1"/>
                      <w:sz w:val="21"/>
                      <w:szCs w:val="21"/>
                    </w:rPr>
                  </w:pPr>
                </w:p>
              </w:tc>
              <w:tc>
                <w:tcPr>
                  <w:tcW w:w="1000" w:type="dxa"/>
                  <w:vMerge w:val="continue"/>
                  <w:tcBorders>
                    <w:tl2br w:val="nil"/>
                    <w:tr2bl w:val="nil"/>
                  </w:tcBorders>
                  <w:vAlign w:val="center"/>
                </w:tcPr>
                <w:p>
                  <w:pPr>
                    <w:pStyle w:val="208"/>
                    <w:rPr>
                      <w:rFonts w:hint="default" w:ascii="Times New Roman" w:hAnsi="Times New Roman" w:eastAsia="宋体" w:cs="Times New Roman"/>
                      <w:color w:val="000000" w:themeColor="text1"/>
                      <w:sz w:val="21"/>
                      <w:szCs w:val="21"/>
                    </w:rPr>
                  </w:pPr>
                </w:p>
              </w:tc>
              <w:tc>
                <w:tcPr>
                  <w:tcW w:w="889" w:type="dxa"/>
                  <w:vMerge w:val="continue"/>
                  <w:tcBorders>
                    <w:tl2br w:val="nil"/>
                    <w:tr2bl w:val="nil"/>
                  </w:tcBorders>
                  <w:vAlign w:val="center"/>
                </w:tcPr>
                <w:p>
                  <w:pPr>
                    <w:pStyle w:val="208"/>
                    <w:rPr>
                      <w:rFonts w:hint="default" w:ascii="Times New Roman" w:hAnsi="Times New Roman" w:eastAsia="宋体" w:cs="Times New Roman"/>
                      <w:color w:val="000000" w:themeColor="text1"/>
                      <w:sz w:val="21"/>
                      <w:szCs w:val="21"/>
                    </w:rPr>
                  </w:pPr>
                </w:p>
              </w:tc>
              <w:tc>
                <w:tcPr>
                  <w:tcW w:w="751" w:type="dxa"/>
                  <w:vMerge w:val="continue"/>
                  <w:tcBorders>
                    <w:tl2br w:val="nil"/>
                    <w:tr2bl w:val="nil"/>
                  </w:tcBorders>
                  <w:vAlign w:val="center"/>
                </w:tcPr>
                <w:p>
                  <w:pPr>
                    <w:pStyle w:val="208"/>
                    <w:rPr>
                      <w:rFonts w:hint="default" w:ascii="Times New Roman" w:hAnsi="Times New Roman" w:eastAsia="宋体" w:cs="Times New Roman"/>
                      <w:color w:val="000000" w:themeColor="text1"/>
                      <w:sz w:val="21"/>
                      <w:szCs w:val="21"/>
                    </w:rPr>
                  </w:pPr>
                </w:p>
              </w:tc>
              <w:tc>
                <w:tcPr>
                  <w:tcW w:w="875" w:type="dxa"/>
                  <w:vMerge w:val="continue"/>
                  <w:tcBorders>
                    <w:tl2br w:val="nil"/>
                    <w:tr2bl w:val="nil"/>
                  </w:tcBorders>
                  <w:vAlign w:val="center"/>
                </w:tcPr>
                <w:p>
                  <w:pPr>
                    <w:pStyle w:val="208"/>
                    <w:rPr>
                      <w:rFonts w:hint="default" w:ascii="Times New Roman" w:hAnsi="Times New Roman" w:eastAsia="宋体" w:cs="Times New Roman"/>
                      <w:color w:val="000000" w:themeColor="text1"/>
                      <w:sz w:val="21"/>
                      <w:szCs w:val="21"/>
                    </w:rPr>
                  </w:pPr>
                </w:p>
              </w:tc>
              <w:tc>
                <w:tcPr>
                  <w:tcW w:w="713" w:type="dxa"/>
                  <w:vMerge w:val="continue"/>
                  <w:tcBorders>
                    <w:tl2br w:val="nil"/>
                    <w:tr2bl w:val="nil"/>
                  </w:tcBorders>
                  <w:vAlign w:val="center"/>
                </w:tcPr>
                <w:p>
                  <w:pPr>
                    <w:pStyle w:val="208"/>
                    <w:rPr>
                      <w:rFonts w:hint="default" w:ascii="Times New Roman" w:hAnsi="Times New Roman" w:eastAsia="宋体" w:cs="Times New Roman"/>
                      <w:color w:val="000000" w:themeColor="text1"/>
                      <w:sz w:val="21"/>
                      <w:szCs w:val="21"/>
                    </w:rPr>
                  </w:pPr>
                </w:p>
              </w:tc>
              <w:tc>
                <w:tcPr>
                  <w:tcW w:w="900" w:type="dxa"/>
                  <w:vMerge w:val="continue"/>
                  <w:tcBorders>
                    <w:tl2br w:val="nil"/>
                    <w:tr2bl w:val="nil"/>
                  </w:tcBorders>
                  <w:vAlign w:val="center"/>
                </w:tcPr>
                <w:p>
                  <w:pPr>
                    <w:pStyle w:val="208"/>
                    <w:rPr>
                      <w:rFonts w:hint="default" w:ascii="Times New Roman" w:hAnsi="Times New Roman" w:eastAsia="宋体" w:cs="Times New Roman"/>
                      <w:color w:val="000000" w:themeColor="text1"/>
                      <w:sz w:val="21"/>
                      <w:szCs w:val="21"/>
                    </w:rPr>
                  </w:pPr>
                </w:p>
              </w:tc>
              <w:tc>
                <w:tcPr>
                  <w:tcW w:w="1300" w:type="dxa"/>
                  <w:tcBorders>
                    <w:tl2br w:val="nil"/>
                    <w:tr2bl w:val="nil"/>
                  </w:tcBorders>
                  <w:vAlign w:val="center"/>
                </w:tcPr>
                <w:p>
                  <w:pPr>
                    <w:pStyle w:val="208"/>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非甲烷总烃</w:t>
                  </w:r>
                </w:p>
              </w:tc>
              <w:tc>
                <w:tcPr>
                  <w:tcW w:w="1072" w:type="dxa"/>
                  <w:tcBorders>
                    <w:tl2br w:val="nil"/>
                    <w:tr2bl w:val="nil"/>
                  </w:tcBorders>
                  <w:vAlign w:val="center"/>
                </w:tcPr>
                <w:p>
                  <w:pPr>
                    <w:pStyle w:val="208"/>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rPr>
                    <w:t>0.00</w:t>
                  </w:r>
                  <w:r>
                    <w:rPr>
                      <w:rFonts w:hint="eastAsia" w:cs="Times New Roman"/>
                      <w:color w:val="000000" w:themeColor="text1"/>
                      <w:sz w:val="21"/>
                      <w:szCs w:val="21"/>
                      <w:lang w:val="en-US" w:eastAsia="zh-CN"/>
                    </w:rPr>
                    <w:t>25</w:t>
                  </w:r>
                </w:p>
              </w:tc>
            </w:tr>
          </w:tbl>
          <w:p>
            <w:pPr>
              <w:pStyle w:val="2"/>
              <w:ind w:left="0" w:leftChars="0" w:firstLine="0" w:firstLineChars="0"/>
              <w:rPr>
                <w:rFonts w:hint="eastAsia" w:ascii="宋体" w:hAnsi="宋体"/>
                <w:b/>
                <w:bCs/>
                <w:sz w:val="24"/>
              </w:rPr>
            </w:pPr>
          </w:p>
          <w:p>
            <w:pPr>
              <w:pStyle w:val="2"/>
              <w:rPr>
                <w:rFonts w:hint="eastAsia" w:ascii="宋体" w:hAnsi="宋体"/>
                <w:b/>
                <w:bCs/>
                <w:sz w:val="24"/>
              </w:rPr>
            </w:pPr>
          </w:p>
          <w:p>
            <w:pPr>
              <w:spacing w:before="156" w:beforeLines="50" w:after="156" w:afterLines="50" w:line="360" w:lineRule="auto"/>
              <w:ind w:left="0" w:leftChars="0" w:firstLine="0" w:firstLineChars="0"/>
              <w:jc w:val="center"/>
              <w:rPr>
                <w:rFonts w:hint="eastAsia" w:ascii="宋体" w:hAnsi="宋体" w:cs="Times New Roman"/>
                <w:b/>
                <w:bCs/>
                <w:sz w:val="24"/>
                <w:lang w:val="en-US" w:eastAsia="zh-CN"/>
              </w:rPr>
            </w:pPr>
            <w:r>
              <w:rPr>
                <w:rFonts w:hint="default" w:ascii="宋体" w:hAnsi="宋体" w:cs="Times New Roman"/>
                <w:b/>
                <w:bCs/>
                <w:sz w:val="24"/>
              </w:rPr>
              <w:t>表</w:t>
            </w:r>
            <w:r>
              <w:rPr>
                <w:rFonts w:hint="eastAsia" w:ascii="宋体" w:hAnsi="宋体" w:cs="Times New Roman"/>
                <w:b/>
                <w:bCs/>
                <w:sz w:val="24"/>
                <w:lang w:val="en-US" w:eastAsia="zh-CN"/>
              </w:rPr>
              <w:t>7-9</w:t>
            </w:r>
            <w:r>
              <w:rPr>
                <w:rFonts w:hint="default" w:ascii="宋体" w:hAnsi="宋体" w:cs="Times New Roman"/>
                <w:b/>
                <w:bCs/>
                <w:sz w:val="24"/>
              </w:rPr>
              <w:t xml:space="preserve"> </w:t>
            </w:r>
            <w:r>
              <w:rPr>
                <w:rFonts w:hint="eastAsia" w:ascii="宋体" w:hAnsi="宋体" w:cs="Times New Roman"/>
                <w:b/>
                <w:bCs/>
                <w:sz w:val="24"/>
                <w:lang w:val="en-US" w:eastAsia="zh-CN"/>
              </w:rPr>
              <w:t>无</w:t>
            </w:r>
            <w:r>
              <w:rPr>
                <w:rFonts w:hint="default" w:ascii="宋体" w:hAnsi="宋体" w:cs="Times New Roman"/>
                <w:b/>
                <w:bCs/>
                <w:sz w:val="24"/>
              </w:rPr>
              <w:t>组织</w:t>
            </w:r>
            <w:r>
              <w:rPr>
                <w:rFonts w:hint="eastAsia" w:ascii="宋体" w:hAnsi="宋体" w:cs="Times New Roman"/>
                <w:b/>
                <w:bCs/>
                <w:sz w:val="24"/>
                <w:lang w:val="en-US" w:eastAsia="zh-CN"/>
              </w:rPr>
              <w:t>废气</w:t>
            </w:r>
            <w:r>
              <w:rPr>
                <w:rFonts w:hint="default" w:ascii="宋体" w:hAnsi="宋体" w:cs="Times New Roman"/>
                <w:b/>
                <w:bCs/>
                <w:sz w:val="24"/>
              </w:rPr>
              <w:t>估算</w:t>
            </w:r>
            <w:r>
              <w:rPr>
                <w:rFonts w:hint="default" w:ascii="宋体" w:hAnsi="宋体" w:cs="Times New Roman"/>
                <w:b/>
                <w:bCs/>
                <w:sz w:val="24"/>
                <w:lang w:val="en-US" w:eastAsia="zh-CN"/>
              </w:rPr>
              <w:t>模型计算</w:t>
            </w:r>
            <w:r>
              <w:rPr>
                <w:rFonts w:hint="default" w:ascii="宋体" w:hAnsi="宋体" w:cs="Times New Roman"/>
                <w:b/>
                <w:bCs/>
                <w:sz w:val="24"/>
              </w:rPr>
              <w:t>表</w:t>
            </w:r>
          </w:p>
          <w:tbl>
            <w:tblPr>
              <w:tblStyle w:val="33"/>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0" w:type="dxa"/>
                <w:bottom w:w="28" w:type="dxa"/>
                <w:right w:w="0" w:type="dxa"/>
              </w:tblCellMar>
            </w:tblPr>
            <w:tblGrid>
              <w:gridCol w:w="1672"/>
              <w:gridCol w:w="1830"/>
              <w:gridCol w:w="1666"/>
              <w:gridCol w:w="1666"/>
              <w:gridCol w:w="16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520" w:hRule="atLeast"/>
                <w:jc w:val="center"/>
              </w:trPr>
              <w:tc>
                <w:tcPr>
                  <w:tcW w:w="167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下风向距离（m）</w:t>
                  </w:r>
                </w:p>
              </w:tc>
              <w:tc>
                <w:tcPr>
                  <w:tcW w:w="349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333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TSP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rPr>
                  </w:pPr>
                </w:p>
              </w:tc>
              <w:tc>
                <w:tcPr>
                  <w:tcW w:w="183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预测</w:t>
                  </w:r>
                  <w:r>
                    <w:rPr>
                      <w:rFonts w:hint="default" w:ascii="Times New Roman" w:hAnsi="Times New Roman" w:eastAsia="宋体" w:cs="Times New Roman"/>
                      <w:color w:val="auto"/>
                      <w:sz w:val="21"/>
                      <w:szCs w:val="21"/>
                      <w:lang w:val="en-US" w:eastAsia="zh-CN"/>
                    </w:rPr>
                    <w:t>质量</w:t>
                  </w:r>
                  <w:r>
                    <w:rPr>
                      <w:rFonts w:hint="default" w:ascii="Times New Roman" w:hAnsi="Times New Roman" w:eastAsia="宋体" w:cs="Times New Roman"/>
                      <w:color w:val="auto"/>
                      <w:sz w:val="21"/>
                      <w:szCs w:val="21"/>
                    </w:rPr>
                    <w:t>浓度（</w:t>
                  </w:r>
                  <w:r>
                    <w:rPr>
                      <w:rFonts w:hint="default" w:ascii="Times New Roman" w:hAnsi="Times New Roman" w:eastAsia="宋体" w:cs="Times New Roman"/>
                      <w:bCs/>
                      <w:color w:val="auto"/>
                      <w:kern w:val="0"/>
                      <w:sz w:val="21"/>
                      <w:szCs w:val="21"/>
                      <w:highlight w:val="none"/>
                      <w:vertAlign w:val="baseline"/>
                      <w:lang w:val="en-US" w:eastAsia="zh-CN"/>
                    </w:rPr>
                    <w:t>ug/m</w:t>
                  </w:r>
                  <w:r>
                    <w:rPr>
                      <w:rFonts w:hint="default" w:ascii="Times New Roman" w:hAnsi="Times New Roman" w:eastAsia="宋体" w:cs="Times New Roman"/>
                      <w:bCs/>
                      <w:color w:val="auto"/>
                      <w:kern w:val="0"/>
                      <w:sz w:val="21"/>
                      <w:szCs w:val="21"/>
                      <w:highlight w:val="none"/>
                      <w:vertAlign w:val="superscript"/>
                      <w:lang w:val="en-US" w:eastAsia="zh-CN"/>
                    </w:rPr>
                    <w:t>3</w:t>
                  </w:r>
                  <w:r>
                    <w:rPr>
                      <w:rFonts w:hint="default" w:ascii="Times New Roman" w:hAnsi="Times New Roman" w:eastAsia="宋体" w:cs="Times New Roman"/>
                      <w:color w:val="auto"/>
                      <w:sz w:val="21"/>
                      <w:szCs w:val="21"/>
                    </w:rPr>
                    <w:t>）</w:t>
                  </w:r>
                </w:p>
              </w:tc>
              <w:tc>
                <w:tcPr>
                  <w:tcW w:w="16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firstLine="0" w:firstLineChars="0"/>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占标率（%）</w:t>
                  </w:r>
                </w:p>
              </w:tc>
              <w:tc>
                <w:tcPr>
                  <w:tcW w:w="166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firstLine="0" w:firstLineChars="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预测</w:t>
                  </w:r>
                  <w:r>
                    <w:rPr>
                      <w:rFonts w:hint="default" w:ascii="Times New Roman" w:hAnsi="Times New Roman" w:eastAsia="宋体" w:cs="Times New Roman"/>
                      <w:color w:val="auto"/>
                      <w:sz w:val="21"/>
                      <w:szCs w:val="21"/>
                      <w:lang w:val="en-US" w:eastAsia="zh-CN"/>
                    </w:rPr>
                    <w:t>质量</w:t>
                  </w:r>
                  <w:r>
                    <w:rPr>
                      <w:rFonts w:hint="default" w:ascii="Times New Roman" w:hAnsi="Times New Roman" w:eastAsia="宋体" w:cs="Times New Roman"/>
                      <w:color w:val="auto"/>
                      <w:sz w:val="21"/>
                      <w:szCs w:val="21"/>
                    </w:rPr>
                    <w:t>浓度（</w:t>
                  </w:r>
                  <w:r>
                    <w:rPr>
                      <w:rFonts w:hint="default" w:ascii="Times New Roman" w:hAnsi="Times New Roman" w:eastAsia="宋体" w:cs="Times New Roman"/>
                      <w:bCs/>
                      <w:color w:val="auto"/>
                      <w:kern w:val="0"/>
                      <w:sz w:val="21"/>
                      <w:szCs w:val="21"/>
                      <w:highlight w:val="none"/>
                      <w:vertAlign w:val="baseline"/>
                      <w:lang w:val="en-US" w:eastAsia="zh-CN"/>
                    </w:rPr>
                    <w:t>ug/m</w:t>
                  </w:r>
                  <w:r>
                    <w:rPr>
                      <w:rFonts w:hint="default" w:ascii="Times New Roman" w:hAnsi="Times New Roman" w:eastAsia="宋体" w:cs="Times New Roman"/>
                      <w:bCs/>
                      <w:color w:val="auto"/>
                      <w:kern w:val="0"/>
                      <w:sz w:val="21"/>
                      <w:szCs w:val="21"/>
                      <w:highlight w:val="none"/>
                      <w:vertAlign w:val="superscript"/>
                      <w:lang w:val="en-US" w:eastAsia="zh-CN"/>
                    </w:rPr>
                    <w:t>3</w:t>
                  </w:r>
                  <w:r>
                    <w:rPr>
                      <w:rFonts w:hint="default" w:ascii="Times New Roman" w:hAnsi="Times New Roman" w:eastAsia="宋体" w:cs="Times New Roman"/>
                      <w:color w:val="auto"/>
                      <w:sz w:val="21"/>
                      <w:szCs w:val="21"/>
                    </w:rPr>
                    <w:t>）</w:t>
                  </w:r>
                </w:p>
              </w:tc>
              <w:tc>
                <w:tcPr>
                  <w:tcW w:w="167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firstLine="0" w:firstLineChars="0"/>
                    <w:jc w:val="center"/>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0.7442</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0.0372</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5.553</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25</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1.238</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0.0619</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9.161</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50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1.538</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0.0769</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11.4</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75</w:t>
                  </w:r>
                </w:p>
              </w:tc>
              <w:tc>
                <w:tcPr>
                  <w:tcW w:w="183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1.447</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0.0723</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10.71</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eastAsia" w:ascii="Times New Roman" w:hAnsi="Times New Roman"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1.188</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0.0594</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8.787</w:t>
                  </w:r>
                </w:p>
              </w:tc>
              <w:tc>
                <w:tcPr>
                  <w:tcW w:w="16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0.976</w:t>
                  </w:r>
                  <w:r>
                    <w:rPr>
                      <w:rFonts w:hint="eastAsia" w:cs="Times New Roman"/>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0.7335</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0.036</w:t>
                  </w:r>
                  <w:r>
                    <w:rPr>
                      <w:rFonts w:hint="eastAsia" w:cs="Times New Roman"/>
                      <w:sz w:val="21"/>
                      <w:szCs w:val="21"/>
                      <w:lang w:val="en-US" w:eastAsia="zh-CN"/>
                    </w:rPr>
                    <w:t>7</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5.393</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0.5992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300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0.6953</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0.034</w:t>
                  </w:r>
                  <w:r>
                    <w:rPr>
                      <w:rFonts w:hint="eastAsia" w:cs="Times New Roman"/>
                      <w:sz w:val="21"/>
                      <w:szCs w:val="21"/>
                      <w:lang w:val="en-US" w:eastAsia="zh-CN"/>
                    </w:rPr>
                    <w:t>8</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5.104</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0.5671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0.6678</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0.033</w:t>
                  </w:r>
                  <w:r>
                    <w:rPr>
                      <w:rFonts w:hint="eastAsia" w:cs="Times New Roman"/>
                      <w:sz w:val="21"/>
                      <w:szCs w:val="21"/>
                      <w:lang w:val="en-US" w:eastAsia="zh-CN"/>
                    </w:rPr>
                    <w:t>4</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4.899</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0.5443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0.6201</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0.031</w:t>
                  </w:r>
                  <w:r>
                    <w:rPr>
                      <w:rFonts w:hint="eastAsia" w:cs="Times New Roman"/>
                      <w:sz w:val="21"/>
                      <w:szCs w:val="21"/>
                      <w:lang w:val="en-US" w:eastAsia="zh-CN"/>
                    </w:rPr>
                    <w:t>1</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4.55</w:t>
                  </w:r>
                </w:p>
              </w:tc>
              <w:tc>
                <w:tcPr>
                  <w:tcW w:w="167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0.505</w:t>
                  </w:r>
                  <w:r>
                    <w:rPr>
                      <w:rFonts w:hint="eastAsia"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1000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0.4516</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0.022</w:t>
                  </w:r>
                  <w:r>
                    <w:rPr>
                      <w:rFonts w:hint="eastAsia" w:cs="Times New Roman"/>
                      <w:sz w:val="21"/>
                      <w:szCs w:val="21"/>
                      <w:lang w:val="en-US" w:eastAsia="zh-CN"/>
                    </w:rPr>
                    <w:t>6</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3.312</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1500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0.3758</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0.018</w:t>
                  </w:r>
                  <w:r>
                    <w:rPr>
                      <w:rFonts w:hint="eastAsia" w:cs="Times New Roman"/>
                      <w:sz w:val="21"/>
                      <w:szCs w:val="21"/>
                      <w:lang w:val="en-US" w:eastAsia="zh-CN"/>
                    </w:rPr>
                    <w:t>8</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2.755</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0.3061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0.3112</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0.015</w:t>
                  </w:r>
                  <w:r>
                    <w:rPr>
                      <w:rFonts w:hint="eastAsia" w:cs="Times New Roman"/>
                      <w:sz w:val="21"/>
                      <w:szCs w:val="21"/>
                      <w:lang w:val="en-US" w:eastAsia="zh-CN"/>
                    </w:rPr>
                    <w:t>6</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2.281</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0.2534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2500</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0.2627</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0.0131</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1.926</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0"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下风向最大质量浓度及占标率</w:t>
                  </w:r>
                </w:p>
              </w:tc>
              <w:tc>
                <w:tcPr>
                  <w:tcW w:w="1830"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1.575</w:t>
                  </w:r>
                </w:p>
              </w:tc>
              <w:tc>
                <w:tcPr>
                  <w:tcW w:w="1666"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0.078</w:t>
                  </w:r>
                  <w:r>
                    <w:rPr>
                      <w:rFonts w:hint="eastAsia" w:cs="Times New Roman"/>
                      <w:sz w:val="21"/>
                      <w:szCs w:val="21"/>
                      <w:lang w:val="en-US" w:eastAsia="zh-CN"/>
                    </w:rPr>
                    <w:t>8</w:t>
                  </w:r>
                </w:p>
              </w:tc>
              <w:tc>
                <w:tcPr>
                  <w:tcW w:w="1666"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11.68</w:t>
                  </w:r>
                </w:p>
              </w:tc>
              <w:tc>
                <w:tcPr>
                  <w:tcW w:w="1670" w:type="dxa"/>
                  <w:tcBorders>
                    <w:tl2br w:val="nil"/>
                    <w:tr2bl w:val="nil"/>
                  </w:tcBorders>
                  <w:noWrap w:val="0"/>
                  <w:vAlign w:val="center"/>
                </w:tcPr>
                <w:p>
                  <w:pPr>
                    <w:ind w:left="0" w:leftChars="0"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1.2978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28" w:type="dxa"/>
                  <w:right w:w="0" w:type="dxa"/>
                </w:tblCellMar>
              </w:tblPrEx>
              <w:trPr>
                <w:trHeight w:val="315" w:hRule="atLeast"/>
                <w:jc w:val="center"/>
              </w:trPr>
              <w:tc>
                <w:tcPr>
                  <w:tcW w:w="167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最大落地浓度出现距离m</w:t>
                  </w:r>
                </w:p>
              </w:tc>
              <w:tc>
                <w:tcPr>
                  <w:tcW w:w="3496" w:type="dxa"/>
                  <w:gridSpan w:val="2"/>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57</w:t>
                  </w:r>
                </w:p>
              </w:tc>
              <w:tc>
                <w:tcPr>
                  <w:tcW w:w="3336" w:type="dxa"/>
                  <w:gridSpan w:val="2"/>
                  <w:tcBorders>
                    <w:tl2br w:val="nil"/>
                    <w:tr2bl w:val="nil"/>
                  </w:tcBorders>
                  <w:noWrap w:val="0"/>
                  <w:vAlign w:val="center"/>
                </w:tcPr>
                <w:p>
                  <w:pPr>
                    <w:ind w:left="0" w:leftChars="0"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57</w:t>
                  </w:r>
                </w:p>
              </w:tc>
            </w:tr>
          </w:tbl>
          <w:p>
            <w:pPr>
              <w:pStyle w:val="32"/>
              <w:keepNext w:val="0"/>
              <w:keepLines w:val="0"/>
              <w:pageBreakBefore w:val="0"/>
              <w:widowControl w:val="0"/>
              <w:tabs>
                <w:tab w:val="left" w:pos="8607"/>
              </w:tabs>
              <w:kinsoku/>
              <w:wordWrap/>
              <w:overflowPunct/>
              <w:topLinePunct w:val="0"/>
              <w:autoSpaceDE/>
              <w:autoSpaceDN/>
              <w:bidi w:val="0"/>
              <w:spacing w:before="0" w:after="0" w:line="360" w:lineRule="auto"/>
              <w:ind w:left="0" w:leftChars="0" w:firstLine="48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根据预测</w:t>
            </w:r>
            <w:r>
              <w:rPr>
                <w:rFonts w:hint="default" w:ascii="Times New Roman" w:hAnsi="Times New Roman" w:eastAsia="宋体" w:cs="Times New Roman"/>
                <w:sz w:val="24"/>
                <w:szCs w:val="24"/>
              </w:rPr>
              <w:t>结果可知，</w:t>
            </w:r>
            <w:r>
              <w:rPr>
                <w:rFonts w:hint="default" w:ascii="Times New Roman" w:hAnsi="Times New Roman" w:eastAsia="宋体" w:cs="Times New Roman"/>
                <w:sz w:val="24"/>
                <w:szCs w:val="24"/>
                <w:lang w:val="en-US" w:eastAsia="zh-CN"/>
              </w:rPr>
              <w:t>项目</w:t>
            </w:r>
            <w:r>
              <w:rPr>
                <w:rFonts w:hint="default" w:ascii="Times New Roman" w:hAnsi="Times New Roman" w:eastAsia="宋体" w:cs="Times New Roman"/>
                <w:color w:val="000000" w:themeColor="text1"/>
                <w:sz w:val="24"/>
                <w:szCs w:val="24"/>
                <w:lang w:val="en-US" w:eastAsia="zh-CN"/>
              </w:rPr>
              <w:t>有组织废气中非甲烷总烃最大占标浓度为0.0</w:t>
            </w:r>
            <w:r>
              <w:rPr>
                <w:rFonts w:hint="eastAsia" w:cs="Times New Roman"/>
                <w:color w:val="000000" w:themeColor="text1"/>
                <w:sz w:val="24"/>
                <w:szCs w:val="24"/>
                <w:lang w:val="en-US" w:eastAsia="zh-CN"/>
              </w:rPr>
              <w:t>108</w:t>
            </w:r>
            <w:r>
              <w:rPr>
                <w:rFonts w:hint="default" w:ascii="Times New Roman" w:hAnsi="Times New Roman" w:eastAsia="宋体" w:cs="Times New Roman"/>
                <w:color w:val="000000" w:themeColor="text1"/>
                <w:sz w:val="24"/>
                <w:szCs w:val="24"/>
                <w:lang w:val="en-US" w:eastAsia="zh-CN"/>
              </w:rPr>
              <w:t>%，最大落地浓度出现在下风向83m处，颗粒物最大占标浓度为0.0538%，最大落地浓度出现在下风向83m处；项目天然气燃烧废气中颗粒物最大占标浓度为0.006%，最大落地浓度出现在下风向132m处，氮氧化物最大占标浓度为0.067%，最大落地浓度出现在下风向132m处，二氧化硫最大占标浓度0.0089%，最大落地浓度出现在下风向132m处；项目无组织非甲烷总烃最大占标浓度为0.0</w:t>
            </w:r>
            <w:r>
              <w:rPr>
                <w:rFonts w:hint="eastAsia" w:cs="Times New Roman"/>
                <w:color w:val="000000" w:themeColor="text1"/>
                <w:sz w:val="24"/>
                <w:szCs w:val="24"/>
                <w:lang w:val="en-US" w:eastAsia="zh-CN"/>
              </w:rPr>
              <w:t>788</w:t>
            </w:r>
            <w:r>
              <w:rPr>
                <w:rFonts w:hint="default" w:ascii="Times New Roman" w:hAnsi="Times New Roman" w:eastAsia="宋体" w:cs="Times New Roman"/>
                <w:color w:val="000000" w:themeColor="text1"/>
                <w:sz w:val="24"/>
                <w:szCs w:val="24"/>
                <w:lang w:val="en-US" w:eastAsia="zh-CN"/>
              </w:rPr>
              <w:t>%，最大落地浓度出现在下风向57m处</w:t>
            </w:r>
            <w:r>
              <w:rPr>
                <w:rFonts w:hint="eastAsia" w:cs="Times New Roman"/>
                <w:color w:val="000000" w:themeColor="text1"/>
                <w:sz w:val="24"/>
                <w:szCs w:val="24"/>
                <w:lang w:val="en-US" w:eastAsia="zh-CN"/>
              </w:rPr>
              <w:t>；颗粒物最大占标浓度为1.2978%，</w:t>
            </w:r>
            <w:r>
              <w:rPr>
                <w:rFonts w:hint="default" w:ascii="Times New Roman" w:hAnsi="Times New Roman" w:eastAsia="宋体" w:cs="Times New Roman"/>
                <w:color w:val="000000" w:themeColor="text1"/>
                <w:sz w:val="24"/>
                <w:szCs w:val="24"/>
                <w:lang w:val="en-US" w:eastAsia="zh-CN"/>
              </w:rPr>
              <w:t>最大落地浓度出现在下风向57m处。</w:t>
            </w:r>
          </w:p>
          <w:p>
            <w:pPr>
              <w:keepNext w:val="0"/>
              <w:keepLines w:val="0"/>
              <w:pageBreakBefore w:val="0"/>
              <w:widowControl w:val="0"/>
              <w:kinsoku/>
              <w:wordWrap/>
              <w:overflowPunct/>
              <w:topLinePunct w:val="0"/>
              <w:autoSpaceDE/>
              <w:autoSpaceDN/>
              <w:bidi w:val="0"/>
              <w:adjustRightInd w:val="0"/>
              <w:snapToGrid w:val="0"/>
              <w:ind w:left="0" w:leftChars="0" w:firstLine="480" w:firstLineChars="200"/>
              <w:contextualSpacing/>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综上所述，</w:t>
            </w:r>
            <w:r>
              <w:rPr>
                <w:rFonts w:hint="default" w:ascii="Times New Roman" w:hAnsi="Times New Roman" w:eastAsia="宋体" w:cs="Times New Roman"/>
                <w:bCs/>
                <w:kern w:val="0"/>
                <w:sz w:val="24"/>
                <w:szCs w:val="24"/>
              </w:rPr>
              <w:t>本次级别判定取P</w:t>
            </w:r>
            <w:r>
              <w:rPr>
                <w:rFonts w:hint="default" w:ascii="Times New Roman" w:hAnsi="Times New Roman" w:eastAsia="宋体" w:cs="Times New Roman"/>
                <w:bCs/>
                <w:kern w:val="0"/>
                <w:sz w:val="24"/>
                <w:szCs w:val="24"/>
                <w:vertAlign w:val="subscript"/>
              </w:rPr>
              <w:t>max</w:t>
            </w:r>
            <w:r>
              <w:rPr>
                <w:rFonts w:hint="default" w:ascii="Times New Roman" w:hAnsi="Times New Roman" w:eastAsia="宋体" w:cs="Times New Roman"/>
                <w:bCs/>
                <w:kern w:val="0"/>
                <w:sz w:val="24"/>
                <w:szCs w:val="24"/>
                <w:vertAlign w:val="baseline"/>
                <w:lang w:val="en-US" w:eastAsia="zh-CN"/>
              </w:rPr>
              <w:t>=</w:t>
            </w:r>
            <w:r>
              <w:rPr>
                <w:rFonts w:hint="eastAsia" w:cs="Times New Roman"/>
                <w:bCs/>
                <w:kern w:val="0"/>
                <w:sz w:val="24"/>
                <w:szCs w:val="24"/>
                <w:vertAlign w:val="baseline"/>
                <w:lang w:val="en-US" w:eastAsia="zh-CN"/>
              </w:rPr>
              <w:t>1.2978</w:t>
            </w:r>
            <w:r>
              <w:rPr>
                <w:rFonts w:hint="default" w:ascii="Times New Roman" w:hAnsi="Times New Roman" w:eastAsia="宋体" w:cs="Times New Roman"/>
                <w:bCs/>
                <w:kern w:val="0"/>
                <w:sz w:val="24"/>
                <w:szCs w:val="24"/>
                <w:vertAlign w:val="baseline"/>
                <w:lang w:val="en-US" w:eastAsia="zh-CN"/>
              </w:rPr>
              <w:t>%</w:t>
            </w:r>
            <w:r>
              <w:rPr>
                <w:rFonts w:hint="default" w:ascii="Times New Roman" w:hAnsi="Times New Roman" w:eastAsia="宋体" w:cs="Times New Roman"/>
                <w:sz w:val="24"/>
                <w:szCs w:val="24"/>
              </w:rPr>
              <w:t>&lt;1</w:t>
            </w:r>
            <w:r>
              <w:rPr>
                <w:rFonts w:hint="eastAsia" w:cs="Times New Roman"/>
                <w:sz w:val="24"/>
                <w:szCs w:val="24"/>
                <w:lang w:val="en-US" w:eastAsia="zh-CN"/>
              </w:rPr>
              <w:t>0</w:t>
            </w:r>
            <w:r>
              <w:rPr>
                <w:rFonts w:hint="default" w:ascii="Times New Roman" w:hAnsi="Times New Roman" w:eastAsia="宋体" w:cs="Times New Roman"/>
                <w:sz w:val="24"/>
                <w:szCs w:val="24"/>
              </w:rPr>
              <w:t>%，根据《环境影响评价技术导则 大气环境》（HJ/2.2-2018），本项目大气评价等级为</w:t>
            </w:r>
            <w:r>
              <w:rPr>
                <w:rFonts w:hint="eastAsia" w:cs="Times New Roman"/>
                <w:sz w:val="24"/>
                <w:szCs w:val="24"/>
                <w:lang w:val="en-US" w:eastAsia="zh-CN"/>
              </w:rPr>
              <w:t>二</w:t>
            </w:r>
            <w:r>
              <w:rPr>
                <w:rFonts w:hint="default" w:ascii="Times New Roman" w:hAnsi="Times New Roman" w:eastAsia="宋体" w:cs="Times New Roman"/>
                <w:sz w:val="24"/>
                <w:szCs w:val="24"/>
              </w:rPr>
              <w:t>级，由此可见本项目对大气环境影响较小，不进行进一步预测与评价</w:t>
            </w:r>
            <w:r>
              <w:rPr>
                <w:rFonts w:hint="eastAsia" w:cs="Times New Roman"/>
                <w:sz w:val="24"/>
                <w:szCs w:val="24"/>
                <w:lang w:eastAsia="zh-CN"/>
              </w:rPr>
              <w:t>，</w:t>
            </w:r>
            <w:r>
              <w:rPr>
                <w:rFonts w:hint="eastAsia" w:cs="Times New Roman"/>
                <w:sz w:val="24"/>
                <w:szCs w:val="24"/>
                <w:lang w:val="en-US" w:eastAsia="zh-CN"/>
              </w:rPr>
              <w:t>只对污染物排放量进行核算</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val="0"/>
              <w:bidi w:val="0"/>
              <w:adjustRightInd/>
              <w:snapToGrid/>
              <w:spacing w:line="360" w:lineRule="auto"/>
              <w:ind w:firstLine="482" w:firstLineChars="200"/>
              <w:textAlignment w:val="auto"/>
              <w:rPr>
                <w:rFonts w:hint="default" w:ascii="Times New Roman" w:hAnsi="Times New Roman" w:eastAsia="宋体" w:cs="Times New Roman"/>
                <w:b/>
                <w:sz w:val="24"/>
                <w:lang w:val="en-US" w:eastAsia="zh-CN"/>
              </w:rPr>
            </w:pPr>
            <w:r>
              <w:rPr>
                <w:rFonts w:hint="eastAsia" w:cs="Times New Roman"/>
                <w:b/>
                <w:sz w:val="24"/>
                <w:lang w:val="en-US" w:eastAsia="zh-CN"/>
              </w:rPr>
              <w:t>3</w:t>
            </w:r>
            <w:r>
              <w:rPr>
                <w:rFonts w:hint="eastAsia" w:ascii="Times New Roman" w:hAnsi="Times New Roman" w:cs="Times New Roman"/>
                <w:b/>
                <w:sz w:val="24"/>
                <w:lang w:val="en-US" w:eastAsia="zh-CN"/>
              </w:rPr>
              <w:t>、</w:t>
            </w:r>
            <w:r>
              <w:rPr>
                <w:rFonts w:hint="eastAsia" w:ascii="Times New Roman" w:hAnsi="Times New Roman" w:cs="Times New Roman"/>
                <w:b/>
                <w:sz w:val="24"/>
              </w:rPr>
              <w:t>大气</w:t>
            </w:r>
            <w:r>
              <w:rPr>
                <w:rFonts w:hint="eastAsia" w:cs="Times New Roman"/>
                <w:b/>
                <w:sz w:val="24"/>
                <w:lang w:val="en-US" w:eastAsia="zh-CN"/>
              </w:rPr>
              <w:t>污染物排放量核算</w:t>
            </w:r>
          </w:p>
          <w:p>
            <w:pPr>
              <w:autoSpaceDN w:val="0"/>
              <w:spacing w:line="360" w:lineRule="auto"/>
              <w:ind w:firstLine="470" w:firstLineChars="196"/>
              <w:rPr>
                <w:sz w:val="24"/>
              </w:rPr>
            </w:pPr>
            <w:r>
              <w:rPr>
                <w:rFonts w:hint="eastAsia" w:cs="宋体"/>
                <w:sz w:val="24"/>
              </w:rPr>
              <w:t>（</w:t>
            </w:r>
            <w:r>
              <w:rPr>
                <w:sz w:val="24"/>
              </w:rPr>
              <w:t>1）</w:t>
            </w:r>
            <w:r>
              <w:rPr>
                <w:rFonts w:hint="eastAsia"/>
                <w:sz w:val="24"/>
              </w:rPr>
              <w:t>焊接烟尘</w:t>
            </w:r>
          </w:p>
          <w:p>
            <w:pPr>
              <w:autoSpaceDN w:val="0"/>
              <w:spacing w:line="360" w:lineRule="auto"/>
              <w:ind w:firstLine="480" w:firstLineChars="200"/>
              <w:rPr>
                <w:rFonts w:hint="eastAsia" w:ascii="宋体" w:hAnsi="宋体"/>
                <w:sz w:val="24"/>
              </w:rPr>
            </w:pPr>
            <w:r>
              <w:rPr>
                <w:rFonts w:hint="eastAsia" w:ascii="宋体" w:hAnsi="宋体"/>
                <w:sz w:val="24"/>
              </w:rPr>
              <w:t>项目焊</w:t>
            </w:r>
            <w:r>
              <w:rPr>
                <w:rFonts w:hint="eastAsia" w:ascii="宋体" w:hAnsi="宋体"/>
                <w:sz w:val="24"/>
                <w:lang w:val="en-US" w:eastAsia="zh-CN"/>
              </w:rPr>
              <w:t>工</w:t>
            </w:r>
            <w:r>
              <w:rPr>
                <w:rFonts w:hint="eastAsia" w:ascii="宋体" w:hAnsi="宋体"/>
                <w:sz w:val="24"/>
              </w:rPr>
              <w:t>间</w:t>
            </w:r>
            <w:r>
              <w:rPr>
                <w:rFonts w:hint="eastAsia" w:ascii="宋体" w:hAnsi="宋体"/>
                <w:sz w:val="24"/>
                <w:lang w:val="en-US" w:eastAsia="zh-CN"/>
              </w:rPr>
              <w:t>设有8个焊接工位，每个焊接工位有1台</w:t>
            </w:r>
            <w:r>
              <w:rPr>
                <w:rFonts w:hint="eastAsia"/>
                <w:sz w:val="24"/>
                <w:szCs w:val="24"/>
              </w:rPr>
              <w:t>二保焊机，</w:t>
            </w:r>
            <w:r>
              <w:rPr>
                <w:rFonts w:hint="eastAsia"/>
                <w:sz w:val="24"/>
                <w:szCs w:val="24"/>
                <w:lang w:val="en-US" w:eastAsia="zh-CN"/>
              </w:rPr>
              <w:t>每个焊接工位上方</w:t>
            </w:r>
            <w:r>
              <w:rPr>
                <w:rFonts w:hint="eastAsia" w:ascii="宋体" w:hAnsi="宋体"/>
                <w:sz w:val="24"/>
              </w:rPr>
              <w:t>设置</w:t>
            </w:r>
            <w:r>
              <w:rPr>
                <w:rFonts w:hint="eastAsia" w:ascii="宋体" w:hAnsi="宋体"/>
                <w:sz w:val="24"/>
                <w:lang w:val="en-US" w:eastAsia="zh-CN"/>
              </w:rPr>
              <w:t>1个集气罩</w:t>
            </w:r>
            <w:r>
              <w:rPr>
                <w:rFonts w:hint="eastAsia" w:ascii="宋体" w:hAnsi="宋体"/>
                <w:sz w:val="24"/>
              </w:rPr>
              <w:t>，</w:t>
            </w:r>
            <w:r>
              <w:rPr>
                <w:rFonts w:hint="eastAsia" w:ascii="宋体" w:hAnsi="宋体"/>
                <w:sz w:val="24"/>
                <w:lang w:val="en-US" w:eastAsia="zh-CN"/>
              </w:rPr>
              <w:t>收集后经</w:t>
            </w:r>
            <w:r>
              <w:rPr>
                <w:rFonts w:hint="eastAsia" w:ascii="宋体" w:hAnsi="宋体"/>
                <w:sz w:val="24"/>
              </w:rPr>
              <w:t>脉冲</w:t>
            </w:r>
            <w:r>
              <w:rPr>
                <w:rFonts w:hint="eastAsia" w:ascii="宋体" w:hAnsi="宋体"/>
                <w:sz w:val="24"/>
                <w:lang w:val="en-US" w:eastAsia="zh-CN"/>
              </w:rPr>
              <w:t>布袋</w:t>
            </w:r>
            <w:r>
              <w:rPr>
                <w:rFonts w:hint="eastAsia" w:ascii="宋体" w:hAnsi="宋体"/>
                <w:sz w:val="24"/>
              </w:rPr>
              <w:t>除尘器处理后排放，年排放烟尘</w:t>
            </w:r>
            <w:r>
              <w:rPr>
                <w:rFonts w:hint="eastAsia"/>
                <w:sz w:val="24"/>
              </w:rPr>
              <w:t>0.</w:t>
            </w:r>
            <w:r>
              <w:rPr>
                <w:rFonts w:hint="eastAsia"/>
                <w:sz w:val="24"/>
                <w:lang w:val="en-US" w:eastAsia="zh-CN"/>
              </w:rPr>
              <w:t>0012t</w:t>
            </w:r>
            <w:r>
              <w:rPr>
                <w:rFonts w:hint="eastAsia"/>
                <w:sz w:val="24"/>
              </w:rPr>
              <w:t>/a</w:t>
            </w:r>
            <w:r>
              <w:rPr>
                <w:rFonts w:hint="eastAsia"/>
                <w:sz w:val="24"/>
                <w:lang w:eastAsia="zh-CN"/>
              </w:rPr>
              <w:t>，</w:t>
            </w:r>
            <w:r>
              <w:rPr>
                <w:rFonts w:hint="eastAsia"/>
                <w:sz w:val="24"/>
                <w:lang w:val="en-US" w:eastAsia="zh-CN"/>
              </w:rPr>
              <w:t>排放浓度0.2</w:t>
            </w:r>
            <w:r>
              <w:rPr>
                <w:sz w:val="24"/>
              </w:rPr>
              <w:t>mg/m</w:t>
            </w:r>
            <w:r>
              <w:rPr>
                <w:sz w:val="24"/>
                <w:vertAlign w:val="superscript"/>
              </w:rPr>
              <w:t>3</w:t>
            </w:r>
            <w:r>
              <w:rPr>
                <w:rFonts w:hint="eastAsia" w:ascii="宋体" w:hAnsi="宋体"/>
                <w:sz w:val="24"/>
              </w:rPr>
              <w:t>。</w:t>
            </w:r>
          </w:p>
          <w:p>
            <w:pPr>
              <w:autoSpaceDN w:val="0"/>
              <w:spacing w:line="360" w:lineRule="auto"/>
              <w:ind w:firstLine="480" w:firstLineChars="200"/>
              <w:rPr>
                <w:rFonts w:hint="eastAsia"/>
                <w:sz w:val="24"/>
              </w:rPr>
            </w:pPr>
            <w:r>
              <w:rPr>
                <w:rFonts w:hint="eastAsia"/>
                <w:sz w:val="24"/>
              </w:rPr>
              <w:t>（2）喷塑粉尘</w:t>
            </w:r>
          </w:p>
          <w:p>
            <w:pPr>
              <w:spacing w:line="360" w:lineRule="auto"/>
              <w:ind w:firstLine="480" w:firstLineChars="200"/>
              <w:rPr>
                <w:rFonts w:hint="eastAsia"/>
                <w:sz w:val="24"/>
                <w:lang w:eastAsia="zh-CN"/>
              </w:rPr>
            </w:pPr>
            <w:r>
              <w:rPr>
                <w:rFonts w:hint="eastAsia" w:ascii="宋体" w:hAnsi="宋体"/>
                <w:sz w:val="24"/>
              </w:rPr>
              <w:t>项目静电喷涂在专门的静电喷涂室内进行，喷塑设备配套密封柜、</w:t>
            </w:r>
            <w:r>
              <w:rPr>
                <w:rFonts w:hint="eastAsia" w:ascii="宋体" w:hAnsi="宋体"/>
                <w:sz w:val="24"/>
                <w:lang w:val="en-US" w:eastAsia="zh-CN"/>
              </w:rPr>
              <w:t>脉冲布袋</w:t>
            </w:r>
            <w:r>
              <w:rPr>
                <w:rFonts w:hint="eastAsia" w:ascii="宋体" w:hAnsi="宋体"/>
                <w:sz w:val="24"/>
              </w:rPr>
              <w:t>除尘器和</w:t>
            </w:r>
            <w:r>
              <w:rPr>
                <w:sz w:val="24"/>
              </w:rPr>
              <w:t>15</w:t>
            </w:r>
            <w:r>
              <w:rPr>
                <w:rFonts w:hint="eastAsia" w:ascii="宋体" w:hAnsi="宋体"/>
                <w:sz w:val="24"/>
              </w:rPr>
              <w:t>米高的排气筒，</w:t>
            </w:r>
            <w:r>
              <w:rPr>
                <w:rFonts w:hint="eastAsia" w:ascii="宋体" w:hAnsi="宋体"/>
                <w:sz w:val="24"/>
                <w:lang w:val="en-US" w:eastAsia="zh-CN"/>
              </w:rPr>
              <w:t>项目</w:t>
            </w:r>
            <w:r>
              <w:rPr>
                <w:rFonts w:hint="eastAsia" w:ascii="宋体" w:hAnsi="宋体"/>
                <w:sz w:val="24"/>
              </w:rPr>
              <w:t>塑粉产生量为</w:t>
            </w:r>
            <w:r>
              <w:rPr>
                <w:rFonts w:hint="eastAsia"/>
                <w:sz w:val="24"/>
                <w:lang w:val="en-US" w:eastAsia="zh-CN"/>
              </w:rPr>
              <w:t>0.5</w:t>
            </w:r>
            <w:r>
              <w:rPr>
                <w:sz w:val="24"/>
              </w:rPr>
              <w:t>t/a</w:t>
            </w:r>
            <w:r>
              <w:rPr>
                <w:rFonts w:hint="eastAsia" w:ascii="宋体" w:hAnsi="宋体"/>
                <w:sz w:val="24"/>
              </w:rPr>
              <w:t>，回收量为</w:t>
            </w:r>
            <w:r>
              <w:rPr>
                <w:rFonts w:hint="eastAsia"/>
                <w:sz w:val="24"/>
                <w:lang w:val="en-US" w:eastAsia="zh-CN"/>
              </w:rPr>
              <w:t>0.495</w:t>
            </w:r>
            <w:r>
              <w:rPr>
                <w:sz w:val="24"/>
              </w:rPr>
              <w:t>t/a</w:t>
            </w:r>
            <w:r>
              <w:rPr>
                <w:rFonts w:hint="eastAsia" w:ascii="宋体" w:hAnsi="宋体"/>
                <w:sz w:val="24"/>
              </w:rPr>
              <w:t>，排放量为</w:t>
            </w:r>
            <w:r>
              <w:rPr>
                <w:sz w:val="24"/>
              </w:rPr>
              <w:t>0.</w:t>
            </w:r>
            <w:r>
              <w:rPr>
                <w:rFonts w:hint="eastAsia"/>
                <w:sz w:val="24"/>
              </w:rPr>
              <w:t>0</w:t>
            </w:r>
            <w:r>
              <w:rPr>
                <w:rFonts w:hint="eastAsia"/>
                <w:sz w:val="24"/>
                <w:lang w:val="en-US" w:eastAsia="zh-CN"/>
              </w:rPr>
              <w:t>05</w:t>
            </w:r>
            <w:r>
              <w:rPr>
                <w:sz w:val="24"/>
              </w:rPr>
              <w:t>t/a</w:t>
            </w:r>
            <w:r>
              <w:rPr>
                <w:rFonts w:hint="eastAsia"/>
                <w:sz w:val="24"/>
                <w:lang w:eastAsia="zh-CN"/>
              </w:rPr>
              <w:t>。</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cs="Times New Roman"/>
                <w:sz w:val="24"/>
                <w:szCs w:val="24"/>
                <w:lang w:val="en-US" w:eastAsia="zh-CN"/>
              </w:rPr>
              <w:t>3</w:t>
            </w:r>
            <w:r>
              <w:rPr>
                <w:rFonts w:hint="default" w:ascii="Times New Roman" w:hAnsi="Times New Roman" w:eastAsia="宋体" w:cs="Times New Roman"/>
                <w:sz w:val="24"/>
                <w:szCs w:val="24"/>
              </w:rPr>
              <w:t>）天然气燃烧废气</w:t>
            </w:r>
          </w:p>
          <w:p>
            <w:pPr>
              <w:pStyle w:val="236"/>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rPr>
              <w:t>本项目固化采用天然气燃烧机加热，天然气燃烧机每天运行5h</w:t>
            </w:r>
            <w:r>
              <w:rPr>
                <w:rFonts w:hint="default" w:ascii="Times New Roman" w:hAnsi="Times New Roman" w:eastAsia="宋体" w:cs="Times New Roman"/>
                <w:color w:val="000000" w:themeColor="text1"/>
                <w:sz w:val="24"/>
                <w:szCs w:val="24"/>
                <w:lang w:eastAsia="zh-CN"/>
              </w:rPr>
              <w:t>，</w:t>
            </w:r>
            <w:r>
              <w:rPr>
                <w:rFonts w:hint="default" w:ascii="Times New Roman" w:hAnsi="Times New Roman" w:eastAsia="宋体" w:cs="Times New Roman"/>
                <w:color w:val="000000" w:themeColor="text1"/>
                <w:sz w:val="24"/>
                <w:szCs w:val="24"/>
                <w:lang w:val="en-US" w:eastAsia="zh-CN"/>
              </w:rPr>
              <w:t>年运行300天</w:t>
            </w:r>
            <w:r>
              <w:rPr>
                <w:rFonts w:hint="default" w:ascii="Times New Roman" w:hAnsi="Times New Roman" w:eastAsia="宋体" w:cs="Times New Roman"/>
                <w:color w:val="000000" w:themeColor="text1"/>
                <w:sz w:val="24"/>
                <w:szCs w:val="24"/>
                <w:lang w:eastAsia="zh-CN"/>
              </w:rPr>
              <w:t>，</w:t>
            </w:r>
            <w:r>
              <w:rPr>
                <w:rFonts w:hint="default" w:ascii="Times New Roman" w:hAnsi="Times New Roman" w:eastAsia="宋体" w:cs="Times New Roman"/>
                <w:color w:val="000000" w:themeColor="text1"/>
                <w:sz w:val="24"/>
                <w:szCs w:val="24"/>
              </w:rPr>
              <w:t>燃料为天然气，液化天然气使用量为</w:t>
            </w:r>
            <w:r>
              <w:rPr>
                <w:rFonts w:hint="default" w:ascii="Times New Roman" w:hAnsi="Times New Roman" w:eastAsia="宋体" w:cs="Times New Roman"/>
                <w:color w:val="000000" w:themeColor="text1"/>
                <w:sz w:val="24"/>
                <w:szCs w:val="24"/>
                <w:lang w:val="en-US" w:eastAsia="zh-CN"/>
              </w:rPr>
              <w:t>5</w:t>
            </w:r>
            <w:r>
              <w:rPr>
                <w:rFonts w:hint="default" w:ascii="Times New Roman" w:hAnsi="Times New Roman" w:eastAsia="宋体" w:cs="Times New Roman"/>
                <w:color w:val="000000" w:themeColor="text1"/>
                <w:spacing w:val="8"/>
                <w:kern w:val="24"/>
                <w:sz w:val="24"/>
                <w:szCs w:val="24"/>
              </w:rPr>
              <w:t>t/a</w:t>
            </w:r>
            <w:r>
              <w:rPr>
                <w:rFonts w:hint="default" w:ascii="Times New Roman" w:hAnsi="Times New Roman" w:eastAsia="宋体" w:cs="Times New Roman"/>
                <w:color w:val="000000" w:themeColor="text1"/>
                <w:spacing w:val="8"/>
                <w:kern w:val="24"/>
                <w:sz w:val="24"/>
                <w:szCs w:val="24"/>
                <w:lang w:eastAsia="zh-CN"/>
              </w:rPr>
              <w:t>。</w:t>
            </w:r>
            <w:r>
              <w:rPr>
                <w:rFonts w:hint="default" w:ascii="Times New Roman" w:hAnsi="Times New Roman" w:eastAsia="宋体" w:cs="Times New Roman"/>
                <w:color w:val="000000" w:themeColor="text1"/>
                <w:kern w:val="0"/>
                <w:sz w:val="24"/>
                <w:szCs w:val="24"/>
                <w:lang w:val="en-US" w:eastAsia="zh-CN"/>
              </w:rPr>
              <w:t>燃烧产生</w:t>
            </w:r>
            <w:r>
              <w:rPr>
                <w:rFonts w:hint="default" w:ascii="Times New Roman" w:hAnsi="Times New Roman" w:eastAsia="宋体" w:cs="Times New Roman"/>
                <w:color w:val="000000" w:themeColor="text1"/>
                <w:kern w:val="0"/>
                <w:sz w:val="24"/>
                <w:szCs w:val="24"/>
              </w:rPr>
              <w:t>颗粒物</w:t>
            </w:r>
            <w:r>
              <w:rPr>
                <w:rFonts w:hint="default" w:ascii="Times New Roman" w:hAnsi="Times New Roman" w:eastAsia="宋体" w:cs="Times New Roman"/>
                <w:color w:val="000000" w:themeColor="text1"/>
                <w:sz w:val="24"/>
                <w:szCs w:val="24"/>
                <w:lang w:val="en-US" w:eastAsia="zh-CN"/>
              </w:rPr>
              <w:t>1.047</w:t>
            </w:r>
            <w:r>
              <w:rPr>
                <w:rFonts w:hint="default" w:ascii="Times New Roman" w:hAnsi="Times New Roman" w:eastAsia="宋体" w:cs="Times New Roman"/>
                <w:color w:val="000000" w:themeColor="text1"/>
                <w:sz w:val="24"/>
                <w:szCs w:val="24"/>
              </w:rPr>
              <w:t>kg/a</w:t>
            </w:r>
            <w:r>
              <w:rPr>
                <w:rFonts w:hint="default" w:ascii="Times New Roman" w:hAnsi="Times New Roman" w:eastAsia="宋体" w:cs="Times New Roman"/>
                <w:color w:val="000000" w:themeColor="text1"/>
                <w:kern w:val="0"/>
                <w:sz w:val="24"/>
                <w:szCs w:val="24"/>
                <w:lang w:val="en-US" w:eastAsia="zh-CN"/>
              </w:rPr>
              <w:t>，排放浓度为13.2mg/m</w:t>
            </w:r>
            <w:r>
              <w:rPr>
                <w:rFonts w:hint="default" w:ascii="Times New Roman" w:hAnsi="Times New Roman" w:eastAsia="宋体" w:cs="Times New Roman"/>
                <w:color w:val="000000" w:themeColor="text1"/>
                <w:kern w:val="0"/>
                <w:sz w:val="24"/>
                <w:szCs w:val="24"/>
                <w:vertAlign w:val="superscript"/>
                <w:lang w:val="en-US" w:eastAsia="zh-CN"/>
              </w:rPr>
              <w:t>3</w:t>
            </w:r>
            <w:r>
              <w:rPr>
                <w:rFonts w:hint="default" w:ascii="Times New Roman" w:hAnsi="Times New Roman" w:eastAsia="宋体" w:cs="Times New Roman"/>
                <w:color w:val="000000" w:themeColor="text1"/>
                <w:kern w:val="0"/>
                <w:sz w:val="24"/>
                <w:szCs w:val="24"/>
              </w:rPr>
              <w:t>。</w:t>
            </w:r>
            <w:r>
              <w:rPr>
                <w:rFonts w:hint="default" w:ascii="Times New Roman" w:hAnsi="Times New Roman" w:eastAsia="宋体" w:cs="Times New Roman"/>
                <w:color w:val="000000" w:themeColor="text1"/>
                <w:sz w:val="24"/>
                <w:szCs w:val="24"/>
              </w:rPr>
              <w:t>产生</w:t>
            </w:r>
            <w:r>
              <w:rPr>
                <w:rFonts w:hint="default" w:ascii="Times New Roman" w:hAnsi="Times New Roman" w:eastAsia="宋体" w:cs="Times New Roman"/>
                <w:color w:val="000000" w:themeColor="text1"/>
                <w:sz w:val="24"/>
                <w:szCs w:val="24"/>
                <w:lang w:val="en-US" w:eastAsia="zh-CN"/>
              </w:rPr>
              <w:t>二氧化硫1.345</w:t>
            </w:r>
            <w:r>
              <w:rPr>
                <w:rFonts w:hint="default" w:ascii="Times New Roman" w:hAnsi="Times New Roman" w:eastAsia="宋体" w:cs="Times New Roman"/>
                <w:color w:val="000000" w:themeColor="text1"/>
                <w:sz w:val="24"/>
                <w:szCs w:val="24"/>
              </w:rPr>
              <w:t>kg/a，</w:t>
            </w:r>
            <w:r>
              <w:rPr>
                <w:rFonts w:hint="default" w:ascii="Times New Roman" w:hAnsi="Times New Roman" w:eastAsia="宋体" w:cs="Times New Roman"/>
                <w:color w:val="000000" w:themeColor="text1"/>
                <w:kern w:val="0"/>
                <w:sz w:val="24"/>
                <w:szCs w:val="24"/>
                <w:lang w:val="en-US" w:eastAsia="zh-CN"/>
              </w:rPr>
              <w:t>排放浓度为</w:t>
            </w:r>
            <w:r>
              <w:rPr>
                <w:rFonts w:hint="default" w:ascii="Times New Roman" w:hAnsi="Times New Roman" w:eastAsia="宋体" w:cs="Times New Roman"/>
                <w:color w:val="000000" w:themeColor="text1"/>
                <w:sz w:val="24"/>
                <w:szCs w:val="24"/>
              </w:rPr>
              <w:t>16.9</w:t>
            </w:r>
            <w:r>
              <w:rPr>
                <w:rFonts w:hint="default" w:ascii="Times New Roman" w:hAnsi="Times New Roman" w:eastAsia="宋体" w:cs="Times New Roman"/>
                <w:color w:val="000000" w:themeColor="text1"/>
                <w:kern w:val="0"/>
                <w:sz w:val="24"/>
                <w:szCs w:val="24"/>
                <w:lang w:val="en-US" w:eastAsia="zh-CN"/>
              </w:rPr>
              <w:t>mg/m</w:t>
            </w:r>
            <w:r>
              <w:rPr>
                <w:rFonts w:hint="default" w:ascii="Times New Roman" w:hAnsi="Times New Roman" w:eastAsia="宋体" w:cs="Times New Roman"/>
                <w:color w:val="000000" w:themeColor="text1"/>
                <w:kern w:val="0"/>
                <w:sz w:val="24"/>
                <w:szCs w:val="24"/>
                <w:vertAlign w:val="superscript"/>
                <w:lang w:val="en-US" w:eastAsia="zh-CN"/>
              </w:rPr>
              <w:t>3</w:t>
            </w:r>
            <w:r>
              <w:rPr>
                <w:rFonts w:hint="default" w:ascii="Times New Roman" w:hAnsi="Times New Roman" w:eastAsia="宋体" w:cs="Times New Roman"/>
                <w:color w:val="000000" w:themeColor="text1"/>
                <w:kern w:val="0"/>
                <w:sz w:val="24"/>
                <w:szCs w:val="24"/>
              </w:rPr>
              <w:t>。NOx年排放量为</w:t>
            </w:r>
            <w:r>
              <w:rPr>
                <w:rFonts w:hint="default" w:ascii="Times New Roman" w:hAnsi="Times New Roman" w:eastAsia="宋体" w:cs="Times New Roman"/>
                <w:color w:val="000000" w:themeColor="text1"/>
                <w:sz w:val="24"/>
                <w:szCs w:val="24"/>
                <w:lang w:val="en-US" w:eastAsia="zh-CN"/>
              </w:rPr>
              <w:t>13.156</w:t>
            </w:r>
            <w:r>
              <w:rPr>
                <w:rFonts w:hint="default" w:ascii="Times New Roman" w:hAnsi="Times New Roman" w:eastAsia="宋体" w:cs="Times New Roman"/>
                <w:color w:val="000000" w:themeColor="text1"/>
                <w:sz w:val="24"/>
                <w:szCs w:val="24"/>
              </w:rPr>
              <w:t>kg/a</w:t>
            </w:r>
            <w:r>
              <w:rPr>
                <w:rFonts w:hint="default" w:ascii="Times New Roman" w:hAnsi="Times New Roman" w:eastAsia="宋体" w:cs="Times New Roman"/>
                <w:color w:val="000000" w:themeColor="text1"/>
                <w:kern w:val="0"/>
                <w:sz w:val="24"/>
                <w:szCs w:val="24"/>
                <w:lang w:eastAsia="zh-CN"/>
              </w:rPr>
              <w:t>，</w:t>
            </w:r>
            <w:r>
              <w:rPr>
                <w:rFonts w:hint="default" w:ascii="Times New Roman" w:hAnsi="Times New Roman" w:eastAsia="宋体" w:cs="Times New Roman"/>
                <w:color w:val="000000" w:themeColor="text1"/>
                <w:kern w:val="0"/>
                <w:sz w:val="24"/>
                <w:szCs w:val="24"/>
                <w:lang w:val="en-US" w:eastAsia="zh-CN"/>
              </w:rPr>
              <w:t>排放浓度为</w:t>
            </w:r>
            <w:r>
              <w:rPr>
                <w:rFonts w:hint="default" w:ascii="Times New Roman" w:hAnsi="Times New Roman" w:eastAsia="宋体" w:cs="Times New Roman"/>
                <w:color w:val="000000" w:themeColor="text1"/>
                <w:sz w:val="24"/>
                <w:szCs w:val="24"/>
              </w:rPr>
              <w:t>165.7</w:t>
            </w:r>
            <w:r>
              <w:rPr>
                <w:rFonts w:hint="default" w:ascii="Times New Roman" w:hAnsi="Times New Roman" w:eastAsia="宋体" w:cs="Times New Roman"/>
                <w:color w:val="000000" w:themeColor="text1"/>
                <w:kern w:val="0"/>
                <w:sz w:val="24"/>
                <w:szCs w:val="24"/>
                <w:lang w:val="en-US" w:eastAsia="zh-CN"/>
              </w:rPr>
              <w:t>mg/m</w:t>
            </w:r>
            <w:r>
              <w:rPr>
                <w:rFonts w:hint="default" w:ascii="Times New Roman" w:hAnsi="Times New Roman" w:eastAsia="宋体" w:cs="Times New Roman"/>
                <w:color w:val="000000" w:themeColor="text1"/>
                <w:kern w:val="0"/>
                <w:sz w:val="24"/>
                <w:szCs w:val="24"/>
                <w:vertAlign w:val="superscript"/>
                <w:lang w:val="en-US" w:eastAsia="zh-CN"/>
              </w:rPr>
              <w:t>3</w:t>
            </w:r>
            <w:r>
              <w:rPr>
                <w:rFonts w:hint="default" w:ascii="Times New Roman" w:hAnsi="Times New Roman" w:eastAsia="宋体" w:cs="Times New Roman"/>
                <w:color w:val="000000" w:themeColor="text1"/>
                <w:kern w:val="0"/>
                <w:sz w:val="24"/>
                <w:szCs w:val="24"/>
              </w:rPr>
              <w:t>。</w:t>
            </w:r>
          </w:p>
          <w:p>
            <w:pPr>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eastAsia="宋体" w:cs="Times New Roman"/>
                <w:color w:val="000000" w:themeColor="text1"/>
              </w:rPr>
            </w:pPr>
            <w:r>
              <w:rPr>
                <w:rFonts w:hint="eastAsia"/>
                <w:snapToGrid w:val="0"/>
                <w:color w:val="000000" w:themeColor="text1"/>
                <w:sz w:val="24"/>
                <w:lang w:eastAsia="zh-CN"/>
              </w:rPr>
              <w:t>（</w:t>
            </w:r>
            <w:r>
              <w:rPr>
                <w:rFonts w:hint="eastAsia"/>
                <w:snapToGrid w:val="0"/>
                <w:color w:val="000000" w:themeColor="text1"/>
                <w:sz w:val="24"/>
                <w:lang w:val="en-US" w:eastAsia="zh-CN"/>
              </w:rPr>
              <w:t>4</w:t>
            </w:r>
            <w:r>
              <w:rPr>
                <w:rFonts w:hint="eastAsia"/>
                <w:snapToGrid w:val="0"/>
                <w:color w:val="000000" w:themeColor="text1"/>
                <w:sz w:val="24"/>
                <w:lang w:eastAsia="zh-CN"/>
              </w:rPr>
              <w:t>）</w:t>
            </w:r>
            <w:r>
              <w:rPr>
                <w:rFonts w:hint="eastAsia"/>
                <w:snapToGrid w:val="0"/>
                <w:color w:val="000000" w:themeColor="text1"/>
                <w:sz w:val="24"/>
                <w:lang w:val="en-US" w:eastAsia="zh-CN"/>
              </w:rPr>
              <w:t>木板切割、打孔</w:t>
            </w:r>
            <w:r>
              <w:rPr>
                <w:rFonts w:hint="default" w:ascii="Times New Roman" w:hAnsi="Times New Roman" w:eastAsia="宋体" w:cs="Times New Roman"/>
                <w:color w:val="000000" w:themeColor="text1"/>
              </w:rPr>
              <w:t>粉尘</w:t>
            </w:r>
          </w:p>
          <w:p>
            <w:pPr>
              <w:pStyle w:val="217"/>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本项目在</w:t>
            </w:r>
            <w:r>
              <w:rPr>
                <w:rFonts w:hint="eastAsia" w:ascii="Times New Roman" w:hAnsi="Times New Roman" w:cs="Times New Roman"/>
                <w:color w:val="000000" w:themeColor="text1"/>
                <w:lang w:val="en-US" w:eastAsia="zh-CN"/>
              </w:rPr>
              <w:t>切割</w:t>
            </w:r>
            <w:r>
              <w:rPr>
                <w:rFonts w:hint="default" w:ascii="Times New Roman" w:hAnsi="Times New Roman" w:eastAsia="宋体" w:cs="Times New Roman"/>
                <w:color w:val="000000" w:themeColor="text1"/>
              </w:rPr>
              <w:t>、打孔等产生粉尘工序</w:t>
            </w:r>
            <w:r>
              <w:rPr>
                <w:rFonts w:hint="default" w:ascii="Times New Roman" w:hAnsi="Times New Roman" w:eastAsia="宋体" w:cs="Times New Roman"/>
                <w:color w:val="000000" w:themeColor="text1"/>
                <w:lang w:val="en-US" w:eastAsia="zh-CN"/>
              </w:rPr>
              <w:t>均</w:t>
            </w:r>
            <w:r>
              <w:rPr>
                <w:rFonts w:hint="default" w:ascii="Times New Roman" w:hAnsi="Times New Roman" w:eastAsia="宋体" w:cs="Times New Roman"/>
                <w:color w:val="000000" w:themeColor="text1"/>
              </w:rPr>
              <w:t>安装</w:t>
            </w:r>
            <w:r>
              <w:rPr>
                <w:rFonts w:hint="eastAsia" w:ascii="Times New Roman" w:hAnsi="Times New Roman" w:cs="Times New Roman"/>
                <w:color w:val="000000" w:themeColor="text1"/>
                <w:lang w:eastAsia="zh-CN"/>
              </w:rPr>
              <w:t>双桶布袋除尘器</w:t>
            </w:r>
            <w:r>
              <w:rPr>
                <w:rFonts w:hint="default" w:ascii="Times New Roman" w:hAnsi="Times New Roman" w:eastAsia="宋体" w:cs="Times New Roman"/>
                <w:color w:val="000000" w:themeColor="text1"/>
              </w:rPr>
              <w:t>，</w:t>
            </w:r>
            <w:r>
              <w:rPr>
                <w:rFonts w:hint="eastAsia" w:ascii="Times New Roman" w:hAnsi="Times New Roman" w:cs="Times New Roman"/>
                <w:color w:val="000000" w:themeColor="text1"/>
                <w:lang w:val="en-US" w:eastAsia="zh-CN"/>
              </w:rPr>
              <w:t>双桶</w:t>
            </w:r>
            <w:r>
              <w:rPr>
                <w:rFonts w:hint="default" w:ascii="Times New Roman" w:hAnsi="Times New Roman" w:eastAsia="宋体" w:cs="Times New Roman"/>
                <w:color w:val="000000" w:themeColor="text1"/>
              </w:rPr>
              <w:t>布袋</w:t>
            </w:r>
            <w:r>
              <w:rPr>
                <w:rFonts w:hint="eastAsia" w:ascii="Times New Roman" w:hAnsi="Times New Roman" w:cs="Times New Roman"/>
                <w:color w:val="000000" w:themeColor="text1"/>
                <w:lang w:eastAsia="zh-CN"/>
              </w:rPr>
              <w:t>除尘器</w:t>
            </w:r>
            <w:r>
              <w:rPr>
                <w:rFonts w:hint="default" w:ascii="Times New Roman" w:hAnsi="Times New Roman" w:eastAsia="宋体" w:cs="Times New Roman"/>
                <w:color w:val="000000" w:themeColor="text1"/>
              </w:rPr>
              <w:t>收集粉尘量为0.</w:t>
            </w:r>
            <w:r>
              <w:rPr>
                <w:rFonts w:hint="eastAsia" w:ascii="Times New Roman" w:hAnsi="Times New Roman" w:cs="Times New Roman"/>
                <w:color w:val="000000" w:themeColor="text1"/>
                <w:lang w:val="en-US" w:eastAsia="zh-CN"/>
              </w:rPr>
              <w:t>3474</w:t>
            </w:r>
            <w:r>
              <w:rPr>
                <w:rFonts w:hint="default" w:ascii="Times New Roman" w:hAnsi="Times New Roman" w:eastAsia="宋体" w:cs="Times New Roman"/>
                <w:color w:val="000000" w:themeColor="text1"/>
              </w:rPr>
              <w:t>t/a</w:t>
            </w:r>
            <w:r>
              <w:rPr>
                <w:rFonts w:hint="eastAsia" w:ascii="Times New Roman" w:hAnsi="Times New Roman" w:cs="Times New Roman"/>
                <w:color w:val="000000" w:themeColor="text1"/>
                <w:lang w:eastAsia="zh-CN"/>
              </w:rPr>
              <w:t>；</w:t>
            </w:r>
            <w:r>
              <w:rPr>
                <w:rFonts w:hint="eastAsia" w:ascii="Times New Roman" w:hAnsi="Times New Roman" w:cs="Times New Roman"/>
                <w:color w:val="000000" w:themeColor="text1"/>
                <w:lang w:val="en-US" w:eastAsia="zh-CN"/>
              </w:rPr>
              <w:t>未收集的粉尘以无组织形式排放，</w:t>
            </w:r>
            <w:r>
              <w:rPr>
                <w:rFonts w:hint="default" w:ascii="Times New Roman" w:hAnsi="Times New Roman" w:eastAsia="宋体" w:cs="Times New Roman"/>
                <w:color w:val="000000" w:themeColor="text1"/>
              </w:rPr>
              <w:t>无组织粉尘</w:t>
            </w:r>
            <w:r>
              <w:rPr>
                <w:rFonts w:hint="eastAsia" w:ascii="Times New Roman" w:hAnsi="Times New Roman" w:cs="Times New Roman"/>
                <w:color w:val="000000" w:themeColor="text1"/>
                <w:lang w:val="en-US" w:eastAsia="zh-CN"/>
              </w:rPr>
              <w:t>排放量</w:t>
            </w:r>
            <w:r>
              <w:rPr>
                <w:rFonts w:hint="default" w:ascii="Times New Roman" w:hAnsi="Times New Roman" w:eastAsia="宋体" w:cs="Times New Roman"/>
                <w:color w:val="000000" w:themeColor="text1"/>
              </w:rPr>
              <w:t>为0.</w:t>
            </w:r>
            <w:r>
              <w:rPr>
                <w:rFonts w:hint="eastAsia" w:ascii="Times New Roman" w:hAnsi="Times New Roman" w:cs="Times New Roman"/>
                <w:color w:val="000000" w:themeColor="text1"/>
                <w:lang w:val="en-US" w:eastAsia="zh-CN"/>
              </w:rPr>
              <w:t>0386</w:t>
            </w:r>
            <w:r>
              <w:rPr>
                <w:rFonts w:hint="default" w:ascii="Times New Roman" w:hAnsi="Times New Roman" w:eastAsia="宋体" w:cs="Times New Roman"/>
                <w:color w:val="000000" w:themeColor="text1"/>
              </w:rPr>
              <w:t>t/a</w:t>
            </w:r>
            <w:r>
              <w:rPr>
                <w:rFonts w:hint="eastAsia" w:ascii="Times New Roman" w:hAnsi="Times New Roman" w:cs="Times New Roman"/>
                <w:color w:val="000000" w:themeColor="text1"/>
                <w:lang w:eastAsia="zh-CN"/>
              </w:rPr>
              <w:t>，</w:t>
            </w:r>
            <w:r>
              <w:rPr>
                <w:rFonts w:hint="eastAsia" w:ascii="Times New Roman" w:hAnsi="Times New Roman" w:cs="Times New Roman"/>
                <w:color w:val="000000" w:themeColor="text1"/>
                <w:lang w:val="en-US" w:eastAsia="zh-CN"/>
              </w:rPr>
              <w:t>排放速率0.016kg/h</w:t>
            </w:r>
            <w:r>
              <w:rPr>
                <w:rFonts w:hint="default" w:ascii="Times New Roman" w:hAnsi="Times New Roman" w:eastAsia="宋体" w:cs="Times New Roman"/>
                <w:color w:val="000000" w:themeColor="text1"/>
              </w:rPr>
              <w:t>。</w:t>
            </w:r>
          </w:p>
          <w:p>
            <w:pPr>
              <w:pStyle w:val="217"/>
              <w:keepNext w:val="0"/>
              <w:keepLines w:val="0"/>
              <w:pageBreakBefore w:val="0"/>
              <w:widowControl w:val="0"/>
              <w:kinsoku/>
              <w:wordWrap/>
              <w:overflowPunct/>
              <w:topLinePunct w:val="0"/>
              <w:autoSpaceDE/>
              <w:autoSpaceDN/>
              <w:bidi w:val="0"/>
              <w:adjustRightInd/>
              <w:snapToGrid/>
              <w:ind w:left="0" w:leftChars="0"/>
              <w:textAlignment w:val="auto"/>
              <w:rPr>
                <w:rFonts w:hint="eastAsia" w:ascii="宋体" w:hAnsi="宋体"/>
                <w:sz w:val="24"/>
                <w:lang w:val="en-US" w:eastAsia="zh-CN"/>
              </w:rPr>
            </w:pPr>
            <w:r>
              <w:rPr>
                <w:rFonts w:hint="eastAsia" w:ascii="Times New Roman" w:hAnsi="Times New Roman" w:cs="Times New Roman"/>
                <w:color w:val="000000" w:themeColor="text1"/>
                <w:lang w:eastAsia="zh-CN"/>
              </w:rPr>
              <w:t>（</w:t>
            </w:r>
            <w:r>
              <w:rPr>
                <w:rFonts w:hint="eastAsia" w:ascii="Times New Roman" w:hAnsi="Times New Roman" w:cs="Times New Roman"/>
                <w:color w:val="000000" w:themeColor="text1"/>
                <w:lang w:val="en-US" w:eastAsia="zh-CN"/>
              </w:rPr>
              <w:t>5</w:t>
            </w:r>
            <w:r>
              <w:rPr>
                <w:rFonts w:hint="eastAsia" w:ascii="Times New Roman" w:hAnsi="Times New Roman" w:cs="Times New Roman"/>
                <w:color w:val="000000" w:themeColor="text1"/>
                <w:lang w:eastAsia="zh-CN"/>
              </w:rPr>
              <w:t>）</w:t>
            </w:r>
            <w:r>
              <w:rPr>
                <w:rFonts w:hint="eastAsia" w:ascii="宋体" w:hAnsi="宋体"/>
                <w:sz w:val="24"/>
                <w:lang w:val="en-US" w:eastAsia="zh-CN"/>
              </w:rPr>
              <w:t>有机废气</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lang w:val="en-US" w:eastAsia="zh-CN"/>
              </w:rPr>
            </w:pPr>
            <w:r>
              <w:rPr>
                <w:rFonts w:hint="eastAsia"/>
                <w:lang w:val="en-US" w:eastAsia="zh-CN"/>
              </w:rPr>
              <w:t>本项目有机废气包括固化废气和封边废气。</w:t>
            </w:r>
          </w:p>
          <w:p>
            <w:pPr>
              <w:spacing w:line="348" w:lineRule="auto"/>
              <w:ind w:firstLine="480" w:firstLineChars="200"/>
              <w:rPr>
                <w:rFonts w:hint="eastAsia" w:ascii="Times New Roman" w:hAnsi="Times New Roman" w:cs="Times New Roman"/>
                <w:color w:val="000000" w:themeColor="text1"/>
                <w:lang w:eastAsia="zh-CN"/>
              </w:rPr>
            </w:pPr>
            <w:r>
              <w:rPr>
                <w:rFonts w:hint="eastAsia" w:ascii="宋体" w:hAnsi="宋体"/>
                <w:sz w:val="24"/>
              </w:rPr>
              <w:t>本项目使用的塑料粉沫为环氧聚酯树脂，</w:t>
            </w:r>
            <w:r>
              <w:rPr>
                <w:rFonts w:hint="eastAsia" w:ascii="宋体" w:hAnsi="宋体"/>
                <w:sz w:val="24"/>
                <w:lang w:val="en-US" w:eastAsia="zh-CN"/>
              </w:rPr>
              <w:t>固化时产生</w:t>
            </w:r>
            <w:r>
              <w:rPr>
                <w:rFonts w:hint="eastAsia" w:ascii="宋体" w:hAnsi="宋体"/>
                <w:sz w:val="24"/>
              </w:rPr>
              <w:t>挥发性有机废气</w:t>
            </w:r>
            <w:r>
              <w:rPr>
                <w:rFonts w:hint="eastAsia" w:ascii="宋体" w:hAnsi="宋体"/>
                <w:sz w:val="24"/>
                <w:lang w:eastAsia="zh-CN"/>
              </w:rPr>
              <w:t>（</w:t>
            </w:r>
            <w:r>
              <w:rPr>
                <w:rFonts w:hint="eastAsia" w:ascii="宋体" w:hAnsi="宋体"/>
                <w:sz w:val="24"/>
                <w:lang w:val="en-US" w:eastAsia="zh-CN"/>
              </w:rPr>
              <w:t>以非甲烷总烃计</w:t>
            </w:r>
            <w:r>
              <w:rPr>
                <w:rFonts w:hint="eastAsia" w:ascii="宋体" w:hAnsi="宋体"/>
                <w:sz w:val="24"/>
                <w:lang w:eastAsia="zh-CN"/>
              </w:rPr>
              <w:t>）</w:t>
            </w:r>
            <w:r>
              <w:rPr>
                <w:sz w:val="24"/>
              </w:rPr>
              <w:t>0.0</w:t>
            </w:r>
            <w:r>
              <w:rPr>
                <w:rFonts w:hint="eastAsia"/>
                <w:sz w:val="24"/>
                <w:lang w:val="en-US" w:eastAsia="zh-CN"/>
              </w:rPr>
              <w:t>3</w:t>
            </w:r>
            <w:r>
              <w:rPr>
                <w:sz w:val="24"/>
              </w:rPr>
              <w:t xml:space="preserve"> t/a</w:t>
            </w:r>
            <w:r>
              <w:rPr>
                <w:rFonts w:hint="eastAsia" w:ascii="宋体" w:hAnsi="宋体"/>
                <w:sz w:val="24"/>
              </w:rPr>
              <w:t>。</w:t>
            </w:r>
            <w:r>
              <w:rPr>
                <w:rFonts w:hint="eastAsia" w:ascii="Times New Roman" w:hAnsi="Times New Roman" w:cs="Times New Roman"/>
                <w:color w:val="000000" w:themeColor="text1"/>
                <w:lang w:val="en-US" w:eastAsia="zh-CN"/>
              </w:rPr>
              <w:t>封边使用</w:t>
            </w:r>
            <w:r>
              <w:rPr>
                <w:rFonts w:hint="default" w:ascii="Times New Roman" w:hAnsi="Times New Roman" w:eastAsia="宋体" w:cs="Times New Roman"/>
                <w:color w:val="000000" w:themeColor="text1"/>
              </w:rPr>
              <w:t>热熔胶用量为0.</w:t>
            </w:r>
            <w:r>
              <w:rPr>
                <w:rFonts w:hint="eastAsia" w:ascii="Times New Roman" w:hAnsi="Times New Roman" w:cs="Times New Roman"/>
                <w:color w:val="000000" w:themeColor="text1"/>
                <w:lang w:val="en-US" w:eastAsia="zh-CN"/>
              </w:rPr>
              <w:t>020</w:t>
            </w:r>
            <w:r>
              <w:rPr>
                <w:rFonts w:hint="default" w:ascii="Times New Roman" w:hAnsi="Times New Roman" w:eastAsia="宋体" w:cs="Times New Roman"/>
                <w:color w:val="000000" w:themeColor="text1"/>
              </w:rPr>
              <w:t>t/a，封边机产生的非甲烷总烃产生量为0.000</w:t>
            </w:r>
            <w:r>
              <w:rPr>
                <w:rFonts w:hint="eastAsia" w:ascii="Times New Roman" w:hAnsi="Times New Roman" w:cs="Times New Roman"/>
                <w:color w:val="000000" w:themeColor="text1"/>
                <w:lang w:val="en-US" w:eastAsia="zh-CN"/>
              </w:rPr>
              <w:t>2</w:t>
            </w:r>
            <w:r>
              <w:rPr>
                <w:rFonts w:hint="default" w:ascii="Times New Roman" w:hAnsi="Times New Roman" w:eastAsia="宋体" w:cs="Times New Roman"/>
                <w:color w:val="000000" w:themeColor="text1"/>
              </w:rPr>
              <w:t>t/a</w:t>
            </w:r>
            <w:r>
              <w:rPr>
                <w:rFonts w:hint="eastAsia" w:ascii="Times New Roman" w:hAnsi="Times New Roman" w:cs="Times New Roman"/>
                <w:color w:val="000000" w:themeColor="text1"/>
                <w:lang w:eastAsia="zh-CN"/>
              </w:rPr>
              <w:t>。</w:t>
            </w:r>
          </w:p>
          <w:p>
            <w:pPr>
              <w:spacing w:line="360" w:lineRule="auto"/>
              <w:ind w:firstLine="480" w:firstLineChars="200"/>
              <w:rPr>
                <w:rFonts w:hint="default" w:ascii="Times New Roman" w:hAnsi="Times New Roman" w:eastAsia="宋体" w:cs="Times New Roman"/>
                <w:sz w:val="24"/>
                <w:szCs w:val="24"/>
              </w:rPr>
            </w:pPr>
            <w:r>
              <w:rPr>
                <w:rFonts w:hint="eastAsia" w:ascii="宋体" w:hAnsi="宋体"/>
                <w:sz w:val="24"/>
              </w:rPr>
              <w:t>在</w:t>
            </w:r>
            <w:r>
              <w:rPr>
                <w:rFonts w:hint="eastAsia" w:ascii="宋体" w:hAnsi="宋体"/>
                <w:sz w:val="24"/>
                <w:lang w:eastAsia="zh-CN"/>
              </w:rPr>
              <w:t>烤箱</w:t>
            </w:r>
            <w:r>
              <w:rPr>
                <w:rFonts w:hint="eastAsia" w:ascii="宋体" w:hAnsi="宋体"/>
                <w:sz w:val="24"/>
                <w:lang w:val="en-US" w:eastAsia="zh-CN"/>
              </w:rPr>
              <w:t>和封边机</w:t>
            </w:r>
            <w:r>
              <w:rPr>
                <w:rFonts w:hint="eastAsia" w:ascii="宋体" w:hAnsi="宋体"/>
                <w:sz w:val="24"/>
              </w:rPr>
              <w:t>上</w:t>
            </w:r>
            <w:r>
              <w:rPr>
                <w:rFonts w:hint="eastAsia" w:ascii="宋体" w:hAnsi="宋体"/>
                <w:sz w:val="24"/>
                <w:lang w:val="en-US" w:eastAsia="zh-CN"/>
              </w:rPr>
              <w:t>分别</w:t>
            </w:r>
            <w:r>
              <w:rPr>
                <w:rFonts w:hint="eastAsia" w:ascii="宋体" w:hAnsi="宋体"/>
                <w:sz w:val="24"/>
              </w:rPr>
              <w:t>设置一个</w:t>
            </w:r>
            <w:r>
              <w:rPr>
                <w:rFonts w:hint="eastAsia" w:ascii="宋体" w:hAnsi="宋体"/>
                <w:sz w:val="24"/>
                <w:lang w:val="en-US" w:eastAsia="zh-CN"/>
              </w:rPr>
              <w:t>集气罩，废气收集后经</w:t>
            </w:r>
            <w:r>
              <w:rPr>
                <w:sz w:val="24"/>
              </w:rPr>
              <w:t>UV</w:t>
            </w:r>
            <w:r>
              <w:rPr>
                <w:rFonts w:hint="eastAsia" w:ascii="宋体" w:hAnsi="宋体"/>
                <w:sz w:val="24"/>
              </w:rPr>
              <w:t>光解</w:t>
            </w:r>
            <w:r>
              <w:rPr>
                <w:sz w:val="24"/>
              </w:rPr>
              <w:t>+</w:t>
            </w:r>
            <w:r>
              <w:rPr>
                <w:rFonts w:hint="eastAsia" w:ascii="宋体" w:hAnsi="宋体"/>
                <w:sz w:val="24"/>
              </w:rPr>
              <w:t>活性炭吸附收集装置处理，通过</w:t>
            </w:r>
            <w:r>
              <w:rPr>
                <w:sz w:val="24"/>
              </w:rPr>
              <w:t>15m</w:t>
            </w:r>
            <w:r>
              <w:rPr>
                <w:rFonts w:hint="eastAsia" w:ascii="宋体" w:hAnsi="宋体"/>
                <w:sz w:val="24"/>
              </w:rPr>
              <w:t>排气筒排放。风机风量为</w:t>
            </w:r>
            <w:r>
              <w:rPr>
                <w:rFonts w:hint="eastAsia"/>
                <w:sz w:val="24"/>
                <w:lang w:val="en-US" w:eastAsia="zh-CN"/>
              </w:rPr>
              <w:t>5000</w:t>
            </w:r>
            <w:r>
              <w:rPr>
                <w:sz w:val="24"/>
              </w:rPr>
              <w:t>m</w:t>
            </w:r>
            <w:r>
              <w:rPr>
                <w:sz w:val="24"/>
                <w:vertAlign w:val="superscript"/>
              </w:rPr>
              <w:t>3</w:t>
            </w:r>
            <w:r>
              <w:rPr>
                <w:sz w:val="24"/>
              </w:rPr>
              <w:t>/h</w:t>
            </w:r>
            <w:r>
              <w:rPr>
                <w:rFonts w:hint="eastAsia" w:ascii="宋体" w:hAnsi="宋体"/>
                <w:sz w:val="24"/>
              </w:rPr>
              <w:t>，</w:t>
            </w:r>
            <w:r>
              <w:rPr>
                <w:rFonts w:hint="eastAsia" w:ascii="宋体" w:hAnsi="宋体"/>
                <w:sz w:val="24"/>
                <w:lang w:val="en-US" w:eastAsia="zh-CN"/>
              </w:rPr>
              <w:t>集气罩收集效率为90%，处理后</w:t>
            </w:r>
            <w:r>
              <w:rPr>
                <w:rFonts w:hint="eastAsia" w:ascii="宋体" w:hAnsi="宋体"/>
                <w:sz w:val="24"/>
              </w:rPr>
              <w:t>挥发性有机废气有组织排放量为</w:t>
            </w:r>
            <w:r>
              <w:rPr>
                <w:rFonts w:hint="eastAsia"/>
                <w:sz w:val="24"/>
                <w:lang w:val="en-US" w:eastAsia="zh-CN"/>
              </w:rPr>
              <w:t>2.72</w:t>
            </w:r>
            <w:r>
              <w:rPr>
                <w:sz w:val="24"/>
              </w:rPr>
              <w:t>kg/a</w:t>
            </w:r>
            <w:r>
              <w:rPr>
                <w:rFonts w:hint="eastAsia" w:ascii="宋体" w:hAnsi="宋体"/>
                <w:sz w:val="24"/>
              </w:rPr>
              <w:t>，排放速率为</w:t>
            </w:r>
            <w:r>
              <w:rPr>
                <w:sz w:val="24"/>
              </w:rPr>
              <w:t>0.00</w:t>
            </w:r>
            <w:r>
              <w:rPr>
                <w:rFonts w:hint="eastAsia"/>
                <w:sz w:val="24"/>
                <w:lang w:val="en-US" w:eastAsia="zh-CN"/>
              </w:rPr>
              <w:t>227</w:t>
            </w:r>
            <w:r>
              <w:rPr>
                <w:sz w:val="24"/>
              </w:rPr>
              <w:t>kg/h</w:t>
            </w:r>
            <w:r>
              <w:rPr>
                <w:rFonts w:hint="eastAsia" w:ascii="宋体" w:hAnsi="宋体"/>
                <w:sz w:val="24"/>
              </w:rPr>
              <w:t>，排放浓度为</w:t>
            </w:r>
            <w:r>
              <w:rPr>
                <w:rFonts w:hint="eastAsia"/>
                <w:sz w:val="24"/>
                <w:lang w:val="en-US" w:eastAsia="zh-CN"/>
              </w:rPr>
              <w:t>0.45</w:t>
            </w:r>
            <w:r>
              <w:rPr>
                <w:sz w:val="24"/>
              </w:rPr>
              <w:t>mg/m</w:t>
            </w:r>
            <w:r>
              <w:rPr>
                <w:sz w:val="24"/>
                <w:vertAlign w:val="superscript"/>
              </w:rPr>
              <w:t>3</w:t>
            </w:r>
            <w:r>
              <w:rPr>
                <w:rFonts w:hint="eastAsia" w:ascii="宋体" w:hAnsi="宋体"/>
                <w:sz w:val="24"/>
              </w:rPr>
              <w:t>；无组织排放量为</w:t>
            </w:r>
            <w:r>
              <w:rPr>
                <w:rFonts w:hint="eastAsia"/>
                <w:sz w:val="24"/>
                <w:lang w:val="en-US" w:eastAsia="zh-CN"/>
              </w:rPr>
              <w:t>3.02</w:t>
            </w:r>
            <w:r>
              <w:rPr>
                <w:sz w:val="24"/>
              </w:rPr>
              <w:t>kg/a</w:t>
            </w:r>
            <w:r>
              <w:rPr>
                <w:rFonts w:hint="eastAsia"/>
                <w:sz w:val="24"/>
                <w:lang w:eastAsia="zh-CN"/>
              </w:rPr>
              <w:t>。</w:t>
            </w:r>
          </w:p>
          <w:p>
            <w:pPr>
              <w:adjustRightInd w:val="0"/>
              <w:snapToGrid w:val="0"/>
              <w:ind w:firstLine="482"/>
              <w:contextualSpacing/>
              <w:jc w:val="center"/>
              <w:rPr>
                <w:b/>
                <w:bCs/>
                <w:color w:val="000000"/>
              </w:rPr>
            </w:pPr>
            <w:r>
              <w:rPr>
                <w:rFonts w:hint="eastAsia"/>
                <w:b/>
                <w:bCs/>
                <w:color w:val="000000"/>
              </w:rPr>
              <w:t>表7</w:t>
            </w:r>
            <w:r>
              <w:rPr>
                <w:rFonts w:hint="eastAsia"/>
                <w:b/>
                <w:bCs/>
                <w:color w:val="000000"/>
                <w:lang w:val="en-US" w:eastAsia="zh-CN"/>
              </w:rPr>
              <w:t>-10</w:t>
            </w:r>
            <w:r>
              <w:rPr>
                <w:rFonts w:hint="eastAsia"/>
                <w:b/>
                <w:bCs/>
                <w:color w:val="000000"/>
              </w:rPr>
              <w:t xml:space="preserve"> 建设项目大气环境影响评价自查表</w:t>
            </w:r>
          </w:p>
          <w:tbl>
            <w:tblPr>
              <w:tblStyle w:val="214"/>
              <w:tblW w:w="83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4"/>
              <w:gridCol w:w="1710"/>
              <w:gridCol w:w="1200"/>
              <w:gridCol w:w="610"/>
              <w:gridCol w:w="779"/>
              <w:gridCol w:w="867"/>
              <w:gridCol w:w="914"/>
              <w:gridCol w:w="840"/>
              <w:gridCol w:w="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257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工作内容</w:t>
                  </w:r>
                </w:p>
              </w:tc>
              <w:tc>
                <w:tcPr>
                  <w:tcW w:w="5794" w:type="dxa"/>
                  <w:gridSpan w:val="7"/>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restart"/>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评价等级与范围</w:t>
                  </w: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评价等级</w:t>
                  </w:r>
                </w:p>
              </w:tc>
              <w:tc>
                <w:tcPr>
                  <w:tcW w:w="1810"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一级□</w:t>
                  </w:r>
                </w:p>
              </w:tc>
              <w:tc>
                <w:tcPr>
                  <w:tcW w:w="2560"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二级</w:t>
                  </w:r>
                  <w:r>
                    <w:rPr>
                      <w:rFonts w:ascii="Times New Roman" w:hAnsi="Times New Roman" w:eastAsiaTheme="minorEastAsia"/>
                      <w:sz w:val="18"/>
                      <w:szCs w:val="18"/>
                    </w:rPr>
                    <w:sym w:font="Wingdings 2" w:char="0052"/>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三级</w:t>
                  </w:r>
                  <w:r>
                    <w:rPr>
                      <w:rFonts w:ascii="Times New Roman" w:hAnsi="Times New Roman" w:eastAsiaTheme="minorEastAsia"/>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评价范围</w:t>
                  </w:r>
                </w:p>
              </w:tc>
              <w:tc>
                <w:tcPr>
                  <w:tcW w:w="1810"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边长=50km□</w:t>
                  </w:r>
                </w:p>
              </w:tc>
              <w:tc>
                <w:tcPr>
                  <w:tcW w:w="2560"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边长5～50km</w:t>
                  </w:r>
                  <w:r>
                    <w:rPr>
                      <w:rFonts w:ascii="Times New Roman" w:hAnsi="Times New Roman" w:eastAsiaTheme="minorEastAsia"/>
                      <w:sz w:val="18"/>
                      <w:szCs w:val="18"/>
                    </w:rPr>
                    <w:sym w:font="Wingdings 2" w:char="0052"/>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边长=5km</w:t>
                  </w:r>
                  <w:r>
                    <w:rPr>
                      <w:rFonts w:ascii="Times New Roman" w:hAnsi="Times New Roman" w:eastAsiaTheme="minorEastAsia"/>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restart"/>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w:t>
                  </w:r>
                </w:p>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因子</w:t>
                  </w: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SO</w:t>
                  </w:r>
                  <w:r>
                    <w:rPr>
                      <w:rFonts w:ascii="Times New Roman" w:hAnsi="Times New Roman" w:eastAsiaTheme="minorEastAsia"/>
                      <w:sz w:val="18"/>
                      <w:szCs w:val="18"/>
                      <w:vertAlign w:val="subscript"/>
                    </w:rPr>
                    <w:t xml:space="preserve">2 </w:t>
                  </w:r>
                  <w:r>
                    <w:rPr>
                      <w:rFonts w:ascii="Times New Roman" w:hAnsi="Times New Roman" w:eastAsiaTheme="minorEastAsia"/>
                      <w:sz w:val="18"/>
                      <w:szCs w:val="18"/>
                    </w:rPr>
                    <w:t>+NO</w:t>
                  </w:r>
                  <w:r>
                    <w:rPr>
                      <w:rFonts w:ascii="Times New Roman" w:hAnsi="Times New Roman" w:eastAsiaTheme="minorEastAsia"/>
                      <w:i/>
                      <w:sz w:val="18"/>
                      <w:szCs w:val="18"/>
                      <w:vertAlign w:val="subscript"/>
                    </w:rPr>
                    <w:t>x</w:t>
                  </w:r>
                  <w:r>
                    <w:rPr>
                      <w:rFonts w:ascii="Times New Roman" w:hAnsi="Times New Roman" w:eastAsiaTheme="minorEastAsia"/>
                      <w:sz w:val="18"/>
                      <w:szCs w:val="18"/>
                    </w:rPr>
                    <w:t>排放量</w:t>
                  </w:r>
                </w:p>
              </w:tc>
              <w:tc>
                <w:tcPr>
                  <w:tcW w:w="120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≥2000t/a□</w:t>
                  </w:r>
                </w:p>
              </w:tc>
              <w:tc>
                <w:tcPr>
                  <w:tcW w:w="3170" w:type="dxa"/>
                  <w:gridSpan w:val="4"/>
                  <w:vAlign w:val="center"/>
                </w:tcPr>
                <w:p>
                  <w:pPr>
                    <w:pStyle w:val="119"/>
                    <w:widowControl/>
                    <w:snapToGrid w:val="0"/>
                    <w:spacing w:line="300" w:lineRule="atLeast"/>
                    <w:ind w:firstLine="360"/>
                    <w:rPr>
                      <w:rFonts w:ascii="Times New Roman" w:hAnsi="Times New Roman" w:eastAsiaTheme="minorEastAsia"/>
                      <w:sz w:val="18"/>
                      <w:szCs w:val="18"/>
                    </w:rPr>
                  </w:pPr>
                  <w:r>
                    <w:rPr>
                      <w:rFonts w:ascii="Times New Roman" w:hAnsi="Times New Roman" w:eastAsiaTheme="minorEastAsia"/>
                      <w:sz w:val="18"/>
                      <w:szCs w:val="18"/>
                    </w:rPr>
                    <w:t>500~2000t/a□</w:t>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＜500t/a</w:t>
                  </w:r>
                  <w:r>
                    <w:rPr>
                      <w:rFonts w:ascii="Times New Roman" w:hAnsi="Times New Roman" w:eastAsiaTheme="minorEastAsia"/>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9"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评价因子</w:t>
                  </w:r>
                </w:p>
              </w:tc>
              <w:tc>
                <w:tcPr>
                  <w:tcW w:w="3456" w:type="dxa"/>
                  <w:gridSpan w:val="4"/>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基本污染物(</w:t>
                  </w:r>
                  <w:r>
                    <w:rPr>
                      <w:rFonts w:hint="eastAsia" w:ascii="Times New Roman" w:hAnsi="Times New Roman" w:eastAsiaTheme="minorEastAsia"/>
                      <w:sz w:val="18"/>
                      <w:szCs w:val="18"/>
                    </w:rPr>
                    <w:t>TSP、非甲烷总烃</w:t>
                  </w:r>
                  <w:r>
                    <w:rPr>
                      <w:rFonts w:ascii="Times New Roman" w:hAnsi="Times New Roman" w:eastAsiaTheme="minorEastAsia"/>
                      <w:sz w:val="18"/>
                      <w:szCs w:val="18"/>
                    </w:rPr>
                    <w:t>)</w:t>
                  </w:r>
                </w:p>
              </w:tc>
              <w:tc>
                <w:tcPr>
                  <w:tcW w:w="2338"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包括二次PM</w:t>
                  </w:r>
                  <w:r>
                    <w:rPr>
                      <w:rFonts w:ascii="Times New Roman" w:hAnsi="Times New Roman" w:eastAsiaTheme="minorEastAsia"/>
                      <w:sz w:val="18"/>
                      <w:szCs w:val="18"/>
                      <w:vertAlign w:val="subscript"/>
                    </w:rPr>
                    <w:t>2.5</w:t>
                  </w:r>
                  <w:r>
                    <w:rPr>
                      <w:rFonts w:ascii="Times New Roman" w:hAnsi="Times New Roman" w:eastAsiaTheme="minorEastAsia"/>
                      <w:sz w:val="18"/>
                      <w:szCs w:val="18"/>
                    </w:rPr>
                    <w:t>□</w:t>
                  </w:r>
                </w:p>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不包括二次PM</w:t>
                  </w:r>
                  <w:r>
                    <w:rPr>
                      <w:rFonts w:ascii="Times New Roman" w:hAnsi="Times New Roman" w:eastAsiaTheme="minorEastAsia"/>
                      <w:sz w:val="18"/>
                      <w:szCs w:val="18"/>
                      <w:vertAlign w:val="subscript"/>
                    </w:rPr>
                    <w:t>2.5</w:t>
                  </w:r>
                  <w:r>
                    <w:rPr>
                      <w:rFonts w:ascii="Times New Roman" w:hAnsi="Times New Roman" w:eastAsiaTheme="minorEastAsia"/>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w:t>
                  </w:r>
                </w:p>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标准</w:t>
                  </w: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评价标准</w:t>
                  </w:r>
                </w:p>
              </w:tc>
              <w:tc>
                <w:tcPr>
                  <w:tcW w:w="1810"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国家标准</w:t>
                  </w:r>
                  <w:r>
                    <w:rPr>
                      <w:rFonts w:ascii="Times New Roman" w:hAnsi="Times New Roman" w:eastAsiaTheme="minorEastAsia"/>
                      <w:sz w:val="18"/>
                      <w:szCs w:val="18"/>
                    </w:rPr>
                    <w:sym w:font="Wingdings 2" w:char="0052"/>
                  </w:r>
                </w:p>
              </w:tc>
              <w:tc>
                <w:tcPr>
                  <w:tcW w:w="1646"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地方标准</w:t>
                  </w:r>
                  <w:r>
                    <w:rPr>
                      <w:rFonts w:ascii="Times New Roman" w:hAnsi="Times New Roman" w:eastAsiaTheme="minorEastAsia"/>
                      <w:sz w:val="18"/>
                      <w:szCs w:val="18"/>
                    </w:rPr>
                    <w:sym w:font="Wingdings 2" w:char="00A3"/>
                  </w:r>
                </w:p>
              </w:tc>
              <w:tc>
                <w:tcPr>
                  <w:tcW w:w="914"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附录D</w:t>
                  </w:r>
                  <w:r>
                    <w:rPr>
                      <w:rFonts w:ascii="Times New Roman" w:hAnsi="Times New Roman" w:eastAsiaTheme="minorEastAsia"/>
                      <w:sz w:val="18"/>
                      <w:szCs w:val="18"/>
                    </w:rPr>
                    <w:sym w:font="Wingdings 2" w:char="0052"/>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其他标准□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restart"/>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现状</w:t>
                  </w:r>
                </w:p>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w:t>
                  </w: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环境功能区</w:t>
                  </w:r>
                </w:p>
              </w:tc>
              <w:tc>
                <w:tcPr>
                  <w:tcW w:w="1810"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一类区</w:t>
                  </w:r>
                  <w:r>
                    <w:rPr>
                      <w:rFonts w:ascii="Times New Roman" w:hAnsi="Times New Roman" w:eastAsiaTheme="minorEastAsia"/>
                      <w:sz w:val="18"/>
                      <w:szCs w:val="18"/>
                    </w:rPr>
                    <w:sym w:font="Wingdings 2" w:char="00A3"/>
                  </w:r>
                </w:p>
              </w:tc>
              <w:tc>
                <w:tcPr>
                  <w:tcW w:w="1646"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二类区</w:t>
                  </w:r>
                  <w:r>
                    <w:rPr>
                      <w:rFonts w:ascii="Times New Roman" w:hAnsi="Times New Roman" w:eastAsiaTheme="minorEastAsia"/>
                      <w:sz w:val="18"/>
                      <w:szCs w:val="18"/>
                    </w:rPr>
                    <w:sym w:font="Wingdings 2" w:char="0052"/>
                  </w:r>
                </w:p>
              </w:tc>
              <w:tc>
                <w:tcPr>
                  <w:tcW w:w="2338"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一类区和二类区□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评价基准年</w:t>
                  </w:r>
                </w:p>
              </w:tc>
              <w:tc>
                <w:tcPr>
                  <w:tcW w:w="5794" w:type="dxa"/>
                  <w:gridSpan w:val="7"/>
                  <w:vAlign w:val="center"/>
                </w:tcPr>
                <w:p>
                  <w:pPr>
                    <w:pStyle w:val="119"/>
                    <w:widowControl/>
                    <w:snapToGrid w:val="0"/>
                    <w:spacing w:line="300" w:lineRule="atLeast"/>
                    <w:ind w:firstLine="360"/>
                    <w:rPr>
                      <w:rFonts w:ascii="Times New Roman" w:hAnsi="Times New Roman" w:eastAsiaTheme="minorEastAsia"/>
                      <w:sz w:val="18"/>
                      <w:szCs w:val="18"/>
                    </w:rPr>
                  </w:pPr>
                  <w:r>
                    <w:rPr>
                      <w:rFonts w:ascii="Times New Roman" w:hAnsi="Times New Roman" w:eastAsiaTheme="minorEastAsia"/>
                      <w:sz w:val="18"/>
                      <w:szCs w:val="18"/>
                    </w:rPr>
                    <w:t>（   2019 ）年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环境空气质量</w:t>
                  </w:r>
                  <w:r>
                    <w:rPr>
                      <w:rFonts w:ascii="Times New Roman" w:hAnsi="Times New Roman" w:eastAsiaTheme="minorEastAsia"/>
                      <w:sz w:val="18"/>
                      <w:szCs w:val="18"/>
                    </w:rPr>
                    <w:br w:type="textWrapping"/>
                  </w:r>
                  <w:r>
                    <w:rPr>
                      <w:rFonts w:ascii="Times New Roman" w:hAnsi="Times New Roman" w:eastAsiaTheme="minorEastAsia"/>
                      <w:sz w:val="18"/>
                      <w:szCs w:val="18"/>
                    </w:rPr>
                    <w:t>现状调查数据来源</w:t>
                  </w:r>
                </w:p>
              </w:tc>
              <w:tc>
                <w:tcPr>
                  <w:tcW w:w="1810"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长期例行监测数据</w:t>
                  </w:r>
                  <w:r>
                    <w:rPr>
                      <w:rFonts w:ascii="Times New Roman" w:hAnsi="Times New Roman" w:eastAsiaTheme="minorEastAsia"/>
                      <w:sz w:val="18"/>
                      <w:szCs w:val="18"/>
                    </w:rPr>
                    <w:sym w:font="Wingdings 2" w:char="00A3"/>
                  </w:r>
                </w:p>
              </w:tc>
              <w:tc>
                <w:tcPr>
                  <w:tcW w:w="2560"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主管部门发布的数据</w:t>
                  </w:r>
                  <w:r>
                    <w:rPr>
                      <w:rFonts w:ascii="Times New Roman" w:hAnsi="Times New Roman" w:eastAsiaTheme="minorEastAsia"/>
                      <w:sz w:val="18"/>
                      <w:szCs w:val="18"/>
                    </w:rPr>
                    <w:sym w:font="Wingdings 2" w:char="0052"/>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现状补充监测□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现状评价</w:t>
                  </w:r>
                </w:p>
              </w:tc>
              <w:tc>
                <w:tcPr>
                  <w:tcW w:w="3456" w:type="dxa"/>
                  <w:gridSpan w:val="4"/>
                  <w:vAlign w:val="center"/>
                </w:tcPr>
                <w:p>
                  <w:pPr>
                    <w:pStyle w:val="119"/>
                    <w:widowControl/>
                    <w:snapToGrid w:val="0"/>
                    <w:spacing w:line="300" w:lineRule="atLeast"/>
                    <w:ind w:firstLine="360"/>
                    <w:rPr>
                      <w:rFonts w:ascii="Times New Roman" w:hAnsi="Times New Roman" w:eastAsiaTheme="minorEastAsia"/>
                      <w:sz w:val="18"/>
                      <w:szCs w:val="18"/>
                    </w:rPr>
                  </w:pPr>
                  <w:r>
                    <w:rPr>
                      <w:rFonts w:ascii="Times New Roman" w:hAnsi="Times New Roman" w:eastAsiaTheme="minorEastAsia"/>
                      <w:sz w:val="18"/>
                      <w:szCs w:val="18"/>
                    </w:rPr>
                    <w:t>达标区</w:t>
                  </w:r>
                  <w:r>
                    <w:rPr>
                      <w:rFonts w:ascii="Times New Roman" w:hAnsi="Times New Roman" w:eastAsiaTheme="minorEastAsia"/>
                      <w:sz w:val="18"/>
                      <w:szCs w:val="18"/>
                    </w:rPr>
                    <w:sym w:font="Wingdings 2" w:char="00A3"/>
                  </w:r>
                </w:p>
              </w:tc>
              <w:tc>
                <w:tcPr>
                  <w:tcW w:w="2338" w:type="dxa"/>
                  <w:gridSpan w:val="3"/>
                  <w:vAlign w:val="center"/>
                </w:tcPr>
                <w:p>
                  <w:pPr>
                    <w:pStyle w:val="119"/>
                    <w:widowControl/>
                    <w:snapToGrid w:val="0"/>
                    <w:spacing w:line="300" w:lineRule="atLeast"/>
                    <w:ind w:firstLine="360"/>
                    <w:rPr>
                      <w:rFonts w:ascii="Times New Roman" w:hAnsi="Times New Roman" w:eastAsiaTheme="minorEastAsia"/>
                      <w:sz w:val="18"/>
                      <w:szCs w:val="18"/>
                    </w:rPr>
                  </w:pPr>
                  <w:r>
                    <w:rPr>
                      <w:rFonts w:ascii="Times New Roman" w:hAnsi="Times New Roman" w:eastAsiaTheme="minorEastAsia"/>
                      <w:sz w:val="18"/>
                      <w:szCs w:val="18"/>
                    </w:rPr>
                    <w:t>不达标区</w:t>
                  </w:r>
                  <w:r>
                    <w:rPr>
                      <w:rFonts w:ascii="Times New Roman" w:hAnsi="Times New Roman" w:eastAsiaTheme="minorEastAsia"/>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污染源</w:t>
                  </w:r>
                  <w:r>
                    <w:rPr>
                      <w:rFonts w:ascii="Times New Roman" w:hAnsi="Times New Roman" w:eastAsiaTheme="minorEastAsia"/>
                      <w:sz w:val="18"/>
                      <w:szCs w:val="18"/>
                    </w:rPr>
                    <w:br w:type="textWrapping"/>
                  </w:r>
                  <w:r>
                    <w:rPr>
                      <w:rFonts w:ascii="Times New Roman" w:hAnsi="Times New Roman" w:eastAsiaTheme="minorEastAsia"/>
                      <w:sz w:val="18"/>
                      <w:szCs w:val="18"/>
                    </w:rPr>
                    <w:t>调查</w:t>
                  </w: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调查内容</w:t>
                  </w:r>
                </w:p>
              </w:tc>
              <w:tc>
                <w:tcPr>
                  <w:tcW w:w="1810"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本项目正常排放源</w:t>
                  </w:r>
                  <w:r>
                    <w:rPr>
                      <w:rFonts w:ascii="Times New Roman" w:hAnsi="Times New Roman" w:eastAsiaTheme="minorEastAsia"/>
                      <w:sz w:val="18"/>
                      <w:szCs w:val="18"/>
                    </w:rPr>
                    <w:sym w:font="Wingdings 2" w:char="0052"/>
                  </w:r>
                </w:p>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本项目非正常排放源□</w:t>
                  </w:r>
                </w:p>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现有污染源</w:t>
                  </w:r>
                  <w:r>
                    <w:rPr>
                      <w:rFonts w:ascii="Times New Roman" w:hAnsi="Times New Roman" w:eastAsiaTheme="minorEastAsia"/>
                      <w:sz w:val="18"/>
                      <w:szCs w:val="18"/>
                    </w:rPr>
                    <w:sym w:font="Wingdings 2" w:char="00A3"/>
                  </w:r>
                </w:p>
              </w:tc>
              <w:tc>
                <w:tcPr>
                  <w:tcW w:w="1646"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拟替代的污染源□</w:t>
                  </w:r>
                </w:p>
              </w:tc>
              <w:tc>
                <w:tcPr>
                  <w:tcW w:w="914"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其他在建、拟建项目污染源□</w:t>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区域污染源□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restart"/>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大气环境影响预测与</w:t>
                  </w:r>
                  <w:r>
                    <w:rPr>
                      <w:rFonts w:ascii="Times New Roman" w:hAnsi="Times New Roman" w:eastAsiaTheme="minorEastAsia"/>
                      <w:sz w:val="18"/>
                      <w:szCs w:val="18"/>
                    </w:rPr>
                    <w:br w:type="textWrapping"/>
                  </w:r>
                  <w:r>
                    <w:rPr>
                      <w:rFonts w:ascii="Times New Roman" w:hAnsi="Times New Roman" w:eastAsiaTheme="minorEastAsia"/>
                      <w:sz w:val="18"/>
                      <w:szCs w:val="18"/>
                    </w:rPr>
                    <w:t>评价</w:t>
                  </w: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预测模型</w:t>
                  </w:r>
                </w:p>
              </w:tc>
              <w:tc>
                <w:tcPr>
                  <w:tcW w:w="120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AERMOD</w:t>
                  </w:r>
                  <w:r>
                    <w:rPr>
                      <w:rFonts w:ascii="Times New Roman" w:hAnsi="Times New Roman" w:eastAsiaTheme="minorEastAsia"/>
                      <w:sz w:val="18"/>
                      <w:szCs w:val="18"/>
                    </w:rPr>
                    <w:br w:type="textWrapping"/>
                  </w:r>
                  <w:r>
                    <w:rPr>
                      <w:rFonts w:ascii="Times New Roman" w:hAnsi="Times New Roman" w:eastAsiaTheme="minorEastAsia"/>
                      <w:sz w:val="18"/>
                      <w:szCs w:val="18"/>
                    </w:rPr>
                    <w:t>□</w:t>
                  </w:r>
                </w:p>
              </w:tc>
              <w:tc>
                <w:tcPr>
                  <w:tcW w:w="6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ADMS</w:t>
                  </w:r>
                  <w:r>
                    <w:rPr>
                      <w:rFonts w:ascii="Times New Roman" w:hAnsi="Times New Roman" w:eastAsiaTheme="minorEastAsia"/>
                      <w:sz w:val="18"/>
                      <w:szCs w:val="18"/>
                    </w:rPr>
                    <w:br w:type="textWrapping"/>
                  </w:r>
                  <w:r>
                    <w:rPr>
                      <w:rFonts w:ascii="Times New Roman" w:hAnsi="Times New Roman" w:eastAsiaTheme="minorEastAsia"/>
                      <w:sz w:val="18"/>
                      <w:szCs w:val="18"/>
                    </w:rPr>
                    <w:t>□</w:t>
                  </w:r>
                </w:p>
              </w:tc>
              <w:tc>
                <w:tcPr>
                  <w:tcW w:w="779"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AUSTAL2000□</w:t>
                  </w:r>
                </w:p>
              </w:tc>
              <w:tc>
                <w:tcPr>
                  <w:tcW w:w="867"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EDMS/AEDT□</w:t>
                  </w:r>
                </w:p>
              </w:tc>
              <w:tc>
                <w:tcPr>
                  <w:tcW w:w="914"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CALPUFF</w:t>
                  </w:r>
                  <w:r>
                    <w:rPr>
                      <w:rFonts w:ascii="Times New Roman" w:hAnsi="Times New Roman" w:eastAsiaTheme="minorEastAsia"/>
                      <w:sz w:val="18"/>
                      <w:szCs w:val="18"/>
                    </w:rPr>
                    <w:br w:type="textWrapping"/>
                  </w:r>
                  <w:r>
                    <w:rPr>
                      <w:rFonts w:ascii="Times New Roman" w:hAnsi="Times New Roman" w:eastAsiaTheme="minorEastAsia"/>
                      <w:sz w:val="18"/>
                      <w:szCs w:val="18"/>
                    </w:rPr>
                    <w:t>□</w:t>
                  </w:r>
                </w:p>
              </w:tc>
              <w:tc>
                <w:tcPr>
                  <w:tcW w:w="84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网格模型</w:t>
                  </w:r>
                  <w:r>
                    <w:rPr>
                      <w:rFonts w:ascii="Times New Roman" w:hAnsi="Times New Roman" w:eastAsiaTheme="minorEastAsia"/>
                      <w:sz w:val="18"/>
                      <w:szCs w:val="18"/>
                    </w:rPr>
                    <w:br w:type="textWrapping"/>
                  </w:r>
                  <w:r>
                    <w:rPr>
                      <w:rFonts w:ascii="Times New Roman" w:hAnsi="Times New Roman" w:eastAsiaTheme="minorEastAsia"/>
                      <w:sz w:val="18"/>
                      <w:szCs w:val="18"/>
                    </w:rPr>
                    <w:t>□</w:t>
                  </w:r>
                </w:p>
              </w:tc>
              <w:tc>
                <w:tcPr>
                  <w:tcW w:w="584"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其他</w:t>
                  </w:r>
                  <w:r>
                    <w:rPr>
                      <w:rFonts w:ascii="Times New Roman" w:hAnsi="Times New Roman" w:eastAsiaTheme="minorEastAsia"/>
                      <w:sz w:val="18"/>
                      <w:szCs w:val="18"/>
                    </w:rPr>
                    <w:br w:type="textWrapping"/>
                  </w:r>
                  <w:r>
                    <w:rPr>
                      <w:rFonts w:ascii="Times New Roman" w:hAnsi="Times New Roman" w:eastAsiaTheme="minorEastAsia"/>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3"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预测范围</w:t>
                  </w:r>
                </w:p>
              </w:tc>
              <w:tc>
                <w:tcPr>
                  <w:tcW w:w="1810"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边长≥50km□</w:t>
                  </w:r>
                </w:p>
              </w:tc>
              <w:tc>
                <w:tcPr>
                  <w:tcW w:w="2560" w:type="dxa"/>
                  <w:gridSpan w:val="3"/>
                  <w:vAlign w:val="center"/>
                </w:tcPr>
                <w:p>
                  <w:pPr>
                    <w:pStyle w:val="119"/>
                    <w:widowControl/>
                    <w:snapToGrid w:val="0"/>
                    <w:spacing w:line="300" w:lineRule="atLeast"/>
                    <w:ind w:firstLine="360"/>
                    <w:rPr>
                      <w:rFonts w:ascii="Times New Roman" w:hAnsi="Times New Roman" w:eastAsiaTheme="minorEastAsia"/>
                      <w:sz w:val="18"/>
                      <w:szCs w:val="18"/>
                    </w:rPr>
                  </w:pPr>
                  <w:r>
                    <w:rPr>
                      <w:rFonts w:ascii="Times New Roman" w:hAnsi="Times New Roman" w:eastAsiaTheme="minorEastAsia"/>
                      <w:sz w:val="18"/>
                      <w:szCs w:val="18"/>
                    </w:rPr>
                    <w:t>边长5～50km</w:t>
                  </w:r>
                  <w:r>
                    <w:rPr>
                      <w:rFonts w:ascii="Times New Roman" w:hAnsi="Times New Roman" w:eastAsiaTheme="minorEastAsia"/>
                      <w:sz w:val="18"/>
                      <w:szCs w:val="18"/>
                    </w:rPr>
                    <w:sym w:font="Wingdings 2" w:char="00A3"/>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边长=5km</w:t>
                  </w:r>
                  <w:r>
                    <w:rPr>
                      <w:rFonts w:ascii="Times New Roman" w:hAnsi="Times New Roman" w:eastAsiaTheme="minorEastAsia"/>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预测因子</w:t>
                  </w:r>
                </w:p>
              </w:tc>
              <w:tc>
                <w:tcPr>
                  <w:tcW w:w="3456" w:type="dxa"/>
                  <w:gridSpan w:val="4"/>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 xml:space="preserve">预测因子( </w:t>
                  </w:r>
                  <w:r>
                    <w:rPr>
                      <w:rFonts w:hint="eastAsia" w:ascii="Times New Roman" w:hAnsi="Times New Roman" w:eastAsiaTheme="minorEastAsia"/>
                      <w:sz w:val="18"/>
                      <w:szCs w:val="18"/>
                    </w:rPr>
                    <w:t>TSP、非甲烷总烃</w:t>
                  </w:r>
                  <w:r>
                    <w:rPr>
                      <w:rFonts w:ascii="Times New Roman" w:hAnsi="Times New Roman" w:eastAsiaTheme="minorEastAsia"/>
                      <w:sz w:val="18"/>
                      <w:szCs w:val="18"/>
                    </w:rPr>
                    <w:t xml:space="preserve"> )</w:t>
                  </w:r>
                </w:p>
              </w:tc>
              <w:tc>
                <w:tcPr>
                  <w:tcW w:w="2338"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包括二次PM</w:t>
                  </w:r>
                  <w:r>
                    <w:rPr>
                      <w:rFonts w:ascii="Times New Roman" w:hAnsi="Times New Roman" w:eastAsiaTheme="minorEastAsia"/>
                      <w:sz w:val="18"/>
                      <w:szCs w:val="18"/>
                      <w:vertAlign w:val="subscript"/>
                    </w:rPr>
                    <w:t>2.5</w:t>
                  </w:r>
                  <w:r>
                    <w:rPr>
                      <w:rFonts w:ascii="Times New Roman" w:hAnsi="Times New Roman" w:eastAsiaTheme="minorEastAsia"/>
                      <w:sz w:val="18"/>
                      <w:szCs w:val="18"/>
                    </w:rPr>
                    <w:t>□</w:t>
                  </w:r>
                </w:p>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不包括二次PM</w:t>
                  </w:r>
                  <w:r>
                    <w:rPr>
                      <w:rFonts w:ascii="Times New Roman" w:hAnsi="Times New Roman" w:eastAsiaTheme="minorEastAsia"/>
                      <w:sz w:val="18"/>
                      <w:szCs w:val="18"/>
                      <w:vertAlign w:val="subscript"/>
                    </w:rPr>
                    <w:t>2.5</w:t>
                  </w:r>
                  <w:r>
                    <w:rPr>
                      <w:rFonts w:ascii="Times New Roman" w:hAnsi="Times New Roman" w:eastAsiaTheme="minorEastAsia"/>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正常排放短期浓度</w:t>
                  </w:r>
                  <w:r>
                    <w:rPr>
                      <w:rFonts w:ascii="Times New Roman" w:hAnsi="Times New Roman" w:eastAsiaTheme="minorEastAsia"/>
                      <w:sz w:val="18"/>
                      <w:szCs w:val="18"/>
                    </w:rPr>
                    <w:br w:type="textWrapping"/>
                  </w:r>
                  <w:r>
                    <w:rPr>
                      <w:rFonts w:ascii="Times New Roman" w:hAnsi="Times New Roman" w:eastAsiaTheme="minorEastAsia"/>
                      <w:sz w:val="18"/>
                      <w:szCs w:val="18"/>
                    </w:rPr>
                    <w:t>贡献值</w:t>
                  </w:r>
                </w:p>
              </w:tc>
              <w:tc>
                <w:tcPr>
                  <w:tcW w:w="3456" w:type="dxa"/>
                  <w:gridSpan w:val="4"/>
                  <w:vAlign w:val="center"/>
                </w:tcPr>
                <w:p>
                  <w:pPr>
                    <w:pStyle w:val="119"/>
                    <w:widowControl/>
                    <w:snapToGrid w:val="0"/>
                    <w:spacing w:line="300" w:lineRule="atLeast"/>
                    <w:ind w:firstLine="0" w:firstLineChars="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本项目</m:t>
                        </m:r>
                        <m:ctrlPr>
                          <w:rPr>
                            <w:rFonts w:ascii="Cambria Math" w:hAnsi="Cambria Math" w:eastAsiaTheme="minorEastAsia"/>
                            <w:i/>
                            <w:sz w:val="18"/>
                            <w:szCs w:val="18"/>
                          </w:rPr>
                        </m:ctrlPr>
                      </m:sub>
                    </m:sSub>
                  </m:oMath>
                  <w:r>
                    <w:rPr>
                      <w:rFonts w:ascii="Times New Roman" w:hAnsi="Times New Roman" w:eastAsiaTheme="minorEastAsia"/>
                      <w:sz w:val="18"/>
                      <w:szCs w:val="18"/>
                    </w:rPr>
                    <w:t>最大占标率≤100%</w:t>
                  </w:r>
                  <w:r>
                    <w:rPr>
                      <w:rFonts w:ascii="Times New Roman" w:hAnsi="Times New Roman" w:eastAsiaTheme="minorEastAsia"/>
                      <w:sz w:val="18"/>
                      <w:szCs w:val="18"/>
                    </w:rPr>
                    <w:sym w:font="Wingdings 2" w:char="0052"/>
                  </w:r>
                </w:p>
              </w:tc>
              <w:tc>
                <w:tcPr>
                  <w:tcW w:w="2338"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本项目</m:t>
                        </m:r>
                        <m:ctrlPr>
                          <w:rPr>
                            <w:rFonts w:ascii="Cambria Math" w:hAnsi="Cambria Math" w:eastAsiaTheme="minorEastAsia"/>
                            <w:i/>
                            <w:sz w:val="18"/>
                            <w:szCs w:val="18"/>
                          </w:rPr>
                        </m:ctrlPr>
                      </m:sub>
                    </m:sSub>
                  </m:oMath>
                  <w:r>
                    <w:rPr>
                      <w:rFonts w:ascii="Times New Roman" w:hAnsi="Times New Roman" w:eastAsiaTheme="minorEastAsia"/>
                      <w:sz w:val="18"/>
                      <w:szCs w:val="18"/>
                    </w:rPr>
                    <w:t>最大占标率＞100%</w:t>
                  </w:r>
                  <w:r>
                    <w:rPr>
                      <w:rFonts w:ascii="Times New Roman" w:hAnsi="Times New Roman" w:eastAsiaTheme="minorEastAsia"/>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4"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Merge w:val="restart"/>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正常排放年均浓度</w:t>
                  </w:r>
                  <w:r>
                    <w:rPr>
                      <w:rFonts w:ascii="Times New Roman" w:hAnsi="Times New Roman" w:eastAsiaTheme="minorEastAsia"/>
                      <w:sz w:val="18"/>
                      <w:szCs w:val="18"/>
                    </w:rPr>
                    <w:br w:type="textWrapping"/>
                  </w:r>
                  <w:r>
                    <w:rPr>
                      <w:rFonts w:ascii="Times New Roman" w:hAnsi="Times New Roman" w:eastAsiaTheme="minorEastAsia"/>
                      <w:sz w:val="18"/>
                      <w:szCs w:val="18"/>
                    </w:rPr>
                    <w:t>贡献值</w:t>
                  </w:r>
                </w:p>
              </w:tc>
              <w:tc>
                <w:tcPr>
                  <w:tcW w:w="1200" w:type="dxa"/>
                  <w:tcBorders>
                    <w:right w:val="single" w:color="auto" w:sz="4" w:space="0"/>
                  </w:tcBorders>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一类区</w:t>
                  </w:r>
                </w:p>
              </w:tc>
              <w:tc>
                <w:tcPr>
                  <w:tcW w:w="2256" w:type="dxa"/>
                  <w:gridSpan w:val="3"/>
                  <w:tcBorders>
                    <w:left w:val="single" w:color="auto" w:sz="4" w:space="0"/>
                  </w:tcBorders>
                  <w:vAlign w:val="center"/>
                </w:tcPr>
                <w:p>
                  <w:pPr>
                    <w:pStyle w:val="119"/>
                    <w:widowControl/>
                    <w:snapToGrid w:val="0"/>
                    <w:spacing w:line="300" w:lineRule="atLeast"/>
                    <w:ind w:firstLine="0" w:firstLineChars="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本项目</m:t>
                        </m:r>
                        <m:ctrlPr>
                          <w:rPr>
                            <w:rFonts w:ascii="Cambria Math" w:hAnsi="Cambria Math" w:eastAsiaTheme="minorEastAsia"/>
                            <w:i/>
                            <w:sz w:val="18"/>
                            <w:szCs w:val="18"/>
                          </w:rPr>
                        </m:ctrlPr>
                      </m:sub>
                    </m:sSub>
                  </m:oMath>
                  <w:r>
                    <w:rPr>
                      <w:rFonts w:ascii="Times New Roman" w:hAnsi="Times New Roman" w:eastAsiaTheme="minorEastAsia"/>
                      <w:sz w:val="18"/>
                      <w:szCs w:val="18"/>
                    </w:rPr>
                    <w:t>最大占标率≤10%□</w:t>
                  </w:r>
                </w:p>
              </w:tc>
              <w:tc>
                <w:tcPr>
                  <w:tcW w:w="2338"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本项目</m:t>
                        </m:r>
                        <m:ctrlPr>
                          <w:rPr>
                            <w:rFonts w:ascii="Cambria Math" w:hAnsi="Cambria Math" w:eastAsiaTheme="minorEastAsia"/>
                            <w:i/>
                            <w:sz w:val="18"/>
                            <w:szCs w:val="18"/>
                          </w:rPr>
                        </m:ctrlPr>
                      </m:sub>
                    </m:sSub>
                  </m:oMath>
                  <w:r>
                    <w:rPr>
                      <w:rFonts w:ascii="Times New Roman" w:hAnsi="Times New Roman" w:eastAsiaTheme="minorEastAsia"/>
                      <w:sz w:val="18"/>
                      <w:szCs w:val="18"/>
                    </w:rPr>
                    <w:t>最大标率＞10%□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2"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200" w:type="dxa"/>
                  <w:tcBorders>
                    <w:right w:val="single" w:color="auto" w:sz="4" w:space="0"/>
                  </w:tcBorders>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二类区</w:t>
                  </w:r>
                </w:p>
              </w:tc>
              <w:tc>
                <w:tcPr>
                  <w:tcW w:w="2256" w:type="dxa"/>
                  <w:gridSpan w:val="3"/>
                  <w:tcBorders>
                    <w:left w:val="single" w:color="auto" w:sz="4" w:space="0"/>
                  </w:tcBorders>
                  <w:vAlign w:val="center"/>
                </w:tcPr>
                <w:p>
                  <w:pPr>
                    <w:pStyle w:val="119"/>
                    <w:widowControl/>
                    <w:snapToGrid w:val="0"/>
                    <w:spacing w:line="300" w:lineRule="atLeast"/>
                    <w:ind w:firstLine="0" w:firstLineChars="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本项目</m:t>
                        </m:r>
                        <m:ctrlPr>
                          <w:rPr>
                            <w:rFonts w:ascii="Cambria Math" w:hAnsi="Cambria Math" w:eastAsiaTheme="minorEastAsia"/>
                            <w:i/>
                            <w:sz w:val="18"/>
                            <w:szCs w:val="18"/>
                          </w:rPr>
                        </m:ctrlPr>
                      </m:sub>
                    </m:sSub>
                  </m:oMath>
                  <w:r>
                    <w:rPr>
                      <w:rFonts w:ascii="Times New Roman" w:hAnsi="Times New Roman" w:eastAsiaTheme="minorEastAsia"/>
                      <w:sz w:val="18"/>
                      <w:szCs w:val="18"/>
                    </w:rPr>
                    <w:t>最大占标率≤30%</w:t>
                  </w:r>
                  <w:r>
                    <w:rPr>
                      <w:rFonts w:ascii="Times New Roman" w:hAnsi="Times New Roman" w:eastAsiaTheme="minorEastAsia"/>
                      <w:sz w:val="18"/>
                      <w:szCs w:val="18"/>
                    </w:rPr>
                    <w:sym w:font="Wingdings 2" w:char="0052"/>
                  </w:r>
                </w:p>
              </w:tc>
              <w:tc>
                <w:tcPr>
                  <w:tcW w:w="2338"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本项目</m:t>
                        </m:r>
                        <m:ctrlPr>
                          <w:rPr>
                            <w:rFonts w:ascii="Cambria Math" w:hAnsi="Cambria Math" w:eastAsiaTheme="minorEastAsia"/>
                            <w:i/>
                            <w:sz w:val="18"/>
                            <w:szCs w:val="18"/>
                          </w:rPr>
                        </m:ctrlPr>
                      </m:sub>
                    </m:sSub>
                  </m:oMath>
                  <w:r>
                    <w:rPr>
                      <w:rFonts w:ascii="Times New Roman" w:hAnsi="Times New Roman" w:eastAsiaTheme="minorEastAsia"/>
                      <w:sz w:val="18"/>
                      <w:szCs w:val="18"/>
                    </w:rPr>
                    <w:t>最大标率＞30%</w:t>
                  </w:r>
                  <w:r>
                    <w:rPr>
                      <w:rFonts w:ascii="Times New Roman" w:hAnsi="Times New Roman" w:eastAsiaTheme="minorEastAsia"/>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非正常排放1h浓度</w:t>
                  </w:r>
                  <w:r>
                    <w:rPr>
                      <w:rFonts w:ascii="Times New Roman" w:hAnsi="Times New Roman" w:eastAsiaTheme="minorEastAsia"/>
                      <w:sz w:val="18"/>
                      <w:szCs w:val="18"/>
                    </w:rPr>
                    <w:br w:type="textWrapping"/>
                  </w:r>
                  <w:r>
                    <w:rPr>
                      <w:rFonts w:ascii="Times New Roman" w:hAnsi="Times New Roman" w:eastAsiaTheme="minorEastAsia"/>
                      <w:sz w:val="18"/>
                      <w:szCs w:val="18"/>
                    </w:rPr>
                    <w:t>贡献值</w:t>
                  </w:r>
                </w:p>
              </w:tc>
              <w:tc>
                <w:tcPr>
                  <w:tcW w:w="1810" w:type="dxa"/>
                  <w:gridSpan w:val="2"/>
                  <w:tcBorders>
                    <w:right w:val="single" w:color="auto" w:sz="4" w:space="0"/>
                  </w:tcBorders>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非正常持续时长（ ）h</w:t>
                  </w:r>
                </w:p>
              </w:tc>
              <w:tc>
                <w:tcPr>
                  <w:tcW w:w="1646" w:type="dxa"/>
                  <w:gridSpan w:val="2"/>
                  <w:tcBorders>
                    <w:left w:val="single" w:color="auto" w:sz="4" w:space="0"/>
                  </w:tcBorders>
                  <w:vAlign w:val="center"/>
                </w:tcPr>
                <w:p>
                  <w:pPr>
                    <w:pStyle w:val="119"/>
                    <w:widowControl/>
                    <w:snapToGrid w:val="0"/>
                    <w:spacing w:line="300" w:lineRule="atLeast"/>
                    <w:ind w:firstLine="0" w:firstLineChars="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非正常</m:t>
                        </m:r>
                        <m:ctrlPr>
                          <w:rPr>
                            <w:rFonts w:ascii="Cambria Math" w:hAnsi="Cambria Math" w:eastAsiaTheme="minorEastAsia"/>
                            <w:i/>
                            <w:sz w:val="18"/>
                            <w:szCs w:val="18"/>
                          </w:rPr>
                        </m:ctrlPr>
                      </m:sub>
                    </m:sSub>
                  </m:oMath>
                  <w:r>
                    <w:rPr>
                      <w:rFonts w:ascii="Times New Roman" w:hAnsi="Times New Roman" w:eastAsiaTheme="minorEastAsia"/>
                      <w:sz w:val="18"/>
                      <w:szCs w:val="18"/>
                    </w:rPr>
                    <w:t>占标率≤100% □</w:t>
                  </w:r>
                </w:p>
              </w:tc>
              <w:tc>
                <w:tcPr>
                  <w:tcW w:w="2338" w:type="dxa"/>
                  <w:gridSpan w:val="3"/>
                  <w:vAlign w:val="center"/>
                </w:tcPr>
                <w:p>
                  <w:pPr>
                    <w:pStyle w:val="119"/>
                    <w:widowControl/>
                    <w:snapToGrid w:val="0"/>
                    <w:spacing w:line="300" w:lineRule="atLeast"/>
                    <w:ind w:firstLine="0" w:firstLineChars="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非正常</m:t>
                        </m:r>
                        <m:ctrlPr>
                          <w:rPr>
                            <w:rFonts w:ascii="Cambria Math" w:hAnsi="Cambria Math" w:eastAsiaTheme="minorEastAsia"/>
                            <w:i/>
                            <w:sz w:val="18"/>
                            <w:szCs w:val="18"/>
                          </w:rPr>
                        </m:ctrlPr>
                      </m:sub>
                    </m:sSub>
                  </m:oMath>
                  <w:r>
                    <w:rPr>
                      <w:rFonts w:ascii="Times New Roman" w:hAnsi="Times New Roman" w:eastAsiaTheme="minorEastAsia"/>
                      <w:sz w:val="18"/>
                      <w:szCs w:val="18"/>
                    </w:rPr>
                    <w:t>占标率＞100%□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保证率日平均浓度和年平均浓度叠加值</w:t>
                  </w:r>
                </w:p>
              </w:tc>
              <w:tc>
                <w:tcPr>
                  <w:tcW w:w="2589" w:type="dxa"/>
                  <w:gridSpan w:val="3"/>
                  <w:vAlign w:val="center"/>
                </w:tcPr>
                <w:p>
                  <w:pPr>
                    <w:pStyle w:val="119"/>
                    <w:widowControl/>
                    <w:snapToGrid w:val="0"/>
                    <w:spacing w:line="300" w:lineRule="atLeast"/>
                    <w:ind w:firstLine="36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叠加</m:t>
                        </m:r>
                        <m:ctrlPr>
                          <w:rPr>
                            <w:rFonts w:ascii="Cambria Math" w:hAnsi="Cambria Math" w:eastAsiaTheme="minorEastAsia"/>
                            <w:i/>
                            <w:sz w:val="18"/>
                            <w:szCs w:val="18"/>
                          </w:rPr>
                        </m:ctrlPr>
                      </m:sub>
                    </m:sSub>
                  </m:oMath>
                  <w:r>
                    <w:rPr>
                      <w:rFonts w:ascii="Times New Roman" w:hAnsi="Times New Roman" w:eastAsiaTheme="minorEastAsia"/>
                      <w:sz w:val="18"/>
                      <w:szCs w:val="18"/>
                    </w:rPr>
                    <w:t>达标</w:t>
                  </w:r>
                  <w:r>
                    <w:rPr>
                      <w:rFonts w:ascii="Times New Roman" w:hAnsi="Times New Roman" w:eastAsiaTheme="minorEastAsia"/>
                      <w:sz w:val="18"/>
                      <w:szCs w:val="18"/>
                    </w:rPr>
                    <w:sym w:font="Wingdings 2" w:char="00A3"/>
                  </w:r>
                </w:p>
              </w:tc>
              <w:tc>
                <w:tcPr>
                  <w:tcW w:w="3205" w:type="dxa"/>
                  <w:gridSpan w:val="4"/>
                  <w:vAlign w:val="center"/>
                </w:tcPr>
                <w:p>
                  <w:pPr>
                    <w:pStyle w:val="119"/>
                    <w:widowControl/>
                    <w:snapToGrid w:val="0"/>
                    <w:spacing w:line="300" w:lineRule="atLeast"/>
                    <w:ind w:firstLine="360"/>
                    <w:rPr>
                      <w:rFonts w:ascii="Times New Roman" w:hAnsi="Times New Roman" w:eastAsiaTheme="minorEastAsia"/>
                      <w:sz w:val="18"/>
                      <w:szCs w:val="18"/>
                    </w:rPr>
                  </w:p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C</m:t>
                        </m:r>
                        <m:ctrlPr>
                          <w:rPr>
                            <w:rFonts w:ascii="Cambria Math" w:hAnsi="Cambria Math" w:eastAsiaTheme="minorEastAsia"/>
                            <w:i/>
                            <w:sz w:val="18"/>
                            <w:szCs w:val="18"/>
                          </w:rPr>
                        </m:ctrlPr>
                      </m:e>
                      <m:sub>
                        <m:r>
                          <m:rPr>
                            <m:sty m:val="p"/>
                          </m:rPr>
                          <w:rPr>
                            <w:rFonts w:ascii="Cambria Math" w:hAnsi="Cambria Math" w:eastAsiaTheme="minorEastAsia"/>
                            <w:sz w:val="18"/>
                            <w:szCs w:val="18"/>
                          </w:rPr>
                          <m:t>叠加</m:t>
                        </m:r>
                        <m:ctrlPr>
                          <w:rPr>
                            <w:rFonts w:ascii="Cambria Math" w:hAnsi="Cambria Math" w:eastAsiaTheme="minorEastAsia"/>
                            <w:i/>
                            <w:sz w:val="18"/>
                            <w:szCs w:val="18"/>
                          </w:rPr>
                        </m:ctrlPr>
                      </m:sub>
                    </m:sSub>
                  </m:oMath>
                  <w:r>
                    <w:rPr>
                      <w:rFonts w:ascii="Times New Roman" w:hAnsi="Times New Roman" w:eastAsiaTheme="minorEastAsia"/>
                      <w:sz w:val="18"/>
                      <w:szCs w:val="18"/>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区域环境质量的整体变化情况</w:t>
                  </w:r>
                </w:p>
              </w:tc>
              <w:tc>
                <w:tcPr>
                  <w:tcW w:w="2589" w:type="dxa"/>
                  <w:gridSpan w:val="3"/>
                  <w:vAlign w:val="center"/>
                </w:tcPr>
                <w:p>
                  <w:pPr>
                    <w:pStyle w:val="119"/>
                    <w:widowControl/>
                    <w:snapToGrid w:val="0"/>
                    <w:spacing w:line="300" w:lineRule="atLeast"/>
                    <w:ind w:firstLine="360"/>
                    <w:rPr>
                      <w:rFonts w:ascii="Times New Roman" w:hAnsi="Times New Roman" w:eastAsiaTheme="minorEastAsia"/>
                      <w:sz w:val="18"/>
                      <w:szCs w:val="18"/>
                    </w:rPr>
                  </w:pPr>
                  <w:r>
                    <w:rPr>
                      <w:rFonts w:ascii="Times New Roman" w:hAnsi="Times New Roman" w:eastAsiaTheme="minorEastAsia"/>
                      <w:i/>
                      <w:sz w:val="18"/>
                      <w:szCs w:val="18"/>
                    </w:rPr>
                    <w:t>k</w:t>
                  </w:r>
                  <w:r>
                    <w:rPr>
                      <w:rFonts w:ascii="Times New Roman" w:hAnsi="Times New Roman" w:eastAsiaTheme="minorEastAsia"/>
                      <w:sz w:val="18"/>
                      <w:szCs w:val="18"/>
                    </w:rPr>
                    <w:t>≤-20%</w:t>
                  </w:r>
                  <w:r>
                    <w:rPr>
                      <w:rFonts w:ascii="Times New Roman" w:hAnsi="Times New Roman" w:eastAsiaTheme="minorEastAsia"/>
                      <w:sz w:val="18"/>
                      <w:szCs w:val="18"/>
                    </w:rPr>
                    <w:sym w:font="Wingdings 2" w:char="0052"/>
                  </w:r>
                </w:p>
              </w:tc>
              <w:tc>
                <w:tcPr>
                  <w:tcW w:w="3205" w:type="dxa"/>
                  <w:gridSpan w:val="4"/>
                  <w:vAlign w:val="center"/>
                </w:tcPr>
                <w:p>
                  <w:pPr>
                    <w:pStyle w:val="119"/>
                    <w:widowControl/>
                    <w:snapToGrid w:val="0"/>
                    <w:spacing w:line="300" w:lineRule="atLeast"/>
                    <w:ind w:firstLine="360"/>
                    <w:rPr>
                      <w:rFonts w:ascii="Times New Roman" w:hAnsi="Times New Roman" w:eastAsiaTheme="minorEastAsia"/>
                      <w:sz w:val="18"/>
                      <w:szCs w:val="18"/>
                    </w:rPr>
                  </w:pPr>
                  <w:r>
                    <w:rPr>
                      <w:rFonts w:ascii="Times New Roman" w:hAnsi="Times New Roman" w:eastAsiaTheme="minorEastAsia"/>
                      <w:i/>
                      <w:sz w:val="18"/>
                      <w:szCs w:val="18"/>
                    </w:rPr>
                    <w:t>k</w:t>
                  </w:r>
                  <w:r>
                    <w:rPr>
                      <w:rFonts w:ascii="Times New Roman" w:hAnsi="Times New Roman" w:eastAsiaTheme="minorEastAsia"/>
                      <w:sz w:val="18"/>
                      <w:szCs w:val="18"/>
                    </w:rPr>
                    <w:t>＞-20%</w:t>
                  </w:r>
                  <w:r>
                    <w:rPr>
                      <w:rFonts w:ascii="Times New Roman" w:hAnsi="Times New Roman" w:eastAsiaTheme="minorEastAsia"/>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864" w:type="dxa"/>
                  <w:vMerge w:val="restart"/>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环境监测</w:t>
                  </w:r>
                  <w:r>
                    <w:rPr>
                      <w:rFonts w:ascii="Times New Roman" w:hAnsi="Times New Roman" w:eastAsiaTheme="minorEastAsia"/>
                      <w:sz w:val="18"/>
                      <w:szCs w:val="18"/>
                    </w:rPr>
                    <w:br w:type="textWrapping"/>
                  </w:r>
                  <w:r>
                    <w:rPr>
                      <w:rFonts w:ascii="Times New Roman" w:hAnsi="Times New Roman" w:eastAsiaTheme="minorEastAsia"/>
                      <w:sz w:val="18"/>
                      <w:szCs w:val="18"/>
                    </w:rPr>
                    <w:t>计划</w:t>
                  </w: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污染源监测</w:t>
                  </w:r>
                </w:p>
              </w:tc>
              <w:tc>
                <w:tcPr>
                  <w:tcW w:w="120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监测因子：（</w:t>
                  </w:r>
                  <w:r>
                    <w:rPr>
                      <w:rFonts w:hint="eastAsia" w:ascii="Times New Roman" w:hAnsi="Times New Roman" w:eastAsiaTheme="minorEastAsia"/>
                      <w:sz w:val="18"/>
                      <w:szCs w:val="18"/>
                    </w:rPr>
                    <w:t>TSP、非甲烷总烃</w:t>
                  </w:r>
                  <w:r>
                    <w:rPr>
                      <w:rFonts w:ascii="Times New Roman" w:hAnsi="Times New Roman" w:eastAsiaTheme="minorEastAsia"/>
                      <w:sz w:val="18"/>
                      <w:szCs w:val="18"/>
                    </w:rPr>
                    <w:t>）</w:t>
                  </w:r>
                </w:p>
              </w:tc>
              <w:tc>
                <w:tcPr>
                  <w:tcW w:w="3170" w:type="dxa"/>
                  <w:gridSpan w:val="4"/>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有组织废气监测</w:t>
                  </w:r>
                  <w:r>
                    <w:rPr>
                      <w:rFonts w:ascii="Times New Roman" w:hAnsi="Times New Roman" w:eastAsiaTheme="minorEastAsia"/>
                      <w:sz w:val="18"/>
                      <w:szCs w:val="18"/>
                    </w:rPr>
                    <w:sym w:font="Wingdings 2" w:char="0052"/>
                  </w:r>
                  <w:r>
                    <w:rPr>
                      <w:rFonts w:ascii="Times New Roman" w:hAnsi="Times New Roman" w:eastAsiaTheme="minorEastAsia"/>
                      <w:sz w:val="18"/>
                      <w:szCs w:val="18"/>
                    </w:rPr>
                    <w:br w:type="textWrapping"/>
                  </w:r>
                  <w:r>
                    <w:rPr>
                      <w:rFonts w:ascii="Times New Roman" w:hAnsi="Times New Roman" w:eastAsiaTheme="minorEastAsia"/>
                      <w:sz w:val="18"/>
                      <w:szCs w:val="18"/>
                    </w:rPr>
                    <w:t>无组织废气监测</w:t>
                  </w:r>
                  <w:r>
                    <w:rPr>
                      <w:rFonts w:ascii="Times New Roman" w:hAnsi="Times New Roman" w:eastAsiaTheme="minorEastAsia"/>
                      <w:sz w:val="18"/>
                      <w:szCs w:val="18"/>
                    </w:rPr>
                    <w:sym w:font="Wingdings 2" w:char="0052"/>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无监测□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环境质量监测</w:t>
                  </w:r>
                </w:p>
              </w:tc>
              <w:tc>
                <w:tcPr>
                  <w:tcW w:w="120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监测因子：（）</w:t>
                  </w:r>
                </w:p>
              </w:tc>
              <w:tc>
                <w:tcPr>
                  <w:tcW w:w="3170" w:type="dxa"/>
                  <w:gridSpan w:val="4"/>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监测点位数（     ）</w:t>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无监测</w:t>
                  </w:r>
                  <w:r>
                    <w:rPr>
                      <w:rFonts w:ascii="Times New Roman" w:hAnsi="Times New Roman" w:eastAsiaTheme="minorEastAsia"/>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8" w:hRule="atLeast"/>
                <w:jc w:val="center"/>
              </w:trPr>
              <w:tc>
                <w:tcPr>
                  <w:tcW w:w="864" w:type="dxa"/>
                  <w:vMerge w:val="restart"/>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评价结论</w:t>
                  </w: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环境影响</w:t>
                  </w:r>
                </w:p>
              </w:tc>
              <w:tc>
                <w:tcPr>
                  <w:tcW w:w="5794" w:type="dxa"/>
                  <w:gridSpan w:val="7"/>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 xml:space="preserve">可以接受 </w:t>
                  </w:r>
                  <w:r>
                    <w:rPr>
                      <w:rFonts w:ascii="Times New Roman" w:hAnsi="Times New Roman" w:eastAsiaTheme="minorEastAsia"/>
                      <w:sz w:val="18"/>
                      <w:szCs w:val="18"/>
                    </w:rPr>
                    <w:sym w:font="Wingdings 2" w:char="0052"/>
                  </w:r>
                  <w:r>
                    <w:rPr>
                      <w:rFonts w:ascii="Times New Roman" w:hAnsi="Times New Roman" w:eastAsiaTheme="minorEastAsia"/>
                      <w:sz w:val="18"/>
                      <w:szCs w:val="18"/>
                    </w:rPr>
                    <w:t xml:space="preserve">       不可以接受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8"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大气环境防护距离</w:t>
                  </w:r>
                </w:p>
              </w:tc>
              <w:tc>
                <w:tcPr>
                  <w:tcW w:w="5794" w:type="dxa"/>
                  <w:gridSpan w:val="7"/>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距（     ）厂界最远（  ）m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864" w:type="dxa"/>
                  <w:vMerge w:val="continue"/>
                  <w:vAlign w:val="center"/>
                </w:tcPr>
                <w:p>
                  <w:pPr>
                    <w:pStyle w:val="119"/>
                    <w:widowControl/>
                    <w:snapToGrid w:val="0"/>
                    <w:spacing w:line="300" w:lineRule="atLeast"/>
                    <w:ind w:firstLine="360"/>
                    <w:rPr>
                      <w:rFonts w:ascii="Times New Roman" w:hAnsi="Times New Roman" w:eastAsiaTheme="minorEastAsia"/>
                      <w:sz w:val="18"/>
                      <w:szCs w:val="18"/>
                    </w:rPr>
                  </w:pPr>
                </w:p>
              </w:tc>
              <w:tc>
                <w:tcPr>
                  <w:tcW w:w="1710"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污染源年排放量</w:t>
                  </w:r>
                </w:p>
              </w:tc>
              <w:tc>
                <w:tcPr>
                  <w:tcW w:w="1810"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SO</w:t>
                  </w:r>
                  <w:r>
                    <w:rPr>
                      <w:rFonts w:ascii="Times New Roman" w:hAnsi="Times New Roman" w:eastAsiaTheme="minorEastAsia"/>
                      <w:sz w:val="18"/>
                      <w:szCs w:val="18"/>
                      <w:vertAlign w:val="subscript"/>
                    </w:rPr>
                    <w:t>2</w:t>
                  </w:r>
                  <w:r>
                    <w:rPr>
                      <w:rFonts w:ascii="Times New Roman" w:hAnsi="Times New Roman" w:eastAsiaTheme="minorEastAsia"/>
                      <w:sz w:val="18"/>
                      <w:szCs w:val="18"/>
                    </w:rPr>
                    <w:t>:（   ）t/a</w:t>
                  </w:r>
                </w:p>
              </w:tc>
              <w:tc>
                <w:tcPr>
                  <w:tcW w:w="1646"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NO</w:t>
                  </w:r>
                  <w:r>
                    <w:rPr>
                      <w:rFonts w:ascii="Times New Roman" w:hAnsi="Times New Roman" w:eastAsiaTheme="minorEastAsia"/>
                      <w:sz w:val="18"/>
                      <w:szCs w:val="18"/>
                      <w:vertAlign w:val="subscript"/>
                    </w:rPr>
                    <w:t>x</w:t>
                  </w:r>
                  <w:r>
                    <w:rPr>
                      <w:rFonts w:ascii="Times New Roman" w:hAnsi="Times New Roman" w:eastAsiaTheme="minorEastAsia"/>
                      <w:sz w:val="18"/>
                      <w:szCs w:val="18"/>
                    </w:rPr>
                    <w:t>:（   ）t/a</w:t>
                  </w:r>
                </w:p>
              </w:tc>
              <w:tc>
                <w:tcPr>
                  <w:tcW w:w="914" w:type="dxa"/>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颗粒物:（</w:t>
                  </w:r>
                  <w:r>
                    <w:rPr>
                      <w:rFonts w:hint="eastAsia" w:ascii="Times New Roman" w:hAnsi="Times New Roman" w:eastAsiaTheme="minorEastAsia"/>
                      <w:sz w:val="18"/>
                      <w:szCs w:val="18"/>
                      <w:lang w:val="en-US" w:eastAsia="zh-CN"/>
                    </w:rPr>
                    <w:t>0.0062</w:t>
                  </w:r>
                  <w:r>
                    <w:rPr>
                      <w:rFonts w:ascii="Times New Roman" w:hAnsi="Times New Roman" w:eastAsiaTheme="minorEastAsia"/>
                      <w:sz w:val="18"/>
                      <w:szCs w:val="18"/>
                    </w:rPr>
                    <w:t>）t/a</w:t>
                  </w:r>
                </w:p>
              </w:tc>
              <w:tc>
                <w:tcPr>
                  <w:tcW w:w="1424" w:type="dxa"/>
                  <w:gridSpan w:val="2"/>
                  <w:vAlign w:val="center"/>
                </w:tcPr>
                <w:p>
                  <w:pPr>
                    <w:pStyle w:val="119"/>
                    <w:widowControl/>
                    <w:snapToGrid w:val="0"/>
                    <w:spacing w:line="300" w:lineRule="atLeast"/>
                    <w:ind w:firstLine="0" w:firstLineChars="0"/>
                    <w:rPr>
                      <w:rFonts w:ascii="Times New Roman" w:hAnsi="Times New Roman" w:eastAsiaTheme="minorEastAsia"/>
                      <w:sz w:val="18"/>
                      <w:szCs w:val="18"/>
                    </w:rPr>
                  </w:pPr>
                  <w:r>
                    <w:rPr>
                      <w:rFonts w:ascii="Times New Roman" w:hAnsi="Times New Roman" w:eastAsiaTheme="minorEastAsia"/>
                      <w:sz w:val="18"/>
                      <w:szCs w:val="18"/>
                    </w:rPr>
                    <w:t>VOC</w:t>
                  </w:r>
                  <w:r>
                    <w:rPr>
                      <w:rFonts w:ascii="Times New Roman" w:hAnsi="Times New Roman" w:eastAsiaTheme="minorEastAsia"/>
                      <w:sz w:val="18"/>
                      <w:szCs w:val="18"/>
                      <w:vertAlign w:val="subscript"/>
                    </w:rPr>
                    <w:t>s</w:t>
                  </w:r>
                  <w:r>
                    <w:rPr>
                      <w:rFonts w:ascii="Times New Roman" w:hAnsi="Times New Roman" w:eastAsiaTheme="minorEastAsia"/>
                      <w:sz w:val="18"/>
                      <w:szCs w:val="18"/>
                    </w:rPr>
                    <w:t>:</w:t>
                  </w:r>
                  <w:r>
                    <w:rPr>
                      <w:rFonts w:hint="eastAsia" w:ascii="Times New Roman" w:hAnsi="Times New Roman" w:eastAsiaTheme="minorEastAsia"/>
                      <w:sz w:val="18"/>
                      <w:szCs w:val="18"/>
                    </w:rPr>
                    <w:t>（0.00</w:t>
                  </w:r>
                  <w:r>
                    <w:rPr>
                      <w:rFonts w:hint="eastAsia" w:ascii="Times New Roman" w:hAnsi="Times New Roman" w:eastAsiaTheme="minorEastAsia"/>
                      <w:sz w:val="18"/>
                      <w:szCs w:val="18"/>
                      <w:lang w:val="en-US" w:eastAsia="zh-CN"/>
                    </w:rPr>
                    <w:t>57</w:t>
                  </w:r>
                  <w:r>
                    <w:rPr>
                      <w:rFonts w:ascii="Times New Roman" w:hAnsi="Times New Roman" w:eastAsiaTheme="minorEastAsia"/>
                      <w:sz w:val="18"/>
                      <w:szCs w:val="18"/>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8368" w:type="dxa"/>
                  <w:gridSpan w:val="9"/>
                  <w:vAlign w:val="center"/>
                </w:tcPr>
                <w:p>
                  <w:pPr>
                    <w:pStyle w:val="119"/>
                    <w:widowControl/>
                    <w:snapToGrid w:val="0"/>
                    <w:spacing w:line="300" w:lineRule="atLeast"/>
                    <w:ind w:firstLine="0" w:firstLineChars="0"/>
                    <w:jc w:val="both"/>
                    <w:rPr>
                      <w:rFonts w:ascii="Times New Roman" w:hAnsi="Times New Roman" w:eastAsiaTheme="minorEastAsia"/>
                      <w:sz w:val="18"/>
                      <w:szCs w:val="18"/>
                    </w:rPr>
                  </w:pPr>
                  <w:r>
                    <w:rPr>
                      <w:rFonts w:ascii="Times New Roman" w:hAnsi="Times New Roman" w:eastAsiaTheme="minorEastAsia"/>
                      <w:sz w:val="18"/>
                      <w:szCs w:val="18"/>
                    </w:rPr>
                    <w:t>注：“□” 为勾选项 ，填“√” ；“（   ）” 为内容填写项</w:t>
                  </w:r>
                </w:p>
              </w:tc>
            </w:tr>
          </w:tbl>
          <w:p>
            <w:pPr>
              <w:autoSpaceDN w:val="0"/>
              <w:spacing w:line="360" w:lineRule="auto"/>
              <w:ind w:left="0" w:leftChars="0" w:firstLine="0" w:firstLineChars="0"/>
              <w:rPr>
                <w:rFonts w:hint="eastAsia" w:eastAsia="黑体"/>
                <w:bCs/>
                <w:sz w:val="28"/>
                <w:szCs w:val="28"/>
              </w:rPr>
            </w:pPr>
            <w:r>
              <w:rPr>
                <w:rFonts w:hint="eastAsia" w:eastAsia="黑体"/>
                <w:bCs/>
                <w:sz w:val="28"/>
                <w:szCs w:val="28"/>
              </w:rPr>
              <w:t>二、水环境影响分析</w:t>
            </w:r>
          </w:p>
          <w:p>
            <w:pPr>
              <w:autoSpaceDN w:val="0"/>
              <w:spacing w:line="360" w:lineRule="auto"/>
              <w:ind w:firstLine="480" w:firstLineChars="200"/>
              <w:rPr>
                <w:rFonts w:eastAsia="黑体"/>
                <w:bCs/>
                <w:sz w:val="24"/>
              </w:rPr>
            </w:pPr>
            <w:r>
              <w:rPr>
                <w:rFonts w:hint="eastAsia" w:eastAsia="黑体"/>
                <w:bCs/>
                <w:sz w:val="24"/>
              </w:rPr>
              <w:t>1、地表水环境影响分析</w:t>
            </w:r>
          </w:p>
          <w:p>
            <w:pPr>
              <w:keepNext w:val="0"/>
              <w:keepLines w:val="0"/>
              <w:pageBreakBefore w:val="0"/>
              <w:widowControl w:val="0"/>
              <w:kinsoku/>
              <w:wordWrap/>
              <w:overflowPunct/>
              <w:topLinePunct w:val="0"/>
              <w:autoSpaceDE/>
              <w:bidi w:val="0"/>
              <w:adjustRightInd/>
              <w:snapToGrid/>
              <w:spacing w:line="360" w:lineRule="auto"/>
              <w:ind w:firstLine="480" w:firstLineChars="200"/>
              <w:textAlignment w:val="auto"/>
              <w:rPr>
                <w:rFonts w:hint="eastAsia"/>
                <w:bCs/>
                <w:sz w:val="24"/>
              </w:rPr>
            </w:pPr>
            <w:r>
              <w:rPr>
                <w:rFonts w:hint="eastAsia"/>
                <w:kern w:val="0"/>
                <w:sz w:val="24"/>
              </w:rPr>
              <w:t>项目运营期用水主要为</w:t>
            </w:r>
            <w:r>
              <w:rPr>
                <w:rFonts w:hint="eastAsia"/>
                <w:kern w:val="0"/>
                <w:sz w:val="24"/>
                <w:lang w:val="en-US" w:eastAsia="zh-CN"/>
              </w:rPr>
              <w:t>切割冷却用水和</w:t>
            </w:r>
            <w:r>
              <w:rPr>
                <w:rFonts w:hint="eastAsia"/>
                <w:kern w:val="0"/>
                <w:sz w:val="24"/>
              </w:rPr>
              <w:t>员工生活用水。</w:t>
            </w:r>
            <w:r>
              <w:rPr>
                <w:rFonts w:hint="eastAsia"/>
                <w:kern w:val="0"/>
                <w:sz w:val="24"/>
                <w:lang w:val="en-US" w:eastAsia="zh-CN"/>
              </w:rPr>
              <w:t>切割冷却用水循环使用，不外排；</w:t>
            </w:r>
            <w:r>
              <w:rPr>
                <w:rFonts w:hint="eastAsia"/>
                <w:kern w:val="0"/>
                <w:sz w:val="24"/>
              </w:rPr>
              <w:t>员工生活用水</w:t>
            </w:r>
            <w:r>
              <w:rPr>
                <w:rFonts w:hint="eastAsia"/>
                <w:kern w:val="0"/>
                <w:sz w:val="24"/>
                <w:lang w:val="en-US" w:eastAsia="zh-CN"/>
              </w:rPr>
              <w:t>全部进入旱厕，定期清掏，不外排</w:t>
            </w:r>
            <w:r>
              <w:rPr>
                <w:rFonts w:hint="eastAsia"/>
                <w:bCs/>
                <w:sz w:val="24"/>
              </w:rPr>
              <w:t>。</w:t>
            </w:r>
          </w:p>
          <w:p>
            <w:pPr>
              <w:pStyle w:val="2"/>
              <w:keepNext w:val="0"/>
              <w:keepLines w:val="0"/>
              <w:pageBreakBefore w:val="0"/>
              <w:widowControl w:val="0"/>
              <w:numPr>
                <w:ilvl w:val="0"/>
                <w:numId w:val="0"/>
              </w:numPr>
              <w:kinsoku/>
              <w:wordWrap/>
              <w:overflowPunct/>
              <w:topLinePunct w:val="0"/>
              <w:autoSpaceDE/>
              <w:bidi w:val="0"/>
              <w:adjustRightInd/>
              <w:snapToGrid/>
              <w:ind w:firstLine="480" w:firstLineChars="200"/>
              <w:textAlignment w:val="auto"/>
              <w:rPr>
                <w:rFonts w:hint="eastAsia"/>
                <w:kern w:val="0"/>
                <w:sz w:val="24"/>
                <w:lang w:val="en-US" w:eastAsia="zh-CN"/>
              </w:rPr>
            </w:pPr>
            <w:r>
              <w:rPr>
                <w:rFonts w:hint="eastAsia"/>
                <w:kern w:val="0"/>
                <w:sz w:val="24"/>
                <w:lang w:val="en-US" w:eastAsia="zh-CN"/>
              </w:rPr>
              <w:t>（1）切割用水</w:t>
            </w:r>
          </w:p>
          <w:p>
            <w:pPr>
              <w:spacing w:line="360" w:lineRule="auto"/>
              <w:ind w:firstLine="480" w:firstLineChars="200"/>
              <w:rPr>
                <w:rFonts w:hint="default"/>
                <w:kern w:val="0"/>
                <w:sz w:val="24"/>
                <w:lang w:val="en-US" w:eastAsia="zh-CN"/>
              </w:rPr>
            </w:pPr>
            <w:r>
              <w:rPr>
                <w:rFonts w:hint="eastAsia"/>
                <w:kern w:val="0"/>
                <w:sz w:val="24"/>
                <w:lang w:val="en-US" w:eastAsia="zh-CN"/>
              </w:rPr>
              <w:t>项目切割机下方设有0.5m</w:t>
            </w:r>
            <w:r>
              <w:rPr>
                <w:rFonts w:hint="eastAsia"/>
                <w:kern w:val="0"/>
                <w:sz w:val="24"/>
                <w:vertAlign w:val="superscript"/>
                <w:lang w:val="en-US" w:eastAsia="zh-CN"/>
              </w:rPr>
              <w:t>3</w:t>
            </w:r>
            <w:r>
              <w:rPr>
                <w:rFonts w:hint="eastAsia"/>
                <w:kern w:val="0"/>
                <w:sz w:val="24"/>
                <w:lang w:val="en-US" w:eastAsia="zh-CN"/>
              </w:rPr>
              <w:t>的循环水箱，切割时用于冷却锯盘，冷却水循环使用，定期清理切割废渣。</w:t>
            </w:r>
          </w:p>
          <w:p>
            <w:pPr>
              <w:autoSpaceDN w:val="0"/>
              <w:spacing w:line="360" w:lineRule="auto"/>
              <w:ind w:firstLine="480" w:firstLineChars="200"/>
              <w:rPr>
                <w:sz w:val="24"/>
                <w:lang w:val="zh-CN"/>
              </w:rPr>
            </w:pPr>
            <w:r>
              <w:rPr>
                <w:rFonts w:hint="eastAsia"/>
                <w:sz w:val="24"/>
                <w:lang w:val="zh-CN"/>
              </w:rPr>
              <w:t>（</w:t>
            </w:r>
            <w:r>
              <w:rPr>
                <w:rFonts w:hint="eastAsia"/>
                <w:sz w:val="24"/>
                <w:lang w:val="en-US" w:eastAsia="zh-CN"/>
              </w:rPr>
              <w:t>2</w:t>
            </w:r>
            <w:r>
              <w:rPr>
                <w:rFonts w:hint="eastAsia"/>
                <w:sz w:val="24"/>
                <w:lang w:val="zh-CN"/>
              </w:rPr>
              <w:t>）污水处理情况</w:t>
            </w:r>
          </w:p>
          <w:p>
            <w:pPr>
              <w:autoSpaceDN w:val="0"/>
              <w:spacing w:line="360" w:lineRule="auto"/>
              <w:ind w:firstLine="480" w:firstLineChars="200"/>
              <w:rPr>
                <w:rFonts w:hint="default" w:eastAsia="宋体"/>
                <w:sz w:val="24"/>
                <w:lang w:val="en-US" w:eastAsia="zh-CN"/>
              </w:rPr>
            </w:pPr>
            <w:r>
              <w:rPr>
                <w:rFonts w:hint="eastAsia"/>
                <w:sz w:val="24"/>
              </w:rPr>
              <w:t>本项目废水主要为生活污水，生活污水产生量为</w:t>
            </w:r>
            <w:r>
              <w:rPr>
                <w:rFonts w:hint="eastAsia"/>
                <w:sz w:val="24"/>
                <w:lang w:val="en-US" w:eastAsia="zh-CN"/>
              </w:rPr>
              <w:t>0.336</w:t>
            </w:r>
            <w:r>
              <w:rPr>
                <w:szCs w:val="21"/>
              </w:rPr>
              <w:t>m</w:t>
            </w:r>
            <w:r>
              <w:rPr>
                <w:szCs w:val="21"/>
                <w:vertAlign w:val="superscript"/>
              </w:rPr>
              <w:t>3</w:t>
            </w:r>
            <w:r>
              <w:rPr>
                <w:sz w:val="24"/>
              </w:rPr>
              <w:t>/d</w:t>
            </w:r>
            <w:r>
              <w:rPr>
                <w:rFonts w:hint="eastAsia"/>
                <w:sz w:val="24"/>
              </w:rPr>
              <w:t>，</w:t>
            </w:r>
            <w:r>
              <w:rPr>
                <w:rFonts w:hint="eastAsia"/>
                <w:sz w:val="24"/>
                <w:lang w:val="en-US" w:eastAsia="zh-CN"/>
              </w:rPr>
              <w:t>100.8</w:t>
            </w:r>
            <w:r>
              <w:rPr>
                <w:sz w:val="24"/>
              </w:rPr>
              <w:t>m</w:t>
            </w:r>
            <w:r>
              <w:rPr>
                <w:sz w:val="24"/>
                <w:vertAlign w:val="superscript"/>
              </w:rPr>
              <w:t>3</w:t>
            </w:r>
            <w:r>
              <w:rPr>
                <w:sz w:val="24"/>
              </w:rPr>
              <w:t>/a</w:t>
            </w:r>
            <w:r>
              <w:rPr>
                <w:rFonts w:hint="eastAsia"/>
                <w:sz w:val="24"/>
              </w:rPr>
              <w:t>。</w:t>
            </w:r>
            <w:r>
              <w:rPr>
                <w:rFonts w:hint="eastAsia"/>
                <w:sz w:val="24"/>
                <w:lang w:val="en-US" w:eastAsia="zh-CN"/>
              </w:rPr>
              <w:t>项目设有旱厕，旱厕产生的粪便污水定期由当地农户清掏，用作农肥。</w:t>
            </w:r>
          </w:p>
          <w:p>
            <w:pPr>
              <w:autoSpaceDN w:val="0"/>
              <w:spacing w:line="360" w:lineRule="auto"/>
              <w:ind w:firstLine="480" w:firstLineChars="200"/>
              <w:rPr>
                <w:bCs/>
                <w:sz w:val="24"/>
              </w:rPr>
            </w:pPr>
            <w:r>
              <w:rPr>
                <w:rFonts w:hint="eastAsia"/>
                <w:bCs/>
                <w:sz w:val="24"/>
              </w:rPr>
              <w:t>（</w:t>
            </w:r>
            <w:r>
              <w:rPr>
                <w:bCs/>
                <w:sz w:val="24"/>
              </w:rPr>
              <w:t>3</w:t>
            </w:r>
            <w:r>
              <w:rPr>
                <w:rFonts w:hint="eastAsia"/>
                <w:bCs/>
                <w:sz w:val="24"/>
              </w:rPr>
              <w:t>）评价等级判定</w:t>
            </w:r>
          </w:p>
          <w:p>
            <w:pPr>
              <w:autoSpaceDN w:val="0"/>
              <w:spacing w:line="360" w:lineRule="auto"/>
              <w:ind w:firstLine="480" w:firstLineChars="200"/>
              <w:rPr>
                <w:rFonts w:hint="eastAsia"/>
                <w:sz w:val="24"/>
              </w:rPr>
            </w:pPr>
            <w:r>
              <w:rPr>
                <w:rFonts w:hint="eastAsia"/>
                <w:bCs/>
                <w:sz w:val="24"/>
              </w:rPr>
              <w:t>本</w:t>
            </w:r>
            <w:r>
              <w:rPr>
                <w:rFonts w:hint="eastAsia"/>
                <w:sz w:val="24"/>
              </w:rPr>
              <w:t>项目生活污水</w:t>
            </w:r>
            <w:r>
              <w:rPr>
                <w:rFonts w:hint="eastAsia"/>
                <w:sz w:val="24"/>
                <w:lang w:val="en-US" w:eastAsia="zh-CN"/>
              </w:rPr>
              <w:t>进入旱厕</w:t>
            </w:r>
            <w:r>
              <w:rPr>
                <w:rFonts w:hint="eastAsia"/>
                <w:bCs/>
                <w:sz w:val="24"/>
              </w:rPr>
              <w:t>，排放量为0.</w:t>
            </w:r>
            <w:r>
              <w:rPr>
                <w:rFonts w:hint="eastAsia"/>
                <w:bCs/>
                <w:sz w:val="24"/>
                <w:lang w:val="en-US" w:eastAsia="zh-CN"/>
              </w:rPr>
              <w:t>336</w:t>
            </w:r>
            <w:r>
              <w:rPr>
                <w:bCs/>
                <w:sz w:val="24"/>
              </w:rPr>
              <w:t>m</w:t>
            </w:r>
            <w:r>
              <w:rPr>
                <w:bCs/>
                <w:sz w:val="24"/>
                <w:vertAlign w:val="superscript"/>
              </w:rPr>
              <w:t>3</w:t>
            </w:r>
            <w:r>
              <w:rPr>
                <w:bCs/>
                <w:sz w:val="24"/>
              </w:rPr>
              <w:t>/d</w:t>
            </w:r>
            <w:r>
              <w:rPr>
                <w:rFonts w:hint="eastAsia"/>
                <w:bCs/>
                <w:sz w:val="24"/>
              </w:rPr>
              <w:t>，由当地农户拉走作农肥。根据</w:t>
            </w:r>
            <w:r>
              <w:rPr>
                <w:rFonts w:hint="eastAsia"/>
                <w:sz w:val="24"/>
              </w:rPr>
              <w:t>《环境影响评价技术导则－地表水环境》（</w:t>
            </w:r>
            <w:r>
              <w:rPr>
                <w:sz w:val="24"/>
              </w:rPr>
              <w:t>HJ2.3-2018</w:t>
            </w:r>
            <w:r>
              <w:rPr>
                <w:rFonts w:hint="eastAsia"/>
                <w:sz w:val="24"/>
              </w:rPr>
              <w:t>），本项目属于间接排放，评价等级为三级</w:t>
            </w:r>
            <w:r>
              <w:rPr>
                <w:sz w:val="24"/>
              </w:rPr>
              <w:t>B</w:t>
            </w:r>
            <w:r>
              <w:rPr>
                <w:rFonts w:hint="eastAsia"/>
                <w:sz w:val="24"/>
              </w:rPr>
              <w:t>，项目废水对环境影响较小。</w:t>
            </w:r>
          </w:p>
          <w:p>
            <w:pPr>
              <w:autoSpaceDN w:val="0"/>
              <w:spacing w:line="360" w:lineRule="auto"/>
              <w:ind w:firstLine="480" w:firstLineChars="200"/>
              <w:rPr>
                <w:rFonts w:hint="eastAsia" w:eastAsia="黑体"/>
                <w:bCs/>
                <w:sz w:val="24"/>
              </w:rPr>
            </w:pPr>
            <w:r>
              <w:rPr>
                <w:rFonts w:hint="eastAsia" w:eastAsia="黑体"/>
                <w:bCs/>
                <w:sz w:val="24"/>
              </w:rPr>
              <w:t>2、地下水环境影响分析</w:t>
            </w:r>
          </w:p>
          <w:p>
            <w:pPr>
              <w:spacing w:line="360" w:lineRule="auto"/>
              <w:ind w:firstLine="480" w:firstLineChars="200"/>
              <w:rPr>
                <w:rFonts w:ascii="宋体" w:hAnsi="宋体"/>
                <w:sz w:val="24"/>
              </w:rPr>
            </w:pPr>
            <w:r>
              <w:rPr>
                <w:rFonts w:ascii="宋体" w:hAnsi="宋体"/>
                <w:sz w:val="24"/>
              </w:rPr>
              <w:t>根据《环境影响评价技术导则</w:t>
            </w:r>
            <w:r>
              <w:rPr>
                <w:sz w:val="24"/>
              </w:rPr>
              <w:t xml:space="preserve"> </w:t>
            </w:r>
            <w:r>
              <w:rPr>
                <w:rFonts w:ascii="宋体" w:hAnsi="宋体"/>
                <w:sz w:val="24"/>
              </w:rPr>
              <w:t>地下水环境》（</w:t>
            </w:r>
            <w:r>
              <w:rPr>
                <w:sz w:val="24"/>
              </w:rPr>
              <w:t>HJ601-2016</w:t>
            </w:r>
            <w:r>
              <w:rPr>
                <w:rFonts w:ascii="宋体" w:hAnsi="宋体"/>
                <w:sz w:val="24"/>
              </w:rPr>
              <w:t>）附录</w:t>
            </w:r>
            <w:r>
              <w:rPr>
                <w:sz w:val="24"/>
              </w:rPr>
              <w:t>A</w:t>
            </w:r>
            <w:r>
              <w:rPr>
                <w:rFonts w:ascii="宋体" w:hAnsi="宋体"/>
                <w:sz w:val="24"/>
              </w:rPr>
              <w:t>地下水环境影响评价行业分类表可知：本项目为</w:t>
            </w:r>
            <w:r>
              <w:rPr>
                <w:sz w:val="24"/>
              </w:rPr>
              <w:t>Ⅳ</w:t>
            </w:r>
            <w:r>
              <w:rPr>
                <w:rFonts w:ascii="宋体" w:hAnsi="宋体"/>
                <w:sz w:val="24"/>
              </w:rPr>
              <w:t>类，不开展地下水环境影响评价。</w:t>
            </w:r>
          </w:p>
          <w:p>
            <w:pPr>
              <w:spacing w:line="360" w:lineRule="auto"/>
              <w:ind w:firstLine="480" w:firstLineChars="200"/>
              <w:rPr>
                <w:rFonts w:ascii="宋体" w:hAnsi="宋体"/>
                <w:sz w:val="24"/>
              </w:rPr>
            </w:pPr>
            <w:r>
              <w:rPr>
                <w:rFonts w:hint="eastAsia" w:ascii="宋体" w:hAnsi="宋体"/>
                <w:sz w:val="24"/>
              </w:rPr>
              <w:t>为防止项目生产过程跑冒滴漏等对项目区地下水的污染，环评要求：重点对危险废物暂存间及</w:t>
            </w:r>
            <w:r>
              <w:rPr>
                <w:rFonts w:hint="eastAsia" w:ascii="宋体" w:hAnsi="宋体"/>
                <w:sz w:val="24"/>
                <w:lang w:eastAsia="zh-CN"/>
              </w:rPr>
              <w:t>旱厕</w:t>
            </w:r>
            <w:r>
              <w:rPr>
                <w:rFonts w:hint="eastAsia" w:ascii="宋体" w:hAnsi="宋体"/>
                <w:sz w:val="24"/>
              </w:rPr>
              <w:t>进行全面防渗、防风及防雨“三防”处理，各机加工设备下方均应设置接油盘，对生产车间进行一般防渗，防治有毒有害物质下渗污染地下水。</w:t>
            </w:r>
          </w:p>
          <w:p>
            <w:pPr>
              <w:spacing w:line="360" w:lineRule="auto"/>
              <w:ind w:firstLine="480" w:firstLineChars="200"/>
              <w:rPr>
                <w:rFonts w:hint="eastAsia" w:ascii="宋体" w:hAnsi="宋体"/>
                <w:sz w:val="24"/>
              </w:rPr>
            </w:pPr>
            <w:r>
              <w:rPr>
                <w:rFonts w:hint="eastAsia" w:ascii="宋体" w:hAnsi="宋体"/>
                <w:sz w:val="24"/>
              </w:rPr>
              <w:t>采取的地下水污染防治措施如下：</w:t>
            </w:r>
          </w:p>
          <w:p>
            <w:pPr>
              <w:spacing w:line="360" w:lineRule="auto"/>
              <w:ind w:firstLine="480" w:firstLineChars="200"/>
              <w:rPr>
                <w:sz w:val="24"/>
              </w:rPr>
            </w:pPr>
            <w:r>
              <w:rPr>
                <w:rFonts w:hAnsi="宋体"/>
                <w:sz w:val="24"/>
              </w:rPr>
              <w:t>（</w:t>
            </w:r>
            <w:r>
              <w:rPr>
                <w:sz w:val="24"/>
              </w:rPr>
              <w:t>1</w:t>
            </w:r>
            <w:r>
              <w:rPr>
                <w:rFonts w:hAnsi="宋体"/>
                <w:sz w:val="24"/>
              </w:rPr>
              <w:t>）厂区地面全部水泥硬化；</w:t>
            </w:r>
          </w:p>
          <w:p>
            <w:pPr>
              <w:spacing w:line="360" w:lineRule="auto"/>
              <w:ind w:firstLine="480" w:firstLineChars="200"/>
              <w:rPr>
                <w:sz w:val="24"/>
              </w:rPr>
            </w:pPr>
            <w:r>
              <w:rPr>
                <w:rFonts w:hAnsi="宋体"/>
                <w:sz w:val="24"/>
              </w:rPr>
              <w:t>（</w:t>
            </w:r>
            <w:r>
              <w:rPr>
                <w:sz w:val="24"/>
              </w:rPr>
              <w:t>2</w:t>
            </w:r>
            <w:r>
              <w:rPr>
                <w:rFonts w:hAnsi="宋体"/>
                <w:sz w:val="24"/>
              </w:rPr>
              <w:t>）厂区实行雨污分流，污水定期清掏不外排，废水与地下水不存在水力联系</w:t>
            </w:r>
            <w:r>
              <w:rPr>
                <w:rFonts w:hint="eastAsia" w:hAnsi="宋体"/>
                <w:sz w:val="24"/>
              </w:rPr>
              <w:t>；</w:t>
            </w:r>
          </w:p>
          <w:p>
            <w:pPr>
              <w:spacing w:line="360" w:lineRule="auto"/>
              <w:ind w:firstLine="480" w:firstLineChars="200"/>
            </w:pPr>
            <w:r>
              <w:rPr>
                <w:rFonts w:hAnsi="宋体"/>
                <w:sz w:val="24"/>
              </w:rPr>
              <w:t>（</w:t>
            </w:r>
            <w:r>
              <w:rPr>
                <w:sz w:val="24"/>
              </w:rPr>
              <w:t>3</w:t>
            </w:r>
            <w:r>
              <w:rPr>
                <w:rFonts w:hAnsi="宋体"/>
                <w:sz w:val="24"/>
              </w:rPr>
              <w:t>）</w:t>
            </w:r>
            <w:r>
              <w:rPr>
                <w:rFonts w:hint="eastAsia" w:ascii="宋体" w:hAnsi="宋体"/>
                <w:sz w:val="24"/>
                <w:lang w:val="en-US" w:eastAsia="zh-CN"/>
              </w:rPr>
              <w:t>危废</w:t>
            </w:r>
            <w:r>
              <w:rPr>
                <w:rFonts w:hint="eastAsia" w:ascii="宋体" w:hAnsi="宋体"/>
                <w:sz w:val="24"/>
              </w:rPr>
              <w:t>暂存于危险废物暂存间，交给有资质的单位合理处置。</w:t>
            </w:r>
          </w:p>
          <w:p>
            <w:pPr>
              <w:autoSpaceDN w:val="0"/>
              <w:spacing w:line="360" w:lineRule="auto"/>
              <w:ind w:left="0" w:leftChars="0" w:firstLine="0" w:firstLineChars="0"/>
              <w:rPr>
                <w:rFonts w:hint="eastAsia" w:eastAsia="黑体"/>
                <w:bCs/>
                <w:sz w:val="28"/>
                <w:szCs w:val="28"/>
              </w:rPr>
            </w:pPr>
            <w:r>
              <w:rPr>
                <w:rFonts w:hint="eastAsia" w:eastAsia="黑体"/>
                <w:bCs/>
                <w:sz w:val="28"/>
                <w:szCs w:val="28"/>
              </w:rPr>
              <w:t>三、声环境影响分析</w:t>
            </w:r>
          </w:p>
          <w:p>
            <w:pPr>
              <w:tabs>
                <w:tab w:val="left" w:pos="1773"/>
              </w:tabs>
              <w:spacing w:line="360" w:lineRule="auto"/>
              <w:rPr>
                <w:b/>
                <w:bCs/>
                <w:sz w:val="24"/>
                <w:szCs w:val="22"/>
              </w:rPr>
            </w:pPr>
            <w:r>
              <w:rPr>
                <w:rFonts w:hint="eastAsia"/>
                <w:b/>
                <w:bCs/>
                <w:sz w:val="24"/>
                <w:szCs w:val="22"/>
              </w:rPr>
              <w:t>1、噪声源分析</w:t>
            </w:r>
          </w:p>
          <w:p>
            <w:pPr>
              <w:adjustRightInd w:val="0"/>
              <w:snapToGrid w:val="0"/>
              <w:spacing w:line="360" w:lineRule="auto"/>
              <w:ind w:firstLine="480" w:firstLineChars="200"/>
              <w:rPr>
                <w:sz w:val="24"/>
                <w:szCs w:val="24"/>
              </w:rPr>
            </w:pPr>
            <w:r>
              <w:rPr>
                <w:sz w:val="24"/>
                <w:szCs w:val="24"/>
              </w:rPr>
              <w:t>根据《环境影响评价技术导则-声环境》（HJ2.4-2009）9.2条规定，“进行边界噪声评价时，新建建设项目以工程噪声贡献值作为评价量</w:t>
            </w:r>
            <w:r>
              <w:rPr>
                <w:rFonts w:hint="eastAsia"/>
                <w:sz w:val="24"/>
                <w:szCs w:val="24"/>
              </w:rPr>
              <w:t>”。</w:t>
            </w:r>
          </w:p>
          <w:p>
            <w:pPr>
              <w:adjustRightInd w:val="0"/>
              <w:snapToGrid w:val="0"/>
              <w:spacing w:line="360" w:lineRule="auto"/>
              <w:ind w:firstLine="480" w:firstLineChars="200"/>
              <w:rPr>
                <w:sz w:val="24"/>
                <w:szCs w:val="24"/>
              </w:rPr>
            </w:pPr>
            <w:r>
              <w:rPr>
                <w:rFonts w:hint="eastAsia"/>
                <w:sz w:val="24"/>
                <w:szCs w:val="24"/>
              </w:rPr>
              <w:t>本</w:t>
            </w:r>
            <w:r>
              <w:rPr>
                <w:sz w:val="24"/>
                <w:szCs w:val="24"/>
              </w:rPr>
              <w:t>项目为</w:t>
            </w:r>
            <w:r>
              <w:rPr>
                <w:rFonts w:hint="eastAsia"/>
                <w:sz w:val="24"/>
                <w:szCs w:val="24"/>
              </w:rPr>
              <w:t>新建</w:t>
            </w:r>
            <w:r>
              <w:rPr>
                <w:sz w:val="24"/>
                <w:szCs w:val="24"/>
              </w:rPr>
              <w:t>项目，厂界噪声预测以工程贡献值作为评价量</w:t>
            </w:r>
            <w:r>
              <w:rPr>
                <w:rFonts w:hint="eastAsia"/>
                <w:sz w:val="24"/>
                <w:szCs w:val="24"/>
              </w:rPr>
              <w:t>，</w:t>
            </w:r>
            <w:r>
              <w:rPr>
                <w:sz w:val="24"/>
              </w:rPr>
              <w:t>预测上述噪声源在厂界处对环境的影响。</w:t>
            </w:r>
          </w:p>
          <w:p>
            <w:pPr>
              <w:tabs>
                <w:tab w:val="left" w:pos="1773"/>
              </w:tabs>
              <w:spacing w:line="360" w:lineRule="auto"/>
              <w:rPr>
                <w:b/>
                <w:bCs/>
                <w:sz w:val="24"/>
                <w:szCs w:val="22"/>
              </w:rPr>
            </w:pPr>
            <w:r>
              <w:rPr>
                <w:rFonts w:hint="eastAsia"/>
                <w:b/>
                <w:bCs/>
                <w:sz w:val="24"/>
                <w:szCs w:val="22"/>
              </w:rPr>
              <w:t>2、噪声源与声级</w:t>
            </w:r>
          </w:p>
          <w:p>
            <w:pPr>
              <w:rPr>
                <w:bCs/>
              </w:rPr>
            </w:pPr>
            <w:r>
              <w:rPr>
                <w:bCs/>
              </w:rPr>
              <w:t>本项目运营期主要噪声为</w:t>
            </w:r>
            <w:r>
              <w:t>普通加工机械的运行噪声，噪声值约为70～85dB（A）。</w:t>
            </w:r>
            <w:r>
              <w:rPr>
                <w:bCs/>
              </w:rPr>
              <w:t>拟采用合理布局，厂房隔声，安装时加装减震、降噪等措施，使厂界噪声达到《工业企业厂界环境噪声排放标准》（GB12348-2008）中</w:t>
            </w:r>
            <w:r>
              <w:rPr>
                <w:rFonts w:hint="eastAsia"/>
                <w:bCs/>
              </w:rPr>
              <w:t>2</w:t>
            </w:r>
            <w:r>
              <w:rPr>
                <w:bCs/>
              </w:rPr>
              <w:t>类标准要求。</w:t>
            </w:r>
          </w:p>
          <w:p>
            <w:pPr>
              <w:pStyle w:val="2"/>
              <w:ind w:firstLine="480"/>
            </w:pPr>
            <w:r>
              <w:t>选用低噪声设备，采用减震措施，经过车间厂房阻挡，噪声随距离的衰减作用，声源可降噪约10~15dB(A)；场区周围种植花卉、树木等进行绿化。</w:t>
            </w:r>
          </w:p>
          <w:p>
            <w:pPr>
              <w:keepNext w:val="0"/>
              <w:keepLines w:val="0"/>
              <w:pageBreakBefore w:val="0"/>
              <w:widowControl w:val="0"/>
              <w:kinsoku/>
              <w:wordWrap/>
              <w:overflowPunct/>
              <w:topLinePunct w:val="0"/>
              <w:autoSpaceDE/>
              <w:autoSpaceDN/>
              <w:bidi w:val="0"/>
              <w:adjustRightInd/>
              <w:snapToGrid/>
              <w:ind w:firstLine="480"/>
              <w:textAlignment w:val="auto"/>
            </w:pPr>
            <w:r>
              <w:t>本项目针对设备噪声采取如下降噪措施：选用低噪声设备，</w:t>
            </w:r>
            <w:r>
              <w:rPr>
                <w:kern w:val="0"/>
              </w:rPr>
              <w:t>设备安装减震基础，</w:t>
            </w:r>
            <w:r>
              <w:rPr>
                <w:rFonts w:hint="eastAsia"/>
                <w:kern w:val="0"/>
              </w:rPr>
              <w:t>置于室内，</w:t>
            </w:r>
            <w:r>
              <w:rPr>
                <w:kern w:val="0"/>
              </w:rPr>
              <w:t>风机加装隔声罩</w:t>
            </w:r>
            <w:r>
              <w:t>。</w:t>
            </w:r>
            <w:r>
              <w:rPr>
                <w:rFonts w:hint="eastAsia"/>
                <w:lang w:val="en-US" w:eastAsia="zh-CN"/>
              </w:rPr>
              <w:t>项目噪声源强及源强中心点至各厂界的距离见7-11</w:t>
            </w:r>
            <w:r>
              <w:t>所示。</w:t>
            </w:r>
          </w:p>
          <w:p>
            <w:pPr>
              <w:pStyle w:val="32"/>
              <w:keepNext w:val="0"/>
              <w:keepLines w:val="0"/>
              <w:pageBreakBefore w:val="0"/>
              <w:widowControl w:val="0"/>
              <w:kinsoku/>
              <w:wordWrap/>
              <w:overflowPunct/>
              <w:topLinePunct w:val="0"/>
              <w:autoSpaceDE/>
              <w:autoSpaceDN/>
              <w:bidi w:val="0"/>
              <w:adjustRightInd/>
              <w:snapToGrid/>
              <w:spacing w:before="0" w:after="0"/>
              <w:ind w:left="0" w:leftChars="0" w:firstLine="0" w:firstLineChars="0"/>
              <w:jc w:val="center"/>
              <w:textAlignment w:val="auto"/>
              <w:rPr>
                <w:rFonts w:hint="eastAsia"/>
                <w:b/>
                <w:bCs/>
              </w:rPr>
            </w:pPr>
            <w:r>
              <w:rPr>
                <w:rFonts w:hint="eastAsia"/>
                <w:b/>
                <w:bCs/>
              </w:rPr>
              <w:t>表7</w:t>
            </w:r>
            <w:r>
              <w:rPr>
                <w:rFonts w:hint="eastAsia"/>
                <w:b/>
                <w:bCs/>
                <w:lang w:val="en-US" w:eastAsia="zh-CN"/>
              </w:rPr>
              <w:t>-11</w:t>
            </w:r>
            <w:r>
              <w:rPr>
                <w:rFonts w:hint="eastAsia"/>
                <w:b/>
                <w:bCs/>
              </w:rPr>
              <w:t xml:space="preserve"> 项目主要噪声源强及源强中心点至各厂界距离</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839"/>
              <w:gridCol w:w="806"/>
              <w:gridCol w:w="771"/>
              <w:gridCol w:w="1196"/>
              <w:gridCol w:w="894"/>
              <w:gridCol w:w="895"/>
              <w:gridCol w:w="894"/>
              <w:gridCol w:w="895"/>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0"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声源位置</w:t>
                  </w:r>
                </w:p>
              </w:tc>
              <w:tc>
                <w:tcPr>
                  <w:tcW w:w="839"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设备名称</w:t>
                  </w:r>
                </w:p>
              </w:tc>
              <w:tc>
                <w:tcPr>
                  <w:tcW w:w="806"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数量</w:t>
                  </w:r>
                  <w:r>
                    <w:rPr>
                      <w:rFonts w:hint="default" w:ascii="Times New Roman" w:hAnsi="Times New Roman" w:eastAsia="宋体" w:cs="Times New Roman"/>
                      <w:sz w:val="21"/>
                      <w:szCs w:val="21"/>
                    </w:rPr>
                    <w:t>（台/套）</w:t>
                  </w:r>
                </w:p>
              </w:tc>
              <w:tc>
                <w:tcPr>
                  <w:tcW w:w="771"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rPr>
                    <w:t>源强级dB(A)</w:t>
                  </w:r>
                </w:p>
              </w:tc>
              <w:tc>
                <w:tcPr>
                  <w:tcW w:w="1196"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防治措施</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降噪后源强</w:t>
                  </w:r>
                  <w:r>
                    <w:rPr>
                      <w:rFonts w:hint="default" w:ascii="Times New Roman" w:hAnsi="Times New Roman" w:eastAsia="宋体" w:cs="Times New Roman"/>
                      <w:sz w:val="21"/>
                      <w:szCs w:val="21"/>
                    </w:rPr>
                    <w:t>dB(A)</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东厂界（m）</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南厂界（m）</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西厂界（m）</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北厂界（m）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0"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生产区</w:t>
                  </w:r>
                </w:p>
              </w:tc>
              <w:tc>
                <w:tcPr>
                  <w:tcW w:w="839"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静电喷枪</w:t>
                  </w:r>
                </w:p>
              </w:tc>
              <w:tc>
                <w:tcPr>
                  <w:tcW w:w="80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4</w:t>
                  </w:r>
                </w:p>
              </w:tc>
              <w:tc>
                <w:tcPr>
                  <w:tcW w:w="771" w:type="dxa"/>
                  <w:noWrap w:val="0"/>
                  <w:vAlign w:val="center"/>
                </w:tcPr>
                <w:p>
                  <w:pPr>
                    <w:keepNext w:val="0"/>
                    <w:keepLines w:val="0"/>
                    <w:pageBreakBefore w:val="0"/>
                    <w:widowControl w:val="0"/>
                    <w:kinsoku/>
                    <w:wordWrap/>
                    <w:overflowPunct/>
                    <w:topLinePunct w:val="0"/>
                    <w:bidi w:val="0"/>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85</w:t>
                  </w:r>
                </w:p>
              </w:tc>
              <w:tc>
                <w:tcPr>
                  <w:tcW w:w="1196"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基座减振，厂房隔声</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70</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34</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27</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0" w:type="dxa"/>
                  <w:vMerge w:val="continue"/>
                  <w:noWrap w:val="0"/>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宋体" w:cs="Times New Roman"/>
                      <w:sz w:val="21"/>
                      <w:szCs w:val="21"/>
                    </w:rPr>
                  </w:pPr>
                </w:p>
              </w:tc>
              <w:tc>
                <w:tcPr>
                  <w:tcW w:w="839"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二保焊机</w:t>
                  </w:r>
                </w:p>
              </w:tc>
              <w:tc>
                <w:tcPr>
                  <w:tcW w:w="80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8</w:t>
                  </w:r>
                </w:p>
              </w:tc>
              <w:tc>
                <w:tcPr>
                  <w:tcW w:w="771"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19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zh-CN"/>
                    </w:rPr>
                    <w:t>采用低噪声设备，弹性连接</w:t>
                  </w:r>
                </w:p>
              </w:tc>
              <w:tc>
                <w:tcPr>
                  <w:tcW w:w="894"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65</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0" w:type="dxa"/>
                  <w:vMerge w:val="continue"/>
                  <w:noWrap w:val="0"/>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宋体" w:cs="Times New Roman"/>
                      <w:sz w:val="21"/>
                      <w:szCs w:val="21"/>
                    </w:rPr>
                  </w:pPr>
                </w:p>
              </w:tc>
              <w:tc>
                <w:tcPr>
                  <w:tcW w:w="839"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空压机</w:t>
                  </w:r>
                </w:p>
              </w:tc>
              <w:tc>
                <w:tcPr>
                  <w:tcW w:w="80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771"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85</w:t>
                  </w:r>
                </w:p>
              </w:tc>
              <w:tc>
                <w:tcPr>
                  <w:tcW w:w="119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zh-CN"/>
                    </w:rPr>
                    <w:t>基座减振，厂房隔声</w:t>
                  </w:r>
                </w:p>
              </w:tc>
              <w:tc>
                <w:tcPr>
                  <w:tcW w:w="894"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70</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37</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0" w:type="dxa"/>
                  <w:vMerge w:val="continue"/>
                  <w:noWrap w:val="0"/>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宋体" w:cs="Times New Roman"/>
                      <w:sz w:val="21"/>
                      <w:szCs w:val="21"/>
                    </w:rPr>
                  </w:pPr>
                </w:p>
              </w:tc>
              <w:tc>
                <w:tcPr>
                  <w:tcW w:w="839"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风机</w:t>
                  </w:r>
                </w:p>
              </w:tc>
              <w:tc>
                <w:tcPr>
                  <w:tcW w:w="80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771"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85</w:t>
                  </w:r>
                </w:p>
              </w:tc>
              <w:tc>
                <w:tcPr>
                  <w:tcW w:w="119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基座减振，厂房隔声</w:t>
                  </w:r>
                </w:p>
              </w:tc>
              <w:tc>
                <w:tcPr>
                  <w:tcW w:w="894"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70</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37</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0" w:type="dxa"/>
                  <w:vMerge w:val="continue"/>
                  <w:noWrap w:val="0"/>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宋体" w:cs="Times New Roman"/>
                      <w:sz w:val="21"/>
                      <w:szCs w:val="21"/>
                    </w:rPr>
                  </w:pPr>
                </w:p>
              </w:tc>
              <w:tc>
                <w:tcPr>
                  <w:tcW w:w="839"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切割机</w:t>
                  </w:r>
                </w:p>
              </w:tc>
              <w:tc>
                <w:tcPr>
                  <w:tcW w:w="80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771"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85</w:t>
                  </w:r>
                </w:p>
              </w:tc>
              <w:tc>
                <w:tcPr>
                  <w:tcW w:w="119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厂房隔声</w:t>
                  </w:r>
                </w:p>
              </w:tc>
              <w:tc>
                <w:tcPr>
                  <w:tcW w:w="894"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27</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29</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0" w:type="dxa"/>
                  <w:noWrap w:val="0"/>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宋体" w:cs="Times New Roman"/>
                      <w:sz w:val="21"/>
                      <w:szCs w:val="21"/>
                    </w:rPr>
                  </w:pPr>
                </w:p>
              </w:tc>
              <w:tc>
                <w:tcPr>
                  <w:tcW w:w="839"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推台锯</w:t>
                  </w:r>
                </w:p>
              </w:tc>
              <w:tc>
                <w:tcPr>
                  <w:tcW w:w="80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771"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c>
                <w:tcPr>
                  <w:tcW w:w="119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厂房隔声</w:t>
                  </w:r>
                </w:p>
              </w:tc>
              <w:tc>
                <w:tcPr>
                  <w:tcW w:w="894"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60</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16</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15</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44</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20" w:type="dxa"/>
                  <w:noWrap w:val="0"/>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宋体" w:cs="Times New Roman"/>
                      <w:sz w:val="21"/>
                      <w:szCs w:val="21"/>
                    </w:rPr>
                  </w:pPr>
                </w:p>
              </w:tc>
              <w:tc>
                <w:tcPr>
                  <w:tcW w:w="839"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排钻</w:t>
                  </w:r>
                </w:p>
              </w:tc>
              <w:tc>
                <w:tcPr>
                  <w:tcW w:w="80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771" w:type="dxa"/>
                  <w:noWrap w:val="0"/>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c>
                <w:tcPr>
                  <w:tcW w:w="1196"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厂房隔声</w:t>
                  </w:r>
                </w:p>
              </w:tc>
              <w:tc>
                <w:tcPr>
                  <w:tcW w:w="894" w:type="dxa"/>
                  <w:noWrap w:val="0"/>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60</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14</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46</w:t>
                  </w:r>
                </w:p>
              </w:tc>
              <w:tc>
                <w:tcPr>
                  <w:tcW w:w="895"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42</w:t>
                  </w:r>
                </w:p>
              </w:tc>
              <w:tc>
                <w:tcPr>
                  <w:tcW w:w="894" w:type="dxa"/>
                  <w:noWrap w:val="0"/>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宋体" w:cs="Times New Roman"/>
                      <w:sz w:val="21"/>
                      <w:szCs w:val="21"/>
                    </w:rPr>
                  </w:pPr>
                </w:p>
              </w:tc>
              <w:tc>
                <w:tcPr>
                  <w:tcW w:w="0" w:type="auto"/>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封边机</w:t>
                  </w:r>
                </w:p>
              </w:tc>
              <w:tc>
                <w:tcPr>
                  <w:tcW w:w="0" w:type="auto"/>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0" w:type="auto"/>
                  <w:vAlign w:val="center"/>
                </w:tcPr>
                <w:p>
                  <w:pPr>
                    <w:keepNext w:val="0"/>
                    <w:keepLines w:val="0"/>
                    <w:pageBreakBefore w:val="0"/>
                    <w:widowControl w:val="0"/>
                    <w:kinsoku/>
                    <w:wordWrap/>
                    <w:overflowPunct/>
                    <w:topLinePunct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75</w:t>
                  </w:r>
                </w:p>
              </w:tc>
              <w:tc>
                <w:tcPr>
                  <w:tcW w:w="0" w:type="auto"/>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厂房隔声</w:t>
                  </w:r>
                </w:p>
              </w:tc>
              <w:tc>
                <w:tcPr>
                  <w:tcW w:w="894" w:type="dxa"/>
                  <w:vAlign w:val="center"/>
                </w:tcPr>
                <w:p>
                  <w:pPr>
                    <w:keepNext w:val="0"/>
                    <w:keepLines w:val="0"/>
                    <w:pageBreakBefore w:val="0"/>
                    <w:widowControl w:val="0"/>
                    <w:kinsoku/>
                    <w:wordWrap/>
                    <w:overflowPunct/>
                    <w:topLinePunct w:val="0"/>
                    <w:autoSpaceDN w:val="0"/>
                    <w:bidi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55</w:t>
                  </w:r>
                </w:p>
              </w:tc>
              <w:tc>
                <w:tcPr>
                  <w:tcW w:w="895" w:type="dxa"/>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14</w:t>
                  </w:r>
                </w:p>
              </w:tc>
              <w:tc>
                <w:tcPr>
                  <w:tcW w:w="0" w:type="auto"/>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46</w:t>
                  </w:r>
                </w:p>
              </w:tc>
              <w:tc>
                <w:tcPr>
                  <w:tcW w:w="0" w:type="auto"/>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40</w:t>
                  </w:r>
                </w:p>
              </w:tc>
              <w:tc>
                <w:tcPr>
                  <w:tcW w:w="0" w:type="auto"/>
                  <w:vAlign w:val="center"/>
                </w:tcPr>
                <w:p>
                  <w:pPr>
                    <w:keepNext w:val="0"/>
                    <w:keepLines w:val="0"/>
                    <w:pageBreakBefore w:val="0"/>
                    <w:widowControl w:val="0"/>
                    <w:kinsoku/>
                    <w:wordWrap/>
                    <w:overflowPunct/>
                    <w:topLinePunct w:val="0"/>
                    <w:autoSpaceDE w:val="0"/>
                    <w:autoSpaceDN w:val="0"/>
                    <w:bidi w:val="0"/>
                    <w:adjustRightIn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23</w:t>
                  </w:r>
                </w:p>
              </w:tc>
            </w:tr>
          </w:tbl>
          <w:p>
            <w:pPr>
              <w:tabs>
                <w:tab w:val="left" w:pos="1773"/>
              </w:tabs>
              <w:spacing w:line="360" w:lineRule="auto"/>
            </w:pPr>
            <w:r>
              <w:rPr>
                <w:rFonts w:hint="eastAsia"/>
                <w:b/>
                <w:bCs/>
                <w:sz w:val="24"/>
                <w:szCs w:val="22"/>
                <w:lang w:val="en-US" w:eastAsia="zh-CN"/>
              </w:rPr>
              <w:t>3</w:t>
            </w:r>
            <w:r>
              <w:rPr>
                <w:rFonts w:hint="eastAsia"/>
                <w:b/>
                <w:bCs/>
                <w:sz w:val="24"/>
                <w:szCs w:val="22"/>
              </w:rPr>
              <w:t>、</w:t>
            </w:r>
            <w:r>
              <w:rPr>
                <w:rFonts w:hint="eastAsia"/>
                <w:b/>
                <w:bCs/>
                <w:sz w:val="24"/>
                <w:szCs w:val="22"/>
                <w:lang w:val="en-US" w:eastAsia="zh-CN"/>
              </w:rPr>
              <w:t>预测结果</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pPr>
            <w:r>
              <w:t>本次声环境影响预测根据项目主要噪声源对厂界噪声进行噪声影响预测，评价其影响程度。</w:t>
            </w:r>
          </w:p>
          <w:p>
            <w:pPr>
              <w:pStyle w:val="2"/>
              <w:ind w:firstLine="480"/>
            </w:pPr>
            <w:r>
              <w:t>（1）预测内容</w:t>
            </w:r>
          </w:p>
          <w:p>
            <w:pPr>
              <w:pStyle w:val="2"/>
              <w:ind w:firstLine="480"/>
            </w:pPr>
            <w:r>
              <w:t>机械的运行噪声（声压级一般在70～85dB(A)左右），为连续稳态噪声。对于机械设备、风机产生的噪声：</w:t>
            </w:r>
            <w:r>
              <w:fldChar w:fldCharType="begin"/>
            </w:r>
            <w:r>
              <w:instrText xml:space="preserve"> = 1 \* GB3 \* MERGEFORMAT </w:instrText>
            </w:r>
            <w:r>
              <w:fldChar w:fldCharType="separate"/>
            </w:r>
            <w:r>
              <w:t>①</w:t>
            </w:r>
            <w:r>
              <w:fldChar w:fldCharType="end"/>
            </w:r>
            <w:r>
              <w:t>选用低噪声设备，置于车间内，采用减</w:t>
            </w:r>
            <w:r>
              <w:rPr>
                <w:rFonts w:hint="eastAsia"/>
                <w:lang w:val="en-US" w:eastAsia="zh-CN"/>
              </w:rPr>
              <w:t>振措</w:t>
            </w:r>
            <w:r>
              <w:t>施，声源可降噪约10~15dB(A)；</w:t>
            </w:r>
            <w:r>
              <w:fldChar w:fldCharType="begin"/>
            </w:r>
            <w:r>
              <w:instrText xml:space="preserve"> = 2 \* GB3 \* MERGEFORMAT </w:instrText>
            </w:r>
            <w:r>
              <w:fldChar w:fldCharType="separate"/>
            </w:r>
            <w:r>
              <w:t>②</w:t>
            </w:r>
            <w:r>
              <w:fldChar w:fldCharType="end"/>
            </w:r>
            <w:r>
              <w:t>站场周围种植花卉、树木等进行绿化。</w:t>
            </w:r>
          </w:p>
          <w:p>
            <w:pPr>
              <w:pStyle w:val="2"/>
              <w:ind w:firstLine="480"/>
            </w:pPr>
            <w:r>
              <w:t>（2）预测模式</w:t>
            </w:r>
          </w:p>
          <w:p>
            <w:pPr>
              <w:spacing w:line="480" w:lineRule="exact"/>
              <w:ind w:firstLine="480" w:firstLineChars="200"/>
              <w:rPr>
                <w:color w:val="000000" w:themeColor="text1"/>
                <w:kern w:val="10"/>
                <w:sz w:val="24"/>
                <w:szCs w:val="24"/>
              </w:rPr>
            </w:pPr>
            <w:r>
              <w:rPr>
                <w:rFonts w:hint="default" w:ascii="Calibri" w:hAnsi="Calibri" w:cs="Calibri"/>
                <w:color w:val="000000" w:themeColor="text1"/>
                <w:kern w:val="10"/>
                <w:sz w:val="24"/>
                <w:szCs w:val="24"/>
              </w:rPr>
              <w:t>①</w:t>
            </w:r>
            <w:r>
              <w:rPr>
                <w:color w:val="000000" w:themeColor="text1"/>
                <w:sz w:val="24"/>
                <w:szCs w:val="24"/>
              </w:rPr>
              <w:t>噪声距离传播衰减模式为：</w:t>
            </w:r>
          </w:p>
          <w:p>
            <w:pPr>
              <w:spacing w:line="480" w:lineRule="exact"/>
              <w:jc w:val="center"/>
              <w:rPr>
                <w:color w:val="000000" w:themeColor="text1"/>
                <w:sz w:val="24"/>
                <w:szCs w:val="24"/>
              </w:rPr>
            </w:pPr>
            <w:r>
              <w:rPr>
                <w:rFonts w:hint="eastAsia"/>
                <w:color w:val="000000" w:themeColor="text1"/>
                <w:position w:val="-14"/>
                <w:sz w:val="24"/>
                <w:szCs w:val="24"/>
              </w:rPr>
              <w:object>
                <v:shape id="_x0000_i1028" o:spt="75" type="#_x0000_t75" style="height:19pt;width:146.05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p>
          <w:p>
            <w:pPr>
              <w:spacing w:line="480" w:lineRule="exact"/>
              <w:ind w:firstLine="482"/>
              <w:rPr>
                <w:color w:val="000000" w:themeColor="text1"/>
                <w:sz w:val="24"/>
                <w:szCs w:val="24"/>
              </w:rPr>
            </w:pPr>
            <w:r>
              <w:rPr>
                <w:color w:val="000000" w:themeColor="text1"/>
                <w:sz w:val="24"/>
                <w:szCs w:val="24"/>
              </w:rPr>
              <w:t>式中：L</w:t>
            </w:r>
            <w:r>
              <w:rPr>
                <w:color w:val="000000" w:themeColor="text1"/>
                <w:sz w:val="24"/>
                <w:szCs w:val="24"/>
                <w:vertAlign w:val="subscript"/>
              </w:rPr>
              <w:t>A（r）</w:t>
            </w:r>
            <w:r>
              <w:rPr>
                <w:color w:val="000000" w:themeColor="text1"/>
                <w:sz w:val="24"/>
                <w:szCs w:val="24"/>
              </w:rPr>
              <w:t>——距离声源r处的A声级，dB(A)；</w:t>
            </w:r>
          </w:p>
          <w:p>
            <w:pPr>
              <w:spacing w:line="480" w:lineRule="exact"/>
              <w:ind w:firstLine="1200" w:firstLineChars="500"/>
              <w:rPr>
                <w:color w:val="000000" w:themeColor="text1"/>
                <w:sz w:val="24"/>
                <w:szCs w:val="24"/>
              </w:rPr>
            </w:pPr>
            <w:r>
              <w:rPr>
                <w:color w:val="000000" w:themeColor="text1"/>
                <w:sz w:val="24"/>
                <w:szCs w:val="24"/>
              </w:rPr>
              <w:t>L</w:t>
            </w:r>
            <w:r>
              <w:rPr>
                <w:color w:val="000000" w:themeColor="text1"/>
                <w:sz w:val="24"/>
                <w:szCs w:val="24"/>
                <w:vertAlign w:val="subscript"/>
              </w:rPr>
              <w:t>A（ro）</w:t>
            </w:r>
            <w:r>
              <w:rPr>
                <w:color w:val="000000" w:themeColor="text1"/>
                <w:sz w:val="24"/>
                <w:szCs w:val="24"/>
              </w:rPr>
              <w:t>——距声源r</w:t>
            </w:r>
            <w:r>
              <w:rPr>
                <w:color w:val="000000" w:themeColor="text1"/>
                <w:sz w:val="24"/>
                <w:szCs w:val="24"/>
                <w:vertAlign w:val="subscript"/>
              </w:rPr>
              <w:t>0</w:t>
            </w:r>
            <w:r>
              <w:rPr>
                <w:color w:val="000000" w:themeColor="text1"/>
                <w:sz w:val="24"/>
                <w:szCs w:val="24"/>
              </w:rPr>
              <w:t>处的A声级，dB(A)；</w:t>
            </w:r>
          </w:p>
          <w:p>
            <w:pPr>
              <w:spacing w:line="480" w:lineRule="exact"/>
              <w:ind w:firstLine="1200" w:firstLineChars="500"/>
              <w:rPr>
                <w:color w:val="000000" w:themeColor="text1"/>
                <w:sz w:val="24"/>
                <w:szCs w:val="24"/>
              </w:rPr>
            </w:pPr>
            <w:r>
              <w:rPr>
                <w:color w:val="000000" w:themeColor="text1"/>
                <w:sz w:val="24"/>
                <w:szCs w:val="24"/>
              </w:rPr>
              <w:t>r——距声源的距离，m；</w:t>
            </w:r>
          </w:p>
          <w:p>
            <w:pPr>
              <w:pStyle w:val="2"/>
              <w:ind w:firstLine="1200" w:firstLineChars="500"/>
              <w:rPr>
                <w:color w:val="000000" w:themeColor="text1"/>
              </w:rPr>
            </w:pPr>
            <w:r>
              <w:rPr>
                <w:rFonts w:hint="eastAsia"/>
                <w:color w:val="000000" w:themeColor="text1"/>
                <w:sz w:val="24"/>
              </w:rPr>
              <w:t>r</w:t>
            </w:r>
            <w:r>
              <w:rPr>
                <w:rFonts w:hint="eastAsia"/>
                <w:color w:val="000000" w:themeColor="text1"/>
                <w:sz w:val="24"/>
                <w:vertAlign w:val="subscript"/>
              </w:rPr>
              <w:t>0</w:t>
            </w:r>
            <w:r>
              <w:rPr>
                <w:color w:val="000000" w:themeColor="text1"/>
                <w:sz w:val="24"/>
              </w:rPr>
              <w:t>—参考位置的距离，m</w:t>
            </w:r>
            <w:r>
              <w:rPr>
                <w:rFonts w:hint="eastAsia"/>
                <w:color w:val="000000" w:themeColor="text1"/>
                <w:sz w:val="24"/>
              </w:rPr>
              <w:t>；r</w:t>
            </w:r>
            <w:r>
              <w:rPr>
                <w:rFonts w:hint="eastAsia"/>
                <w:color w:val="000000" w:themeColor="text1"/>
                <w:sz w:val="24"/>
                <w:vertAlign w:val="subscript"/>
              </w:rPr>
              <w:t>0</w:t>
            </w:r>
            <w:r>
              <w:rPr>
                <w:color w:val="000000" w:themeColor="text1"/>
                <w:sz w:val="24"/>
              </w:rPr>
              <w:t>取</w:t>
            </w:r>
            <w:r>
              <w:rPr>
                <w:color w:val="000000" w:themeColor="text1"/>
                <w:sz w:val="24"/>
                <w:szCs w:val="24"/>
              </w:rPr>
              <w:t>1m；</w:t>
            </w:r>
          </w:p>
          <w:p>
            <w:pPr>
              <w:spacing w:line="480" w:lineRule="exact"/>
              <w:ind w:firstLine="1200" w:firstLineChars="500"/>
              <w:rPr>
                <w:color w:val="000000" w:themeColor="text1"/>
                <w:sz w:val="24"/>
                <w:szCs w:val="24"/>
              </w:rPr>
            </w:pPr>
            <w:r>
              <w:rPr>
                <w:color w:val="000000" w:themeColor="text1"/>
                <w:sz w:val="24"/>
                <w:szCs w:val="24"/>
              </w:rPr>
              <w:t>△L——其它衰减因子，dB(A)。</w:t>
            </w:r>
          </w:p>
          <w:p>
            <w:pPr>
              <w:spacing w:line="480" w:lineRule="exact"/>
              <w:ind w:firstLine="480" w:firstLineChars="200"/>
              <w:rPr>
                <w:color w:val="000000" w:themeColor="text1"/>
                <w:sz w:val="24"/>
                <w:szCs w:val="24"/>
              </w:rPr>
            </w:pPr>
            <w:r>
              <w:rPr>
                <w:rFonts w:hint="default" w:ascii="Calibri" w:hAnsi="Calibri" w:cs="Calibri"/>
                <w:color w:val="000000" w:themeColor="text1"/>
                <w:sz w:val="24"/>
                <w:szCs w:val="24"/>
              </w:rPr>
              <w:t>②</w:t>
            </w:r>
            <w:r>
              <w:rPr>
                <w:color w:val="000000" w:themeColor="text1"/>
                <w:sz w:val="24"/>
                <w:szCs w:val="24"/>
              </w:rPr>
              <w:t>噪声叠加模式：</w:t>
            </w:r>
          </w:p>
          <w:p>
            <w:pPr>
              <w:spacing w:line="480" w:lineRule="exact"/>
              <w:ind w:firstLine="480" w:firstLineChars="200"/>
              <w:jc w:val="center"/>
              <w:rPr>
                <w:color w:val="000000" w:themeColor="text1"/>
                <w:sz w:val="24"/>
                <w:szCs w:val="24"/>
              </w:rPr>
            </w:pPr>
            <w:r>
              <w:rPr>
                <w:color w:val="000000" w:themeColor="text1"/>
                <w:sz w:val="24"/>
                <w:szCs w:val="24"/>
              </w:rPr>
              <w:t>Leq＝10lg∑（10</w:t>
            </w:r>
            <w:r>
              <w:rPr>
                <w:color w:val="000000" w:themeColor="text1"/>
                <w:sz w:val="24"/>
                <w:szCs w:val="24"/>
                <w:vertAlign w:val="superscript"/>
              </w:rPr>
              <w:t>0.1L1</w:t>
            </w:r>
            <w:r>
              <w:rPr>
                <w:color w:val="000000" w:themeColor="text1"/>
                <w:sz w:val="24"/>
                <w:szCs w:val="24"/>
              </w:rPr>
              <w:t>+10</w:t>
            </w:r>
            <w:r>
              <w:rPr>
                <w:color w:val="000000" w:themeColor="text1"/>
                <w:sz w:val="24"/>
                <w:szCs w:val="24"/>
                <w:vertAlign w:val="superscript"/>
              </w:rPr>
              <w:t>0.1L2</w:t>
            </w:r>
            <w:r>
              <w:rPr>
                <w:color w:val="000000" w:themeColor="text1"/>
                <w:sz w:val="24"/>
                <w:szCs w:val="24"/>
              </w:rPr>
              <w:t>+…10</w:t>
            </w:r>
            <w:r>
              <w:rPr>
                <w:color w:val="000000" w:themeColor="text1"/>
                <w:sz w:val="24"/>
                <w:szCs w:val="24"/>
                <w:vertAlign w:val="superscript"/>
              </w:rPr>
              <w:t>0.1L</w:t>
            </w:r>
            <w:r>
              <w:rPr>
                <w:rFonts w:hint="eastAsia"/>
                <w:color w:val="000000" w:themeColor="text1"/>
                <w:sz w:val="24"/>
                <w:szCs w:val="24"/>
                <w:vertAlign w:val="superscript"/>
              </w:rPr>
              <w:t>i</w:t>
            </w:r>
            <w:r>
              <w:rPr>
                <w:color w:val="000000" w:themeColor="text1"/>
                <w:sz w:val="24"/>
                <w:szCs w:val="24"/>
              </w:rPr>
              <w:t>）</w:t>
            </w:r>
          </w:p>
          <w:p>
            <w:pPr>
              <w:spacing w:line="480" w:lineRule="exact"/>
              <w:ind w:firstLine="480" w:firstLineChars="200"/>
              <w:rPr>
                <w:color w:val="000000" w:themeColor="text1"/>
                <w:sz w:val="24"/>
                <w:szCs w:val="24"/>
              </w:rPr>
            </w:pPr>
            <w:r>
              <w:rPr>
                <w:color w:val="000000" w:themeColor="text1"/>
                <w:sz w:val="24"/>
                <w:szCs w:val="24"/>
              </w:rPr>
              <w:t>式中：L</w:t>
            </w:r>
            <w:r>
              <w:rPr>
                <w:color w:val="000000" w:themeColor="text1"/>
                <w:sz w:val="24"/>
                <w:szCs w:val="24"/>
                <w:vertAlign w:val="subscript"/>
              </w:rPr>
              <w:t>i</w:t>
            </w:r>
            <w:r>
              <w:rPr>
                <w:color w:val="000000" w:themeColor="text1"/>
                <w:sz w:val="24"/>
                <w:szCs w:val="24"/>
              </w:rPr>
              <w:t>——其中单个噪声源的声级数，dB（A）；</w:t>
            </w:r>
          </w:p>
          <w:p>
            <w:pPr>
              <w:spacing w:line="480" w:lineRule="exact"/>
              <w:ind w:firstLine="1200" w:firstLineChars="500"/>
              <w:rPr>
                <w:color w:val="000000" w:themeColor="text1"/>
                <w:sz w:val="24"/>
                <w:szCs w:val="24"/>
              </w:rPr>
            </w:pPr>
            <w:r>
              <w:rPr>
                <w:color w:val="000000" w:themeColor="text1"/>
                <w:sz w:val="24"/>
                <w:szCs w:val="24"/>
              </w:rPr>
              <w:t>Leq——噪声源叠加后的值，dB（A）。</w:t>
            </w:r>
          </w:p>
          <w:p>
            <w:pPr>
              <w:spacing w:line="360" w:lineRule="auto"/>
              <w:ind w:firstLine="480" w:firstLineChars="200"/>
              <w:rPr>
                <w:sz w:val="24"/>
                <w:szCs w:val="24"/>
              </w:rPr>
            </w:pPr>
            <w:r>
              <w:rPr>
                <w:sz w:val="24"/>
                <w:szCs w:val="24"/>
              </w:rPr>
              <w:t>（3）预测结果</w:t>
            </w:r>
          </w:p>
          <w:p>
            <w:pPr>
              <w:spacing w:line="360" w:lineRule="auto"/>
              <w:ind w:firstLine="480" w:firstLineChars="200"/>
              <w:rPr>
                <w:sz w:val="24"/>
                <w:szCs w:val="24"/>
              </w:rPr>
            </w:pPr>
            <w:r>
              <w:rPr>
                <w:sz w:val="24"/>
                <w:szCs w:val="24"/>
              </w:rPr>
              <w:t>由于项目主要噪声源只在白天工作，故只对项目昼间噪声进行预测，噪声预测结果见表7-1</w:t>
            </w:r>
            <w:r>
              <w:rPr>
                <w:rFonts w:hint="eastAsia"/>
                <w:sz w:val="24"/>
                <w:szCs w:val="24"/>
                <w:lang w:val="en-US" w:eastAsia="zh-CN"/>
              </w:rPr>
              <w:t>2</w:t>
            </w:r>
            <w:r>
              <w:rPr>
                <w:sz w:val="24"/>
                <w:szCs w:val="24"/>
              </w:rPr>
              <w:t>。</w:t>
            </w:r>
          </w:p>
          <w:p>
            <w:pPr>
              <w:adjustRightInd w:val="0"/>
              <w:snapToGrid w:val="0"/>
              <w:spacing w:line="360" w:lineRule="auto"/>
              <w:jc w:val="center"/>
              <w:rPr>
                <w:b/>
                <w:sz w:val="24"/>
                <w:szCs w:val="24"/>
              </w:rPr>
            </w:pPr>
            <w:r>
              <w:rPr>
                <w:b/>
                <w:sz w:val="24"/>
                <w:szCs w:val="24"/>
              </w:rPr>
              <w:t>表</w:t>
            </w:r>
            <w:r>
              <w:rPr>
                <w:rFonts w:hint="eastAsia"/>
                <w:b/>
                <w:sz w:val="24"/>
                <w:szCs w:val="24"/>
              </w:rPr>
              <w:t>7-1</w:t>
            </w:r>
            <w:r>
              <w:rPr>
                <w:rFonts w:hint="eastAsia"/>
                <w:b/>
                <w:sz w:val="24"/>
                <w:szCs w:val="24"/>
                <w:lang w:val="en-US" w:eastAsia="zh-CN"/>
              </w:rPr>
              <w:t>2</w:t>
            </w:r>
            <w:r>
              <w:rPr>
                <w:b/>
                <w:sz w:val="24"/>
                <w:szCs w:val="24"/>
              </w:rPr>
              <w:t xml:space="preserve"> 厂界噪声预测结果  单位：dB(A)</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969"/>
              <w:gridCol w:w="1145"/>
              <w:gridCol w:w="1031"/>
              <w:gridCol w:w="1031"/>
              <w:gridCol w:w="1123"/>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76" w:type="dxa"/>
                  <w:gridSpan w:val="2"/>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1145"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东厂界</w:t>
                  </w:r>
                </w:p>
              </w:tc>
              <w:tc>
                <w:tcPr>
                  <w:tcW w:w="1031"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南厂界</w:t>
                  </w:r>
                </w:p>
              </w:tc>
              <w:tc>
                <w:tcPr>
                  <w:tcW w:w="1031"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西厂界</w:t>
                  </w:r>
                </w:p>
              </w:tc>
              <w:tc>
                <w:tcPr>
                  <w:tcW w:w="1123"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北厂界</w:t>
                  </w:r>
                </w:p>
              </w:tc>
              <w:tc>
                <w:tcPr>
                  <w:tcW w:w="998" w:type="dxa"/>
                  <w:noWrap w:val="0"/>
                  <w:vAlign w:val="center"/>
                </w:tcPr>
                <w:p>
                  <w:pPr>
                    <w:autoSpaceDN w:val="0"/>
                    <w:spacing w:line="240" w:lineRule="atLeast"/>
                    <w:ind w:left="0" w:leftChars="0"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夏家村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7" w:type="dxa"/>
                  <w:vMerge w:val="restart"/>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现状值</w:t>
                  </w:r>
                </w:p>
              </w:tc>
              <w:tc>
                <w:tcPr>
                  <w:tcW w:w="969"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145"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56.6</w:t>
                  </w:r>
                </w:p>
              </w:tc>
              <w:tc>
                <w:tcPr>
                  <w:tcW w:w="1031"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55.3</w:t>
                  </w:r>
                </w:p>
              </w:tc>
              <w:tc>
                <w:tcPr>
                  <w:tcW w:w="1031"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55.7</w:t>
                  </w:r>
                </w:p>
              </w:tc>
              <w:tc>
                <w:tcPr>
                  <w:tcW w:w="1123"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56.4</w:t>
                  </w:r>
                </w:p>
              </w:tc>
              <w:tc>
                <w:tcPr>
                  <w:tcW w:w="998"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7" w:type="dxa"/>
                  <w:vMerge w:val="continue"/>
                  <w:noWrap w:val="0"/>
                  <w:vAlign w:val="center"/>
                </w:tcPr>
                <w:p>
                  <w:pPr>
                    <w:jc w:val="center"/>
                    <w:rPr>
                      <w:rFonts w:hint="default" w:ascii="Times New Roman" w:hAnsi="Times New Roman" w:eastAsia="宋体" w:cs="Times New Roman"/>
                      <w:sz w:val="21"/>
                      <w:szCs w:val="21"/>
                    </w:rPr>
                  </w:pPr>
                </w:p>
              </w:tc>
              <w:tc>
                <w:tcPr>
                  <w:tcW w:w="969"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1145" w:type="dxa"/>
                  <w:noWrap w:val="0"/>
                  <w:vAlign w:val="center"/>
                </w:tcPr>
                <w:p>
                  <w:pPr>
                    <w:spacing w:line="240" w:lineRule="atLeast"/>
                    <w:ind w:left="0" w:leftChars="0" w:firstLine="0" w:firstLineChars="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47.</w:t>
                  </w:r>
                  <w:r>
                    <w:rPr>
                      <w:rFonts w:hint="eastAsia" w:ascii="Times New Roman" w:hAnsi="Times New Roman" w:cs="Times New Roman"/>
                      <w:sz w:val="21"/>
                      <w:szCs w:val="21"/>
                      <w:lang w:val="en-US" w:eastAsia="zh-CN"/>
                    </w:rPr>
                    <w:t>1</w:t>
                  </w:r>
                </w:p>
              </w:tc>
              <w:tc>
                <w:tcPr>
                  <w:tcW w:w="1031"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46.6</w:t>
                  </w:r>
                </w:p>
              </w:tc>
              <w:tc>
                <w:tcPr>
                  <w:tcW w:w="1031"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48.3</w:t>
                  </w:r>
                </w:p>
              </w:tc>
              <w:tc>
                <w:tcPr>
                  <w:tcW w:w="1123"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46.7</w:t>
                  </w:r>
                </w:p>
              </w:tc>
              <w:tc>
                <w:tcPr>
                  <w:tcW w:w="998"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7"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贡献值</w:t>
                  </w:r>
                </w:p>
              </w:tc>
              <w:tc>
                <w:tcPr>
                  <w:tcW w:w="969"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145" w:type="dxa"/>
                  <w:noWrap w:val="0"/>
                  <w:vAlign w:val="center"/>
                </w:tcPr>
                <w:p>
                  <w:pPr>
                    <w:spacing w:line="240" w:lineRule="atLeast"/>
                    <w:ind w:left="0" w:leftChars="0" w:firstLine="0" w:firstLineChars="0"/>
                    <w:jc w:val="center"/>
                    <w:rPr>
                      <w:rFonts w:hint="eastAsia"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rPr>
                    <w:t>5</w:t>
                  </w:r>
                  <w:r>
                    <w:rPr>
                      <w:rFonts w:hint="eastAsia" w:ascii="Times New Roman" w:hAnsi="Times New Roman" w:cs="Times New Roman"/>
                      <w:sz w:val="21"/>
                      <w:szCs w:val="21"/>
                      <w:lang w:val="en-US" w:eastAsia="zh-CN"/>
                    </w:rPr>
                    <w:t>5</w:t>
                  </w:r>
                </w:p>
              </w:tc>
              <w:tc>
                <w:tcPr>
                  <w:tcW w:w="1031" w:type="dxa"/>
                  <w:noWrap w:val="0"/>
                  <w:vAlign w:val="center"/>
                </w:tcPr>
                <w:p>
                  <w:pPr>
                    <w:spacing w:line="240" w:lineRule="atLeast"/>
                    <w:ind w:left="0" w:leftChars="0" w:firstLine="0" w:firstLineChars="0"/>
                    <w:jc w:val="center"/>
                    <w:rPr>
                      <w:rFonts w:hint="eastAsia"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rPr>
                    <w:t>5</w:t>
                  </w:r>
                  <w:r>
                    <w:rPr>
                      <w:rFonts w:hint="eastAsia" w:ascii="Times New Roman" w:hAnsi="Times New Roman" w:cs="Times New Roman"/>
                      <w:sz w:val="21"/>
                      <w:szCs w:val="21"/>
                      <w:lang w:val="en-US" w:eastAsia="zh-CN"/>
                    </w:rPr>
                    <w:t>3</w:t>
                  </w:r>
                </w:p>
              </w:tc>
              <w:tc>
                <w:tcPr>
                  <w:tcW w:w="1031"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w:t>
                  </w:r>
                </w:p>
              </w:tc>
              <w:tc>
                <w:tcPr>
                  <w:tcW w:w="1123" w:type="dxa"/>
                  <w:noWrap w:val="0"/>
                  <w:vAlign w:val="center"/>
                </w:tcPr>
                <w:p>
                  <w:pPr>
                    <w:spacing w:line="240" w:lineRule="atLeast"/>
                    <w:ind w:left="0" w:leftChars="0" w:firstLine="0" w:firstLineChars="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5</w:t>
                  </w:r>
                  <w:r>
                    <w:rPr>
                      <w:rFonts w:hint="eastAsia" w:ascii="Times New Roman" w:hAnsi="Times New Roman" w:cs="Times New Roman"/>
                      <w:sz w:val="21"/>
                      <w:szCs w:val="21"/>
                      <w:lang w:val="en-US" w:eastAsia="zh-CN"/>
                    </w:rPr>
                    <w:t>2</w:t>
                  </w:r>
                </w:p>
              </w:tc>
              <w:tc>
                <w:tcPr>
                  <w:tcW w:w="998"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highlight w:val="yellow"/>
                      <w:lang w:val="en-US" w:eastAsia="zh-CN"/>
                    </w:rPr>
                  </w:pPr>
                  <w:r>
                    <w:rPr>
                      <w:rFonts w:hint="eastAsia" w:cs="Times New Roman"/>
                      <w:sz w:val="21"/>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7"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预测值</w:t>
                  </w:r>
                </w:p>
              </w:tc>
              <w:tc>
                <w:tcPr>
                  <w:tcW w:w="969"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145"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1"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1"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3"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8" w:type="dxa"/>
                  <w:noWrap w:val="0"/>
                  <w:vAlign w:val="center"/>
                </w:tcPr>
                <w:p>
                  <w:pPr>
                    <w:spacing w:line="240" w:lineRule="atLeast"/>
                    <w:ind w:left="0" w:leftChars="0"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7" w:type="dxa"/>
                  <w:vMerge w:val="restart"/>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GB12348-2008中2类标准要求</w:t>
                  </w:r>
                </w:p>
              </w:tc>
              <w:tc>
                <w:tcPr>
                  <w:tcW w:w="969"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4330" w:type="dxa"/>
                  <w:gridSpan w:val="4"/>
                  <w:noWrap w:val="0"/>
                  <w:vAlign w:val="center"/>
                </w:tcPr>
                <w:p>
                  <w:pPr>
                    <w:autoSpaceDN w:val="0"/>
                    <w:spacing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998"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7" w:type="dxa"/>
                  <w:vMerge w:val="continue"/>
                  <w:noWrap w:val="0"/>
                  <w:vAlign w:val="center"/>
                </w:tcPr>
                <w:p>
                  <w:pPr>
                    <w:jc w:val="center"/>
                    <w:rPr>
                      <w:rFonts w:hint="default" w:ascii="Times New Roman" w:hAnsi="Times New Roman" w:eastAsia="宋体" w:cs="Times New Roman"/>
                      <w:sz w:val="21"/>
                      <w:szCs w:val="21"/>
                    </w:rPr>
                  </w:pPr>
                </w:p>
              </w:tc>
              <w:tc>
                <w:tcPr>
                  <w:tcW w:w="969"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4330" w:type="dxa"/>
                  <w:gridSpan w:val="4"/>
                  <w:noWrap w:val="0"/>
                  <w:vAlign w:val="center"/>
                </w:tcPr>
                <w:p>
                  <w:pPr>
                    <w:autoSpaceDN w:val="0"/>
                    <w:spacing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998"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7" w:type="dxa"/>
                  <w:vMerge w:val="restart"/>
                  <w:noWrap w:val="0"/>
                  <w:vAlign w:val="center"/>
                </w:tcPr>
                <w:p>
                  <w:pPr>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GB3096—2008中2类标准要求</w:t>
                  </w:r>
                </w:p>
              </w:tc>
              <w:tc>
                <w:tcPr>
                  <w:tcW w:w="969"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4330" w:type="dxa"/>
                  <w:gridSpan w:val="4"/>
                  <w:noWrap w:val="0"/>
                  <w:vAlign w:val="center"/>
                </w:tcPr>
                <w:p>
                  <w:pPr>
                    <w:autoSpaceDN w:val="0"/>
                    <w:spacing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8"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7" w:type="dxa"/>
                  <w:vMerge w:val="continue"/>
                  <w:noWrap w:val="0"/>
                  <w:vAlign w:val="center"/>
                </w:tcPr>
                <w:p>
                  <w:pPr>
                    <w:jc w:val="center"/>
                    <w:rPr>
                      <w:rFonts w:hint="default" w:ascii="Times New Roman" w:hAnsi="Times New Roman" w:eastAsia="宋体" w:cs="Times New Roman"/>
                      <w:sz w:val="21"/>
                      <w:szCs w:val="21"/>
                    </w:rPr>
                  </w:pPr>
                </w:p>
              </w:tc>
              <w:tc>
                <w:tcPr>
                  <w:tcW w:w="969"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4330" w:type="dxa"/>
                  <w:gridSpan w:val="4"/>
                  <w:noWrap w:val="0"/>
                  <w:vAlign w:val="center"/>
                </w:tcPr>
                <w:p>
                  <w:pPr>
                    <w:autoSpaceDN w:val="0"/>
                    <w:spacing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98" w:type="dxa"/>
                  <w:noWrap w:val="0"/>
                  <w:vAlign w:val="center"/>
                </w:tcPr>
                <w:p>
                  <w:pPr>
                    <w:autoSpaceDN w:val="0"/>
                    <w:spacing w:line="240" w:lineRule="atLeast"/>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r>
          </w:tbl>
          <w:p>
            <w:pPr>
              <w:autoSpaceDN w:val="0"/>
              <w:spacing w:line="360" w:lineRule="auto"/>
              <w:ind w:firstLine="480" w:firstLineChars="200"/>
            </w:pPr>
            <w:r>
              <w:rPr>
                <w:sz w:val="24"/>
              </w:rPr>
              <w:t>由</w:t>
            </w:r>
            <w:r>
              <w:rPr>
                <w:rFonts w:hint="eastAsia"/>
                <w:sz w:val="24"/>
              </w:rPr>
              <w:t>上</w:t>
            </w:r>
            <w:r>
              <w:rPr>
                <w:sz w:val="24"/>
              </w:rPr>
              <w:t>表可知，项目建成后，噪声控制措施实施及设备正常工作情况下，厂界</w:t>
            </w:r>
            <w:r>
              <w:rPr>
                <w:rFonts w:hint="eastAsia"/>
                <w:sz w:val="24"/>
              </w:rPr>
              <w:t>四周</w:t>
            </w:r>
            <w:r>
              <w:rPr>
                <w:sz w:val="24"/>
              </w:rPr>
              <w:t>噪声</w:t>
            </w:r>
            <w:r>
              <w:rPr>
                <w:rFonts w:hint="eastAsia"/>
                <w:sz w:val="24"/>
              </w:rPr>
              <w:t>贡献</w:t>
            </w:r>
            <w:r>
              <w:rPr>
                <w:sz w:val="24"/>
              </w:rPr>
              <w:t>值满足《工业企业厂界环境噪声排放标准》</w:t>
            </w:r>
            <w:r>
              <w:rPr>
                <w:rFonts w:hint="eastAsia"/>
                <w:sz w:val="24"/>
              </w:rPr>
              <w:t>（</w:t>
            </w:r>
            <w:r>
              <w:rPr>
                <w:sz w:val="24"/>
              </w:rPr>
              <w:t>GB12348-2008</w:t>
            </w:r>
            <w:r>
              <w:rPr>
                <w:rFonts w:hint="eastAsia"/>
                <w:sz w:val="24"/>
              </w:rPr>
              <w:t>）</w:t>
            </w:r>
            <w:r>
              <w:rPr>
                <w:sz w:val="24"/>
              </w:rPr>
              <w:t>中</w:t>
            </w:r>
            <w:r>
              <w:rPr>
                <w:rFonts w:hint="eastAsia"/>
                <w:sz w:val="24"/>
              </w:rPr>
              <w:t>2</w:t>
            </w:r>
            <w:r>
              <w:rPr>
                <w:sz w:val="24"/>
              </w:rPr>
              <w:t>类标准</w:t>
            </w:r>
            <w:r>
              <w:rPr>
                <w:rFonts w:hint="eastAsia"/>
                <w:sz w:val="24"/>
              </w:rPr>
              <w:t>，敏感点预测值满足</w:t>
            </w:r>
            <w:r>
              <w:rPr>
                <w:sz w:val="24"/>
              </w:rPr>
              <w:t>《声环境质量标准》(GB3096—2008)中</w:t>
            </w:r>
            <w:r>
              <w:rPr>
                <w:rFonts w:hint="eastAsia"/>
                <w:sz w:val="24"/>
              </w:rPr>
              <w:t>2</w:t>
            </w:r>
            <w:r>
              <w:rPr>
                <w:sz w:val="24"/>
              </w:rPr>
              <w:t>类标准要求</w:t>
            </w:r>
            <w:r>
              <w:rPr>
                <w:rFonts w:hint="eastAsia"/>
              </w:rPr>
              <w:t>。</w:t>
            </w:r>
          </w:p>
          <w:p>
            <w:pPr>
              <w:spacing w:line="360" w:lineRule="auto"/>
              <w:ind w:firstLine="480" w:firstLineChars="200"/>
              <w:rPr>
                <w:sz w:val="24"/>
              </w:rPr>
            </w:pPr>
            <w:r>
              <w:rPr>
                <w:rFonts w:hint="eastAsia"/>
                <w:sz w:val="24"/>
              </w:rPr>
              <w:t>为进一步减小项目运营噪声对周围环境的影响，建议建设单位采取如下措施：</w:t>
            </w:r>
          </w:p>
          <w:p>
            <w:pPr>
              <w:tabs>
                <w:tab w:val="left" w:pos="5768"/>
              </w:tabs>
              <w:autoSpaceDN w:val="0"/>
              <w:spacing w:line="360" w:lineRule="auto"/>
              <w:ind w:firstLine="480" w:firstLineChars="200"/>
              <w:rPr>
                <w:sz w:val="24"/>
              </w:rPr>
            </w:pPr>
            <w:r>
              <w:rPr>
                <w:rFonts w:hint="eastAsia"/>
                <w:sz w:val="24"/>
              </w:rPr>
              <w:t>①生产设备选型上尽量选用低噪声设备；运行期加强设备的基础减振及车间、门窗的隔声、消声；</w:t>
            </w:r>
          </w:p>
          <w:p>
            <w:pPr>
              <w:spacing w:line="360" w:lineRule="auto"/>
              <w:ind w:firstLine="480" w:firstLineChars="200"/>
            </w:pPr>
            <w:r>
              <w:rPr>
                <w:rFonts w:hint="eastAsia"/>
                <w:sz w:val="24"/>
              </w:rPr>
              <w:t>②</w:t>
            </w:r>
            <w:r>
              <w:rPr>
                <w:sz w:val="24"/>
              </w:rPr>
              <w:t>对机械</w:t>
            </w:r>
            <w:r>
              <w:rPr>
                <w:rFonts w:hint="eastAsia"/>
                <w:sz w:val="24"/>
              </w:rPr>
              <w:t>生产</w:t>
            </w:r>
            <w:r>
              <w:rPr>
                <w:sz w:val="24"/>
              </w:rPr>
              <w:t>设备进行定期的维修、养护，物料装卸时轻拿轻放</w:t>
            </w:r>
            <w:r>
              <w:rPr>
                <w:rFonts w:hint="eastAsia"/>
                <w:sz w:val="24"/>
              </w:rPr>
              <w:t>；</w:t>
            </w:r>
          </w:p>
          <w:p>
            <w:pPr>
              <w:ind w:firstLine="480"/>
            </w:pPr>
            <w:r>
              <w:t>③加强厂区绿化，以降低厂区设备及车辆噪声影响。</w:t>
            </w:r>
          </w:p>
          <w:p>
            <w:pPr>
              <w:autoSpaceDN w:val="0"/>
              <w:spacing w:line="360" w:lineRule="auto"/>
              <w:ind w:left="0" w:leftChars="0" w:firstLine="0" w:firstLineChars="0"/>
              <w:rPr>
                <w:rFonts w:hint="eastAsia" w:ascii="Times New Roman" w:hAnsi="Times New Roman" w:eastAsia="黑体" w:cs="Times New Roman"/>
                <w:bCs/>
                <w:sz w:val="28"/>
                <w:szCs w:val="28"/>
              </w:rPr>
            </w:pPr>
            <w:r>
              <w:rPr>
                <w:rFonts w:hint="eastAsia" w:ascii="Times New Roman" w:hAnsi="Times New Roman" w:eastAsia="黑体" w:cs="Times New Roman"/>
                <w:bCs/>
                <w:sz w:val="28"/>
                <w:szCs w:val="28"/>
              </w:rPr>
              <w:t>四、固废环境影响分析</w:t>
            </w:r>
          </w:p>
          <w:p>
            <w:pPr>
              <w:adjustRightInd w:val="0"/>
              <w:snapToGrid w:val="0"/>
              <w:ind w:firstLine="480"/>
            </w:pPr>
            <w:r>
              <w:t>本项目主要的固体废弃物包括员工生活垃圾、一般工业固体废物和危险废物。</w:t>
            </w:r>
          </w:p>
          <w:p>
            <w:pPr>
              <w:adjustRightInd w:val="0"/>
              <w:snapToGrid w:val="0"/>
              <w:ind w:firstLine="480"/>
            </w:pPr>
            <w:r>
              <w:t>（1）生活垃圾</w:t>
            </w:r>
          </w:p>
          <w:p>
            <w:pPr>
              <w:ind w:firstLine="480"/>
            </w:pPr>
            <w:r>
              <w:t>项目生活垃圾产生量约</w:t>
            </w:r>
            <w:r>
              <w:rPr>
                <w:rFonts w:hint="eastAsia"/>
                <w:lang w:val="en-US" w:eastAsia="zh-CN"/>
              </w:rPr>
              <w:t>1.8</w:t>
            </w:r>
            <w:r>
              <w:t>t/a，收集后按照环卫部门要求外运处置。</w:t>
            </w:r>
          </w:p>
          <w:p>
            <w:pPr>
              <w:ind w:firstLine="480"/>
            </w:pPr>
            <w:r>
              <w:rPr>
                <w:rFonts w:hint="eastAsia"/>
              </w:rPr>
              <w:t>（2）一般工业固体废物</w:t>
            </w:r>
          </w:p>
          <w:p>
            <w:pPr>
              <w:spacing w:line="360" w:lineRule="auto"/>
              <w:ind w:firstLine="480" w:firstLineChars="200"/>
              <w:rPr>
                <w:rFonts w:hAnsi="宋体"/>
              </w:rPr>
            </w:pPr>
            <w:r>
              <w:rPr>
                <w:rFonts w:hint="eastAsia"/>
              </w:rPr>
              <w:t>根据建设单位提供的资料，</w:t>
            </w:r>
            <w:r>
              <w:rPr>
                <w:rFonts w:hint="default" w:ascii="Times New Roman" w:hAnsi="Times New Roman" w:eastAsia="宋体" w:cs="Times New Roman"/>
                <w:sz w:val="24"/>
                <w:szCs w:val="24"/>
              </w:rPr>
              <w:t>焊接过程会产生</w:t>
            </w:r>
            <w:r>
              <w:rPr>
                <w:rFonts w:hint="eastAsia" w:cs="Times New Roman"/>
                <w:sz w:val="24"/>
                <w:szCs w:val="24"/>
                <w:lang w:val="en-US" w:eastAsia="zh-CN"/>
              </w:rPr>
              <w:t>烟尘</w:t>
            </w:r>
            <w:r>
              <w:rPr>
                <w:rFonts w:hint="default" w:ascii="Times New Roman" w:hAnsi="Times New Roman" w:eastAsia="宋体" w:cs="Times New Roman"/>
                <w:sz w:val="24"/>
                <w:szCs w:val="24"/>
                <w:lang w:val="en-US" w:eastAsia="zh-CN"/>
              </w:rPr>
              <w:t>0.12t/a</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布袋除尘器收集</w:t>
            </w:r>
            <w:r>
              <w:rPr>
                <w:rFonts w:hint="default" w:ascii="Times New Roman" w:hAnsi="Times New Roman" w:eastAsia="宋体" w:cs="Times New Roman"/>
                <w:sz w:val="24"/>
                <w:szCs w:val="24"/>
              </w:rPr>
              <w:t>为</w:t>
            </w:r>
            <w:r>
              <w:rPr>
                <w:rFonts w:hint="default" w:ascii="Times New Roman" w:hAnsi="Times New Roman" w:eastAsia="宋体" w:cs="Times New Roman"/>
                <w:sz w:val="24"/>
                <w:szCs w:val="24"/>
                <w:lang w:val="en-US" w:eastAsia="zh-CN"/>
              </w:rPr>
              <w:t>0.1188</w:t>
            </w:r>
            <w:r>
              <w:rPr>
                <w:rFonts w:hint="default" w:ascii="Times New Roman" w:hAnsi="Times New Roman" w:eastAsia="宋体" w:cs="Times New Roman"/>
                <w:sz w:val="24"/>
                <w:szCs w:val="24"/>
              </w:rPr>
              <w:t>t/a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收集后</w:t>
            </w:r>
            <w:r>
              <w:rPr>
                <w:rFonts w:hint="default" w:ascii="Times New Roman" w:hAnsi="Times New Roman" w:eastAsia="宋体" w:cs="Times New Roman"/>
                <w:sz w:val="24"/>
                <w:szCs w:val="24"/>
              </w:rPr>
              <w:t>出售给专门回收单位。项目</w:t>
            </w:r>
            <w:r>
              <w:rPr>
                <w:rFonts w:hint="default" w:ascii="Times New Roman" w:hAnsi="Times New Roman" w:eastAsia="宋体" w:cs="Times New Roman"/>
                <w:sz w:val="24"/>
                <w:szCs w:val="24"/>
                <w:lang w:val="en-US" w:eastAsia="zh-CN"/>
              </w:rPr>
              <w:t>喷塑过程中</w:t>
            </w:r>
            <w:r>
              <w:rPr>
                <w:rFonts w:hint="default" w:ascii="Times New Roman" w:hAnsi="Times New Roman" w:eastAsia="宋体" w:cs="Times New Roman"/>
                <w:sz w:val="24"/>
                <w:szCs w:val="24"/>
              </w:rPr>
              <w:t>塑粉产生量为</w:t>
            </w:r>
            <w:r>
              <w:rPr>
                <w:rFonts w:hint="default" w:ascii="Times New Roman" w:hAnsi="Times New Roman" w:eastAsia="宋体" w:cs="Times New Roman"/>
                <w:sz w:val="24"/>
                <w:szCs w:val="24"/>
                <w:lang w:val="en-US" w:eastAsia="zh-CN"/>
              </w:rPr>
              <w:t>0.5</w:t>
            </w:r>
            <w:r>
              <w:rPr>
                <w:rFonts w:hint="default" w:ascii="Times New Roman" w:hAnsi="Times New Roman" w:eastAsia="宋体" w:cs="Times New Roman"/>
                <w:sz w:val="24"/>
                <w:szCs w:val="24"/>
              </w:rPr>
              <w:t>t/a</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除尘器收尘量为</w:t>
            </w:r>
            <w:r>
              <w:rPr>
                <w:rFonts w:hint="default" w:ascii="Times New Roman" w:hAnsi="Times New Roman" w:eastAsia="宋体" w:cs="Times New Roman"/>
                <w:sz w:val="24"/>
                <w:szCs w:val="24"/>
                <w:lang w:val="en-US" w:eastAsia="zh-CN"/>
              </w:rPr>
              <w:t>0.495</w:t>
            </w:r>
            <w:r>
              <w:rPr>
                <w:rFonts w:hint="default" w:ascii="Times New Roman" w:hAnsi="Times New Roman" w:eastAsia="宋体" w:cs="Times New Roman"/>
                <w:sz w:val="24"/>
                <w:szCs w:val="24"/>
              </w:rPr>
              <w:t>t/a，收</w:t>
            </w:r>
            <w:r>
              <w:rPr>
                <w:rFonts w:hint="default" w:ascii="Times New Roman" w:hAnsi="Times New Roman" w:eastAsia="宋体" w:cs="Times New Roman"/>
                <w:sz w:val="24"/>
                <w:szCs w:val="24"/>
                <w:lang w:val="en-US" w:eastAsia="zh-CN"/>
              </w:rPr>
              <w:t>集后</w:t>
            </w:r>
            <w:r>
              <w:rPr>
                <w:rFonts w:hint="default" w:ascii="Times New Roman" w:hAnsi="Times New Roman" w:eastAsia="宋体" w:cs="Times New Roman"/>
                <w:sz w:val="24"/>
                <w:szCs w:val="24"/>
              </w:rPr>
              <w:t>回用于生产</w:t>
            </w:r>
            <w:r>
              <w:rPr>
                <w:rFonts w:hint="default" w:ascii="Times New Roman" w:hAnsi="Times New Roman" w:eastAsia="宋体" w:cs="Times New Roman"/>
                <w:sz w:val="24"/>
                <w:szCs w:val="24"/>
                <w:lang w:eastAsia="zh-CN"/>
              </w:rPr>
              <w:t>。</w:t>
            </w:r>
            <w:r>
              <w:rPr>
                <w:rFonts w:hint="eastAsia" w:cs="Times New Roman"/>
                <w:sz w:val="24"/>
                <w:szCs w:val="24"/>
                <w:lang w:val="en-US" w:eastAsia="zh-CN"/>
              </w:rPr>
              <w:t>项目木板切割过程中产生的边角料</w:t>
            </w:r>
            <w:r>
              <w:rPr>
                <w:rFonts w:hint="default" w:ascii="Times New Roman" w:hAnsi="Times New Roman" w:cs="Times New Roman"/>
                <w:sz w:val="24"/>
                <w:szCs w:val="24"/>
                <w:lang w:val="en-US" w:eastAsia="zh-CN"/>
              </w:rPr>
              <w:t>为1.0t/a；双桶除尘器收集的</w:t>
            </w:r>
            <w:r>
              <w:rPr>
                <w:rFonts w:hint="eastAsia" w:ascii="Times New Roman" w:hAnsi="Times New Roman" w:cs="Times New Roman"/>
                <w:sz w:val="24"/>
                <w:szCs w:val="24"/>
                <w:lang w:val="en-US" w:eastAsia="zh-CN"/>
              </w:rPr>
              <w:t>木屑</w:t>
            </w:r>
            <w:r>
              <w:rPr>
                <w:rFonts w:hint="default" w:ascii="Times New Roman" w:hAnsi="Times New Roman" w:cs="Times New Roman"/>
                <w:sz w:val="24"/>
                <w:szCs w:val="24"/>
                <w:lang w:val="en-US" w:eastAsia="zh-CN"/>
              </w:rPr>
              <w:t>粉尘量为0.3474t/a</w:t>
            </w:r>
            <w:r>
              <w:rPr>
                <w:rFonts w:hint="eastAsia" w:ascii="Times New Roman" w:hAnsi="Times New Roman" w:cs="Times New Roman"/>
                <w:sz w:val="24"/>
                <w:szCs w:val="24"/>
                <w:lang w:val="en-US" w:eastAsia="zh-CN"/>
              </w:rPr>
              <w:t>，边角料和木屑收集后出手给废物回收单位。</w:t>
            </w:r>
          </w:p>
          <w:p>
            <w:pPr>
              <w:ind w:firstLine="480"/>
            </w:pPr>
            <w:r>
              <w:rPr>
                <w:rFonts w:hint="eastAsia"/>
              </w:rPr>
              <w:t>（3）危险固废</w:t>
            </w:r>
          </w:p>
          <w:p>
            <w:pPr>
              <w:pStyle w:val="212"/>
              <w:spacing w:line="360" w:lineRule="auto"/>
              <w:ind w:firstLine="480" w:firstLineChars="200"/>
              <w:rPr>
                <w:rFonts w:hint="eastAsia"/>
              </w:rPr>
            </w:pPr>
            <w:r>
              <w:rPr>
                <w:rFonts w:hint="default" w:ascii="Times New Roman" w:hAnsi="Times New Roman" w:eastAsia="宋体" w:cs="Times New Roman"/>
                <w:kern w:val="0"/>
                <w:sz w:val="24"/>
                <w:szCs w:val="24"/>
              </w:rPr>
              <w:t>项目机械设备定期维护保养过程会产生废机油，其产生量为</w:t>
            </w:r>
            <w:r>
              <w:rPr>
                <w:rFonts w:hint="default" w:ascii="Times New Roman" w:hAnsi="Times New Roman" w:eastAsia="宋体" w:cs="Times New Roman"/>
                <w:sz w:val="24"/>
                <w:szCs w:val="24"/>
              </w:rPr>
              <w:t>0.001t/a</w:t>
            </w:r>
            <w:r>
              <w:rPr>
                <w:rFonts w:hint="eastAsia" w:ascii="Times New Roman" w:hAnsi="Times New Roman" w:cs="Times New Roman"/>
                <w:kern w:val="0"/>
                <w:sz w:val="24"/>
                <w:szCs w:val="24"/>
                <w:lang w:eastAsia="zh-CN"/>
              </w:rPr>
              <w:t>；</w:t>
            </w:r>
            <w:r>
              <w:rPr>
                <w:rFonts w:hint="default" w:ascii="Times New Roman" w:hAnsi="Times New Roman" w:eastAsia="宋体" w:cs="Times New Roman"/>
                <w:sz w:val="24"/>
                <w:szCs w:val="24"/>
              </w:rPr>
              <w:t>项目废气处理中UV光解产生的废灯管为0.0</w:t>
            </w:r>
            <w:r>
              <w:rPr>
                <w:rFonts w:hint="eastAsia" w:cs="Times New Roman"/>
                <w:sz w:val="24"/>
                <w:szCs w:val="24"/>
                <w:lang w:val="en-US" w:eastAsia="zh-CN"/>
              </w:rPr>
              <w:t>0</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t/a</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项目废活性炭产生量约为0.</w:t>
            </w:r>
            <w:r>
              <w:rPr>
                <w:rFonts w:hint="default" w:ascii="Times New Roman" w:hAnsi="Times New Roman" w:eastAsia="宋体" w:cs="Times New Roman"/>
                <w:sz w:val="24"/>
                <w:szCs w:val="24"/>
                <w:lang w:val="en-US" w:eastAsia="zh-CN"/>
              </w:rPr>
              <w:t>0054</w:t>
            </w:r>
            <w:r>
              <w:rPr>
                <w:rFonts w:hint="default" w:ascii="Times New Roman" w:hAnsi="Times New Roman" w:eastAsia="宋体" w:cs="Times New Roman"/>
                <w:sz w:val="24"/>
                <w:szCs w:val="24"/>
              </w:rPr>
              <w:t>t/a</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危废收集后暂存于危废间，</w:t>
            </w:r>
            <w:r>
              <w:rPr>
                <w:rFonts w:hint="eastAsia"/>
              </w:rPr>
              <w:t>委托有资质单位进行处置。</w:t>
            </w:r>
          </w:p>
          <w:p>
            <w:pPr>
              <w:adjustRightInd w:val="0"/>
              <w:snapToGrid w:val="0"/>
              <w:ind w:firstLine="480"/>
            </w:pPr>
            <w:r>
              <w:rPr>
                <w:rFonts w:eastAsiaTheme="minorEastAsia"/>
              </w:rPr>
              <w:t>本项目所产生的固体废物通过采取以上处理处置措施后，将不会对周围的环境产生影响，亦不会造成二次污染。同时，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pPr>
              <w:ind w:firstLine="482"/>
              <w:rPr>
                <w:b/>
                <w:bCs/>
              </w:rPr>
            </w:pPr>
            <w:r>
              <w:rPr>
                <w:rFonts w:hint="eastAsia"/>
                <w:b/>
                <w:bCs/>
              </w:rPr>
              <w:t>环评要求：</w:t>
            </w:r>
          </w:p>
          <w:p>
            <w:pPr>
              <w:ind w:firstLine="480"/>
              <w:rPr>
                <w:rFonts w:eastAsiaTheme="minorEastAsia"/>
              </w:rPr>
            </w:pPr>
            <w:r>
              <w:rPr>
                <w:rFonts w:hAnsi="宋体"/>
              </w:rPr>
              <w:t>本项目应设有专人专职负责危险废物的收集、暂存和保管，加强对危险废物的</w:t>
            </w:r>
            <w:r>
              <w:rPr>
                <w:rFonts w:eastAsiaTheme="minorEastAsia"/>
              </w:rPr>
              <w:t>管理，保证得到及时处理，防止造成二次污染。收集后的危废必须委托有危废处置资质的单位进行回收处置。</w:t>
            </w:r>
          </w:p>
          <w:p>
            <w:pPr>
              <w:autoSpaceDN w:val="0"/>
              <w:spacing w:line="360" w:lineRule="auto"/>
              <w:ind w:left="0" w:leftChars="0" w:firstLine="0" w:firstLineChars="0"/>
              <w:rPr>
                <w:rFonts w:hint="eastAsia" w:ascii="Times New Roman" w:hAnsi="Times New Roman" w:eastAsia="黑体" w:cs="Times New Roman"/>
                <w:bCs/>
                <w:sz w:val="28"/>
                <w:szCs w:val="28"/>
              </w:rPr>
            </w:pPr>
            <w:r>
              <w:rPr>
                <w:rFonts w:hint="eastAsia" w:ascii="Times New Roman" w:hAnsi="Times New Roman" w:eastAsia="黑体" w:cs="Times New Roman"/>
                <w:bCs/>
                <w:sz w:val="28"/>
                <w:szCs w:val="28"/>
              </w:rPr>
              <w:t>五、土壤环境影响分析</w:t>
            </w:r>
          </w:p>
          <w:p>
            <w:pPr>
              <w:keepNext w:val="0"/>
              <w:keepLines w:val="0"/>
              <w:pageBreakBefore w:val="0"/>
              <w:widowControl w:val="0"/>
              <w:kinsoku/>
              <w:wordWrap/>
              <w:overflowPunct/>
              <w:topLinePunct w:val="0"/>
              <w:autoSpaceDE/>
              <w:autoSpaceDN w:val="0"/>
              <w:bidi w:val="0"/>
              <w:adjustRightInd/>
              <w:snapToGrid/>
              <w:spacing w:line="360" w:lineRule="auto"/>
              <w:ind w:firstLine="480" w:firstLineChars="200"/>
              <w:textAlignment w:val="auto"/>
              <w:rPr>
                <w:rFonts w:hint="default" w:hAnsi="宋体" w:eastAsia="宋体"/>
                <w:sz w:val="24"/>
                <w:lang w:val="en-US" w:eastAsia="zh-CN"/>
              </w:rPr>
            </w:pPr>
            <w:r>
              <w:rPr>
                <w:rFonts w:hint="eastAsia" w:hAnsi="宋体"/>
                <w:sz w:val="24"/>
              </w:rPr>
              <w:t>根据《环境影响评价技术导则 土壤环境》（HJ946-2018），建设项目对土壤环境影响的程度，将建设项目分为四类，本项目为类建设项目</w:t>
            </w:r>
            <w:r>
              <w:rPr>
                <w:rFonts w:hint="eastAsia" w:hAnsi="宋体"/>
                <w:sz w:val="24"/>
                <w:lang w:val="en-US" w:eastAsia="zh-CN"/>
              </w:rPr>
              <w:t>III类</w:t>
            </w:r>
            <w:r>
              <w:rPr>
                <w:rFonts w:hint="eastAsia" w:hAnsi="宋体"/>
                <w:sz w:val="24"/>
              </w:rPr>
              <w:t>，建设项目占地规模为</w:t>
            </w:r>
            <w:r>
              <w:rPr>
                <w:rFonts w:hint="eastAsia" w:hAnsi="宋体"/>
                <w:sz w:val="24"/>
                <w:lang w:val="en-US" w:eastAsia="zh-CN"/>
              </w:rPr>
              <w:t>5880</w:t>
            </w:r>
            <w:r>
              <w:rPr>
                <w:rFonts w:hint="eastAsia" w:hAnsi="宋体"/>
                <w:sz w:val="24"/>
              </w:rPr>
              <w:t>m</w:t>
            </w:r>
            <w:r>
              <w:rPr>
                <w:rFonts w:hint="eastAsia" w:hAnsi="宋体"/>
                <w:sz w:val="24"/>
                <w:vertAlign w:val="superscript"/>
              </w:rPr>
              <w:t>2</w:t>
            </w:r>
            <w:r>
              <w:rPr>
                <w:rFonts w:hint="eastAsia" w:hAnsi="宋体"/>
                <w:sz w:val="24"/>
              </w:rPr>
              <w:t>，小于5hm</w:t>
            </w:r>
            <w:r>
              <w:rPr>
                <w:rFonts w:hint="eastAsia" w:hAnsi="宋体"/>
                <w:sz w:val="24"/>
                <w:vertAlign w:val="superscript"/>
              </w:rPr>
              <w:t>2</w:t>
            </w:r>
            <w:r>
              <w:rPr>
                <w:rFonts w:hint="eastAsia" w:hAnsi="宋体"/>
                <w:sz w:val="24"/>
              </w:rPr>
              <w:t>，因此项目占地规模属于小型。</w:t>
            </w:r>
            <w:r>
              <w:rPr>
                <w:rFonts w:hint="eastAsia" w:hAnsi="宋体"/>
                <w:sz w:val="24"/>
                <w:lang w:val="en-US" w:eastAsia="zh-CN"/>
              </w:rPr>
              <w:t>项目周边有农田，属于敏感区域。</w:t>
            </w:r>
          </w:p>
          <w:p>
            <w:pPr>
              <w:pStyle w:val="32"/>
              <w:keepNext w:val="0"/>
              <w:keepLines w:val="0"/>
              <w:pageBreakBefore w:val="0"/>
              <w:widowControl w:val="0"/>
              <w:kinsoku/>
              <w:wordWrap/>
              <w:overflowPunct/>
              <w:topLinePunct w:val="0"/>
              <w:autoSpaceDE/>
              <w:bidi w:val="0"/>
              <w:adjustRightInd/>
              <w:snapToGrid/>
              <w:spacing w:before="0" w:after="0" w:line="360" w:lineRule="auto"/>
              <w:ind w:left="0" w:leftChars="0" w:firstLine="480"/>
              <w:textAlignment w:val="auto"/>
              <w:rPr>
                <w:rFonts w:hint="eastAsia" w:ascii="宋体"/>
                <w:sz w:val="24"/>
                <w:lang w:val="en-US" w:eastAsia="zh-CN"/>
              </w:rPr>
            </w:pPr>
            <w:r>
              <w:rPr>
                <w:rFonts w:hint="eastAsia" w:ascii="宋体"/>
                <w:sz w:val="24"/>
                <w:lang w:val="en-US" w:eastAsia="zh-CN"/>
              </w:rPr>
              <w:t>导则规定的污影响型评价等级判定表如下：</w:t>
            </w:r>
          </w:p>
          <w:p>
            <w:pPr>
              <w:pStyle w:val="241"/>
              <w:autoSpaceDE w:val="0"/>
              <w:adjustRightInd/>
              <w:snapToGrid/>
              <w:spacing w:before="156" w:beforeLines="50" w:after="156" w:afterLines="50"/>
            </w:pPr>
            <w:r>
              <w:rPr>
                <w:rFonts w:ascii="黑体" w:hAnsi="黑体"/>
              </w:rPr>
              <w:t>表</w:t>
            </w:r>
            <w:r>
              <w:rPr>
                <w:rFonts w:hint="eastAsia"/>
                <w:lang w:val="en-US" w:eastAsia="zh-CN"/>
              </w:rPr>
              <w:t>7-13</w:t>
            </w:r>
            <w:r>
              <w:rPr>
                <w:rFonts w:hint="eastAsia"/>
              </w:rPr>
              <w:t xml:space="preserve"> </w:t>
            </w:r>
            <w:r>
              <w:rPr>
                <w:rFonts w:ascii="黑体" w:hAnsi="黑体"/>
              </w:rPr>
              <w:t>污染影响型评价工作等级划分表</w:t>
            </w:r>
          </w:p>
          <w:tbl>
            <w:tblPr>
              <w:tblStyle w:val="33"/>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699"/>
              <w:gridCol w:w="609"/>
              <w:gridCol w:w="640"/>
              <w:gridCol w:w="633"/>
              <w:gridCol w:w="633"/>
              <w:gridCol w:w="633"/>
              <w:gridCol w:w="629"/>
              <w:gridCol w:w="634"/>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766" w:type="dxa"/>
                  <w:vMerge w:val="restart"/>
                  <w:tcBorders>
                    <w:top w:val="single" w:color="auto" w:sz="4" w:space="0"/>
                    <w:left w:val="single" w:color="auto" w:sz="4" w:space="0"/>
                    <w:bottom w:val="single" w:color="auto" w:sz="4" w:space="0"/>
                    <w:right w:val="single" w:color="auto" w:sz="4" w:space="0"/>
                  </w:tcBorders>
                  <w:noWrap w:val="0"/>
                  <w:vAlign w:val="top"/>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4384" behindDoc="0" locked="0" layoutInCell="1" allowOverlap="1">
                            <wp:simplePos x="0" y="0"/>
                            <wp:positionH relativeFrom="column">
                              <wp:posOffset>268605</wp:posOffset>
                            </wp:positionH>
                            <wp:positionV relativeFrom="paragraph">
                              <wp:posOffset>12700</wp:posOffset>
                            </wp:positionV>
                            <wp:extent cx="1421130" cy="886460"/>
                            <wp:effectExtent l="2540" t="3810" r="11430" b="11430"/>
                            <wp:wrapNone/>
                            <wp:docPr id="3" name="自选图形 5"/>
                            <wp:cNvGraphicFramePr/>
                            <a:graphic xmlns:a="http://schemas.openxmlformats.org/drawingml/2006/main">
                              <a:graphicData uri="http://schemas.microsoft.com/office/word/2010/wordprocessingShape">
                                <wps:wsp>
                                  <wps:cNvCnPr/>
                                  <wps:spPr>
                                    <a:xfrm>
                                      <a:off x="0" y="0"/>
                                      <a:ext cx="1421130" cy="8864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21.15pt;margin-top:1pt;height:69.8pt;width:111.9pt;z-index:251664384;mso-width-relative:page;mso-height-relative:page;" filled="f" stroked="t" coordsize="21600,21600" o:gfxdata="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6IBujWAAAACAEAAA8AAAAAAAAAAQAgAAAAIgAAAGRycy9kb3ducmV2Lnht&#10;bFBLAQIUABQAAAAIAIdO4kDpGFFV+wEAAOgDAAAOAAAAAAAAAAEAIAAAACUBAABkcnMvZTJvRG9j&#10;LnhtbFBLBQYAAAAABgAGAFkBAACSBQAAAAA=&#10;">
                            <v:fill on="f" focussize="0,0"/>
                            <v:stroke color="#000000" joinstyle="round"/>
                            <v:imagedata o:title=""/>
                            <o:lock v:ext="edit" aspectratio="f"/>
                          </v:shape>
                        </w:pict>
                      </mc:Fallback>
                    </mc:AlternateContent>
                  </w:r>
                  <w:r>
                    <w:rPr>
                      <w:rFonts w:hint="default" w:ascii="Times New Roman" w:hAnsi="Times New Roman" w:eastAsia="宋体" w:cs="Times New Roman"/>
                      <w:sz w:val="21"/>
                      <w:szCs w:val="21"/>
                    </w:rPr>
                    <w:t xml:space="preserve">         占地规模</w:t>
                  </w:r>
                </w:p>
                <w:p>
                  <w:pPr>
                    <w:pStyle w:val="31"/>
                    <w:autoSpaceDE w:val="0"/>
                    <w:adjustRightInd w:val="0"/>
                    <w:snapToGrid w:val="0"/>
                    <w:spacing w:line="240" w:lineRule="exact"/>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评价等级</w:t>
                  </w:r>
                </w:p>
                <w:p>
                  <w:pPr>
                    <w:pStyle w:val="31"/>
                    <w:autoSpaceDE w:val="0"/>
                    <w:adjustRightInd w:val="0"/>
                    <w:snapToGrid w:val="0"/>
                    <w:spacing w:line="240" w:lineRule="exact"/>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2540</wp:posOffset>
                            </wp:positionV>
                            <wp:extent cx="1751330" cy="446405"/>
                            <wp:effectExtent l="1270" t="4445" r="12700" b="6350"/>
                            <wp:wrapNone/>
                            <wp:docPr id="4" name="自选图形 6"/>
                            <wp:cNvGraphicFramePr/>
                            <a:graphic xmlns:a="http://schemas.openxmlformats.org/drawingml/2006/main">
                              <a:graphicData uri="http://schemas.microsoft.com/office/word/2010/wordprocessingShape">
                                <wps:wsp>
                                  <wps:cNvCnPr/>
                                  <wps:spPr>
                                    <a:xfrm>
                                      <a:off x="0" y="0"/>
                                      <a:ext cx="1751330" cy="4464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4.85pt;margin-top:0.2pt;height:35.15pt;width:137.9pt;z-index:251665408;mso-width-relative:page;mso-height-relative:page;" filled="f" stroked="t" coordsize="21600,21600" o:gfxdata="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ndi1TVAAAABgEAAA8AAAAAAAAAAQAgAAAAIgAAAGRycy9kb3ducmV2LnhtbFBL&#10;AQIUABQAAAAIAIdO4kBdEMLC+QEAAOgDAAAOAAAAAAAAAAEAIAAAACQBAABkcnMvZTJvRG9jLnht&#10;bFBLBQYAAAAABgAGAFkBAACPBQAAAAA=&#10;">
                            <v:fill on="f" focussize="0,0"/>
                            <v:stroke color="#000000" joinstyle="round"/>
                            <v:imagedata o:title=""/>
                            <o:lock v:ext="edit" aspectratio="f"/>
                          </v:shape>
                        </w:pict>
                      </mc:Fallback>
                    </mc:AlternateContent>
                  </w:r>
                </w:p>
                <w:p>
                  <w:pPr>
                    <w:pStyle w:val="31"/>
                    <w:autoSpaceDE w:val="0"/>
                    <w:adjustRightInd w:val="0"/>
                    <w:snapToGrid w:val="0"/>
                    <w:spacing w:line="240" w:lineRule="exact"/>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敏感程度</w:t>
                  </w:r>
                </w:p>
              </w:tc>
              <w:tc>
                <w:tcPr>
                  <w:tcW w:w="1948" w:type="dxa"/>
                  <w:gridSpan w:val="3"/>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Ⅰ类</w:t>
                  </w:r>
                </w:p>
              </w:tc>
              <w:tc>
                <w:tcPr>
                  <w:tcW w:w="1899" w:type="dxa"/>
                  <w:gridSpan w:val="3"/>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Ⅱ类</w:t>
                  </w:r>
                </w:p>
              </w:tc>
              <w:tc>
                <w:tcPr>
                  <w:tcW w:w="1892" w:type="dxa"/>
                  <w:gridSpan w:val="3"/>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sz w:val="21"/>
                      <w:szCs w:val="21"/>
                    </w:rPr>
                  </w:pPr>
                </w:p>
              </w:tc>
              <w:tc>
                <w:tcPr>
                  <w:tcW w:w="69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w:t>
                  </w:r>
                </w:p>
              </w:tc>
              <w:tc>
                <w:tcPr>
                  <w:tcW w:w="60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w:t>
                  </w:r>
                </w:p>
              </w:tc>
              <w:tc>
                <w:tcPr>
                  <w:tcW w:w="640"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w:t>
                  </w:r>
                </w:p>
              </w:tc>
              <w:tc>
                <w:tcPr>
                  <w:tcW w:w="633"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w:t>
                  </w:r>
                </w:p>
              </w:tc>
              <w:tc>
                <w:tcPr>
                  <w:tcW w:w="633"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w:t>
                  </w:r>
                </w:p>
              </w:tc>
              <w:tc>
                <w:tcPr>
                  <w:tcW w:w="633"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w:t>
                  </w:r>
                </w:p>
              </w:tc>
              <w:tc>
                <w:tcPr>
                  <w:tcW w:w="62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w:t>
                  </w:r>
                </w:p>
              </w:tc>
              <w:tc>
                <w:tcPr>
                  <w:tcW w:w="634"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w:t>
                  </w:r>
                </w:p>
              </w:tc>
              <w:tc>
                <w:tcPr>
                  <w:tcW w:w="62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766" w:type="dxa"/>
                  <w:tcBorders>
                    <w:top w:val="single" w:color="auto" w:sz="4" w:space="0"/>
                    <w:left w:val="single" w:color="auto" w:sz="4" w:space="0"/>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敏感</w:t>
                  </w:r>
                </w:p>
              </w:tc>
              <w:tc>
                <w:tcPr>
                  <w:tcW w:w="69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60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640"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633"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633"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633"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62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634"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highlight w:val="none"/>
                      <w:shd w:val="clear" w:fill="5B9BD5" w:themeFill="accent1"/>
                    </w:rPr>
                    <w:t>三级</w:t>
                  </w:r>
                </w:p>
              </w:tc>
              <w:tc>
                <w:tcPr>
                  <w:tcW w:w="62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766" w:type="dxa"/>
                  <w:tcBorders>
                    <w:top w:val="single" w:color="auto" w:sz="4" w:space="0"/>
                    <w:left w:val="single" w:color="auto" w:sz="4" w:space="0"/>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较敏感</w:t>
                  </w:r>
                </w:p>
              </w:tc>
              <w:tc>
                <w:tcPr>
                  <w:tcW w:w="69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60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640"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633"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633"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633"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629"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634" w:type="dxa"/>
                  <w:tcBorders>
                    <w:top w:val="single" w:color="auto" w:sz="4" w:space="0"/>
                    <w:left w:val="nil"/>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629"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不敏感</w:t>
                  </w:r>
                </w:p>
              </w:tc>
              <w:tc>
                <w:tcPr>
                  <w:tcW w:w="699"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一级</w:t>
                  </w:r>
                </w:p>
              </w:tc>
              <w:tc>
                <w:tcPr>
                  <w:tcW w:w="609"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633"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二级</w:t>
                  </w:r>
                </w:p>
              </w:tc>
              <w:tc>
                <w:tcPr>
                  <w:tcW w:w="633"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633"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629"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三级</w:t>
                  </w:r>
                </w:p>
              </w:tc>
              <w:tc>
                <w:tcPr>
                  <w:tcW w:w="634"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29" w:type="dxa"/>
                  <w:tcBorders>
                    <w:top w:val="single" w:color="auto" w:sz="4" w:space="0"/>
                    <w:left w:val="nil"/>
                    <w:bottom w:val="single" w:color="auto" w:sz="4" w:space="0"/>
                    <w:right w:val="single" w:color="auto" w:sz="4" w:space="0"/>
                  </w:tcBorders>
                  <w:shd w:val="clear" w:color="auto" w:fill="auto"/>
                  <w:noWrap w:val="0"/>
                  <w:vAlign w:val="center"/>
                </w:tcPr>
                <w:p>
                  <w:pPr>
                    <w:pStyle w:val="31"/>
                    <w:autoSpaceDE w:val="0"/>
                    <w:adjustRightInd w:val="0"/>
                    <w:snapToGrid w:val="0"/>
                    <w:spacing w:line="24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05" w:type="dxa"/>
                  <w:gridSpan w:val="10"/>
                  <w:tcBorders>
                    <w:top w:val="single" w:color="auto" w:sz="4" w:space="0"/>
                    <w:left w:val="single" w:color="auto" w:sz="4" w:space="0"/>
                    <w:bottom w:val="single" w:color="auto" w:sz="4" w:space="0"/>
                    <w:right w:val="single" w:color="auto" w:sz="4" w:space="0"/>
                  </w:tcBorders>
                  <w:noWrap w:val="0"/>
                  <w:vAlign w:val="center"/>
                </w:tcPr>
                <w:p>
                  <w:pPr>
                    <w:pStyle w:val="31"/>
                    <w:autoSpaceDE w:val="0"/>
                    <w:adjustRightInd w:val="0"/>
                    <w:snapToGrid w:val="0"/>
                    <w:spacing w:line="240" w:lineRule="exact"/>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注“-”表示可不开展土壤环境影响评价工作</w:t>
                  </w:r>
                </w:p>
              </w:tc>
            </w:tr>
          </w:tbl>
          <w:p>
            <w:pPr>
              <w:autoSpaceDN w:val="0"/>
              <w:spacing w:line="360" w:lineRule="auto"/>
              <w:ind w:firstLine="480" w:firstLineChars="200"/>
              <w:rPr>
                <w:rFonts w:hint="eastAsia" w:hAnsi="宋体"/>
                <w:sz w:val="24"/>
              </w:rPr>
            </w:pPr>
            <w:r>
              <w:rPr>
                <w:rFonts w:hint="eastAsia" w:hAnsi="宋体"/>
                <w:sz w:val="24"/>
              </w:rPr>
              <w:t>对照上表进行判定，项目</w:t>
            </w:r>
            <w:r>
              <w:rPr>
                <w:rFonts w:hint="eastAsia" w:hAnsi="宋体"/>
                <w:sz w:val="24"/>
                <w:lang w:val="en-US" w:eastAsia="zh-CN"/>
              </w:rPr>
              <w:t>属于三级评价</w:t>
            </w:r>
            <w:r>
              <w:rPr>
                <w:rFonts w:hint="eastAsia" w:hAnsi="宋体"/>
                <w:sz w:val="24"/>
              </w:rPr>
              <w:t>。</w:t>
            </w:r>
          </w:p>
          <w:p>
            <w:pPr>
              <w:keepNext w:val="0"/>
              <w:keepLines w:val="0"/>
              <w:pageBreakBefore w:val="0"/>
              <w:widowControl/>
              <w:tabs>
                <w:tab w:val="left" w:pos="3000"/>
              </w:tabs>
              <w:kinsoku/>
              <w:wordWrap/>
              <w:overflowPunct/>
              <w:topLinePunct w:val="0"/>
              <w:autoSpaceDE/>
              <w:autoSpaceDN/>
              <w:bidi w:val="0"/>
              <w:adjustRightInd/>
              <w:snapToGrid w:val="0"/>
              <w:spacing w:line="360" w:lineRule="auto"/>
              <w:ind w:firstLine="460"/>
              <w:jc w:val="left"/>
              <w:textAlignment w:val="auto"/>
              <w:rPr>
                <w:rFonts w:hint="eastAsia"/>
              </w:rPr>
            </w:pPr>
            <w:r>
              <w:rPr>
                <w:color w:val="000000"/>
                <w:sz w:val="24"/>
              </w:rPr>
              <w:t>本项目租用已建成生产厂房进行生产，不涉及土建。项目运营过程中，生产厂间、仓库地面进行混凝土硬化，无裸露地面，水土流失量较小。本项目为</w:t>
            </w:r>
            <w:r>
              <w:rPr>
                <w:rFonts w:hint="eastAsia"/>
                <w:color w:val="000000"/>
                <w:sz w:val="24"/>
                <w:lang w:val="en-US" w:eastAsia="zh-CN"/>
              </w:rPr>
              <w:t>金属</w:t>
            </w:r>
            <w:r>
              <w:rPr>
                <w:color w:val="000000"/>
                <w:sz w:val="24"/>
              </w:rPr>
              <w:t>家具制造，属于《环境影响评价技术导则-土壤环境》附录A中制造业中的其他用品制造类项目，项目不涉及表面处理及喷漆，</w:t>
            </w:r>
            <w:r>
              <w:rPr>
                <w:rFonts w:hint="eastAsia"/>
                <w:color w:val="000000"/>
                <w:sz w:val="24"/>
                <w:lang w:val="en-US" w:eastAsia="zh-CN"/>
              </w:rPr>
              <w:t>仅在固化、封边工艺有少量有机废气产生，</w:t>
            </w:r>
            <w:r>
              <w:rPr>
                <w:color w:val="000000"/>
                <w:sz w:val="24"/>
              </w:rPr>
              <w:t>生产过程中</w:t>
            </w:r>
            <w:r>
              <w:rPr>
                <w:rFonts w:hint="eastAsia"/>
                <w:color w:val="000000"/>
                <w:sz w:val="24"/>
                <w:lang w:val="en-US" w:eastAsia="zh-CN"/>
              </w:rPr>
              <w:t>通过加强环保管理，固化车间密闭等等措施后少量有机废气沉降，</w:t>
            </w:r>
            <w:r>
              <w:rPr>
                <w:color w:val="000000"/>
                <w:sz w:val="24"/>
              </w:rPr>
              <w:t>不会对土壤产生</w:t>
            </w:r>
            <w:r>
              <w:rPr>
                <w:rFonts w:hint="eastAsia"/>
                <w:color w:val="000000"/>
                <w:sz w:val="24"/>
                <w:lang w:val="en-US" w:eastAsia="zh-CN"/>
              </w:rPr>
              <w:t>较大</w:t>
            </w:r>
            <w:r>
              <w:rPr>
                <w:color w:val="000000"/>
                <w:sz w:val="24"/>
              </w:rPr>
              <w:t>污染。</w:t>
            </w:r>
          </w:p>
          <w:p>
            <w:pPr>
              <w:autoSpaceDN w:val="0"/>
              <w:spacing w:line="360" w:lineRule="auto"/>
              <w:ind w:left="0" w:leftChars="0" w:firstLine="0" w:firstLineChars="0"/>
              <w:rPr>
                <w:rFonts w:hint="eastAsia" w:ascii="Times New Roman" w:hAnsi="Times New Roman" w:eastAsia="黑体" w:cs="Times New Roman"/>
                <w:bCs/>
                <w:sz w:val="28"/>
                <w:szCs w:val="28"/>
              </w:rPr>
            </w:pPr>
            <w:r>
              <w:rPr>
                <w:rFonts w:hint="eastAsia" w:ascii="Times New Roman" w:hAnsi="Times New Roman" w:eastAsia="黑体" w:cs="Times New Roman"/>
                <w:bCs/>
                <w:sz w:val="28"/>
                <w:szCs w:val="28"/>
              </w:rPr>
              <w:t>六、环境风险</w:t>
            </w:r>
          </w:p>
          <w:p>
            <w:pPr>
              <w:spacing w:line="360" w:lineRule="auto"/>
              <w:ind w:firstLine="482" w:firstLineChars="200"/>
              <w:rPr>
                <w:rFonts w:hint="eastAsia" w:ascii="宋体" w:hAnsi="宋体"/>
                <w:b/>
                <w:sz w:val="24"/>
              </w:rPr>
            </w:pPr>
            <w:r>
              <w:rPr>
                <w:rFonts w:hint="eastAsia" w:ascii="宋体" w:hAnsi="宋体"/>
                <w:b/>
                <w:sz w:val="24"/>
              </w:rPr>
              <w:t>1、评价依据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（1）风险调查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项目为</w:t>
            </w:r>
            <w:r>
              <w:rPr>
                <w:rFonts w:hint="default" w:ascii="Times New Roman" w:hAnsi="Times New Roman" w:eastAsia="宋体" w:cs="Times New Roman"/>
                <w:sz w:val="24"/>
                <w:lang w:val="en-US" w:eastAsia="zh-CN"/>
              </w:rPr>
              <w:t>架子床加工生产线</w:t>
            </w:r>
            <w:r>
              <w:rPr>
                <w:rFonts w:hint="default" w:ascii="Times New Roman" w:hAnsi="Times New Roman" w:eastAsia="宋体" w:cs="Times New Roman"/>
                <w:sz w:val="24"/>
              </w:rPr>
              <w:t>，主要原辅材料包括</w:t>
            </w:r>
            <w:r>
              <w:rPr>
                <w:rFonts w:hint="default" w:ascii="Times New Roman" w:hAnsi="Times New Roman" w:eastAsia="宋体" w:cs="Times New Roman"/>
                <w:sz w:val="24"/>
                <w:lang w:val="en-US" w:eastAsia="zh-CN"/>
              </w:rPr>
              <w:t>钢管、</w:t>
            </w:r>
            <w:r>
              <w:rPr>
                <w:rFonts w:hint="default" w:ascii="Times New Roman" w:hAnsi="Times New Roman" w:eastAsia="宋体" w:cs="Times New Roman"/>
                <w:sz w:val="24"/>
              </w:rPr>
              <w:t>静电粉末涂料、焊丝和LNG等，根据项目生产工艺需求，项目建有</w:t>
            </w:r>
            <w:r>
              <w:rPr>
                <w:rFonts w:hint="default" w:ascii="Times New Roman" w:hAnsi="Times New Roman" w:eastAsia="宋体" w:cs="Times New Roman"/>
                <w:sz w:val="24"/>
                <w:lang w:val="en-US" w:eastAsia="zh-CN"/>
              </w:rPr>
              <w:t>50</w:t>
            </w:r>
            <w:r>
              <w:rPr>
                <w:rFonts w:hint="default" w:ascii="Times New Roman" w:hAnsi="Times New Roman" w:eastAsia="宋体" w:cs="Times New Roman"/>
                <w:sz w:val="24"/>
              </w:rPr>
              <w:t>kg</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LNG（液态天然气，主要成分为甲烷）储罐</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个</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3用1备</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及配套的LNG气化调压设备一套，最大储存量为</w:t>
            </w:r>
            <w:r>
              <w:rPr>
                <w:rFonts w:hint="default" w:ascii="Times New Roman" w:hAnsi="Times New Roman" w:eastAsia="宋体" w:cs="Times New Roman"/>
                <w:sz w:val="24"/>
                <w:lang w:val="en-US" w:eastAsia="zh-CN"/>
              </w:rPr>
              <w:t>150</w:t>
            </w:r>
            <w:r>
              <w:rPr>
                <w:rFonts w:hint="default" w:ascii="Times New Roman" w:hAnsi="Times New Roman" w:eastAsia="宋体" w:cs="Times New Roman"/>
                <w:sz w:val="24"/>
              </w:rPr>
              <w:t>kg。根据《建设项目环境风险评价技术导则》（HJ/T169-2018）附录B和《危险化学品重大危险源辨识》（GB18218-2018）有关重大危险源的判定标准，项目风险源为</w:t>
            </w:r>
            <w:r>
              <w:rPr>
                <w:rFonts w:hint="default" w:ascii="Times New Roman" w:hAnsi="Times New Roman" w:eastAsia="宋体" w:cs="Times New Roman"/>
                <w:sz w:val="24"/>
                <w:lang w:val="en-US" w:eastAsia="zh-CN"/>
              </w:rPr>
              <w:t>50</w:t>
            </w:r>
            <w:r>
              <w:rPr>
                <w:rFonts w:hint="default" w:ascii="Times New Roman" w:hAnsi="Times New Roman" w:eastAsia="宋体" w:cs="Times New Roman"/>
                <w:sz w:val="24"/>
              </w:rPr>
              <w:t>kg的LNG罐，涉及的风险物质为甲烷，风险物质危险特性见表</w:t>
            </w:r>
            <w:r>
              <w:rPr>
                <w:rFonts w:hint="default" w:ascii="Times New Roman" w:hAnsi="Times New Roman" w:eastAsia="宋体" w:cs="Times New Roman"/>
                <w:sz w:val="24"/>
                <w:lang w:val="en-US" w:eastAsia="zh-CN"/>
              </w:rPr>
              <w:t>7-14</w:t>
            </w:r>
            <w:r>
              <w:rPr>
                <w:rFonts w:hint="default" w:ascii="Times New Roman" w:hAnsi="Times New Roman" w:eastAsia="宋体" w:cs="Times New Roman"/>
                <w:sz w:val="24"/>
              </w:rPr>
              <w:t>、风险物质安全技术说明书见表</w:t>
            </w:r>
            <w:r>
              <w:rPr>
                <w:rFonts w:hint="default" w:ascii="Times New Roman" w:hAnsi="Times New Roman" w:eastAsia="宋体" w:cs="Times New Roman"/>
                <w:sz w:val="24"/>
                <w:lang w:val="en-US" w:eastAsia="zh-CN"/>
              </w:rPr>
              <w:t>7-15</w:t>
            </w:r>
            <w:r>
              <w:rPr>
                <w:rFonts w:hint="default"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表</w:t>
            </w:r>
            <w:r>
              <w:rPr>
                <w:rFonts w:hint="eastAsia" w:ascii="Times New Roman" w:hAnsi="Times New Roman" w:cs="Times New Roman"/>
                <w:b/>
                <w:bCs/>
                <w:sz w:val="24"/>
                <w:lang w:val="en-US" w:eastAsia="zh-CN"/>
              </w:rPr>
              <w:t>7-14</w:t>
            </w:r>
            <w:r>
              <w:rPr>
                <w:rFonts w:hint="default" w:ascii="Times New Roman" w:hAnsi="Times New Roman" w:eastAsia="宋体" w:cs="Times New Roman"/>
                <w:b/>
                <w:bCs/>
                <w:sz w:val="24"/>
              </w:rPr>
              <w:t xml:space="preserve"> 本项目涉及的主要物料危险特性表</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125"/>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212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性状</w:t>
                  </w:r>
                </w:p>
              </w:tc>
              <w:tc>
                <w:tcPr>
                  <w:tcW w:w="21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危险特性</w:t>
                  </w:r>
                </w:p>
              </w:tc>
              <w:tc>
                <w:tcPr>
                  <w:tcW w:w="212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LC50（mg/m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甲烷</w:t>
                  </w:r>
                </w:p>
              </w:tc>
              <w:tc>
                <w:tcPr>
                  <w:tcW w:w="212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shd w:val="clear" w:color="auto" w:fill="FFFFFF"/>
                    </w:rPr>
                    <w:t>无色无味气体</w:t>
                  </w:r>
                </w:p>
              </w:tc>
              <w:tc>
                <w:tcPr>
                  <w:tcW w:w="21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易燃</w:t>
                  </w:r>
                </w:p>
              </w:tc>
              <w:tc>
                <w:tcPr>
                  <w:tcW w:w="212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adjustRightInd w:val="0"/>
              <w:snapToGrid w:val="0"/>
              <w:spacing w:before="156" w:beforeLines="50" w:line="360" w:lineRule="auto"/>
              <w:jc w:val="center"/>
              <w:rPr>
                <w:b/>
                <w:bCs/>
                <w:sz w:val="24"/>
              </w:rPr>
            </w:pPr>
            <w:r>
              <w:rPr>
                <w:rFonts w:hAnsi="宋体"/>
                <w:b/>
                <w:bCs/>
                <w:sz w:val="24"/>
              </w:rPr>
              <w:t>表</w:t>
            </w:r>
            <w:r>
              <w:rPr>
                <w:rFonts w:hint="eastAsia"/>
                <w:b/>
                <w:bCs/>
                <w:sz w:val="24"/>
                <w:lang w:val="en-US" w:eastAsia="zh-CN"/>
              </w:rPr>
              <w:t>7-15</w:t>
            </w:r>
            <w:r>
              <w:rPr>
                <w:b/>
                <w:bCs/>
                <w:sz w:val="24"/>
              </w:rPr>
              <w:t xml:space="preserve"> </w:t>
            </w:r>
            <w:r>
              <w:rPr>
                <w:rFonts w:hAnsi="宋体"/>
                <w:b/>
                <w:bCs/>
                <w:sz w:val="24"/>
              </w:rPr>
              <w:t>甲烷安全技术说明书</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187"/>
              <w:gridCol w:w="1769"/>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标识</w:t>
                  </w: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中文名：甲烷</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英文名：methane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分子式：CH</w:t>
                  </w:r>
                  <w:r>
                    <w:rPr>
                      <w:rFonts w:hint="default" w:ascii="Times New Roman" w:hAnsi="Times New Roman" w:eastAsia="宋体" w:cs="Times New Roman"/>
                      <w:sz w:val="21"/>
                      <w:szCs w:val="21"/>
                      <w:vertAlign w:val="subscript"/>
                    </w:rPr>
                    <w:t>4</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分子量：16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21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危规号：</w:t>
                  </w:r>
                  <w:r>
                    <w:rPr>
                      <w:rFonts w:hint="default" w:ascii="Times New Roman" w:hAnsi="Times New Roman" w:eastAsia="宋体" w:cs="Times New Roman"/>
                      <w:sz w:val="21"/>
                      <w:szCs w:val="21"/>
                      <w:shd w:val="clear" w:color="auto" w:fill="FFFFFF"/>
                    </w:rPr>
                    <w:t>21007</w:t>
                  </w:r>
                </w:p>
              </w:tc>
              <w:tc>
                <w:tcPr>
                  <w:tcW w:w="17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UN编号：1972</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CAS号：74-82-8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理化性质</w:t>
                  </w: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外观与形状：</w:t>
                  </w:r>
                  <w:r>
                    <w:rPr>
                      <w:rFonts w:hint="default" w:ascii="Times New Roman" w:hAnsi="Times New Roman" w:eastAsia="宋体" w:cs="Times New Roman"/>
                      <w:sz w:val="21"/>
                      <w:szCs w:val="21"/>
                      <w:shd w:val="clear" w:color="auto" w:fill="FFFFFF"/>
                    </w:rPr>
                    <w:t>无色无味气体</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溶解性：</w:t>
                  </w:r>
                  <w:r>
                    <w:rPr>
                      <w:rFonts w:hint="default" w:ascii="Times New Roman" w:hAnsi="Times New Roman" w:eastAsia="宋体" w:cs="Times New Roman"/>
                      <w:sz w:val="21"/>
                      <w:szCs w:val="21"/>
                      <w:shd w:val="clear" w:color="auto" w:fill="FFFFFF"/>
                    </w:rPr>
                    <w:t>极难溶于水</w:t>
                  </w:r>
                  <w:r>
                    <w:rPr>
                      <w:rFonts w:hint="default" w:ascii="Times New Roman" w:hAnsi="Times New Roman" w:eastAsia="宋体" w:cs="Times New Roman"/>
                      <w:sz w:val="21"/>
                      <w:szCs w:val="21"/>
                    </w:rPr>
                    <w:t>，溶于乙醇、乙醚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熔点（℃）：-182.5</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沸点（℃）：-161.5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相对密度：（水=1）0.42（-164℃）</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相对密度：（空气=1）0.5548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饱和蒸气压（kPa）</w:t>
                  </w:r>
                  <w:r>
                    <w:rPr>
                      <w:rFonts w:hint="default" w:ascii="Times New Roman" w:hAnsi="Times New Roman" w:eastAsia="宋体" w:cs="Times New Roman"/>
                      <w:sz w:val="21"/>
                      <w:szCs w:val="21"/>
                      <w:shd w:val="clear" w:color="auto" w:fill="FFFFFF"/>
                    </w:rPr>
                    <w:t>53.32(-168.8℃）</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shd w:val="clear" w:color="auto" w:fill="FFFFFF"/>
                    </w:rPr>
                    <w:t>通常情况下，甲烷比较稳定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临界压力（Mpa）：4.59</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临界温度（℃）：-82.6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危险特性</w:t>
                  </w: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危险性类别：</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燃烧性：易燃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引燃温度（℃）：538</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闪点（℃）：-188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爆炸下限（%）：5</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爆炸上限（%）：15.4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39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燃烧热：890.31KJ/mol</w:t>
                  </w:r>
                </w:p>
              </w:tc>
              <w:tc>
                <w:tcPr>
                  <w:tcW w:w="384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燃烧（分解）产物：二氧化碳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780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危险特性：易燃气体。与空气混合能形成爆炸性混合物，遇热源和明火有燃烧爆炸的危险。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780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灭火方法：切断气源。若不能切断气源，则不允许熄灭泄漏处的火焰。喷水冷却容器，可能的话将容器从火场移至空旷处。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780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灭火剂：雾状水、泡沫、二氧化碳、干粉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健康危害</w:t>
                  </w:r>
                </w:p>
              </w:tc>
              <w:tc>
                <w:tcPr>
                  <w:tcW w:w="780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甲烷对人基本无毒，但浓度过高时，使空气中</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"https://baike.sogou.com/lemma/ShowInnerLink.htm?lemmaId=8932082&amp;ss_c=ssc.citiao.link" </w:instrText>
                  </w:r>
                  <w:r>
                    <w:rPr>
                      <w:rFonts w:hint="default" w:ascii="Times New Roman" w:hAnsi="Times New Roman" w:eastAsia="宋体" w:cs="Times New Roman"/>
                      <w:sz w:val="21"/>
                      <w:szCs w:val="21"/>
                    </w:rPr>
                    <w:fldChar w:fldCharType="separate"/>
                  </w:r>
                  <w:r>
                    <w:rPr>
                      <w:rStyle w:val="43"/>
                      <w:rFonts w:hint="default" w:ascii="Times New Roman" w:hAnsi="Times New Roman" w:eastAsia="宋体" w:cs="Times New Roman"/>
                      <w:color w:val="auto"/>
                      <w:sz w:val="21"/>
                      <w:szCs w:val="21"/>
                      <w:u w:val="none"/>
                    </w:rPr>
                    <w:t>氧含量</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明显降低，使人窒息。当空气中甲烷达25%-30%时，可引起头痛、头晕、乏力、</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"https://baike.sogou.com/lemma/ShowInnerLink.htm?lemmaId=61597925&amp;ss_c=ssc.citiao.link" </w:instrText>
                  </w:r>
                  <w:r>
                    <w:rPr>
                      <w:rFonts w:hint="default" w:ascii="Times New Roman" w:hAnsi="Times New Roman" w:eastAsia="宋体" w:cs="Times New Roman"/>
                      <w:sz w:val="21"/>
                      <w:szCs w:val="21"/>
                    </w:rPr>
                    <w:fldChar w:fldCharType="separate"/>
                  </w:r>
                  <w:r>
                    <w:rPr>
                      <w:rStyle w:val="43"/>
                      <w:rFonts w:hint="default" w:ascii="Times New Roman" w:hAnsi="Times New Roman" w:eastAsia="宋体" w:cs="Times New Roman"/>
                      <w:color w:val="auto"/>
                      <w:sz w:val="21"/>
                      <w:szCs w:val="21"/>
                      <w:u w:val="none"/>
                    </w:rPr>
                    <w:t>注意力不集中</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、呼吸和心跳加速、共济失调。若不及时远离，可致窒息死亡。皮肤接触液化的甲烷，可致冻伤。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急救措施</w:t>
                  </w:r>
                </w:p>
              </w:tc>
              <w:tc>
                <w:tcPr>
                  <w:tcW w:w="7804" w:type="dxa"/>
                  <w:gridSpan w:val="3"/>
                  <w:tcBorders>
                    <w:top w:val="single" w:color="auto" w:sz="4" w:space="0"/>
                    <w:left w:val="nil"/>
                    <w:bottom w:val="single" w:color="auto" w:sz="4" w:space="0"/>
                    <w:right w:val="single" w:color="auto" w:sz="4" w:space="0"/>
                  </w:tcBorders>
                  <w:noWrap w:val="0"/>
                  <w:vAlign w:val="center"/>
                </w:tcPr>
                <w:p>
                  <w:pPr>
                    <w:pStyle w:val="2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皮肤接触或眼睛接触：皮肤或眼睛接触液态甲烷会冻伤，应及时就医。</w:t>
                  </w:r>
                </w:p>
                <w:p>
                  <w:pPr>
                    <w:pStyle w:val="2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rPr>
                    <w:t>吸入：迅速脱离现场至空气新鲜处。保持呼吸道通畅。如呼吸困难，给输氧。如呼吸停止，立即进行人工呼吸。就医。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泄漏应急处理</w:t>
                  </w:r>
                </w:p>
              </w:tc>
              <w:tc>
                <w:tcPr>
                  <w:tcW w:w="780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迅速撤离泄漏污染区人员至上风处，并进行隔离，严格限制出入。切断火源。建议应急处理人员戴</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"https://baike.sogou.com/lemma/ShowInnerLink.htm?lemmaId=72381229&amp;ss_c=ssc.citiao.link" </w:instrText>
                  </w:r>
                  <w:r>
                    <w:rPr>
                      <w:rFonts w:hint="default" w:ascii="Times New Roman" w:hAnsi="Times New Roman" w:eastAsia="宋体" w:cs="Times New Roman"/>
                      <w:sz w:val="21"/>
                      <w:szCs w:val="21"/>
                    </w:rPr>
                    <w:fldChar w:fldCharType="separate"/>
                  </w:r>
                  <w:r>
                    <w:rPr>
                      <w:rStyle w:val="43"/>
                      <w:rFonts w:hint="default" w:ascii="Times New Roman" w:hAnsi="Times New Roman" w:eastAsia="宋体" w:cs="Times New Roman"/>
                      <w:color w:val="auto"/>
                      <w:sz w:val="21"/>
                      <w:szCs w:val="21"/>
                      <w:u w:val="none"/>
                    </w:rPr>
                    <w:t>自给正压式呼吸器</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，穿消防防护服。尽可能切断泄漏源。合理通风，加速扩散。喷雾状水稀释、溶解。构筑围堤或挖坑收容产生的大量废水。如有可能，将漏出气用</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"https://baike.sogou.com/lemma/ShowInnerLink.htm?lemmaId=27949858&amp;ss_c=ssc.citiao.link" </w:instrText>
                  </w:r>
                  <w:r>
                    <w:rPr>
                      <w:rFonts w:hint="default" w:ascii="Times New Roman" w:hAnsi="Times New Roman" w:eastAsia="宋体" w:cs="Times New Roman"/>
                      <w:sz w:val="21"/>
                      <w:szCs w:val="21"/>
                    </w:rPr>
                    <w:fldChar w:fldCharType="separate"/>
                  </w:r>
                  <w:r>
                    <w:rPr>
                      <w:rStyle w:val="43"/>
                      <w:rFonts w:hint="default" w:ascii="Times New Roman" w:hAnsi="Times New Roman" w:eastAsia="宋体" w:cs="Times New Roman"/>
                      <w:color w:val="auto"/>
                      <w:sz w:val="21"/>
                      <w:szCs w:val="21"/>
                      <w:u w:val="none"/>
                    </w:rPr>
                    <w:t>排风机</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送至空旷地方或装设适当喷头烧掉。也可以将漏气的容器移至空旷处，注意通风。漏气容器要妥善处理，修复、检验后再用。</w:t>
                  </w:r>
                </w:p>
              </w:tc>
            </w:tr>
          </w:tbl>
          <w:p>
            <w:pPr>
              <w:spacing w:line="360" w:lineRule="auto"/>
              <w:ind w:firstLine="480" w:firstLineChars="200"/>
              <w:rPr>
                <w:rFonts w:hint="eastAsia" w:ascii="宋体" w:hAnsi="宋体"/>
                <w:sz w:val="24"/>
              </w:rPr>
            </w:pPr>
            <w:r>
              <w:rPr>
                <w:rFonts w:hint="eastAsia" w:ascii="宋体" w:hAnsi="宋体"/>
                <w:sz w:val="24"/>
              </w:rPr>
              <w:t>（2）风险潜势初判</w:t>
            </w:r>
          </w:p>
          <w:p>
            <w:pPr>
              <w:autoSpaceDE w:val="0"/>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根据《建设项目环境风险评价技术导则》（HJ 169-2018），建设项目环境风险潜势划分为Ⅰ、Ⅱ、Ⅲ、Ⅳ/Ⅳ</w:t>
            </w:r>
            <w:r>
              <w:rPr>
                <w:rFonts w:hint="default" w:ascii="Times New Roman" w:hAnsi="Times New Roman" w:eastAsia="宋体" w:cs="Times New Roman"/>
                <w:sz w:val="24"/>
                <w:vertAlign w:val="superscript"/>
              </w:rPr>
              <w:t>+</w:t>
            </w:r>
            <w:r>
              <w:rPr>
                <w:rFonts w:hint="default" w:ascii="Times New Roman" w:hAnsi="Times New Roman" w:eastAsia="宋体" w:cs="Times New Roman"/>
                <w:sz w:val="24"/>
              </w:rPr>
              <w:t>级，如下表所示：</w:t>
            </w:r>
          </w:p>
          <w:p>
            <w:pPr>
              <w:widowControl/>
              <w:autoSpaceDE w:val="0"/>
              <w:adjustRightInd w:val="0"/>
              <w:snapToGrid w:val="0"/>
              <w:spacing w:line="360" w:lineRule="auto"/>
              <w:jc w:val="center"/>
              <w:rPr>
                <w:rFonts w:eastAsia="黑体"/>
                <w:sz w:val="24"/>
              </w:rPr>
            </w:pPr>
            <w:r>
              <w:rPr>
                <w:rFonts w:ascii="黑体" w:hAnsi="黑体" w:eastAsia="黑体"/>
                <w:sz w:val="24"/>
              </w:rPr>
              <w:t>表</w:t>
            </w:r>
            <w:r>
              <w:rPr>
                <w:rFonts w:hint="eastAsia" w:eastAsia="黑体"/>
                <w:sz w:val="24"/>
                <w:lang w:val="en-US" w:eastAsia="zh-CN"/>
              </w:rPr>
              <w:t>7-16</w:t>
            </w:r>
            <w:r>
              <w:rPr>
                <w:rFonts w:eastAsia="黑体"/>
                <w:sz w:val="24"/>
              </w:rPr>
              <w:t xml:space="preserve"> </w:t>
            </w:r>
            <w:r>
              <w:rPr>
                <w:rFonts w:ascii="黑体" w:hAnsi="黑体" w:eastAsia="黑体"/>
                <w:sz w:val="24"/>
              </w:rPr>
              <w:t>建设项目环境风险潜势划分</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1584"/>
              <w:gridCol w:w="1200"/>
              <w:gridCol w:w="1272"/>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环境敏感程度（E）</w:t>
                  </w:r>
                </w:p>
              </w:tc>
              <w:tc>
                <w:tcPr>
                  <w:tcW w:w="55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危险物质及工艺系统危险性（P）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N/>
                    <w:bidi w:val="0"/>
                    <w:spacing w:line="240" w:lineRule="auto"/>
                    <w:jc w:val="left"/>
                    <w:textAlignment w:val="auto"/>
                    <w:rPr>
                      <w:rFonts w:hint="default" w:ascii="Times New Roman" w:hAnsi="Times New Roman" w:eastAsia="宋体" w:cs="Times New Roman"/>
                      <w:sz w:val="21"/>
                      <w:szCs w:val="21"/>
                    </w:rPr>
                  </w:pPr>
                </w:p>
              </w:tc>
              <w:tc>
                <w:tcPr>
                  <w:tcW w:w="158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极高危害（P1）</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高度危害（P2）</w:t>
                  </w:r>
                </w:p>
              </w:tc>
              <w:tc>
                <w:tcPr>
                  <w:tcW w:w="12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中度危害（P3）</w:t>
                  </w:r>
                </w:p>
              </w:tc>
              <w:tc>
                <w:tcPr>
                  <w:tcW w:w="144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轻度危害（P4）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环境高度敏感区（E1）</w:t>
                  </w:r>
                </w:p>
              </w:tc>
              <w:tc>
                <w:tcPr>
                  <w:tcW w:w="158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Ⅳ</w:t>
                  </w:r>
                  <w:r>
                    <w:rPr>
                      <w:rFonts w:hint="default" w:ascii="Times New Roman" w:hAnsi="Times New Roman" w:eastAsia="宋体" w:cs="Times New Roman"/>
                      <w:sz w:val="21"/>
                      <w:szCs w:val="21"/>
                      <w:vertAlign w:val="superscript"/>
                    </w:rPr>
                    <w:t>+</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Ⅳ</w:t>
                  </w:r>
                </w:p>
              </w:tc>
              <w:tc>
                <w:tcPr>
                  <w:tcW w:w="12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c>
                <w:tcPr>
                  <w:tcW w:w="144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环境中度敏感区（E2）</w:t>
                  </w:r>
                </w:p>
              </w:tc>
              <w:tc>
                <w:tcPr>
                  <w:tcW w:w="158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Ⅳ</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c>
                <w:tcPr>
                  <w:tcW w:w="12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c>
                <w:tcPr>
                  <w:tcW w:w="144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环境低度敏感区（E3）</w:t>
                  </w:r>
                </w:p>
              </w:tc>
              <w:tc>
                <w:tcPr>
                  <w:tcW w:w="158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c>
                <w:tcPr>
                  <w:tcW w:w="12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Ⅱ</w:t>
                  </w:r>
                </w:p>
              </w:tc>
              <w:tc>
                <w:tcPr>
                  <w:tcW w:w="144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val="0"/>
                    <w:snapToGrid w:val="0"/>
                    <w:spacing w:line="240" w:lineRule="auto"/>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注：Ⅳ+为极高环境风险</w:t>
                  </w:r>
                </w:p>
              </w:tc>
            </w:tr>
          </w:tbl>
          <w:p>
            <w:pPr>
              <w:adjustRightInd w:val="0"/>
              <w:snapToGrid w:val="0"/>
              <w:spacing w:before="156" w:beforeLines="50" w:line="360" w:lineRule="auto"/>
              <w:ind w:firstLine="480" w:firstLineChars="200"/>
              <w:rPr>
                <w:sz w:val="24"/>
              </w:rPr>
            </w:pPr>
            <w:r>
              <w:rPr>
                <w:rFonts w:hint="eastAsia" w:ascii="宋体" w:hAnsi="宋体" w:cs="宋体"/>
                <w:sz w:val="24"/>
              </w:rPr>
              <w:t>①</w:t>
            </w:r>
            <w:r>
              <w:rPr>
                <w:sz w:val="24"/>
              </w:rPr>
              <w:t>危险物质及工艺系统危险性（P）分级</w:t>
            </w:r>
          </w:p>
          <w:p>
            <w:pPr>
              <w:spacing w:line="360" w:lineRule="auto"/>
              <w:ind w:firstLine="480" w:firstLineChars="200"/>
              <w:rPr>
                <w:szCs w:val="21"/>
              </w:rPr>
            </w:pPr>
            <w:r>
              <w:rPr>
                <w:sz w:val="24"/>
              </w:rPr>
              <w:t>根据危险物质数量与临界值（Q）和行业及生产工艺（M），按照表</w:t>
            </w:r>
            <w:r>
              <w:rPr>
                <w:rFonts w:hint="eastAsia"/>
                <w:sz w:val="24"/>
              </w:rPr>
              <w:t>33</w:t>
            </w:r>
            <w:r>
              <w:rPr>
                <w:sz w:val="24"/>
              </w:rPr>
              <w:t>确定危险物质及工艺系统危险性等级（P），分别以P1、P2、P3、P4表示。</w:t>
            </w:r>
          </w:p>
          <w:p>
            <w:pPr>
              <w:adjustRightInd w:val="0"/>
              <w:snapToGrid w:val="0"/>
              <w:spacing w:line="360" w:lineRule="auto"/>
              <w:jc w:val="center"/>
              <w:rPr>
                <w:b/>
                <w:bCs/>
                <w:sz w:val="24"/>
              </w:rPr>
            </w:pPr>
            <w:r>
              <w:rPr>
                <w:rFonts w:ascii="宋体" w:hAnsi="宋体"/>
                <w:b/>
                <w:bCs/>
                <w:sz w:val="24"/>
              </w:rPr>
              <w:t>表</w:t>
            </w:r>
            <w:r>
              <w:rPr>
                <w:rFonts w:hint="eastAsia"/>
                <w:b/>
                <w:bCs/>
                <w:sz w:val="24"/>
                <w:lang w:val="en-US" w:eastAsia="zh-CN"/>
              </w:rPr>
              <w:t xml:space="preserve">7-17 </w:t>
            </w:r>
            <w:r>
              <w:rPr>
                <w:rFonts w:ascii="宋体" w:hAnsi="宋体"/>
                <w:b/>
                <w:bCs/>
                <w:sz w:val="24"/>
              </w:rPr>
              <w:t>危险物质及工艺系统危险性等级判断（</w:t>
            </w:r>
            <w:r>
              <w:rPr>
                <w:b/>
                <w:bCs/>
                <w:sz w:val="24"/>
              </w:rPr>
              <w:t>P</w:t>
            </w:r>
            <w:r>
              <w:rPr>
                <w:rFonts w:ascii="宋体" w:hAnsi="宋体"/>
                <w:b/>
                <w:bCs/>
                <w:sz w:val="24"/>
              </w:rPr>
              <w:t>）</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427"/>
              <w:gridCol w:w="1590"/>
              <w:gridCol w:w="17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4" w:type="dxa"/>
                  <w:vMerge w:val="restart"/>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危险物质数量与临界量比值（Q）</w:t>
                  </w:r>
                </w:p>
              </w:tc>
              <w:tc>
                <w:tcPr>
                  <w:tcW w:w="6420" w:type="dxa"/>
                  <w:gridSpan w:val="4"/>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行业及生产工艺（M）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rPr>
                  </w:pPr>
                </w:p>
              </w:tc>
              <w:tc>
                <w:tcPr>
                  <w:tcW w:w="1427"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M1</w:t>
                  </w:r>
                </w:p>
              </w:tc>
              <w:tc>
                <w:tcPr>
                  <w:tcW w:w="1590"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M2</w:t>
                  </w:r>
                </w:p>
              </w:tc>
              <w:tc>
                <w:tcPr>
                  <w:tcW w:w="1702"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M3</w:t>
                  </w:r>
                </w:p>
              </w:tc>
              <w:tc>
                <w:tcPr>
                  <w:tcW w:w="1701"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4"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Q≥100</w:t>
                  </w:r>
                </w:p>
              </w:tc>
              <w:tc>
                <w:tcPr>
                  <w:tcW w:w="1427"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P1</w:t>
                  </w:r>
                </w:p>
              </w:tc>
              <w:tc>
                <w:tcPr>
                  <w:tcW w:w="1590"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P1</w:t>
                  </w:r>
                </w:p>
              </w:tc>
              <w:tc>
                <w:tcPr>
                  <w:tcW w:w="1702"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P2</w:t>
                  </w:r>
                </w:p>
              </w:tc>
              <w:tc>
                <w:tcPr>
                  <w:tcW w:w="1701"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4"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10≤Q＜100</w:t>
                  </w:r>
                </w:p>
              </w:tc>
              <w:tc>
                <w:tcPr>
                  <w:tcW w:w="1427"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P1</w:t>
                  </w:r>
                </w:p>
              </w:tc>
              <w:tc>
                <w:tcPr>
                  <w:tcW w:w="1590"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P2</w:t>
                  </w:r>
                </w:p>
              </w:tc>
              <w:tc>
                <w:tcPr>
                  <w:tcW w:w="1702"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P3</w:t>
                  </w:r>
                </w:p>
              </w:tc>
              <w:tc>
                <w:tcPr>
                  <w:tcW w:w="1701"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4"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1≤Q＜10</w:t>
                  </w:r>
                </w:p>
              </w:tc>
              <w:tc>
                <w:tcPr>
                  <w:tcW w:w="1427"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P2</w:t>
                  </w:r>
                </w:p>
              </w:tc>
              <w:tc>
                <w:tcPr>
                  <w:tcW w:w="1590"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P3</w:t>
                  </w:r>
                </w:p>
              </w:tc>
              <w:tc>
                <w:tcPr>
                  <w:tcW w:w="1702"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P4</w:t>
                  </w:r>
                </w:p>
              </w:tc>
              <w:tc>
                <w:tcPr>
                  <w:tcW w:w="1701" w:type="dxa"/>
                  <w:tcBorders>
                    <w:top w:val="single" w:color="auto" w:sz="4" w:space="0"/>
                    <w:left w:val="nil"/>
                    <w:bottom w:val="single" w:color="auto" w:sz="4" w:space="0"/>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P4</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ascii="宋体" w:hAnsi="宋体" w:cs="宋体"/>
                <w:sz w:val="24"/>
              </w:rPr>
              <w:t>②</w:t>
            </w:r>
            <w:r>
              <w:rPr>
                <w:sz w:val="24"/>
              </w:rPr>
              <w:t>Q</w:t>
            </w:r>
            <w:r>
              <w:rPr>
                <w:rFonts w:ascii="宋体" w:hAnsi="宋体"/>
                <w:sz w:val="24"/>
              </w:rPr>
              <w:t>值确定</w:t>
            </w:r>
          </w:p>
          <w:p>
            <w:pPr>
              <w:pStyle w:val="3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textAlignment w:val="auto"/>
              <w:rPr>
                <w:lang w:val="en-US" w:eastAsia="zh-CN"/>
              </w:rPr>
            </w:pPr>
            <w:r>
              <w:rPr>
                <w:rFonts w:ascii="宋体" w:hAnsi="宋体"/>
                <w:sz w:val="24"/>
                <w:lang w:val="en-US" w:eastAsia="zh-CN"/>
              </w:rPr>
              <w:t>根据《建设项目环境风险评价技术导则》（</w:t>
            </w:r>
            <w:r>
              <w:rPr>
                <w:sz w:val="24"/>
                <w:lang w:val="en-US" w:eastAsia="zh-CN"/>
              </w:rPr>
              <w:t>HJ 169-2018</w:t>
            </w:r>
            <w:r>
              <w:rPr>
                <w:rFonts w:ascii="宋体" w:hAnsi="宋体"/>
                <w:sz w:val="24"/>
                <w:lang w:val="en-US" w:eastAsia="zh-CN"/>
              </w:rPr>
              <w:t>）附录</w:t>
            </w:r>
            <w:r>
              <w:rPr>
                <w:sz w:val="24"/>
                <w:lang w:val="en-US" w:eastAsia="zh-CN"/>
              </w:rPr>
              <w:t>C</w:t>
            </w:r>
            <w:r>
              <w:rPr>
                <w:rFonts w:ascii="宋体" w:hAnsi="宋体"/>
                <w:sz w:val="24"/>
                <w:lang w:val="en-US" w:eastAsia="zh-CN"/>
              </w:rPr>
              <w:t>中对</w:t>
            </w:r>
            <w:r>
              <w:rPr>
                <w:sz w:val="24"/>
                <w:lang w:val="en-US" w:eastAsia="zh-CN"/>
              </w:rPr>
              <w:t>Q</w:t>
            </w:r>
            <w:r>
              <w:rPr>
                <w:rFonts w:ascii="宋体" w:hAnsi="宋体"/>
                <w:sz w:val="24"/>
                <w:lang w:val="en-US" w:eastAsia="zh-CN"/>
              </w:rPr>
              <w:t>值计算方法的规定及附录</w:t>
            </w:r>
            <w:r>
              <w:rPr>
                <w:sz w:val="24"/>
                <w:lang w:val="en-US" w:eastAsia="zh-CN"/>
              </w:rPr>
              <w:t>B</w:t>
            </w:r>
            <w:r>
              <w:rPr>
                <w:rFonts w:ascii="宋体" w:hAnsi="宋体"/>
                <w:sz w:val="24"/>
                <w:lang w:val="en-US" w:eastAsia="zh-CN"/>
              </w:rPr>
              <w:t>中甲烷的临界量，可知本项目</w:t>
            </w:r>
            <w:r>
              <w:rPr>
                <w:sz w:val="24"/>
                <w:lang w:val="en-US" w:eastAsia="zh-CN"/>
              </w:rPr>
              <w:t>Q=</w:t>
            </w:r>
            <w:r>
              <w:rPr>
                <w:rFonts w:hint="eastAsia"/>
                <w:sz w:val="24"/>
                <w:lang w:val="en-US" w:eastAsia="zh-CN"/>
              </w:rPr>
              <w:t>0.015</w:t>
            </w:r>
            <w:r>
              <w:rPr>
                <w:rFonts w:ascii="宋体" w:hAnsi="宋体"/>
                <w:sz w:val="24"/>
                <w:lang w:val="en-US" w:eastAsia="zh-CN"/>
              </w:rPr>
              <w:t>，</w:t>
            </w:r>
            <w:r>
              <w:rPr>
                <w:sz w:val="24"/>
                <w:lang w:val="en-US" w:eastAsia="zh-CN"/>
              </w:rPr>
              <w:t>Q</w:t>
            </w:r>
            <w:r>
              <w:rPr>
                <w:rFonts w:ascii="宋体" w:hAnsi="宋体"/>
                <w:sz w:val="24"/>
                <w:lang w:val="en-US" w:eastAsia="zh-CN"/>
              </w:rPr>
              <w:t>＜</w:t>
            </w:r>
            <w:r>
              <w:rPr>
                <w:sz w:val="24"/>
                <w:lang w:val="en-US" w:eastAsia="zh-CN"/>
              </w:rPr>
              <w:t>1</w:t>
            </w:r>
            <w:r>
              <w:rPr>
                <w:rFonts w:hint="eastAsia" w:ascii="宋体" w:hAnsi="宋体"/>
                <w:sz w:val="24"/>
                <w:lang w:val="en-US" w:eastAsia="zh-CN"/>
              </w:rPr>
              <w:t>，建设项目</w:t>
            </w:r>
            <w:r>
              <w:rPr>
                <w:rFonts w:hint="eastAsia"/>
                <w:sz w:val="24"/>
                <w:lang w:val="en-US" w:eastAsia="zh-CN"/>
              </w:rPr>
              <w:t>Q</w:t>
            </w:r>
            <w:r>
              <w:rPr>
                <w:rFonts w:hint="eastAsia" w:ascii="宋体" w:hAnsi="宋体"/>
                <w:sz w:val="24"/>
                <w:lang w:val="en-US" w:eastAsia="zh-CN"/>
              </w:rPr>
              <w:t>值确定见表</w:t>
            </w:r>
            <w:r>
              <w:rPr>
                <w:rFonts w:hint="eastAsia"/>
                <w:sz w:val="24"/>
                <w:lang w:val="en-US" w:eastAsia="zh-CN"/>
              </w:rPr>
              <w:t>7-18</w:t>
            </w:r>
            <w:r>
              <w:rPr>
                <w:rFonts w:ascii="宋体" w:hAnsi="宋体"/>
                <w:sz w:val="24"/>
                <w:lang w:val="en-US" w:eastAsia="zh-CN"/>
              </w:rPr>
              <w:t>。</w:t>
            </w:r>
          </w:p>
          <w:p>
            <w:pPr>
              <w:adjustRightInd w:val="0"/>
              <w:snapToGrid w:val="0"/>
              <w:spacing w:line="360" w:lineRule="auto"/>
              <w:jc w:val="center"/>
              <w:rPr>
                <w:b/>
                <w:bCs/>
                <w:sz w:val="24"/>
              </w:rPr>
            </w:pPr>
            <w:r>
              <w:rPr>
                <w:rFonts w:ascii="宋体" w:hAnsi="宋体"/>
                <w:b/>
                <w:bCs/>
                <w:sz w:val="24"/>
              </w:rPr>
              <w:t>表</w:t>
            </w:r>
            <w:r>
              <w:rPr>
                <w:rFonts w:hint="eastAsia"/>
                <w:b/>
                <w:bCs/>
                <w:sz w:val="24"/>
                <w:lang w:val="en-US" w:eastAsia="zh-CN"/>
              </w:rPr>
              <w:t>7-18</w:t>
            </w:r>
            <w:r>
              <w:rPr>
                <w:b/>
                <w:bCs/>
                <w:sz w:val="24"/>
              </w:rPr>
              <w:t xml:space="preserve"> </w:t>
            </w:r>
            <w:r>
              <w:rPr>
                <w:rFonts w:ascii="宋体" w:hAnsi="宋体"/>
                <w:b/>
                <w:bCs/>
                <w:sz w:val="24"/>
              </w:rPr>
              <w:t>建设项目</w:t>
            </w:r>
            <w:r>
              <w:rPr>
                <w:b/>
                <w:bCs/>
                <w:sz w:val="24"/>
              </w:rPr>
              <w:t>Q</w:t>
            </w:r>
            <w:r>
              <w:rPr>
                <w:rFonts w:ascii="宋体" w:hAnsi="宋体"/>
                <w:b/>
                <w:bCs/>
                <w:sz w:val="24"/>
              </w:rPr>
              <w:t>值确定表</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513"/>
              <w:gridCol w:w="1512"/>
              <w:gridCol w:w="1670"/>
              <w:gridCol w:w="1055"/>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513"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危险物质名称</w:t>
                  </w:r>
                </w:p>
              </w:tc>
              <w:tc>
                <w:tcPr>
                  <w:tcW w:w="1512"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CAS号</w:t>
                  </w:r>
                </w:p>
              </w:tc>
              <w:tc>
                <w:tcPr>
                  <w:tcW w:w="1670"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最大存在总量/t</w:t>
                  </w:r>
                </w:p>
              </w:tc>
              <w:tc>
                <w:tcPr>
                  <w:tcW w:w="1055"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临界量/t</w:t>
                  </w:r>
                </w:p>
              </w:tc>
              <w:tc>
                <w:tcPr>
                  <w:tcW w:w="1896"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该种危险物质Q值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513"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甲烷</w:t>
                  </w:r>
                </w:p>
              </w:tc>
              <w:tc>
                <w:tcPr>
                  <w:tcW w:w="1512"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74-82-8</w:t>
                  </w:r>
                </w:p>
              </w:tc>
              <w:tc>
                <w:tcPr>
                  <w:tcW w:w="1670"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eastAsia" w:ascii="Times New Roman" w:hAnsi="Times New Roman" w:cs="Times New Roman"/>
                      <w:sz w:val="21"/>
                      <w:szCs w:val="21"/>
                      <w:lang w:val="en-US" w:eastAsia="zh-CN"/>
                    </w:rPr>
                    <w:t>15</w:t>
                  </w:r>
                </w:p>
              </w:tc>
              <w:tc>
                <w:tcPr>
                  <w:tcW w:w="1055"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896" w:type="dxa"/>
                  <w:tcBorders>
                    <w:top w:val="single" w:color="auto" w:sz="4" w:space="0"/>
                    <w:left w:val="nil"/>
                    <w:bottom w:val="single" w:color="auto" w:sz="4" w:space="0"/>
                    <w:right w:val="single" w:color="auto" w:sz="4" w:space="0"/>
                  </w:tcBorders>
                  <w:noWrap w:val="0"/>
                  <w:vAlign w:val="center"/>
                </w:tcPr>
                <w:p>
                  <w:pPr>
                    <w:pStyle w:val="31"/>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0.015</w:t>
                  </w:r>
                </w:p>
              </w:tc>
            </w:tr>
          </w:tbl>
          <w:p>
            <w:pPr>
              <w:spacing w:line="360" w:lineRule="auto"/>
              <w:ind w:firstLine="480" w:firstLineChars="200"/>
              <w:rPr>
                <w:sz w:val="24"/>
                <w:szCs w:val="24"/>
              </w:rPr>
            </w:pPr>
            <w:r>
              <w:rPr>
                <w:sz w:val="24"/>
                <w:szCs w:val="24"/>
              </w:rPr>
              <w:t>b、M值确定</w:t>
            </w:r>
          </w:p>
          <w:p>
            <w:pPr>
              <w:spacing w:line="360" w:lineRule="auto"/>
              <w:ind w:firstLine="480" w:firstLineChars="200"/>
              <w:rPr>
                <w:sz w:val="24"/>
                <w:szCs w:val="24"/>
              </w:rPr>
            </w:pPr>
            <w:r>
              <w:rPr>
                <w:sz w:val="24"/>
                <w:szCs w:val="24"/>
              </w:rPr>
              <w:t>根据《建设项目环境风险评价技术导则》（HJ 169-2018）附录C中表C.1的行业划分及本项目生产工艺特点，确定本项目M=</w:t>
            </w:r>
            <w:r>
              <w:rPr>
                <w:rFonts w:hint="eastAsia"/>
                <w:sz w:val="24"/>
                <w:szCs w:val="24"/>
                <w:lang w:val="en-US" w:eastAsia="zh-CN"/>
              </w:rPr>
              <w:t>5</w:t>
            </w:r>
            <w:r>
              <w:rPr>
                <w:sz w:val="24"/>
                <w:szCs w:val="24"/>
              </w:rPr>
              <w:t>，以M</w:t>
            </w:r>
            <w:r>
              <w:rPr>
                <w:rFonts w:hint="eastAsia"/>
                <w:sz w:val="24"/>
                <w:szCs w:val="24"/>
                <w:lang w:val="en-US" w:eastAsia="zh-CN"/>
              </w:rPr>
              <w:t>4</w:t>
            </w:r>
            <w:r>
              <w:rPr>
                <w:sz w:val="24"/>
                <w:szCs w:val="24"/>
              </w:rPr>
              <w:t>表示</w:t>
            </w:r>
            <w:r>
              <w:rPr>
                <w:rFonts w:hint="eastAsia"/>
                <w:sz w:val="24"/>
                <w:szCs w:val="24"/>
              </w:rPr>
              <w:t>，建设项目M值确定见表7-</w:t>
            </w:r>
            <w:r>
              <w:rPr>
                <w:rFonts w:hint="eastAsia"/>
                <w:sz w:val="24"/>
                <w:szCs w:val="24"/>
                <w:lang w:val="en-US" w:eastAsia="zh-CN"/>
              </w:rPr>
              <w:t>19</w:t>
            </w:r>
            <w:r>
              <w:rPr>
                <w:sz w:val="24"/>
                <w:szCs w:val="24"/>
              </w:rPr>
              <w:t>。</w:t>
            </w:r>
          </w:p>
          <w:p>
            <w:pPr>
              <w:adjustRightInd w:val="0"/>
              <w:snapToGrid w:val="0"/>
              <w:spacing w:line="360" w:lineRule="auto"/>
              <w:jc w:val="center"/>
              <w:rPr>
                <w:b/>
                <w:sz w:val="24"/>
                <w:szCs w:val="24"/>
              </w:rPr>
            </w:pPr>
            <w:r>
              <w:rPr>
                <w:b/>
                <w:sz w:val="24"/>
                <w:szCs w:val="24"/>
              </w:rPr>
              <w:t>表</w:t>
            </w:r>
            <w:r>
              <w:rPr>
                <w:rFonts w:hint="eastAsia"/>
                <w:b/>
                <w:sz w:val="24"/>
                <w:szCs w:val="24"/>
              </w:rPr>
              <w:t>7-</w:t>
            </w:r>
            <w:r>
              <w:rPr>
                <w:rFonts w:hint="eastAsia"/>
                <w:b/>
                <w:sz w:val="24"/>
                <w:szCs w:val="24"/>
                <w:lang w:val="en-US" w:eastAsia="zh-CN"/>
              </w:rPr>
              <w:t>19</w:t>
            </w:r>
            <w:r>
              <w:rPr>
                <w:b/>
                <w:sz w:val="24"/>
                <w:szCs w:val="24"/>
              </w:rPr>
              <w:t xml:space="preserve"> 建设项目M值确定表</w:t>
            </w:r>
          </w:p>
          <w:tbl>
            <w:tblPr>
              <w:tblStyle w:val="3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685"/>
              <w:gridCol w:w="2007"/>
              <w:gridCol w:w="1837"/>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86" w:type="dxa"/>
                  <w:noWrap w:val="0"/>
                  <w:vAlign w:val="center"/>
                </w:tcPr>
                <w:p>
                  <w:pPr>
                    <w:pStyle w:val="31"/>
                    <w:ind w:firstLine="0" w:firstLineChars="0"/>
                    <w:jc w:val="center"/>
                    <w:rPr>
                      <w:rFonts w:eastAsia="宋体"/>
                      <w:sz w:val="21"/>
                      <w:szCs w:val="21"/>
                    </w:rPr>
                  </w:pPr>
                  <w:r>
                    <w:rPr>
                      <w:rFonts w:eastAsia="宋体"/>
                      <w:sz w:val="21"/>
                      <w:szCs w:val="21"/>
                    </w:rPr>
                    <w:t>序号</w:t>
                  </w:r>
                </w:p>
              </w:tc>
              <w:tc>
                <w:tcPr>
                  <w:tcW w:w="1685" w:type="dxa"/>
                  <w:noWrap w:val="0"/>
                  <w:vAlign w:val="center"/>
                </w:tcPr>
                <w:p>
                  <w:pPr>
                    <w:pStyle w:val="31"/>
                    <w:ind w:firstLine="0" w:firstLineChars="0"/>
                    <w:jc w:val="center"/>
                    <w:rPr>
                      <w:rFonts w:eastAsia="宋体"/>
                      <w:sz w:val="21"/>
                      <w:szCs w:val="21"/>
                    </w:rPr>
                  </w:pPr>
                  <w:r>
                    <w:rPr>
                      <w:rFonts w:eastAsia="宋体"/>
                      <w:sz w:val="21"/>
                      <w:szCs w:val="21"/>
                    </w:rPr>
                    <w:t>工艺单元名称</w:t>
                  </w:r>
                </w:p>
              </w:tc>
              <w:tc>
                <w:tcPr>
                  <w:tcW w:w="2007" w:type="dxa"/>
                  <w:noWrap w:val="0"/>
                  <w:vAlign w:val="center"/>
                </w:tcPr>
                <w:p>
                  <w:pPr>
                    <w:pStyle w:val="31"/>
                    <w:ind w:firstLine="0" w:firstLineChars="0"/>
                    <w:jc w:val="center"/>
                    <w:rPr>
                      <w:rFonts w:eastAsia="宋体"/>
                      <w:sz w:val="21"/>
                      <w:szCs w:val="21"/>
                    </w:rPr>
                  </w:pPr>
                  <w:r>
                    <w:rPr>
                      <w:rFonts w:eastAsia="宋体"/>
                      <w:sz w:val="21"/>
                      <w:szCs w:val="21"/>
                    </w:rPr>
                    <w:t>生产工艺</w:t>
                  </w:r>
                </w:p>
              </w:tc>
              <w:tc>
                <w:tcPr>
                  <w:tcW w:w="1837" w:type="dxa"/>
                  <w:noWrap w:val="0"/>
                  <w:vAlign w:val="center"/>
                </w:tcPr>
                <w:p>
                  <w:pPr>
                    <w:pStyle w:val="31"/>
                    <w:ind w:firstLine="0" w:firstLineChars="0"/>
                    <w:jc w:val="center"/>
                    <w:rPr>
                      <w:rFonts w:eastAsia="宋体"/>
                      <w:sz w:val="21"/>
                      <w:szCs w:val="21"/>
                    </w:rPr>
                  </w:pPr>
                  <w:r>
                    <w:rPr>
                      <w:rFonts w:eastAsia="宋体"/>
                      <w:sz w:val="21"/>
                      <w:szCs w:val="21"/>
                    </w:rPr>
                    <w:t>数量/套</w:t>
                  </w:r>
                </w:p>
              </w:tc>
              <w:tc>
                <w:tcPr>
                  <w:tcW w:w="1589" w:type="dxa"/>
                  <w:noWrap w:val="0"/>
                  <w:vAlign w:val="center"/>
                </w:tcPr>
                <w:p>
                  <w:pPr>
                    <w:pStyle w:val="31"/>
                    <w:ind w:firstLine="0" w:firstLineChars="0"/>
                    <w:jc w:val="center"/>
                    <w:rPr>
                      <w:rFonts w:eastAsia="宋体"/>
                      <w:sz w:val="21"/>
                      <w:szCs w:val="21"/>
                    </w:rPr>
                  </w:pPr>
                  <w:r>
                    <w:rPr>
                      <w:rFonts w:eastAsia="宋体"/>
                      <w:sz w:val="21"/>
                      <w:szCs w:val="21"/>
                    </w:rPr>
                    <w:t>M分值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386" w:type="dxa"/>
                  <w:noWrap w:val="0"/>
                  <w:vAlign w:val="center"/>
                </w:tcPr>
                <w:p>
                  <w:pPr>
                    <w:pStyle w:val="31"/>
                    <w:ind w:firstLine="0" w:firstLineChars="0"/>
                    <w:jc w:val="center"/>
                    <w:rPr>
                      <w:rFonts w:eastAsia="宋体"/>
                      <w:sz w:val="21"/>
                      <w:szCs w:val="21"/>
                    </w:rPr>
                  </w:pPr>
                  <w:r>
                    <w:rPr>
                      <w:rFonts w:eastAsia="宋体"/>
                      <w:sz w:val="21"/>
                      <w:szCs w:val="21"/>
                    </w:rPr>
                    <w:t>1</w:t>
                  </w:r>
                </w:p>
              </w:tc>
              <w:tc>
                <w:tcPr>
                  <w:tcW w:w="1685" w:type="dxa"/>
                  <w:noWrap w:val="0"/>
                  <w:vAlign w:val="center"/>
                </w:tcPr>
                <w:p>
                  <w:pPr>
                    <w:pStyle w:val="31"/>
                    <w:ind w:firstLine="0" w:firstLineChars="0"/>
                    <w:jc w:val="center"/>
                    <w:rPr>
                      <w:rFonts w:eastAsia="宋体"/>
                      <w:sz w:val="21"/>
                      <w:szCs w:val="21"/>
                    </w:rPr>
                  </w:pPr>
                  <w:r>
                    <w:rPr>
                      <w:rFonts w:eastAsia="宋体"/>
                      <w:sz w:val="21"/>
                      <w:szCs w:val="21"/>
                    </w:rPr>
                    <w:t>LNG罐区</w:t>
                  </w:r>
                </w:p>
              </w:tc>
              <w:tc>
                <w:tcPr>
                  <w:tcW w:w="2007" w:type="dxa"/>
                  <w:noWrap w:val="0"/>
                  <w:vAlign w:val="center"/>
                </w:tcPr>
                <w:p>
                  <w:pPr>
                    <w:pStyle w:val="31"/>
                    <w:ind w:firstLine="0" w:firstLineChars="0"/>
                    <w:jc w:val="center"/>
                    <w:rPr>
                      <w:rFonts w:eastAsia="宋体"/>
                      <w:sz w:val="21"/>
                      <w:szCs w:val="21"/>
                    </w:rPr>
                  </w:pPr>
                  <w:r>
                    <w:rPr>
                      <w:rFonts w:eastAsia="宋体"/>
                      <w:sz w:val="21"/>
                      <w:szCs w:val="21"/>
                    </w:rPr>
                    <w:t>LNG</w:t>
                  </w:r>
                  <w:r>
                    <w:rPr>
                      <w:rFonts w:hint="eastAsia" w:eastAsia="宋体"/>
                      <w:sz w:val="21"/>
                      <w:szCs w:val="21"/>
                    </w:rPr>
                    <w:t>储存</w:t>
                  </w:r>
                </w:p>
              </w:tc>
              <w:tc>
                <w:tcPr>
                  <w:tcW w:w="1837" w:type="dxa"/>
                  <w:noWrap w:val="0"/>
                  <w:vAlign w:val="center"/>
                </w:tcPr>
                <w:p>
                  <w:pPr>
                    <w:pStyle w:val="31"/>
                    <w:ind w:firstLine="0" w:firstLineChars="0"/>
                    <w:jc w:val="center"/>
                    <w:rPr>
                      <w:rFonts w:eastAsia="宋体"/>
                      <w:sz w:val="21"/>
                      <w:szCs w:val="21"/>
                    </w:rPr>
                  </w:pPr>
                  <w:r>
                    <w:rPr>
                      <w:rFonts w:eastAsia="宋体"/>
                      <w:sz w:val="21"/>
                      <w:szCs w:val="21"/>
                    </w:rPr>
                    <w:t>1</w:t>
                  </w:r>
                </w:p>
              </w:tc>
              <w:tc>
                <w:tcPr>
                  <w:tcW w:w="1589" w:type="dxa"/>
                  <w:noWrap w:val="0"/>
                  <w:vAlign w:val="center"/>
                </w:tcPr>
                <w:p>
                  <w:pPr>
                    <w:pStyle w:val="31"/>
                    <w:ind w:firstLine="0" w:firstLineChars="0"/>
                    <w:jc w:val="center"/>
                    <w:rPr>
                      <w:rFonts w:hint="eastAsia" w:eastAsia="宋体"/>
                      <w:sz w:val="21"/>
                      <w:szCs w:val="21"/>
                      <w:lang w:eastAsia="zh-CN"/>
                    </w:rPr>
                  </w:pPr>
                  <w:r>
                    <w:rPr>
                      <w:rFonts w:hint="eastAsia"/>
                      <w:sz w:val="21"/>
                      <w:szCs w:val="21"/>
                      <w:lang w:val="en-US" w:eastAsia="zh-CN"/>
                    </w:rPr>
                    <w:t>5</w:t>
                  </w:r>
                </w:p>
              </w:tc>
            </w:tr>
          </w:tbl>
          <w:p>
            <w:pPr>
              <w:spacing w:line="360" w:lineRule="auto"/>
              <w:ind w:firstLine="480" w:firstLineChars="200"/>
              <w:rPr>
                <w:sz w:val="24"/>
                <w:szCs w:val="24"/>
              </w:rPr>
            </w:pPr>
            <w:r>
              <w:rPr>
                <w:sz w:val="24"/>
                <w:szCs w:val="24"/>
              </w:rPr>
              <w:t>综上，本项目危险物质及工艺系统危险性等级判断为P4。</w:t>
            </w:r>
          </w:p>
          <w:p>
            <w:pPr>
              <w:spacing w:line="360" w:lineRule="auto"/>
              <w:ind w:firstLine="480" w:firstLineChars="200"/>
              <w:rPr>
                <w:sz w:val="24"/>
                <w:szCs w:val="24"/>
              </w:rPr>
            </w:pPr>
            <w:r>
              <w:rPr>
                <w:sz w:val="24"/>
                <w:szCs w:val="24"/>
              </w:rPr>
              <w:t>②E的分级确定</w:t>
            </w:r>
          </w:p>
          <w:p>
            <w:pPr>
              <w:spacing w:line="360" w:lineRule="auto"/>
              <w:ind w:firstLine="480" w:firstLineChars="200"/>
            </w:pPr>
            <w:r>
              <w:rPr>
                <w:sz w:val="24"/>
                <w:szCs w:val="24"/>
              </w:rPr>
              <w:t>根据《建设项目环境风险评价技术导则》（HJ 169-2018）附录D，本项目环境敏感</w:t>
            </w:r>
            <w:r>
              <w:rPr>
                <w:rFonts w:hint="eastAsia"/>
                <w:sz w:val="24"/>
                <w:szCs w:val="24"/>
                <w:lang w:val="en-US" w:eastAsia="zh-CN"/>
              </w:rPr>
              <w:t>程度为E3</w:t>
            </w:r>
            <w:r>
              <w:rPr>
                <w:sz w:val="24"/>
                <w:szCs w:val="24"/>
              </w:rPr>
              <w:t>。</w:t>
            </w:r>
          </w:p>
          <w:p>
            <w:pPr>
              <w:spacing w:line="360" w:lineRule="auto"/>
              <w:ind w:firstLine="480" w:firstLineChars="200"/>
              <w:rPr>
                <w:sz w:val="24"/>
                <w:szCs w:val="24"/>
              </w:rPr>
            </w:pPr>
            <w:r>
              <w:rPr>
                <w:sz w:val="24"/>
                <w:szCs w:val="24"/>
              </w:rPr>
              <w:t>综上，本项目环境风险潜势综合等级为</w:t>
            </w:r>
            <w:r>
              <w:rPr>
                <w:sz w:val="21"/>
                <w:szCs w:val="21"/>
              </w:rPr>
              <w:t>Ⅰ</w:t>
            </w:r>
            <w:r>
              <w:rPr>
                <w:sz w:val="24"/>
                <w:szCs w:val="24"/>
              </w:rPr>
              <w:t>。</w:t>
            </w:r>
          </w:p>
          <w:p>
            <w:pPr>
              <w:spacing w:line="360" w:lineRule="auto"/>
              <w:ind w:firstLine="480" w:firstLineChars="200"/>
              <w:rPr>
                <w:sz w:val="24"/>
                <w:szCs w:val="24"/>
              </w:rPr>
            </w:pPr>
            <w:r>
              <w:rPr>
                <w:sz w:val="24"/>
                <w:szCs w:val="24"/>
              </w:rPr>
              <w:t>（3）评价等级</w:t>
            </w:r>
          </w:p>
          <w:p>
            <w:pPr>
              <w:spacing w:line="360" w:lineRule="auto"/>
              <w:ind w:firstLine="480" w:firstLineChars="200"/>
              <w:rPr>
                <w:sz w:val="24"/>
                <w:szCs w:val="24"/>
              </w:rPr>
            </w:pPr>
            <w:r>
              <w:rPr>
                <w:sz w:val="24"/>
                <w:szCs w:val="24"/>
              </w:rPr>
              <w:t>根据《建设项目环境风险评价技术导则》（HJ 169-2018），建设项目环境风险评价工作等级</w:t>
            </w:r>
            <w:r>
              <w:rPr>
                <w:rFonts w:hint="eastAsia"/>
                <w:sz w:val="24"/>
                <w:szCs w:val="24"/>
              </w:rPr>
              <w:t>见</w:t>
            </w:r>
            <w:r>
              <w:rPr>
                <w:sz w:val="24"/>
                <w:szCs w:val="24"/>
              </w:rPr>
              <w:t>表</w:t>
            </w:r>
            <w:r>
              <w:rPr>
                <w:rFonts w:hint="eastAsia"/>
                <w:sz w:val="24"/>
                <w:szCs w:val="24"/>
              </w:rPr>
              <w:t>7-2</w:t>
            </w:r>
            <w:r>
              <w:rPr>
                <w:rFonts w:hint="eastAsia"/>
                <w:sz w:val="24"/>
                <w:szCs w:val="24"/>
                <w:lang w:val="en-US" w:eastAsia="zh-CN"/>
              </w:rPr>
              <w:t>0</w:t>
            </w:r>
            <w:r>
              <w:rPr>
                <w:sz w:val="24"/>
                <w:szCs w:val="24"/>
              </w:rPr>
              <w:t>所示：</w:t>
            </w:r>
          </w:p>
          <w:p>
            <w:pPr>
              <w:adjustRightInd w:val="0"/>
              <w:snapToGrid w:val="0"/>
              <w:spacing w:line="360" w:lineRule="auto"/>
              <w:jc w:val="center"/>
              <w:rPr>
                <w:b/>
                <w:sz w:val="24"/>
                <w:szCs w:val="24"/>
              </w:rPr>
            </w:pPr>
            <w:r>
              <w:rPr>
                <w:b/>
                <w:sz w:val="24"/>
                <w:szCs w:val="24"/>
              </w:rPr>
              <w:t>表</w:t>
            </w:r>
            <w:r>
              <w:rPr>
                <w:rFonts w:hint="eastAsia"/>
                <w:b/>
                <w:sz w:val="24"/>
                <w:szCs w:val="24"/>
              </w:rPr>
              <w:t>7-2</w:t>
            </w:r>
            <w:r>
              <w:rPr>
                <w:rFonts w:hint="eastAsia"/>
                <w:b/>
                <w:sz w:val="24"/>
                <w:szCs w:val="24"/>
                <w:lang w:val="en-US" w:eastAsia="zh-CN"/>
              </w:rPr>
              <w:t>0</w:t>
            </w:r>
            <w:r>
              <w:rPr>
                <w:b/>
                <w:sz w:val="24"/>
                <w:szCs w:val="24"/>
              </w:rPr>
              <w:t xml:space="preserve"> 评价工作等级划分</w:t>
            </w:r>
          </w:p>
          <w:tbl>
            <w:tblPr>
              <w:tblStyle w:val="3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426"/>
              <w:gridCol w:w="1591"/>
              <w:gridCol w:w="17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4"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环境风险潜势</w:t>
                  </w:r>
                </w:p>
              </w:tc>
              <w:tc>
                <w:tcPr>
                  <w:tcW w:w="1426"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Ⅳ、Ⅳ+</w:t>
                  </w:r>
                </w:p>
              </w:tc>
              <w:tc>
                <w:tcPr>
                  <w:tcW w:w="1591"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Ⅲ</w:t>
                  </w:r>
                </w:p>
              </w:tc>
              <w:tc>
                <w:tcPr>
                  <w:tcW w:w="1702"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Ⅱ</w:t>
                  </w:r>
                </w:p>
              </w:tc>
              <w:tc>
                <w:tcPr>
                  <w:tcW w:w="1701"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84"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评价工作等级</w:t>
                  </w:r>
                </w:p>
              </w:tc>
              <w:tc>
                <w:tcPr>
                  <w:tcW w:w="1426"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一</w:t>
                  </w:r>
                </w:p>
              </w:tc>
              <w:tc>
                <w:tcPr>
                  <w:tcW w:w="1591"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二</w:t>
                  </w:r>
                </w:p>
              </w:tc>
              <w:tc>
                <w:tcPr>
                  <w:tcW w:w="1702"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三</w:t>
                  </w:r>
                </w:p>
              </w:tc>
              <w:tc>
                <w:tcPr>
                  <w:tcW w:w="1701" w:type="dxa"/>
                  <w:noWrap w:val="0"/>
                  <w:vAlign w:val="center"/>
                </w:tcPr>
                <w:p>
                  <w:pPr>
                    <w:pStyle w:val="32"/>
                    <w:tabs>
                      <w:tab w:val="left" w:pos="8607"/>
                    </w:tabs>
                    <w:spacing w:after="0" w:line="240" w:lineRule="auto"/>
                    <w:ind w:left="0" w:leftChars="0" w:firstLine="0" w:firstLineChars="0"/>
                    <w:jc w:val="center"/>
                    <w:rPr>
                      <w:sz w:val="21"/>
                      <w:szCs w:val="21"/>
                    </w:rPr>
                  </w:pPr>
                  <w:r>
                    <w:rPr>
                      <w:sz w:val="21"/>
                      <w:szCs w:val="21"/>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4" w:type="dxa"/>
                  <w:gridSpan w:val="5"/>
                  <w:noWrap w:val="0"/>
                  <w:vAlign w:val="center"/>
                </w:tcPr>
                <w:p>
                  <w:pPr>
                    <w:pStyle w:val="32"/>
                    <w:tabs>
                      <w:tab w:val="left" w:pos="8607"/>
                    </w:tabs>
                    <w:spacing w:after="0" w:line="240" w:lineRule="auto"/>
                    <w:ind w:left="0" w:leftChars="0" w:firstLine="0" w:firstLineChars="0"/>
                    <w:jc w:val="left"/>
                    <w:rPr>
                      <w:sz w:val="21"/>
                      <w:szCs w:val="21"/>
                    </w:rPr>
                  </w:pPr>
                  <w:r>
                    <w:rPr>
                      <w:sz w:val="21"/>
                      <w:szCs w:val="21"/>
                    </w:rPr>
                    <w:t>a是相对于详细评价工作内容而言，在描述危险物质、环境影响途经、环境危害后果、风险防范措施等方面给出定性的说明，见附录A。</w:t>
                  </w:r>
                </w:p>
              </w:tc>
            </w:tr>
          </w:tbl>
          <w:p>
            <w:pPr>
              <w:pStyle w:val="31"/>
              <w:spacing w:line="360" w:lineRule="auto"/>
              <w:ind w:firstLine="480" w:firstLineChars="200"/>
              <w:rPr>
                <w:rFonts w:hint="eastAsia"/>
                <w:sz w:val="24"/>
              </w:rPr>
            </w:pPr>
            <w:r>
              <w:rPr>
                <w:rFonts w:eastAsia="宋体"/>
                <w:sz w:val="24"/>
                <w:szCs w:val="24"/>
              </w:rPr>
              <w:t>综上，本项目环境风险评价工作等级为</w:t>
            </w:r>
            <w:r>
              <w:rPr>
                <w:rFonts w:hint="eastAsia"/>
                <w:sz w:val="24"/>
                <w:szCs w:val="24"/>
                <w:lang w:val="en-US" w:eastAsia="zh-CN"/>
              </w:rPr>
              <w:t>简单分析</w:t>
            </w:r>
            <w:r>
              <w:rPr>
                <w:rFonts w:eastAsia="宋体"/>
                <w:sz w:val="24"/>
                <w:szCs w:val="24"/>
              </w:rPr>
              <w:t>。</w:t>
            </w:r>
          </w:p>
          <w:p>
            <w:pPr>
              <w:ind w:firstLine="482" w:firstLineChars="200"/>
              <w:rPr>
                <w:b/>
                <w:szCs w:val="21"/>
              </w:rPr>
            </w:pPr>
            <w:r>
              <w:rPr>
                <w:b/>
                <w:sz w:val="24"/>
              </w:rPr>
              <w:t>2</w:t>
            </w:r>
            <w:r>
              <w:rPr>
                <w:rFonts w:hAnsi="宋体"/>
                <w:b/>
                <w:sz w:val="24"/>
              </w:rPr>
              <w:t>、环境敏感目标概况</w:t>
            </w:r>
          </w:p>
          <w:p>
            <w:pPr>
              <w:widowControl/>
              <w:shd w:val="clear" w:color="auto" w:fill="FFFFFF"/>
              <w:spacing w:line="360" w:lineRule="auto"/>
              <w:ind w:firstLine="480" w:firstLineChars="200"/>
              <w:rPr>
                <w:sz w:val="24"/>
              </w:rPr>
            </w:pPr>
            <w:r>
              <w:rPr>
                <w:rFonts w:hAnsi="宋体"/>
                <w:sz w:val="24"/>
              </w:rPr>
              <w:t>本项目涉及的</w:t>
            </w:r>
            <w:r>
              <w:rPr>
                <w:rFonts w:hint="eastAsia" w:hAnsi="宋体"/>
                <w:sz w:val="24"/>
                <w:lang w:val="en-US" w:eastAsia="zh-CN"/>
              </w:rPr>
              <w:t>风险物质为甲烷</w:t>
            </w:r>
            <w:r>
              <w:rPr>
                <w:rFonts w:hAnsi="宋体"/>
                <w:sz w:val="24"/>
              </w:rPr>
              <w:t>，风险主要考虑</w:t>
            </w:r>
            <w:r>
              <w:rPr>
                <w:rFonts w:hint="eastAsia" w:hAnsi="宋体"/>
                <w:sz w:val="24"/>
                <w:lang w:val="en-US" w:eastAsia="zh-CN"/>
              </w:rPr>
              <w:t>甲烷</w:t>
            </w:r>
            <w:r>
              <w:rPr>
                <w:rFonts w:hAnsi="宋体"/>
                <w:kern w:val="0"/>
                <w:sz w:val="24"/>
                <w:shd w:val="clear" w:color="auto" w:fill="FFFFFF"/>
              </w:rPr>
              <w:t>遇明火、高热可燃烧。</w:t>
            </w:r>
            <w:r>
              <w:rPr>
                <w:rFonts w:hAnsi="宋体"/>
                <w:sz w:val="24"/>
              </w:rPr>
              <w:t>项目距离较近的敏感点为项目地北侧</w:t>
            </w:r>
            <w:r>
              <w:rPr>
                <w:rFonts w:hint="eastAsia"/>
                <w:sz w:val="24"/>
                <w:lang w:val="en-US" w:eastAsia="zh-CN"/>
              </w:rPr>
              <w:t>120</w:t>
            </w:r>
            <w:r>
              <w:rPr>
                <w:sz w:val="24"/>
              </w:rPr>
              <w:t>m</w:t>
            </w:r>
            <w:r>
              <w:rPr>
                <w:rFonts w:hAnsi="宋体"/>
                <w:sz w:val="24"/>
              </w:rPr>
              <w:t>为</w:t>
            </w:r>
            <w:r>
              <w:rPr>
                <w:rFonts w:hint="eastAsia" w:hAnsi="宋体"/>
                <w:sz w:val="24"/>
                <w:lang w:val="en-US" w:eastAsia="zh-CN"/>
              </w:rPr>
              <w:t>夏家寨</w:t>
            </w:r>
            <w:r>
              <w:rPr>
                <w:rFonts w:hAnsi="宋体"/>
                <w:sz w:val="24"/>
              </w:rPr>
              <w:t>村。</w:t>
            </w:r>
          </w:p>
          <w:p>
            <w:pPr>
              <w:ind w:firstLine="482" w:firstLineChars="200"/>
              <w:rPr>
                <w:rFonts w:ascii="Times New Roman" w:hAnsi="Times New Roman" w:cs="Times New Roman"/>
                <w:b/>
                <w:sz w:val="24"/>
              </w:rPr>
            </w:pPr>
            <w:r>
              <w:rPr>
                <w:rFonts w:ascii="Times New Roman" w:hAnsi="Times New Roman" w:cs="Times New Roman"/>
                <w:b/>
                <w:sz w:val="24"/>
              </w:rPr>
              <w:t>3、风险识别</w:t>
            </w:r>
          </w:p>
          <w:p>
            <w:pPr>
              <w:pStyle w:val="3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textAlignment w:val="auto"/>
              <w:rPr>
                <w:rFonts w:ascii="宋体" w:hAnsi="宋体"/>
                <w:sz w:val="24"/>
                <w:lang w:val="en-US" w:eastAsia="zh-CN"/>
              </w:rPr>
            </w:pPr>
            <w:r>
              <w:rPr>
                <w:rFonts w:hint="eastAsia" w:ascii="宋体" w:hAnsi="宋体"/>
                <w:sz w:val="24"/>
                <w:lang w:val="en-US" w:eastAsia="zh-CN"/>
              </w:rPr>
              <w:t>本项目环评风险识别见表</w:t>
            </w:r>
            <w:r>
              <w:rPr>
                <w:rFonts w:hint="eastAsia"/>
                <w:sz w:val="24"/>
                <w:lang w:val="en-US" w:eastAsia="zh-CN"/>
              </w:rPr>
              <w:t>7-21</w:t>
            </w:r>
            <w:r>
              <w:rPr>
                <w:rFonts w:hint="eastAsia" w:ascii="宋体" w:hAnsi="宋体"/>
                <w:sz w:val="24"/>
                <w:lang w:val="en-US" w:eastAsia="zh-CN"/>
              </w:rPr>
              <w:t>。</w:t>
            </w:r>
          </w:p>
          <w:p>
            <w:pPr>
              <w:adjustRightInd w:val="0"/>
              <w:snapToGrid w:val="0"/>
              <w:spacing w:line="360" w:lineRule="auto"/>
              <w:jc w:val="center"/>
              <w:rPr>
                <w:b/>
                <w:bCs/>
                <w:sz w:val="24"/>
              </w:rPr>
            </w:pPr>
            <w:r>
              <w:rPr>
                <w:rFonts w:ascii="宋体" w:hAnsi="宋体"/>
                <w:b/>
                <w:bCs/>
                <w:sz w:val="24"/>
              </w:rPr>
              <w:t>表</w:t>
            </w:r>
            <w:r>
              <w:rPr>
                <w:rFonts w:hint="eastAsia"/>
                <w:b/>
                <w:bCs/>
                <w:sz w:val="24"/>
                <w:lang w:val="en-US" w:eastAsia="zh-CN"/>
              </w:rPr>
              <w:t>7-21</w:t>
            </w:r>
            <w:r>
              <w:rPr>
                <w:b/>
                <w:bCs/>
                <w:sz w:val="24"/>
              </w:rPr>
              <w:t xml:space="preserve"> </w:t>
            </w:r>
            <w:r>
              <w:rPr>
                <w:rFonts w:ascii="宋体" w:hAnsi="宋体"/>
                <w:b/>
                <w:bCs/>
                <w:sz w:val="24"/>
              </w:rPr>
              <w:t>建设项目环境风险识别表</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735"/>
              <w:gridCol w:w="857"/>
              <w:gridCol w:w="771"/>
              <w:gridCol w:w="1225"/>
              <w:gridCol w:w="1917"/>
              <w:gridCol w:w="1125"/>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危险单元</w:t>
                  </w:r>
                </w:p>
              </w:tc>
              <w:tc>
                <w:tcPr>
                  <w:tcW w:w="8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风险源</w:t>
                  </w:r>
                </w:p>
              </w:tc>
              <w:tc>
                <w:tcPr>
                  <w:tcW w:w="77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主要危险物质</w:t>
                  </w:r>
                </w:p>
              </w:tc>
              <w:tc>
                <w:tcPr>
                  <w:tcW w:w="12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环境风险类型</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环境影响途径</w:t>
                  </w:r>
                </w:p>
              </w:tc>
              <w:tc>
                <w:tcPr>
                  <w:tcW w:w="11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可能受影响的环境明目标</w:t>
                  </w: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4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3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LNG罐区</w:t>
                  </w:r>
                </w:p>
              </w:tc>
              <w:tc>
                <w:tcPr>
                  <w:tcW w:w="857"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LNG罐</w:t>
                  </w:r>
                </w:p>
              </w:tc>
              <w:tc>
                <w:tcPr>
                  <w:tcW w:w="771"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甲烷</w:t>
                  </w:r>
                </w:p>
              </w:tc>
              <w:tc>
                <w:tcPr>
                  <w:tcW w:w="12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甲烷泄漏</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挥发进入大气环境</w:t>
                  </w:r>
                </w:p>
              </w:tc>
              <w:tc>
                <w:tcPr>
                  <w:tcW w:w="112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厂区生产人员、</w:t>
                  </w:r>
                  <w:r>
                    <w:rPr>
                      <w:rFonts w:hint="eastAsia" w:ascii="Times New Roman" w:hAnsi="Times New Roman" w:cs="Times New Roman"/>
                      <w:sz w:val="21"/>
                      <w:szCs w:val="21"/>
                      <w:lang w:val="en-US" w:eastAsia="zh-CN"/>
                    </w:rPr>
                    <w:t>夏家寨</w:t>
                  </w:r>
                  <w:r>
                    <w:rPr>
                      <w:rFonts w:hint="default" w:ascii="Times New Roman" w:hAnsi="Times New Roman" w:eastAsia="宋体" w:cs="Times New Roman"/>
                      <w:sz w:val="21"/>
                      <w:szCs w:val="21"/>
                    </w:rPr>
                    <w:t>村民</w:t>
                  </w:r>
                </w:p>
              </w:tc>
              <w:tc>
                <w:tcPr>
                  <w:tcW w:w="1229"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数量：</w:t>
                  </w:r>
                  <w:r>
                    <w:rPr>
                      <w:rFonts w:hint="eastAsia" w:ascii="Times New Roman" w:hAnsi="Times New Roman" w:cs="Times New Roman"/>
                      <w:sz w:val="21"/>
                      <w:szCs w:val="21"/>
                      <w:lang w:val="en-US" w:eastAsia="zh-CN"/>
                    </w:rPr>
                    <w:t>三</w:t>
                  </w:r>
                  <w:r>
                    <w:rPr>
                      <w:rFonts w:hint="default" w:ascii="Times New Roman" w:hAnsi="Times New Roman" w:eastAsia="宋体" w:cs="Times New Roman"/>
                      <w:sz w:val="21"/>
                      <w:szCs w:val="21"/>
                    </w:rPr>
                    <w:t>个储罐规格：</w:t>
                  </w:r>
                  <w:r>
                    <w:rPr>
                      <w:rFonts w:hint="eastAsia" w:ascii="Times New Roman" w:hAnsi="Times New Roman" w:cs="Times New Roman"/>
                      <w:sz w:val="21"/>
                      <w:szCs w:val="21"/>
                      <w:lang w:val="en-US" w:eastAsia="zh-CN"/>
                    </w:rPr>
                    <w:t>50</w:t>
                  </w:r>
                  <w:r>
                    <w:rPr>
                      <w:rFonts w:hint="default" w:ascii="Times New Roman" w:hAnsi="Times New Roman" w:eastAsia="宋体" w:cs="Times New Roman"/>
                      <w:sz w:val="21"/>
                      <w:szCs w:val="21"/>
                    </w:rPr>
                    <w:t>kg</w:t>
                  </w:r>
                  <w:r>
                    <w:rPr>
                      <w:rFonts w:hint="eastAsia" w:ascii="Times New Roman" w:hAnsi="Times New Roman" w:cs="Times New Roman"/>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4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73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857"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771"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1225" w:type="dxa"/>
                  <w:vMerge w:val="restart"/>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LNG储罐发生火灾爆炸引发的次生污染物排放</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产生的烟尘及有毒气体进入大气环境</w:t>
                  </w:r>
                </w:p>
              </w:tc>
              <w:tc>
                <w:tcPr>
                  <w:tcW w:w="112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1229"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64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73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857"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771"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122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未完全燃烧的甲烷在高温下迅速挥发释放至大气环境</w:t>
                  </w:r>
                </w:p>
              </w:tc>
              <w:tc>
                <w:tcPr>
                  <w:tcW w:w="1125"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c>
                <w:tcPr>
                  <w:tcW w:w="1229"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sz w:val="21"/>
                      <w:szCs w:val="21"/>
                    </w:rPr>
                  </w:pPr>
                </w:p>
              </w:tc>
            </w:tr>
          </w:tbl>
          <w:p>
            <w:pPr>
              <w:widowControl/>
              <w:shd w:val="clear" w:color="auto" w:fill="FFFFFF"/>
              <w:adjustRightInd w:val="0"/>
              <w:spacing w:line="360" w:lineRule="auto"/>
              <w:ind w:firstLine="482" w:firstLineChars="200"/>
              <w:jc w:val="left"/>
              <w:rPr>
                <w:b/>
                <w:sz w:val="24"/>
              </w:rPr>
            </w:pPr>
            <w:r>
              <w:rPr>
                <w:b/>
                <w:sz w:val="24"/>
              </w:rPr>
              <w:t>4</w:t>
            </w:r>
            <w:r>
              <w:rPr>
                <w:rFonts w:hAnsi="宋体"/>
                <w:b/>
                <w:sz w:val="24"/>
              </w:rPr>
              <w:t>、环境风险分析</w:t>
            </w:r>
          </w:p>
          <w:p>
            <w:pPr>
              <w:pStyle w:val="3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textAlignment w:val="auto"/>
              <w:rPr>
                <w:rFonts w:hint="eastAsia" w:ascii="宋体" w:hAnsi="宋体" w:cs="Times New Roman"/>
                <w:sz w:val="24"/>
                <w:lang w:val="en-US" w:eastAsia="zh-CN"/>
              </w:rPr>
            </w:pPr>
            <w:r>
              <w:rPr>
                <w:rFonts w:hint="eastAsia" w:ascii="宋体" w:hAnsi="宋体" w:cs="Times New Roman"/>
                <w:sz w:val="24"/>
                <w:lang w:val="en-US" w:eastAsia="zh-CN"/>
              </w:rPr>
              <w:t>（1）大气环境风险影响</w:t>
            </w:r>
          </w:p>
          <w:p>
            <w:pPr>
              <w:spacing w:line="360" w:lineRule="auto"/>
              <w:ind w:firstLine="480" w:firstLineChars="200"/>
              <w:rPr>
                <w:sz w:val="24"/>
              </w:rPr>
            </w:pPr>
            <w:r>
              <w:rPr>
                <w:rFonts w:ascii="宋体" w:hAnsi="宋体"/>
                <w:sz w:val="24"/>
              </w:rPr>
              <w:t>本项目采用地面</w:t>
            </w:r>
            <w:r>
              <w:rPr>
                <w:sz w:val="24"/>
              </w:rPr>
              <w:t>LNG</w:t>
            </w:r>
            <w:r>
              <w:rPr>
                <w:rFonts w:ascii="宋体" w:hAnsi="宋体"/>
                <w:sz w:val="24"/>
              </w:rPr>
              <w:t>储罐，罐区、管口及连接处一旦发生泄漏事故时，</w:t>
            </w:r>
            <w:r>
              <w:rPr>
                <w:sz w:val="24"/>
              </w:rPr>
              <w:t>LNG</w:t>
            </w:r>
            <w:r>
              <w:rPr>
                <w:rFonts w:ascii="宋体" w:hAnsi="宋体"/>
                <w:sz w:val="24"/>
              </w:rPr>
              <w:t>泄漏后极易气化成气态的甲烷气体，造成区域环境空气的污染；本项目甲烷储罐发生火灾爆炸，产生的烟尘及有毒气体进入大气环境，造成区域环境空气的污染；且发生火灾爆炸时，未完全燃烧的甲烷在高温下迅速气化释放至大气环境，造成区域环境空气的污染。</w:t>
            </w:r>
          </w:p>
          <w:p>
            <w:pPr>
              <w:spacing w:line="360" w:lineRule="auto"/>
              <w:ind w:firstLine="480" w:firstLineChars="200"/>
              <w:rPr>
                <w:sz w:val="24"/>
              </w:rPr>
            </w:pPr>
            <w:r>
              <w:rPr>
                <w:rFonts w:ascii="宋体" w:hAnsi="宋体"/>
                <w:sz w:val="24"/>
              </w:rPr>
              <w:t>本项目距离居民区较近，最近的居民区为北侧的</w:t>
            </w:r>
            <w:r>
              <w:rPr>
                <w:rFonts w:hint="eastAsia" w:ascii="宋体" w:hAnsi="宋体"/>
                <w:sz w:val="24"/>
                <w:lang w:val="en-US" w:eastAsia="zh-CN"/>
              </w:rPr>
              <w:t>夏家寨</w:t>
            </w:r>
            <w:r>
              <w:rPr>
                <w:rFonts w:ascii="宋体" w:hAnsi="宋体"/>
                <w:sz w:val="24"/>
              </w:rPr>
              <w:t>，一旦</w:t>
            </w:r>
            <w:r>
              <w:rPr>
                <w:sz w:val="24"/>
              </w:rPr>
              <w:t>LNG</w:t>
            </w:r>
            <w:r>
              <w:rPr>
                <w:rFonts w:ascii="宋体" w:hAnsi="宋体"/>
                <w:sz w:val="24"/>
              </w:rPr>
              <w:t>泄漏进入大气或者火灾爆炸产生的未完全燃烧的甲烷、烟尘及有毒气体进入大气，将对区域内的环境空气及赵家窑等敏感点造成严重影响，甚至会对居民健康构成威胁。</w:t>
            </w:r>
          </w:p>
          <w:p>
            <w:pPr>
              <w:pStyle w:val="3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textAlignment w:val="auto"/>
              <w:rPr>
                <w:rFonts w:hint="eastAsia" w:ascii="宋体" w:hAnsi="宋体" w:cs="Times New Roman"/>
                <w:sz w:val="24"/>
                <w:lang w:val="en-US" w:eastAsia="zh-CN"/>
              </w:rPr>
            </w:pPr>
            <w:r>
              <w:rPr>
                <w:rFonts w:hint="eastAsia" w:ascii="宋体" w:hAnsi="宋体" w:cs="Times New Roman"/>
                <w:sz w:val="24"/>
                <w:lang w:val="en-US" w:eastAsia="zh-CN"/>
              </w:rPr>
              <w:t>（2）地表水环境风险影响</w:t>
            </w:r>
          </w:p>
          <w:p>
            <w:pPr>
              <w:pStyle w:val="31"/>
              <w:spacing w:after="0" w:line="360" w:lineRule="auto"/>
              <w:ind w:firstLine="480" w:firstLineChars="200"/>
              <w:rPr>
                <w:sz w:val="24"/>
              </w:rPr>
            </w:pPr>
            <w:r>
              <w:rPr>
                <w:rFonts w:ascii="宋体" w:hAnsi="宋体"/>
                <w:sz w:val="24"/>
              </w:rPr>
              <w:t>泄漏或渗漏的</w:t>
            </w:r>
            <w:r>
              <w:rPr>
                <w:sz w:val="24"/>
              </w:rPr>
              <w:t>LNG</w:t>
            </w:r>
            <w:r>
              <w:rPr>
                <w:rFonts w:ascii="宋体" w:hAnsi="宋体"/>
                <w:sz w:val="24"/>
              </w:rPr>
              <w:t>一旦进入地表河流，根据甲烷的理化性质可知，甲烷极难溶于水，对地表水的影响很小。由于本项目罐区容积较小，并对罐区地面进行了防渗处理。当罐区一旦发生泄漏事故时，物料将积聚在罐区，且物料易挥发成气态，进入</w:t>
            </w:r>
            <w:r>
              <w:rPr>
                <w:rFonts w:hint="eastAsia" w:ascii="宋体" w:hAnsi="宋体"/>
                <w:sz w:val="24"/>
                <w:lang w:val="en-US" w:eastAsia="zh-CN"/>
              </w:rPr>
              <w:t>附近</w:t>
            </w:r>
            <w:r>
              <w:rPr>
                <w:rFonts w:ascii="宋体" w:hAnsi="宋体"/>
                <w:sz w:val="24"/>
              </w:rPr>
              <w:t>地表水的可能性很小。</w:t>
            </w:r>
          </w:p>
          <w:p>
            <w:pPr>
              <w:pStyle w:val="32"/>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textAlignment w:val="auto"/>
              <w:rPr>
                <w:rFonts w:hint="eastAsia" w:ascii="宋体" w:hAnsi="宋体" w:cs="Times New Roman"/>
                <w:sz w:val="24"/>
                <w:lang w:val="en-US" w:eastAsia="zh-CN"/>
              </w:rPr>
            </w:pPr>
            <w:r>
              <w:rPr>
                <w:rFonts w:hint="eastAsia" w:ascii="宋体" w:hAnsi="宋体" w:cs="Times New Roman"/>
                <w:sz w:val="24"/>
                <w:lang w:val="en-US" w:eastAsia="zh-CN"/>
              </w:rPr>
              <w:t>（3）地下水环境风险影响</w:t>
            </w:r>
          </w:p>
          <w:p>
            <w:pPr>
              <w:pStyle w:val="31"/>
              <w:spacing w:after="0" w:line="360" w:lineRule="auto"/>
              <w:ind w:firstLine="480" w:firstLineChars="200"/>
              <w:rPr>
                <w:sz w:val="24"/>
              </w:rPr>
            </w:pPr>
            <w:r>
              <w:rPr>
                <w:rFonts w:ascii="宋体" w:hAnsi="宋体"/>
                <w:sz w:val="24"/>
              </w:rPr>
              <w:t>本项目对罐区地面进行了防渗处理。当罐区一旦发生泄漏事故时，物料将积聚在罐区，且物料易挥发成气态，进入地下水可能性很小。</w:t>
            </w:r>
          </w:p>
          <w:p>
            <w:pPr>
              <w:spacing w:line="360" w:lineRule="auto"/>
              <w:ind w:firstLine="482" w:firstLineChars="200"/>
              <w:rPr>
                <w:rFonts w:ascii="Times New Roman" w:hAnsi="Times New Roman" w:cs="Times New Roman"/>
                <w:b/>
                <w:sz w:val="24"/>
                <w:lang w:val="en-US" w:eastAsia="zh-CN"/>
              </w:rPr>
            </w:pPr>
            <w:r>
              <w:rPr>
                <w:rFonts w:hint="eastAsia" w:cs="Times New Roman"/>
                <w:b/>
                <w:sz w:val="24"/>
                <w:lang w:val="en-US" w:eastAsia="zh-CN"/>
              </w:rPr>
              <w:t>5</w:t>
            </w:r>
            <w:r>
              <w:rPr>
                <w:rFonts w:ascii="Times New Roman" w:hAnsi="Times New Roman" w:cs="Times New Roman"/>
                <w:b/>
                <w:sz w:val="24"/>
                <w:lang w:val="en-US" w:eastAsia="zh-CN"/>
              </w:rPr>
              <w:t>、分析结论</w:t>
            </w:r>
          </w:p>
          <w:p>
            <w:pPr>
              <w:spacing w:line="360" w:lineRule="auto"/>
              <w:ind w:firstLine="480" w:firstLineChars="200"/>
              <w:rPr>
                <w:sz w:val="24"/>
              </w:rPr>
            </w:pPr>
            <w:r>
              <w:rPr>
                <w:rFonts w:ascii="宋体" w:hAnsi="宋体"/>
                <w:sz w:val="24"/>
              </w:rPr>
              <w:t>根据分析，本项目主要危险单位为</w:t>
            </w:r>
            <w:r>
              <w:rPr>
                <w:sz w:val="24"/>
              </w:rPr>
              <w:t>LNG</w:t>
            </w:r>
            <w:r>
              <w:rPr>
                <w:rFonts w:ascii="宋体" w:hAnsi="宋体"/>
                <w:sz w:val="24"/>
              </w:rPr>
              <w:t>储罐，涉及的危险物质为甲烷，通过风险识别，确定项目的事故类型有</w:t>
            </w:r>
            <w:r>
              <w:rPr>
                <w:sz w:val="24"/>
              </w:rPr>
              <w:t>LNG</w:t>
            </w:r>
            <w:r>
              <w:rPr>
                <w:rFonts w:ascii="宋体" w:hAnsi="宋体"/>
                <w:sz w:val="24"/>
              </w:rPr>
              <w:t>泄漏挥发进入大气环境、发生火灾爆炸未完全燃烧的甲烷在高温下迅速挥发释放至大气环境及甲烷燃烧产生的烟尘及有毒气体挥发进入大气环境、事故状态下产生的消防废水等。</w:t>
            </w:r>
          </w:p>
          <w:p>
            <w:pPr>
              <w:spacing w:line="360" w:lineRule="auto"/>
              <w:ind w:firstLine="480" w:firstLineChars="200"/>
              <w:rPr>
                <w:rFonts w:hint="eastAsia"/>
                <w:szCs w:val="21"/>
              </w:rPr>
            </w:pPr>
            <w:r>
              <w:rPr>
                <w:rFonts w:ascii="宋体" w:hAnsi="宋体"/>
                <w:sz w:val="24"/>
              </w:rPr>
              <w:t>根据分析可知，发生突发环境事故时，对地表水及地下水环境影响较小，对大气环境影响及附近的村庄影响较大，在采取各方面的环境风险防范措施后，项目的环境风险是可防控的。企业应尽快制定突发环境事件应急预案，最大程度减少对环境可能造成的危害。</w:t>
            </w:r>
          </w:p>
          <w:p>
            <w:pPr>
              <w:pStyle w:val="23"/>
              <w:keepNext w:val="0"/>
              <w:keepLines w:val="0"/>
              <w:pageBreakBefore w:val="0"/>
              <w:widowControl w:val="0"/>
              <w:kinsoku/>
              <w:wordWrap/>
              <w:overflowPunct/>
              <w:topLinePunct w:val="0"/>
              <w:autoSpaceDE/>
              <w:autoSpaceDN/>
              <w:bidi w:val="0"/>
              <w:adjustRightInd/>
              <w:snapToGrid/>
              <w:ind w:firstLine="482"/>
              <w:jc w:val="center"/>
              <w:textAlignment w:val="auto"/>
              <w:rPr>
                <w:b/>
                <w:bCs/>
                <w:lang w:val="en-US" w:eastAsia="zh-CN"/>
              </w:rPr>
            </w:pPr>
            <w:r>
              <w:rPr>
                <w:rFonts w:hAnsi="宋体"/>
                <w:b/>
                <w:bCs/>
                <w:lang w:val="en-US" w:eastAsia="zh-CN"/>
              </w:rPr>
              <w:t>表</w:t>
            </w:r>
            <w:r>
              <w:rPr>
                <w:rFonts w:hint="eastAsia"/>
                <w:b/>
                <w:bCs/>
                <w:lang w:val="en-US" w:eastAsia="zh-CN"/>
              </w:rPr>
              <w:t>7-22</w:t>
            </w:r>
            <w:r>
              <w:rPr>
                <w:b/>
                <w:bCs/>
                <w:lang w:val="en-US" w:eastAsia="zh-CN"/>
              </w:rPr>
              <w:t xml:space="preserve"> </w:t>
            </w:r>
            <w:r>
              <w:rPr>
                <w:rFonts w:hAnsi="宋体"/>
                <w:b/>
                <w:bCs/>
                <w:lang w:val="en-US" w:eastAsia="zh-CN"/>
              </w:rPr>
              <w:t>建设项目环境风险简单分析内容表</w:t>
            </w:r>
          </w:p>
          <w:tbl>
            <w:tblPr>
              <w:tblStyle w:val="33"/>
              <w:tblW w:w="831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503"/>
              <w:gridCol w:w="1332"/>
              <w:gridCol w:w="1490"/>
              <w:gridCol w:w="1771"/>
              <w:gridCol w:w="221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kern w:val="0"/>
                      <w:sz w:val="21"/>
                      <w:szCs w:val="21"/>
                    </w:rPr>
                    <w:t>建设项目名称</w:t>
                  </w:r>
                </w:p>
              </w:tc>
              <w:tc>
                <w:tcPr>
                  <w:tcW w:w="681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highlight w:val="yellow"/>
                    </w:rPr>
                  </w:pPr>
                  <w:r>
                    <w:rPr>
                      <w:rFonts w:hint="eastAsia" w:eastAsiaTheme="minorEastAsia"/>
                      <w:sz w:val="21"/>
                      <w:szCs w:val="21"/>
                      <w:lang w:val="zh-CN"/>
                    </w:rPr>
                    <w:t>金属架子床加工生产线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建设地点</w:t>
                  </w:r>
                </w:p>
              </w:tc>
              <w:tc>
                <w:tcPr>
                  <w:tcW w:w="13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西安市</w:t>
                  </w:r>
                </w:p>
              </w:tc>
              <w:tc>
                <w:tcPr>
                  <w:tcW w:w="14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sz w:val="21"/>
                      <w:szCs w:val="21"/>
                    </w:rPr>
                    <w:t>灞桥</w:t>
                  </w:r>
                </w:p>
              </w:tc>
              <w:tc>
                <w:tcPr>
                  <w:tcW w:w="398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highlight w:val="yellow"/>
                    </w:rPr>
                  </w:pPr>
                  <w:r>
                    <w:rPr>
                      <w:rFonts w:eastAsiaTheme="minorEastAsia"/>
                      <w:sz w:val="21"/>
                      <w:szCs w:val="21"/>
                      <w:lang w:val="zh-CN"/>
                    </w:rPr>
                    <w:t>西安市灞桥区狄寨街道夏寨村南3号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地理坐标</w:t>
                  </w:r>
                </w:p>
              </w:tc>
              <w:tc>
                <w:tcPr>
                  <w:tcW w:w="13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经度</w:t>
                  </w:r>
                </w:p>
              </w:tc>
              <w:tc>
                <w:tcPr>
                  <w:tcW w:w="14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Times New Roman"/>
                      <w:kern w:val="0"/>
                      <w:sz w:val="21"/>
                      <w:szCs w:val="21"/>
                      <w:highlight w:val="yellow"/>
                      <w:lang w:eastAsia="zh-CN"/>
                    </w:rPr>
                  </w:pPr>
                  <w:r>
                    <w:rPr>
                      <w:rFonts w:hint="default" w:ascii="Times New Roman" w:hAnsi="Times New Roman" w:eastAsia="宋体" w:cs="Times New Roman"/>
                      <w:sz w:val="21"/>
                      <w:szCs w:val="21"/>
                    </w:rPr>
                    <w:t>109.119344</w:t>
                  </w:r>
                  <w:r>
                    <w:rPr>
                      <w:rFonts w:hint="eastAsia" w:ascii="Times New Roman" w:hAnsi="Times New Roman" w:cs="Times New Roman"/>
                      <w:sz w:val="21"/>
                      <w:szCs w:val="21"/>
                      <w:lang w:val="en-US" w:eastAsia="zh-CN"/>
                    </w:rPr>
                    <w:t>°</w:t>
                  </w:r>
                </w:p>
              </w:tc>
              <w:tc>
                <w:tcPr>
                  <w:tcW w:w="17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kern w:val="0"/>
                      <w:sz w:val="21"/>
                      <w:szCs w:val="21"/>
                    </w:rPr>
                    <w:t>纬度</w:t>
                  </w:r>
                </w:p>
              </w:tc>
              <w:tc>
                <w:tcPr>
                  <w:tcW w:w="22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both"/>
                    <w:textAlignment w:val="auto"/>
                    <w:rPr>
                      <w:rFonts w:hint="eastAsia" w:ascii="Times New Roman" w:hAnsi="Times New Roman" w:eastAsia="宋体" w:cs="Times New Roman"/>
                      <w:kern w:val="0"/>
                      <w:sz w:val="21"/>
                      <w:szCs w:val="21"/>
                      <w:highlight w:val="yellow"/>
                      <w:lang w:val="en-US" w:eastAsia="zh-CN"/>
                    </w:rPr>
                  </w:pPr>
                  <w:r>
                    <w:rPr>
                      <w:rFonts w:hint="default" w:ascii="Times New Roman" w:hAnsi="Times New Roman" w:eastAsia="宋体" w:cs="Times New Roman"/>
                      <w:sz w:val="21"/>
                      <w:szCs w:val="21"/>
                    </w:rPr>
                    <w:t>34.200242</w:t>
                  </w:r>
                  <w:r>
                    <w:rPr>
                      <w:rFonts w:hint="eastAsia" w:ascii="Times New Roman" w:hAnsi="Times New Roman" w:cs="Times New Roman"/>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36" w:hRule="atLeast"/>
                <w:jc w:val="center"/>
              </w:trPr>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主要危险物质及分布</w:t>
                  </w:r>
                </w:p>
              </w:tc>
              <w:tc>
                <w:tcPr>
                  <w:tcW w:w="681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液化天然气：位于</w:t>
                  </w:r>
                  <w:r>
                    <w:rPr>
                      <w:rFonts w:hint="default" w:ascii="Times New Roman" w:hAnsi="Times New Roman" w:eastAsia="宋体" w:cs="Times New Roman"/>
                      <w:sz w:val="21"/>
                      <w:szCs w:val="21"/>
                    </w:rPr>
                    <w:t>厂区</w:t>
                  </w:r>
                  <w:r>
                    <w:rPr>
                      <w:rFonts w:hint="eastAsia" w:ascii="Times New Roman" w:hAnsi="Times New Roman" w:cs="Times New Roman"/>
                      <w:sz w:val="21"/>
                      <w:szCs w:val="21"/>
                      <w:lang w:val="en-US" w:eastAsia="zh-CN"/>
                    </w:rPr>
                    <w:t>西</w:t>
                  </w:r>
                  <w:r>
                    <w:rPr>
                      <w:rFonts w:hint="default" w:ascii="Times New Roman" w:hAnsi="Times New Roman" w:eastAsia="宋体" w:cs="Times New Roman"/>
                      <w:sz w:val="21"/>
                      <w:szCs w:val="21"/>
                    </w:rPr>
                    <w:t>侧储气方房内</w:t>
                  </w:r>
                  <w:r>
                    <w:rPr>
                      <w:rFonts w:hint="default" w:ascii="Times New Roman" w:hAnsi="Times New Roman" w:eastAsia="宋体" w:cs="Times New Roman"/>
                      <w:kern w:val="0"/>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环境影响途径及危害结果</w:t>
                  </w:r>
                </w:p>
              </w:tc>
              <w:tc>
                <w:tcPr>
                  <w:tcW w:w="681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spacing w:val="-4"/>
                      <w:kern w:val="0"/>
                      <w:sz w:val="21"/>
                      <w:szCs w:val="21"/>
                    </w:rPr>
                  </w:pPr>
                  <w:r>
                    <w:rPr>
                      <w:rFonts w:hint="default" w:ascii="Times New Roman" w:hAnsi="Times New Roman" w:eastAsia="宋体" w:cs="Times New Roman"/>
                      <w:kern w:val="0"/>
                      <w:sz w:val="21"/>
                      <w:szCs w:val="21"/>
                    </w:rPr>
                    <w:t>环境影响途径：</w:t>
                  </w:r>
                  <w:r>
                    <w:rPr>
                      <w:rFonts w:hint="default" w:ascii="Times New Roman" w:hAnsi="Times New Roman" w:eastAsia="宋体" w:cs="Times New Roman"/>
                      <w:spacing w:val="-4"/>
                      <w:kern w:val="0"/>
                      <w:sz w:val="21"/>
                      <w:szCs w:val="21"/>
                    </w:rPr>
                    <w:t>燃烧、火灾；</w:t>
                  </w:r>
                </w:p>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危害结果：威胁人身安全，影响周围环境。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5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风险防范措施要求</w:t>
                  </w:r>
                </w:p>
              </w:tc>
              <w:tc>
                <w:tcPr>
                  <w:tcW w:w="681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严格执行我国颁布的国务院令344号《危险化学品安全管理条例》、国家经贸委第35号令《危险化学品管理办法》、国务院352号《使用有毒物品作业场所劳动保护条件》、《常用危险化学品储存通则》(GBl5603)、《危险物品运输规则》、《中华人民共和国消防法》、《建筑设计防火规范》、《仓库防火安全管理规则》、《生产设备安全卫生设计总则》等有关法规。</w:t>
                  </w:r>
                </w:p>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（2）设立安环部门，负责全厂的安全运营和环保管理，负责人应聘请具有多年安全实际经验的人负责。</w:t>
                  </w:r>
                </w:p>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（3）建立完善的安全生产管理制度，加强安全生产的宣传和教育，确保安全生产落实到生产中的每一个环节。</w:t>
                  </w:r>
                </w:p>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（4）各岗位操作人员必须严格遵守厂内制定的相关规章制度，按程序进行操作，尽可能减少因操作失误造成风险事故的概率。</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（5）依据《建筑灭火器配置设计规范》（GBJ40-2005），应配置相应的灭火器类型（泡沫、干粉灭火器等）与数量，并在火灾危险场所设置报警装置；</w:t>
                  </w:r>
                </w:p>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（6）接触有毒有害物质处设防护面具、氧气呼吸器、防护手套、防护眼镜、防护工作服等。</w:t>
                  </w:r>
                </w:p>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（7）停止使用，并对泄露处进行维修、修复。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31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填表说明（列出项目相关信息及评价说明）： /</w:t>
                  </w:r>
                </w:p>
              </w:tc>
            </w:tr>
          </w:tbl>
          <w:p>
            <w:pPr>
              <w:autoSpaceDN w:val="0"/>
              <w:spacing w:line="360" w:lineRule="auto"/>
              <w:ind w:left="0" w:leftChars="0" w:firstLine="0" w:firstLineChars="0"/>
              <w:rPr>
                <w:rFonts w:hint="eastAsia" w:ascii="Times New Roman" w:hAnsi="Times New Roman" w:eastAsia="黑体" w:cs="Times New Roman"/>
                <w:bCs/>
                <w:sz w:val="28"/>
                <w:szCs w:val="28"/>
              </w:rPr>
            </w:pPr>
            <w:r>
              <w:rPr>
                <w:rFonts w:hint="eastAsia" w:ascii="Times New Roman" w:hAnsi="Times New Roman" w:eastAsia="黑体" w:cs="Times New Roman"/>
                <w:bCs/>
                <w:sz w:val="28"/>
                <w:szCs w:val="28"/>
              </w:rPr>
              <w:t>七、环境管理与监测计划</w:t>
            </w:r>
          </w:p>
          <w:p>
            <w:pPr>
              <w:autoSpaceDN w:val="0"/>
              <w:spacing w:line="360" w:lineRule="auto"/>
              <w:ind w:firstLine="482" w:firstLineChars="200"/>
              <w:rPr>
                <w:b/>
                <w:sz w:val="24"/>
              </w:rPr>
            </w:pPr>
            <w:r>
              <w:rPr>
                <w:rFonts w:hint="eastAsia"/>
                <w:b/>
                <w:sz w:val="24"/>
              </w:rPr>
              <w:t>1、基本要求</w:t>
            </w:r>
          </w:p>
          <w:p>
            <w:pPr>
              <w:autoSpaceDN w:val="0"/>
              <w:spacing w:line="360" w:lineRule="auto"/>
              <w:ind w:firstLine="480" w:firstLineChars="200"/>
              <w:rPr>
                <w:sz w:val="24"/>
              </w:rPr>
            </w:pPr>
            <w:r>
              <w:rPr>
                <w:rFonts w:hint="eastAsia"/>
                <w:sz w:val="24"/>
              </w:rPr>
              <w:t>（1）根据国家环保政策、标准及环境监测要求，制定该项目运行期环保管理规章制度、各种污染物排放控制指标；</w:t>
            </w:r>
          </w:p>
          <w:p>
            <w:pPr>
              <w:autoSpaceDN w:val="0"/>
              <w:spacing w:line="360" w:lineRule="auto"/>
              <w:ind w:firstLine="480" w:firstLineChars="200"/>
              <w:rPr>
                <w:sz w:val="24"/>
              </w:rPr>
            </w:pPr>
            <w:r>
              <w:rPr>
                <w:rFonts w:hint="eastAsia"/>
                <w:sz w:val="24"/>
              </w:rPr>
              <w:t>（2）负责该项目内所有环保设施的日常运行管理，保障各环保设施的正常运行，并对环保设施的改进提出积极的建议；</w:t>
            </w:r>
          </w:p>
          <w:p>
            <w:pPr>
              <w:autoSpaceDN w:val="0"/>
              <w:spacing w:line="360" w:lineRule="auto"/>
              <w:ind w:firstLine="480" w:firstLineChars="200"/>
              <w:rPr>
                <w:sz w:val="24"/>
              </w:rPr>
            </w:pPr>
            <w:r>
              <w:rPr>
                <w:rFonts w:hint="eastAsia"/>
                <w:sz w:val="24"/>
              </w:rPr>
              <w:t>（3）负责该项目运行期环境监测工作，及时掌握该项目污染状况，整理监测数据，建立污染源档案；</w:t>
            </w:r>
          </w:p>
          <w:p>
            <w:pPr>
              <w:autoSpaceDN w:val="0"/>
              <w:spacing w:line="360" w:lineRule="auto"/>
              <w:ind w:firstLine="480" w:firstLineChars="200"/>
              <w:rPr>
                <w:sz w:val="24"/>
              </w:rPr>
            </w:pPr>
            <w:r>
              <w:rPr>
                <w:rFonts w:hint="eastAsia"/>
                <w:sz w:val="24"/>
              </w:rPr>
              <w:t>（4）该项目运行期的环境管理由建设单位承担；负责该项目内所有环保设施的日常运行管理，保障各环保设施的正常运行，并对环保设施的改进提出积极的建议；</w:t>
            </w:r>
          </w:p>
          <w:p>
            <w:pPr>
              <w:autoSpaceDN w:val="0"/>
              <w:spacing w:line="360" w:lineRule="auto"/>
              <w:ind w:firstLine="480" w:firstLineChars="200"/>
              <w:rPr>
                <w:sz w:val="24"/>
              </w:rPr>
            </w:pPr>
            <w:r>
              <w:rPr>
                <w:rFonts w:hint="eastAsia"/>
                <w:sz w:val="24"/>
              </w:rPr>
              <w:t>（5）负责对职工进行环保宣传教育工作，以及检查、监督各单位环保制度的执行情况；</w:t>
            </w:r>
          </w:p>
          <w:p>
            <w:pPr>
              <w:autoSpaceDN w:val="0"/>
              <w:spacing w:line="360" w:lineRule="auto"/>
              <w:ind w:firstLine="480" w:firstLineChars="200"/>
              <w:rPr>
                <w:sz w:val="24"/>
              </w:rPr>
            </w:pPr>
            <w:r>
              <w:rPr>
                <w:rFonts w:hint="eastAsia"/>
                <w:sz w:val="24"/>
              </w:rPr>
              <w:t>（6）建立健全环境档案管理与保密制度、污染防治设施设计技术改进及运行资料、污染源调查技术档案、环境监测及评价资料等。</w:t>
            </w:r>
          </w:p>
          <w:p>
            <w:pPr>
              <w:autoSpaceDN w:val="0"/>
              <w:spacing w:line="360" w:lineRule="auto"/>
              <w:ind w:firstLine="482" w:firstLineChars="200"/>
              <w:rPr>
                <w:b/>
                <w:sz w:val="24"/>
                <w:highlight w:val="none"/>
              </w:rPr>
            </w:pPr>
            <w:r>
              <w:rPr>
                <w:rFonts w:hint="eastAsia"/>
                <w:b/>
                <w:sz w:val="24"/>
                <w:highlight w:val="none"/>
              </w:rPr>
              <w:t>2、污染物排放清单及污染物排放管理要求</w:t>
            </w:r>
          </w:p>
          <w:p>
            <w:pPr>
              <w:autoSpaceDN w:val="0"/>
              <w:spacing w:line="360" w:lineRule="auto"/>
              <w:ind w:firstLine="480" w:firstLineChars="200"/>
              <w:rPr>
                <w:rFonts w:hint="eastAsia"/>
                <w:sz w:val="24"/>
                <w:highlight w:val="none"/>
              </w:rPr>
            </w:pPr>
            <w:r>
              <w:rPr>
                <w:rFonts w:hint="eastAsia"/>
                <w:sz w:val="24"/>
                <w:highlight w:val="none"/>
              </w:rPr>
              <w:t>项目营运期污染物排放清单及污染物排放管理要求见表</w:t>
            </w:r>
            <w:r>
              <w:rPr>
                <w:rFonts w:hint="eastAsia"/>
                <w:sz w:val="24"/>
                <w:highlight w:val="none"/>
                <w:lang w:val="en-US" w:eastAsia="zh-CN"/>
              </w:rPr>
              <w:t>7-23</w:t>
            </w:r>
            <w:r>
              <w:rPr>
                <w:rFonts w:hint="eastAsia"/>
                <w:sz w:val="24"/>
                <w:highlight w:val="none"/>
              </w:rPr>
              <w:t>。</w:t>
            </w:r>
          </w:p>
          <w:p>
            <w:pPr>
              <w:keepNext w:val="0"/>
              <w:keepLines w:val="0"/>
              <w:pageBreakBefore w:val="0"/>
              <w:widowControl w:val="0"/>
              <w:kinsoku/>
              <w:wordWrap/>
              <w:overflowPunct/>
              <w:topLinePunct w:val="0"/>
              <w:autoSpaceDE/>
              <w:autoSpaceDN w:val="0"/>
              <w:bidi w:val="0"/>
              <w:adjustRightInd/>
              <w:snapToGrid/>
              <w:spacing w:line="360" w:lineRule="auto"/>
              <w:ind w:firstLine="482" w:firstLineChars="200"/>
              <w:jc w:val="center"/>
              <w:textAlignment w:val="auto"/>
              <w:rPr>
                <w:rFonts w:hint="eastAsia"/>
                <w:b/>
                <w:sz w:val="24"/>
              </w:rPr>
            </w:pPr>
            <w:r>
              <w:rPr>
                <w:rFonts w:hint="eastAsia"/>
                <w:b/>
                <w:sz w:val="24"/>
              </w:rPr>
              <w:t>表</w:t>
            </w:r>
            <w:r>
              <w:rPr>
                <w:rFonts w:hint="eastAsia"/>
                <w:b/>
                <w:sz w:val="24"/>
                <w:lang w:val="en-US" w:eastAsia="zh-CN"/>
              </w:rPr>
              <w:t>7-23</w:t>
            </w:r>
            <w:r>
              <w:rPr>
                <w:rFonts w:hint="eastAsia"/>
                <w:b/>
                <w:sz w:val="24"/>
              </w:rPr>
              <w:t xml:space="preserve"> 污染物排放清单</w:t>
            </w:r>
          </w:p>
          <w:tbl>
            <w:tblPr>
              <w:tblStyle w:val="33"/>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3"/>
              <w:gridCol w:w="948"/>
              <w:gridCol w:w="850"/>
              <w:gridCol w:w="1133"/>
              <w:gridCol w:w="1561"/>
              <w:gridCol w:w="850"/>
              <w:gridCol w:w="14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restart"/>
                  <w:tcBorders>
                    <w:top w:val="single" w:color="auto" w:sz="4" w:space="0"/>
                    <w:left w:val="single" w:color="auto" w:sz="4" w:space="0"/>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排放源</w:t>
                  </w:r>
                </w:p>
              </w:tc>
              <w:tc>
                <w:tcPr>
                  <w:tcW w:w="948" w:type="dxa"/>
                  <w:vMerge w:val="restart"/>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1983" w:type="dxa"/>
                  <w:gridSpan w:val="2"/>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污染物产生</w:t>
                  </w:r>
                </w:p>
              </w:tc>
              <w:tc>
                <w:tcPr>
                  <w:tcW w:w="1561" w:type="dxa"/>
                  <w:vMerge w:val="restart"/>
                  <w:tcBorders>
                    <w:top w:val="single" w:color="auto" w:sz="4" w:space="0"/>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治理措施</w:t>
                  </w:r>
                </w:p>
              </w:tc>
              <w:tc>
                <w:tcPr>
                  <w:tcW w:w="2271" w:type="dxa"/>
                  <w:gridSpan w:val="2"/>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污染物排放</w:t>
                  </w:r>
                </w:p>
              </w:tc>
              <w:tc>
                <w:tcPr>
                  <w:tcW w:w="609" w:type="dxa"/>
                  <w:vMerge w:val="restart"/>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948" w:type="dxa"/>
                  <w:vMerge w:val="continue"/>
                  <w:tcBorders>
                    <w:top w:val="single" w:color="auto" w:sz="4" w:space="0"/>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核算方法</w:t>
                  </w:r>
                </w:p>
              </w:tc>
              <w:tc>
                <w:tcPr>
                  <w:tcW w:w="1133"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产生量</w:t>
                  </w:r>
                </w:p>
              </w:tc>
              <w:tc>
                <w:tcPr>
                  <w:tcW w:w="1561" w:type="dxa"/>
                  <w:vMerge w:val="continue"/>
                  <w:tcBorders>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核算方法</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排放量</w:t>
                  </w:r>
                </w:p>
              </w:tc>
              <w:tc>
                <w:tcPr>
                  <w:tcW w:w="609" w:type="dxa"/>
                  <w:vMerge w:val="continue"/>
                  <w:tcBorders>
                    <w:top w:val="single" w:color="auto" w:sz="4" w:space="0"/>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焊接</w:t>
                  </w:r>
                </w:p>
              </w:tc>
              <w:tc>
                <w:tcPr>
                  <w:tcW w:w="948"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焊接烟尘</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系数法</w:t>
                  </w:r>
                </w:p>
              </w:tc>
              <w:tc>
                <w:tcPr>
                  <w:tcW w:w="1133"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0.12</w:t>
                  </w:r>
                  <w:r>
                    <w:rPr>
                      <w:rFonts w:hint="default" w:ascii="Times New Roman" w:hAnsi="Times New Roman" w:eastAsia="宋体" w:cs="Times New Roman"/>
                      <w:sz w:val="21"/>
                      <w:szCs w:val="21"/>
                    </w:rPr>
                    <w:t>t/a</w:t>
                  </w:r>
                </w:p>
              </w:tc>
              <w:tc>
                <w:tcPr>
                  <w:tcW w:w="156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集气罩+布袋除尘器集中处理</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物料衡算法</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sz w:val="21"/>
                      <w:szCs w:val="21"/>
                    </w:rPr>
                    <w:t>0.</w:t>
                  </w:r>
                  <w:r>
                    <w:rPr>
                      <w:rFonts w:hint="eastAsia"/>
                      <w:sz w:val="21"/>
                      <w:szCs w:val="21"/>
                      <w:lang w:val="en-US" w:eastAsia="zh-CN"/>
                    </w:rPr>
                    <w:t>0012t</w:t>
                  </w:r>
                  <w:r>
                    <w:rPr>
                      <w:rFonts w:hint="eastAsia"/>
                      <w:sz w:val="21"/>
                      <w:szCs w:val="21"/>
                    </w:rPr>
                    <w:t>/a</w:t>
                  </w:r>
                </w:p>
              </w:tc>
              <w:tc>
                <w:tcPr>
                  <w:tcW w:w="609" w:type="dxa"/>
                  <w:tcBorders>
                    <w:top w:val="single" w:color="auto" w:sz="4" w:space="0"/>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tcBorders>
                    <w:top w:val="single" w:color="auto" w:sz="4" w:space="0"/>
                    <w:left w:val="single" w:color="auto" w:sz="4" w:space="0"/>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喷塑</w:t>
                  </w:r>
                </w:p>
              </w:tc>
              <w:tc>
                <w:tcPr>
                  <w:tcW w:w="948"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粉尘</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类比法</w:t>
                  </w:r>
                </w:p>
              </w:tc>
              <w:tc>
                <w:tcPr>
                  <w:tcW w:w="1133"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0.5</w:t>
                  </w:r>
                  <w:r>
                    <w:rPr>
                      <w:rFonts w:hint="default" w:ascii="Times New Roman" w:hAnsi="Times New Roman" w:eastAsia="宋体" w:cs="Times New Roman"/>
                      <w:sz w:val="21"/>
                      <w:szCs w:val="21"/>
                    </w:rPr>
                    <w:t>t/a</w:t>
                  </w:r>
                </w:p>
              </w:tc>
              <w:tc>
                <w:tcPr>
                  <w:tcW w:w="156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封闭喷塑柜+布袋</w:t>
                  </w:r>
                  <w:r>
                    <w:rPr>
                      <w:rFonts w:hint="default" w:ascii="Times New Roman" w:hAnsi="Times New Roman" w:eastAsia="宋体" w:cs="Times New Roman"/>
                      <w:sz w:val="21"/>
                      <w:szCs w:val="21"/>
                    </w:rPr>
                    <w:t>除尘器+15m排气筒</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物料衡算法</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w:t>
                  </w:r>
                  <w:r>
                    <w:rPr>
                      <w:rFonts w:hint="eastAsia" w:cs="Times New Roman"/>
                      <w:sz w:val="21"/>
                      <w:szCs w:val="21"/>
                      <w:lang w:val="en-US" w:eastAsia="zh-CN"/>
                    </w:rPr>
                    <w:t>05</w:t>
                  </w:r>
                  <w:r>
                    <w:rPr>
                      <w:rFonts w:hint="default" w:ascii="Times New Roman" w:hAnsi="Times New Roman" w:eastAsia="宋体" w:cs="Times New Roman"/>
                      <w:sz w:val="21"/>
                      <w:szCs w:val="21"/>
                    </w:rPr>
                    <w:t>t/a</w:t>
                  </w:r>
                </w:p>
              </w:tc>
              <w:tc>
                <w:tcPr>
                  <w:tcW w:w="609" w:type="dxa"/>
                  <w:tcBorders>
                    <w:top w:val="nil"/>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12</w:t>
                  </w:r>
                  <w:r>
                    <w:rPr>
                      <w:rFonts w:hint="default" w:ascii="Times New Roman" w:hAnsi="Times New Roman" w:eastAsia="宋体" w:cs="Times New Roman"/>
                      <w:sz w:val="21"/>
                      <w:szCs w:val="21"/>
                    </w:rPr>
                    <w:t>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tcBorders>
                    <w:top w:val="single" w:color="auto" w:sz="4" w:space="0"/>
                    <w:left w:val="single" w:color="auto" w:sz="4" w:space="0"/>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固化</w:t>
                  </w:r>
                  <w:r>
                    <w:rPr>
                      <w:rFonts w:hint="eastAsia" w:cs="Times New Roman"/>
                      <w:sz w:val="21"/>
                      <w:szCs w:val="21"/>
                      <w:lang w:eastAsia="zh-CN"/>
                    </w:rPr>
                    <w:t>、</w:t>
                  </w:r>
                  <w:r>
                    <w:rPr>
                      <w:rFonts w:hint="eastAsia" w:cs="Times New Roman"/>
                      <w:sz w:val="21"/>
                      <w:szCs w:val="21"/>
                      <w:lang w:val="en-US" w:eastAsia="zh-CN"/>
                    </w:rPr>
                    <w:t>封边</w:t>
                  </w:r>
                </w:p>
              </w:tc>
              <w:tc>
                <w:tcPr>
                  <w:tcW w:w="948" w:type="dxa"/>
                  <w:tcBorders>
                    <w:top w:val="nil"/>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1133"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w:t>
                  </w:r>
                  <w:r>
                    <w:rPr>
                      <w:rFonts w:hint="eastAsia" w:cs="Times New Roman"/>
                      <w:sz w:val="21"/>
                      <w:szCs w:val="21"/>
                      <w:lang w:val="en-US" w:eastAsia="zh-CN"/>
                    </w:rPr>
                    <w:t>302</w:t>
                  </w:r>
                  <w:r>
                    <w:rPr>
                      <w:rFonts w:hint="default" w:ascii="Times New Roman" w:hAnsi="Times New Roman" w:eastAsia="宋体" w:cs="Times New Roman"/>
                      <w:sz w:val="21"/>
                      <w:szCs w:val="21"/>
                    </w:rPr>
                    <w:t>t/a</w:t>
                  </w:r>
                </w:p>
              </w:tc>
              <w:tc>
                <w:tcPr>
                  <w:tcW w:w="156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UV光解+活性炭吸附收集装置+15m排气筒</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物料衡算法</w:t>
                  </w:r>
                </w:p>
              </w:tc>
              <w:tc>
                <w:tcPr>
                  <w:tcW w:w="1421" w:type="dxa"/>
                  <w:tcBorders>
                    <w:top w:val="single" w:color="auto" w:sz="4" w:space="0"/>
                    <w:left w:val="nil"/>
                    <w:bottom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sz w:val="21"/>
                      <w:szCs w:val="21"/>
                      <w:lang w:val="en-US" w:eastAsia="zh-CN"/>
                    </w:rPr>
                    <w:t>2.72</w:t>
                  </w:r>
                  <w:r>
                    <w:rPr>
                      <w:rFonts w:hint="default" w:ascii="Times New Roman" w:hAnsi="Times New Roman" w:eastAsia="宋体" w:cs="Times New Roman"/>
                      <w:sz w:val="21"/>
                      <w:szCs w:val="21"/>
                    </w:rPr>
                    <w:t>kg/a</w:t>
                  </w:r>
                </w:p>
              </w:tc>
              <w:tc>
                <w:tcPr>
                  <w:tcW w:w="609" w:type="dxa"/>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eastAsia" w:cs="Times New Roman"/>
                      <w:sz w:val="21"/>
                      <w:szCs w:val="21"/>
                      <w:lang w:val="en-US" w:eastAsia="zh-CN"/>
                    </w:rPr>
                    <w:t>2</w:t>
                  </w:r>
                  <w:r>
                    <w:rPr>
                      <w:rFonts w:hint="default" w:ascii="Times New Roman" w:hAnsi="Times New Roman" w:eastAsia="宋体" w:cs="Times New Roman"/>
                      <w:sz w:val="21"/>
                      <w:szCs w:val="21"/>
                    </w:rPr>
                    <w:t>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restart"/>
                  <w:tcBorders>
                    <w:top w:val="single" w:color="auto" w:sz="4" w:space="0"/>
                    <w:left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燃烧机</w:t>
                  </w: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850" w:type="dxa"/>
                  <w:vMerge w:val="restart"/>
                  <w:tcBorders>
                    <w:top w:val="single" w:color="auto" w:sz="4" w:space="0"/>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1.345</w:t>
                  </w:r>
                  <w:r>
                    <w:rPr>
                      <w:color w:val="000000" w:themeColor="text1"/>
                      <w:sz w:val="21"/>
                      <w:szCs w:val="21"/>
                    </w:rPr>
                    <w:t>kg/a</w:t>
                  </w:r>
                </w:p>
              </w:tc>
              <w:tc>
                <w:tcPr>
                  <w:tcW w:w="1561" w:type="dxa"/>
                  <w:vMerge w:val="restart"/>
                  <w:tcBorders>
                    <w:top w:val="single" w:color="auto" w:sz="4" w:space="0"/>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eastAsia" w:cs="Times New Roman"/>
                      <w:bCs/>
                      <w:color w:val="000000" w:themeColor="text1"/>
                      <w:sz w:val="21"/>
                      <w:szCs w:val="21"/>
                      <w:lang w:val="en-US" w:eastAsia="zh-CN"/>
                    </w:rPr>
                    <w:t>集气罩+15m排气筒</w:t>
                  </w:r>
                </w:p>
              </w:tc>
              <w:tc>
                <w:tcPr>
                  <w:tcW w:w="850" w:type="dxa"/>
                  <w:vMerge w:val="restart"/>
                  <w:tcBorders>
                    <w:top w:val="single" w:color="auto" w:sz="4" w:space="0"/>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rPr>
                  </w:pPr>
                  <w:r>
                    <w:rPr>
                      <w:rFonts w:hint="default" w:ascii="Times New Roman" w:hAnsi="Times New Roman" w:eastAsia="宋体" w:cs="Times New Roman"/>
                      <w:color w:val="000000" w:themeColor="text1"/>
                      <w:kern w:val="0"/>
                      <w:sz w:val="21"/>
                      <w:szCs w:val="21"/>
                    </w:rPr>
                    <w:t>物料衡算法</w:t>
                  </w:r>
                </w:p>
              </w:tc>
              <w:tc>
                <w:tcPr>
                  <w:tcW w:w="1421"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1.345</w:t>
                  </w:r>
                  <w:r>
                    <w:rPr>
                      <w:color w:val="000000" w:themeColor="text1"/>
                      <w:sz w:val="21"/>
                      <w:szCs w:val="21"/>
                    </w:rPr>
                    <w:t>kg/a</w:t>
                  </w:r>
                </w:p>
              </w:tc>
              <w:tc>
                <w:tcPr>
                  <w:tcW w:w="609" w:type="dxa"/>
                  <w:vMerge w:val="restart"/>
                  <w:tcBorders>
                    <w:top w:val="nil"/>
                    <w:left w:val="nil"/>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eastAsia" w:cs="Times New Roman"/>
                      <w:sz w:val="21"/>
                      <w:szCs w:val="21"/>
                      <w:lang w:val="en-US" w:eastAsia="zh-CN"/>
                    </w:rPr>
                    <w:t>5</w:t>
                  </w:r>
                  <w:r>
                    <w:rPr>
                      <w:rFonts w:hint="default" w:ascii="Times New Roman" w:hAnsi="Times New Roman" w:eastAsia="宋体" w:cs="Times New Roman"/>
                      <w:sz w:val="21"/>
                      <w:szCs w:val="21"/>
                    </w:rPr>
                    <w:t>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left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highlight w:val="yellow"/>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p>
              </w:tc>
              <w:tc>
                <w:tcPr>
                  <w:tcW w:w="850" w:type="dxa"/>
                  <w:vMerge w:val="continue"/>
                  <w:tcBorders>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13.156</w:t>
                  </w:r>
                  <w:r>
                    <w:rPr>
                      <w:color w:val="000000" w:themeColor="text1"/>
                      <w:sz w:val="21"/>
                      <w:szCs w:val="21"/>
                    </w:rPr>
                    <w:t>kg/a</w:t>
                  </w:r>
                </w:p>
              </w:tc>
              <w:tc>
                <w:tcPr>
                  <w:tcW w:w="1561" w:type="dxa"/>
                  <w:vMerge w:val="continue"/>
                  <w:tcBorders>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bCs/>
                      <w:color w:val="000000" w:themeColor="text1"/>
                      <w:sz w:val="21"/>
                      <w:szCs w:val="21"/>
                    </w:rPr>
                  </w:pPr>
                </w:p>
              </w:tc>
              <w:tc>
                <w:tcPr>
                  <w:tcW w:w="850" w:type="dxa"/>
                  <w:vMerge w:val="continue"/>
                  <w:tcBorders>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rPr>
                  </w:pPr>
                </w:p>
              </w:tc>
              <w:tc>
                <w:tcPr>
                  <w:tcW w:w="1421"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13.156</w:t>
                  </w:r>
                  <w:r>
                    <w:rPr>
                      <w:color w:val="000000" w:themeColor="text1"/>
                      <w:sz w:val="21"/>
                      <w:szCs w:val="21"/>
                    </w:rPr>
                    <w:t>kg/a</w:t>
                  </w:r>
                </w:p>
              </w:tc>
              <w:tc>
                <w:tcPr>
                  <w:tcW w:w="609" w:type="dxa"/>
                  <w:vMerge w:val="continue"/>
                  <w:tcBorders>
                    <w:left w:val="nil"/>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left w:val="single" w:color="auto" w:sz="4" w:space="0"/>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highlight w:val="yellow"/>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850" w:type="dxa"/>
                  <w:vMerge w:val="continue"/>
                  <w:tcBorders>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1.047</w:t>
                  </w:r>
                  <w:r>
                    <w:rPr>
                      <w:color w:val="000000" w:themeColor="text1"/>
                      <w:sz w:val="21"/>
                      <w:szCs w:val="21"/>
                    </w:rPr>
                    <w:t>kg/a</w:t>
                  </w:r>
                </w:p>
              </w:tc>
              <w:tc>
                <w:tcPr>
                  <w:tcW w:w="1561" w:type="dxa"/>
                  <w:vMerge w:val="continue"/>
                  <w:tcBorders>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bCs/>
                      <w:color w:val="000000" w:themeColor="text1"/>
                      <w:sz w:val="21"/>
                      <w:szCs w:val="21"/>
                    </w:rPr>
                  </w:pPr>
                </w:p>
              </w:tc>
              <w:tc>
                <w:tcPr>
                  <w:tcW w:w="850" w:type="dxa"/>
                  <w:vMerge w:val="continue"/>
                  <w:tcBorders>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rPr>
                  </w:pPr>
                </w:p>
              </w:tc>
              <w:tc>
                <w:tcPr>
                  <w:tcW w:w="1421"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yellow"/>
                    </w:rPr>
                  </w:pPr>
                  <w:r>
                    <w:rPr>
                      <w:rFonts w:hint="eastAsia"/>
                      <w:color w:val="000000" w:themeColor="text1"/>
                      <w:sz w:val="21"/>
                      <w:szCs w:val="21"/>
                      <w:lang w:val="en-US" w:eastAsia="zh-CN"/>
                    </w:rPr>
                    <w:t>1.047</w:t>
                  </w:r>
                  <w:r>
                    <w:rPr>
                      <w:color w:val="000000" w:themeColor="text1"/>
                      <w:sz w:val="21"/>
                      <w:szCs w:val="21"/>
                    </w:rPr>
                    <w:t>kg/a</w:t>
                  </w:r>
                </w:p>
              </w:tc>
              <w:tc>
                <w:tcPr>
                  <w:tcW w:w="609" w:type="dxa"/>
                  <w:vMerge w:val="continue"/>
                  <w:tcBorders>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tcBorders>
                    <w:left w:val="single" w:color="auto" w:sz="4" w:space="0"/>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eastAsia"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lang w:val="en-US" w:eastAsia="zh-CN"/>
                    </w:rPr>
                    <w:t>切割</w:t>
                  </w:r>
                  <w:r>
                    <w:rPr>
                      <w:rFonts w:hint="eastAsia" w:ascii="Times New Roman" w:hAnsi="Times New Roman" w:cs="Times New Roman"/>
                      <w:sz w:val="21"/>
                      <w:szCs w:val="21"/>
                      <w:lang w:val="en-US" w:eastAsia="zh-CN"/>
                    </w:rPr>
                    <w:t>、打孔</w:t>
                  </w: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颗粒物</w:t>
                  </w:r>
                </w:p>
              </w:tc>
              <w:tc>
                <w:tcPr>
                  <w:tcW w:w="850" w:type="dxa"/>
                  <w:tcBorders>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N w:val="0"/>
                    <w:bidi w:val="0"/>
                    <w:spacing w:line="240" w:lineRule="auto"/>
                    <w:ind w:firstLine="0" w:firstLineChars="0"/>
                    <w:jc w:val="center"/>
                    <w:textAlignment w:val="auto"/>
                    <w:rPr>
                      <w:rFonts w:hint="eastAsia"/>
                      <w:color w:val="000000" w:themeColor="text1"/>
                      <w:sz w:val="21"/>
                      <w:szCs w:val="21"/>
                      <w:lang w:val="en-US" w:eastAsia="zh-CN"/>
                    </w:rPr>
                  </w:pPr>
                  <w:r>
                    <w:rPr>
                      <w:rFonts w:hint="eastAsia"/>
                      <w:color w:val="000000" w:themeColor="text1"/>
                      <w:sz w:val="21"/>
                      <w:szCs w:val="21"/>
                      <w:lang w:val="en-US" w:eastAsia="zh-CN"/>
                    </w:rPr>
                    <w:t>0.386</w:t>
                  </w:r>
                  <w:r>
                    <w:rPr>
                      <w:sz w:val="21"/>
                      <w:szCs w:val="21"/>
                    </w:rPr>
                    <w:t>t/a</w:t>
                  </w:r>
                </w:p>
              </w:tc>
              <w:tc>
                <w:tcPr>
                  <w:tcW w:w="1561" w:type="dxa"/>
                  <w:tcBorders>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bCs/>
                      <w:color w:val="000000" w:themeColor="text1"/>
                      <w:sz w:val="21"/>
                      <w:szCs w:val="21"/>
                      <w:lang w:val="en-US" w:eastAsia="zh-CN"/>
                    </w:rPr>
                  </w:pPr>
                  <w:r>
                    <w:rPr>
                      <w:rFonts w:hint="eastAsia" w:cs="Times New Roman"/>
                      <w:bCs/>
                      <w:color w:val="000000" w:themeColor="text1"/>
                      <w:sz w:val="21"/>
                      <w:szCs w:val="21"/>
                      <w:lang w:val="en-US" w:eastAsia="zh-CN"/>
                    </w:rPr>
                    <w:t>双桶布袋除尘器</w:t>
                  </w:r>
                </w:p>
              </w:tc>
              <w:tc>
                <w:tcPr>
                  <w:tcW w:w="850" w:type="dxa"/>
                  <w:tcBorders>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rPr>
                  </w:pPr>
                  <w:r>
                    <w:rPr>
                      <w:rFonts w:hint="default" w:ascii="Times New Roman" w:hAnsi="Times New Roman" w:eastAsia="宋体" w:cs="Times New Roman"/>
                      <w:color w:val="000000" w:themeColor="text1"/>
                      <w:kern w:val="0"/>
                      <w:sz w:val="21"/>
                      <w:szCs w:val="21"/>
                    </w:rPr>
                    <w:t>物料衡算法</w:t>
                  </w:r>
                </w:p>
              </w:tc>
              <w:tc>
                <w:tcPr>
                  <w:tcW w:w="1421"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N w:val="0"/>
                    <w:bidi w:val="0"/>
                    <w:spacing w:line="240" w:lineRule="auto"/>
                    <w:ind w:firstLine="0" w:firstLineChars="0"/>
                    <w:jc w:val="center"/>
                    <w:textAlignment w:val="auto"/>
                    <w:rPr>
                      <w:rFonts w:hint="eastAsia"/>
                      <w:color w:val="000000" w:themeColor="text1"/>
                      <w:sz w:val="21"/>
                      <w:szCs w:val="21"/>
                      <w:lang w:val="en-US" w:eastAsia="zh-CN"/>
                    </w:rPr>
                  </w:pPr>
                  <w:r>
                    <w:rPr>
                      <w:rFonts w:hint="eastAsia"/>
                      <w:color w:val="000000" w:themeColor="text1"/>
                      <w:sz w:val="21"/>
                      <w:szCs w:val="21"/>
                      <w:lang w:val="en-US" w:eastAsia="zh-CN"/>
                    </w:rPr>
                    <w:t>0.0386</w:t>
                  </w:r>
                  <w:r>
                    <w:rPr>
                      <w:sz w:val="21"/>
                      <w:szCs w:val="21"/>
                    </w:rPr>
                    <w:t>t/a</w:t>
                  </w:r>
                </w:p>
              </w:tc>
              <w:tc>
                <w:tcPr>
                  <w:tcW w:w="609" w:type="dxa"/>
                  <w:tcBorders>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restart"/>
                  <w:tcBorders>
                    <w:top w:val="nil"/>
                    <w:left w:val="single" w:color="auto" w:sz="4" w:space="0"/>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COD</w:t>
                  </w:r>
                  <w:r>
                    <w:rPr>
                      <w:rFonts w:hint="default" w:ascii="Times New Roman" w:hAnsi="Times New Roman" w:eastAsia="宋体" w:cs="Times New Roman"/>
                      <w:sz w:val="21"/>
                      <w:szCs w:val="21"/>
                      <w:vertAlign w:val="subscript"/>
                    </w:rPr>
                    <w:t>Cr</w:t>
                  </w:r>
                </w:p>
              </w:tc>
              <w:tc>
                <w:tcPr>
                  <w:tcW w:w="850" w:type="dxa"/>
                  <w:vMerge w:val="restart"/>
                  <w:tcBorders>
                    <w:top w:val="nil"/>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eastAsia" w:ascii="Times New Roman" w:hAnsi="Times New Roman" w:eastAsia="宋体" w:cs="Times New Roman"/>
                      <w:kern w:val="0"/>
                      <w:sz w:val="21"/>
                      <w:szCs w:val="21"/>
                      <w:lang w:eastAsia="zh-CN"/>
                    </w:rPr>
                  </w:pPr>
                  <w:r>
                    <w:rPr>
                      <w:rFonts w:hint="eastAsia" w:cs="Times New Roman"/>
                      <w:kern w:val="0"/>
                      <w:sz w:val="21"/>
                      <w:szCs w:val="21"/>
                      <w:lang w:val="en-US" w:eastAsia="zh-CN"/>
                    </w:rPr>
                    <w:t>/</w:t>
                  </w:r>
                </w:p>
              </w:tc>
              <w:tc>
                <w:tcPr>
                  <w:tcW w:w="1133" w:type="dxa"/>
                  <w:vMerge w:val="restart"/>
                  <w:tcBorders>
                    <w:top w:val="single" w:color="auto" w:sz="4" w:space="0"/>
                    <w:left w:val="nil"/>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eastAsia" w:ascii="Times New Roman" w:hAnsi="Times New Roman" w:eastAsia="宋体" w:cs="Times New Roman"/>
                      <w:kern w:val="0"/>
                      <w:sz w:val="21"/>
                      <w:szCs w:val="21"/>
                      <w:lang w:eastAsia="zh-CN"/>
                    </w:rPr>
                  </w:pPr>
                  <w:r>
                    <w:rPr>
                      <w:rFonts w:hint="eastAsia" w:cs="Times New Roman"/>
                      <w:kern w:val="0"/>
                      <w:sz w:val="21"/>
                      <w:szCs w:val="21"/>
                      <w:lang w:val="en-US" w:eastAsia="zh-CN"/>
                    </w:rPr>
                    <w:t>/</w:t>
                  </w:r>
                </w:p>
              </w:tc>
              <w:tc>
                <w:tcPr>
                  <w:tcW w:w="1561" w:type="dxa"/>
                  <w:vMerge w:val="restart"/>
                  <w:tcBorders>
                    <w:top w:val="nil"/>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bCs/>
                      <w:sz w:val="21"/>
                      <w:szCs w:val="21"/>
                      <w:lang w:val="en-US" w:eastAsia="zh-CN"/>
                    </w:rPr>
                    <w:t>生活污水</w:t>
                  </w:r>
                  <w:r>
                    <w:rPr>
                      <w:rFonts w:hint="eastAsia" w:ascii="Times New Roman" w:hAnsi="Times New Roman" w:cs="Times New Roman"/>
                      <w:bCs/>
                      <w:sz w:val="21"/>
                      <w:szCs w:val="21"/>
                      <w:lang w:val="en-US" w:eastAsia="zh-CN"/>
                    </w:rPr>
                    <w:t>进入旱厕</w:t>
                  </w:r>
                  <w:r>
                    <w:rPr>
                      <w:rFonts w:hint="default" w:ascii="Times New Roman" w:hAnsi="Times New Roman" w:eastAsia="宋体" w:cs="Times New Roman"/>
                      <w:bCs/>
                      <w:sz w:val="21"/>
                      <w:szCs w:val="21"/>
                    </w:rPr>
                    <w:t>，定期由当地农户清掏，用作农田肥料。</w:t>
                  </w:r>
                </w:p>
              </w:tc>
              <w:tc>
                <w:tcPr>
                  <w:tcW w:w="850" w:type="dxa"/>
                  <w:vMerge w:val="restart"/>
                  <w:tcBorders>
                    <w:top w:val="nil"/>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w:t>
                  </w:r>
                </w:p>
              </w:tc>
              <w:tc>
                <w:tcPr>
                  <w:tcW w:w="609" w:type="dxa"/>
                  <w:vMerge w:val="restart"/>
                  <w:tcBorders>
                    <w:top w:val="nil"/>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top w:val="nil"/>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1133" w:type="dxa"/>
                  <w:vMerge w:val="continue"/>
                  <w:tcBorders>
                    <w:left w:val="nil"/>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p>
              </w:tc>
              <w:tc>
                <w:tcPr>
                  <w:tcW w:w="1561" w:type="dxa"/>
                  <w:vMerge w:val="continue"/>
                  <w:tcBorders>
                    <w:top w:val="single" w:color="auto" w:sz="4" w:space="0"/>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w:t>
                  </w:r>
                </w:p>
              </w:tc>
              <w:tc>
                <w:tcPr>
                  <w:tcW w:w="609"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top w:val="nil"/>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1133" w:type="dxa"/>
                  <w:vMerge w:val="continue"/>
                  <w:tcBorders>
                    <w:left w:val="nil"/>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1561" w:type="dxa"/>
                  <w:vMerge w:val="continue"/>
                  <w:tcBorders>
                    <w:top w:val="single" w:color="auto" w:sz="4" w:space="0"/>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c>
                <w:tcPr>
                  <w:tcW w:w="609"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top w:val="nil"/>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TN</w:t>
                  </w: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1133" w:type="dxa"/>
                  <w:vMerge w:val="continue"/>
                  <w:tcBorders>
                    <w:left w:val="nil"/>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1561" w:type="dxa"/>
                  <w:vMerge w:val="continue"/>
                  <w:tcBorders>
                    <w:top w:val="single" w:color="auto" w:sz="4" w:space="0"/>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c>
                <w:tcPr>
                  <w:tcW w:w="609"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top w:val="nil"/>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1133" w:type="dxa"/>
                  <w:vMerge w:val="continue"/>
                  <w:tcBorders>
                    <w:left w:val="nil"/>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1561" w:type="dxa"/>
                  <w:vMerge w:val="continue"/>
                  <w:tcBorders>
                    <w:top w:val="single" w:color="auto" w:sz="4" w:space="0"/>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c>
                <w:tcPr>
                  <w:tcW w:w="609"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top w:val="nil"/>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1133" w:type="dxa"/>
                  <w:vMerge w:val="continue"/>
                  <w:tcBorders>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1561" w:type="dxa"/>
                  <w:vMerge w:val="continue"/>
                  <w:tcBorders>
                    <w:top w:val="single" w:color="auto" w:sz="4" w:space="0"/>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850"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c>
                <w:tcPr>
                  <w:tcW w:w="609"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tcBorders>
                    <w:top w:val="single" w:color="auto" w:sz="4" w:space="0"/>
                    <w:left w:val="single" w:color="auto" w:sz="4" w:space="0"/>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生产设备</w:t>
                  </w:r>
                </w:p>
              </w:tc>
              <w:tc>
                <w:tcPr>
                  <w:tcW w:w="948"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噪声</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类比法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70~8</w:t>
                  </w:r>
                  <w:r>
                    <w:rPr>
                      <w:rFonts w:hint="eastAsia" w:cs="Times New Roman"/>
                      <w:sz w:val="21"/>
                      <w:szCs w:val="21"/>
                      <w:lang w:val="en-US" w:eastAsia="zh-CN"/>
                    </w:rPr>
                    <w:t>5</w:t>
                  </w:r>
                  <w:r>
                    <w:rPr>
                      <w:rFonts w:hint="default" w:ascii="Times New Roman" w:hAnsi="Times New Roman" w:eastAsia="宋体" w:cs="Times New Roman"/>
                      <w:sz w:val="21"/>
                      <w:szCs w:val="21"/>
                    </w:rPr>
                    <w:t>dB（A）</w:t>
                  </w:r>
                </w:p>
              </w:tc>
              <w:tc>
                <w:tcPr>
                  <w:tcW w:w="156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低噪声设备、隔声、减振基</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实测法</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厂界达标</w:t>
                  </w:r>
                </w:p>
              </w:tc>
              <w:tc>
                <w:tcPr>
                  <w:tcW w:w="609"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2400h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restart"/>
                  <w:tcBorders>
                    <w:top w:val="nil"/>
                    <w:left w:val="single" w:color="auto" w:sz="4" w:space="0"/>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生产过程</w:t>
                  </w: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eastAsia" w:ascii="Times New Roman" w:hAnsi="Times New Roman" w:eastAsia="宋体" w:cs="Times New Roman"/>
                      <w:kern w:val="0"/>
                      <w:sz w:val="21"/>
                      <w:szCs w:val="21"/>
                      <w:lang w:eastAsia="zh-CN"/>
                    </w:rPr>
                  </w:pPr>
                  <w:r>
                    <w:rPr>
                      <w:rFonts w:hint="default" w:ascii="Times New Roman" w:hAnsi="Times New Roman" w:eastAsia="宋体" w:cs="Times New Roman"/>
                      <w:sz w:val="21"/>
                      <w:szCs w:val="21"/>
                    </w:rPr>
                    <w:t>除尘系统收集的</w:t>
                  </w:r>
                  <w:r>
                    <w:rPr>
                      <w:rFonts w:hint="eastAsia" w:cs="Times New Roman"/>
                      <w:sz w:val="21"/>
                      <w:szCs w:val="21"/>
                      <w:lang w:val="en-US" w:eastAsia="zh-CN"/>
                    </w:rPr>
                    <w:t>塑粉</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物料衡算法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eastAsia" w:cs="Times New Roman"/>
                      <w:sz w:val="21"/>
                      <w:szCs w:val="21"/>
                      <w:lang w:val="en-US" w:eastAsia="zh-CN"/>
                    </w:rPr>
                    <w:t>0.495t</w:t>
                  </w:r>
                  <w:r>
                    <w:rPr>
                      <w:rFonts w:hint="default" w:ascii="Times New Roman" w:hAnsi="Times New Roman" w:eastAsia="宋体" w:cs="Times New Roman"/>
                      <w:sz w:val="21"/>
                      <w:szCs w:val="21"/>
                    </w:rPr>
                    <w:t>/a</w:t>
                  </w:r>
                </w:p>
              </w:tc>
              <w:tc>
                <w:tcPr>
                  <w:tcW w:w="1561"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喷塑收尘回用于生产</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609" w:type="dxa"/>
                  <w:vMerge w:val="restart"/>
                  <w:tcBorders>
                    <w:top w:val="nil"/>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2400h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left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焊接烟尘</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eastAsia" w:ascii="Times New Roman" w:hAnsi="Times New Roman" w:eastAsia="宋体" w:cs="Times New Roman"/>
                      <w:kern w:val="0"/>
                      <w:sz w:val="21"/>
                      <w:szCs w:val="21"/>
                      <w:lang w:val="en-US" w:eastAsia="zh-CN"/>
                    </w:rPr>
                  </w:pPr>
                  <w:r>
                    <w:rPr>
                      <w:rFonts w:hint="eastAsia" w:cs="Times New Roman"/>
                      <w:kern w:val="0"/>
                      <w:sz w:val="21"/>
                      <w:szCs w:val="21"/>
                      <w:lang w:val="en-US" w:eastAsia="zh-CN"/>
                    </w:rPr>
                    <w:t>系数法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0.12</w:t>
                  </w:r>
                  <w:r>
                    <w:rPr>
                      <w:rFonts w:hint="default" w:ascii="Times New Roman" w:hAnsi="Times New Roman" w:eastAsia="宋体" w:cs="Times New Roman"/>
                      <w:sz w:val="21"/>
                      <w:szCs w:val="21"/>
                    </w:rPr>
                    <w:t>t/a</w:t>
                  </w:r>
                </w:p>
              </w:tc>
              <w:tc>
                <w:tcPr>
                  <w:tcW w:w="1561"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收集后交由专门回收单位处理</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lang w:val="en-US" w:eastAsia="zh-CN"/>
                    </w:rPr>
                  </w:pPr>
                  <w:r>
                    <w:rPr>
                      <w:rFonts w:hint="eastAsia" w:cs="Times New Roman"/>
                      <w:kern w:val="0"/>
                      <w:sz w:val="21"/>
                      <w:szCs w:val="21"/>
                      <w:lang w:val="en-US" w:eastAsia="zh-CN"/>
                    </w:rPr>
                    <w:t>100%</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eastAsia" w:ascii="Times New Roman" w:hAnsi="Times New Roman" w:eastAsia="宋体" w:cs="Times New Roman"/>
                      <w:kern w:val="0"/>
                      <w:sz w:val="21"/>
                      <w:szCs w:val="21"/>
                      <w:lang w:val="en-US" w:eastAsia="zh-CN"/>
                    </w:rPr>
                  </w:pPr>
                  <w:r>
                    <w:rPr>
                      <w:rFonts w:hint="eastAsia" w:cs="Times New Roman"/>
                      <w:kern w:val="0"/>
                      <w:sz w:val="21"/>
                      <w:szCs w:val="21"/>
                      <w:lang w:val="en-US" w:eastAsia="zh-CN"/>
                    </w:rPr>
                    <w:t>0</w:t>
                  </w:r>
                </w:p>
              </w:tc>
              <w:tc>
                <w:tcPr>
                  <w:tcW w:w="609" w:type="dxa"/>
                  <w:vMerge w:val="continue"/>
                  <w:tcBorders>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left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ind w:left="0" w:leftChars="0" w:firstLine="0" w:firstLine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木材边角料</w:t>
                  </w:r>
                </w:p>
              </w:tc>
              <w:tc>
                <w:tcPr>
                  <w:tcW w:w="850" w:type="dxa"/>
                  <w:tcBorders>
                    <w:top w:val="single" w:color="auto" w:sz="4" w:space="0"/>
                    <w:left w:val="nil"/>
                    <w:bottom w:val="single" w:color="auto" w:sz="4" w:space="0"/>
                    <w:right w:val="single" w:color="auto" w:sz="4" w:space="0"/>
                  </w:tcBorders>
                  <w:noWrap w:val="0"/>
                  <w:vAlign w:val="center"/>
                </w:tcPr>
                <w:p>
                  <w:pPr>
                    <w:spacing w:line="32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统计法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eastAsia" w:cs="Times New Roman"/>
                      <w:sz w:val="21"/>
                      <w:szCs w:val="21"/>
                      <w:lang w:val="en-US" w:eastAsia="zh-CN"/>
                    </w:rPr>
                  </w:pPr>
                  <w:r>
                    <w:rPr>
                      <w:rFonts w:hint="eastAsia" w:cs="Times New Roman"/>
                      <w:sz w:val="21"/>
                      <w:szCs w:val="21"/>
                      <w:lang w:val="en-US" w:eastAsia="zh-CN"/>
                    </w:rPr>
                    <w:t>1.0</w:t>
                  </w:r>
                  <w:r>
                    <w:rPr>
                      <w:rFonts w:hint="default" w:ascii="Times New Roman" w:hAnsi="Times New Roman" w:eastAsia="宋体" w:cs="Times New Roman"/>
                      <w:sz w:val="21"/>
                      <w:szCs w:val="21"/>
                    </w:rPr>
                    <w:t>t/a</w:t>
                  </w:r>
                </w:p>
              </w:tc>
              <w:tc>
                <w:tcPr>
                  <w:tcW w:w="1561"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收集后外售</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100%</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cs="Times New Roman"/>
                      <w:kern w:val="0"/>
                      <w:sz w:val="21"/>
                      <w:szCs w:val="21"/>
                      <w:lang w:val="en-US" w:eastAsia="zh-CN"/>
                    </w:rPr>
                  </w:pPr>
                  <w:r>
                    <w:rPr>
                      <w:rFonts w:hint="eastAsia" w:cs="Times New Roman"/>
                      <w:kern w:val="0"/>
                      <w:sz w:val="21"/>
                      <w:szCs w:val="21"/>
                      <w:lang w:val="en-US" w:eastAsia="zh-CN"/>
                    </w:rPr>
                    <w:t>0</w:t>
                  </w:r>
                </w:p>
              </w:tc>
              <w:tc>
                <w:tcPr>
                  <w:tcW w:w="609" w:type="dxa"/>
                  <w:vMerge w:val="continue"/>
                  <w:tcBorders>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left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ind w:left="0" w:leftChars="0" w:firstLine="0" w:firstLine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木屑</w:t>
                  </w:r>
                  <w:r>
                    <w:rPr>
                      <w:rFonts w:hint="default" w:ascii="Times New Roman" w:hAnsi="Times New Roman" w:cs="Times New Roman"/>
                      <w:sz w:val="21"/>
                      <w:szCs w:val="21"/>
                      <w:lang w:val="en-US" w:eastAsia="zh-CN"/>
                    </w:rPr>
                    <w:t>粉尘</w:t>
                  </w:r>
                </w:p>
              </w:tc>
              <w:tc>
                <w:tcPr>
                  <w:tcW w:w="850" w:type="dxa"/>
                  <w:tcBorders>
                    <w:top w:val="single" w:color="auto" w:sz="4" w:space="0"/>
                    <w:left w:val="nil"/>
                    <w:bottom w:val="single" w:color="auto" w:sz="4" w:space="0"/>
                    <w:right w:val="single" w:color="auto" w:sz="4" w:space="0"/>
                  </w:tcBorders>
                  <w:noWrap w:val="0"/>
                  <w:vAlign w:val="center"/>
                </w:tcPr>
                <w:p>
                  <w:pPr>
                    <w:spacing w:line="320" w:lineRule="exact"/>
                    <w:ind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系数法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eastAsia" w:cs="Times New Roman"/>
                      <w:sz w:val="21"/>
                      <w:szCs w:val="21"/>
                      <w:lang w:val="en-US" w:eastAsia="zh-CN"/>
                    </w:rPr>
                  </w:pPr>
                  <w:r>
                    <w:rPr>
                      <w:rFonts w:hint="eastAsia" w:ascii="Times New Roman" w:hAnsi="Times New Roman" w:cs="Times New Roman"/>
                      <w:sz w:val="21"/>
                      <w:szCs w:val="21"/>
                      <w:lang w:val="en-US" w:eastAsia="zh-CN"/>
                    </w:rPr>
                    <w:t>0.3475</w:t>
                  </w:r>
                  <w:r>
                    <w:rPr>
                      <w:rFonts w:hint="default" w:ascii="Times New Roman" w:hAnsi="Times New Roman" w:eastAsia="宋体" w:cs="Times New Roman"/>
                      <w:sz w:val="21"/>
                      <w:szCs w:val="21"/>
                    </w:rPr>
                    <w:t>t/a</w:t>
                  </w:r>
                </w:p>
              </w:tc>
              <w:tc>
                <w:tcPr>
                  <w:tcW w:w="1561"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收集后外售</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rPr>
                    <w:t>100%</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cs="Times New Roman"/>
                      <w:kern w:val="0"/>
                      <w:sz w:val="21"/>
                      <w:szCs w:val="21"/>
                      <w:lang w:val="en-US" w:eastAsia="zh-CN"/>
                    </w:rPr>
                  </w:pPr>
                  <w:r>
                    <w:rPr>
                      <w:rFonts w:hint="eastAsia" w:cs="Times New Roman"/>
                      <w:kern w:val="0"/>
                      <w:sz w:val="21"/>
                      <w:szCs w:val="21"/>
                      <w:lang w:val="en-US" w:eastAsia="zh-CN"/>
                    </w:rPr>
                    <w:t>0</w:t>
                  </w:r>
                </w:p>
              </w:tc>
              <w:tc>
                <w:tcPr>
                  <w:tcW w:w="609" w:type="dxa"/>
                  <w:vMerge w:val="continue"/>
                  <w:tcBorders>
                    <w:left w:val="nil"/>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top w:val="nil"/>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bCs/>
                      <w:sz w:val="21"/>
                      <w:szCs w:val="21"/>
                    </w:rPr>
                    <w:t>废机油</w:t>
                  </w:r>
                </w:p>
              </w:tc>
              <w:tc>
                <w:tcPr>
                  <w:tcW w:w="850"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类比法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bCs/>
                      <w:sz w:val="21"/>
                      <w:szCs w:val="21"/>
                    </w:rPr>
                    <w:t>0.001t/a</w:t>
                  </w:r>
                </w:p>
              </w:tc>
              <w:tc>
                <w:tcPr>
                  <w:tcW w:w="1561" w:type="dxa"/>
                  <w:vMerge w:val="restart"/>
                  <w:tcBorders>
                    <w:top w:val="single" w:color="auto" w:sz="4" w:space="0"/>
                    <w:left w:val="nil"/>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危险废物，交由有资质的单位处置</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609"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top w:val="nil"/>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废灯管</w:t>
                  </w:r>
                </w:p>
              </w:tc>
              <w:tc>
                <w:tcPr>
                  <w:tcW w:w="850"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类比法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0.0</w:t>
                  </w:r>
                  <w:r>
                    <w:rPr>
                      <w:rFonts w:hint="eastAsia" w:cs="Times New Roman"/>
                      <w:kern w:val="0"/>
                      <w:sz w:val="21"/>
                      <w:szCs w:val="21"/>
                      <w:lang w:val="en-US" w:eastAsia="zh-CN"/>
                    </w:rPr>
                    <w:t>01</w:t>
                  </w:r>
                  <w:r>
                    <w:rPr>
                      <w:rFonts w:hint="default" w:ascii="Times New Roman" w:hAnsi="Times New Roman" w:eastAsia="宋体" w:cs="Times New Roman"/>
                      <w:sz w:val="21"/>
                      <w:szCs w:val="21"/>
                    </w:rPr>
                    <w:t>t/a</w:t>
                  </w:r>
                </w:p>
              </w:tc>
              <w:tc>
                <w:tcPr>
                  <w:tcW w:w="1561" w:type="dxa"/>
                  <w:vMerge w:val="continue"/>
                  <w:tcBorders>
                    <w:left w:val="nil"/>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609"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vMerge w:val="continue"/>
                  <w:tcBorders>
                    <w:top w:val="nil"/>
                    <w:left w:val="single" w:color="auto" w:sz="4" w:space="0"/>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948" w:type="dxa"/>
                  <w:tcBorders>
                    <w:top w:val="single" w:color="auto" w:sz="4" w:space="0"/>
                    <w:left w:val="nil"/>
                    <w:bottom w:val="single" w:color="auto" w:sz="4" w:space="0"/>
                    <w:right w:val="single" w:color="auto" w:sz="4" w:space="0"/>
                  </w:tcBorders>
                  <w:noWrap w:val="0"/>
                  <w:vAlign w:val="center"/>
                </w:tcPr>
                <w:p>
                  <w:pPr>
                    <w:pStyle w:val="15"/>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废活性炭</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类比法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0.</w:t>
                  </w:r>
                  <w:r>
                    <w:rPr>
                      <w:rFonts w:hint="eastAsia" w:cs="Times New Roman"/>
                      <w:kern w:val="0"/>
                      <w:sz w:val="21"/>
                      <w:szCs w:val="21"/>
                      <w:lang w:val="en-US" w:eastAsia="zh-CN"/>
                    </w:rPr>
                    <w:t>0054</w:t>
                  </w:r>
                  <w:r>
                    <w:rPr>
                      <w:rFonts w:hint="default" w:ascii="Times New Roman" w:hAnsi="Times New Roman" w:eastAsia="宋体" w:cs="Times New Roman"/>
                      <w:sz w:val="21"/>
                      <w:szCs w:val="21"/>
                    </w:rPr>
                    <w:t>t/a</w:t>
                  </w:r>
                </w:p>
              </w:tc>
              <w:tc>
                <w:tcPr>
                  <w:tcW w:w="1561" w:type="dxa"/>
                  <w:vMerge w:val="continue"/>
                  <w:tcBorders>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1"/>
                      <w:szCs w:val="21"/>
                    </w:rPr>
                  </w:pP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609"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33" w:type="dxa"/>
                  <w:tcBorders>
                    <w:top w:val="single" w:color="auto" w:sz="4" w:space="0"/>
                    <w:left w:val="single" w:color="auto" w:sz="4" w:space="0"/>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工作人员</w:t>
                  </w:r>
                </w:p>
              </w:tc>
              <w:tc>
                <w:tcPr>
                  <w:tcW w:w="948"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eastAsia" w:cs="Times New Roman"/>
                      <w:kern w:val="0"/>
                      <w:sz w:val="21"/>
                      <w:szCs w:val="21"/>
                      <w:lang w:val="en-US" w:eastAsia="zh-CN"/>
                    </w:rPr>
                    <w:t>系数</w:t>
                  </w:r>
                  <w:r>
                    <w:rPr>
                      <w:rFonts w:hint="default" w:ascii="Times New Roman" w:hAnsi="Times New Roman" w:eastAsia="宋体" w:cs="Times New Roman"/>
                      <w:kern w:val="0"/>
                      <w:sz w:val="21"/>
                      <w:szCs w:val="21"/>
                    </w:rPr>
                    <w:t>法</w:t>
                  </w:r>
                </w:p>
              </w:tc>
              <w:tc>
                <w:tcPr>
                  <w:tcW w:w="1133" w:type="dxa"/>
                  <w:tcBorders>
                    <w:top w:val="single" w:color="auto" w:sz="4" w:space="0"/>
                    <w:left w:val="nil"/>
                    <w:bottom w:val="single" w:color="auto" w:sz="4" w:space="0"/>
                    <w:right w:val="single" w:color="auto" w:sz="4" w:space="0"/>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eastAsia" w:cs="Times New Roman"/>
                      <w:sz w:val="21"/>
                      <w:szCs w:val="21"/>
                      <w:lang w:val="en-US" w:eastAsia="zh-CN"/>
                    </w:rPr>
                    <w:t>8</w:t>
                  </w:r>
                  <w:r>
                    <w:rPr>
                      <w:rFonts w:hint="default" w:ascii="Times New Roman" w:hAnsi="Times New Roman" w:eastAsia="宋体" w:cs="Times New Roman"/>
                      <w:sz w:val="21"/>
                      <w:szCs w:val="21"/>
                    </w:rPr>
                    <w:t>t/a</w:t>
                  </w:r>
                </w:p>
              </w:tc>
              <w:tc>
                <w:tcPr>
                  <w:tcW w:w="1561" w:type="dxa"/>
                  <w:tcBorders>
                    <w:top w:val="single" w:color="auto" w:sz="4" w:space="0"/>
                    <w:left w:val="nil"/>
                    <w:bottom w:val="single" w:color="auto" w:sz="4" w:space="0"/>
                    <w:right w:val="single" w:color="auto" w:sz="4" w:space="0"/>
                  </w:tcBorders>
                  <w:noWrap w:val="0"/>
                  <w:vAlign w:val="center"/>
                </w:tcPr>
                <w:p>
                  <w:pPr>
                    <w:pStyle w:val="243"/>
                    <w:keepNext w:val="0"/>
                    <w:pageBreakBefore w:val="0"/>
                    <w:kinsoku/>
                    <w:wordWrap/>
                    <w:overflowPunct/>
                    <w:autoSpaceDE w:val="0"/>
                    <w:bidi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集中收集，交由环卫部门处理。</w:t>
                  </w:r>
                </w:p>
              </w:tc>
              <w:tc>
                <w:tcPr>
                  <w:tcW w:w="850"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1421" w:type="dxa"/>
                  <w:tcBorders>
                    <w:top w:val="single" w:color="auto" w:sz="4" w:space="0"/>
                    <w:left w:val="nil"/>
                    <w:bottom w:val="single" w:color="auto" w:sz="4" w:space="0"/>
                    <w:right w:val="single" w:color="auto" w:sz="4" w:space="0"/>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609" w:type="dxa"/>
                  <w:vMerge w:val="continue"/>
                  <w:tcBorders>
                    <w:top w:val="nil"/>
                    <w:left w:val="nil"/>
                    <w:bottom w:val="single" w:color="auto" w:sz="4" w:space="0"/>
                    <w:right w:val="single" w:color="auto" w:sz="4" w:space="0"/>
                  </w:tcBorders>
                  <w:noWrap w:val="0"/>
                  <w:vAlign w:val="center"/>
                </w:tcPr>
                <w:p>
                  <w:pPr>
                    <w:keepNext w:val="0"/>
                    <w:pageBreakBefore w:val="0"/>
                    <w:widowControl/>
                    <w:kinsoku/>
                    <w:wordWrap/>
                    <w:overflowPunct/>
                    <w:bidi w:val="0"/>
                    <w:spacing w:line="240" w:lineRule="auto"/>
                    <w:ind w:firstLine="0" w:firstLineChars="0"/>
                    <w:jc w:val="center"/>
                    <w:textAlignment w:val="auto"/>
                    <w:rPr>
                      <w:rFonts w:hint="default" w:ascii="Times New Roman" w:hAnsi="Times New Roman" w:eastAsia="宋体" w:cs="Times New Roman"/>
                      <w:kern w:val="0"/>
                      <w:sz w:val="21"/>
                      <w:szCs w:val="21"/>
                    </w:rPr>
                  </w:pPr>
                </w:p>
              </w:tc>
            </w:tr>
          </w:tbl>
          <w:p>
            <w:pPr>
              <w:autoSpaceDN w:val="0"/>
              <w:spacing w:line="352" w:lineRule="auto"/>
              <w:ind w:firstLine="482" w:firstLineChars="200"/>
              <w:rPr>
                <w:rFonts w:hint="eastAsia"/>
                <w:kern w:val="0"/>
                <w:sz w:val="24"/>
              </w:rPr>
            </w:pPr>
            <w:r>
              <w:rPr>
                <w:rFonts w:hint="eastAsia" w:ascii="Times New Roman" w:hAnsi="Times New Roman" w:cs="Times New Roman"/>
                <w:b/>
                <w:sz w:val="24"/>
              </w:rPr>
              <w:t>3、日常环境管理要求</w:t>
            </w:r>
          </w:p>
          <w:p>
            <w:pPr>
              <w:tabs>
                <w:tab w:val="left" w:pos="4536"/>
              </w:tabs>
              <w:autoSpaceDN w:val="0"/>
              <w:spacing w:line="360" w:lineRule="auto"/>
              <w:ind w:firstLine="480" w:firstLineChars="200"/>
              <w:rPr>
                <w:kern w:val="0"/>
                <w:sz w:val="24"/>
              </w:rPr>
            </w:pPr>
            <w:r>
              <w:rPr>
                <w:rFonts w:hint="eastAsia"/>
                <w:kern w:val="0"/>
                <w:sz w:val="24"/>
              </w:rPr>
              <w:t>根据工程所在区域的环境特点，运行单位</w:t>
            </w:r>
            <w:r>
              <w:rPr>
                <w:rFonts w:hint="eastAsia"/>
                <w:kern w:val="0"/>
                <w:sz w:val="24"/>
                <w:lang w:val="en-US" w:eastAsia="zh-CN"/>
              </w:rPr>
              <w:t>需</w:t>
            </w:r>
            <w:r>
              <w:rPr>
                <w:rFonts w:hint="eastAsia"/>
                <w:kern w:val="0"/>
                <w:sz w:val="24"/>
              </w:rPr>
              <w:t>配备相应的专业管理人员：</w:t>
            </w:r>
          </w:p>
          <w:p>
            <w:pPr>
              <w:tabs>
                <w:tab w:val="left" w:pos="4536"/>
              </w:tabs>
              <w:autoSpaceDN w:val="0"/>
              <w:spacing w:line="360" w:lineRule="auto"/>
              <w:ind w:firstLine="480" w:firstLineChars="200"/>
              <w:rPr>
                <w:kern w:val="0"/>
                <w:sz w:val="24"/>
              </w:rPr>
            </w:pPr>
            <w:r>
              <w:rPr>
                <w:rFonts w:hint="eastAsia"/>
                <w:kern w:val="0"/>
                <w:sz w:val="24"/>
              </w:rPr>
              <w:t>（</w:t>
            </w:r>
            <w:r>
              <w:rPr>
                <w:kern w:val="0"/>
                <w:sz w:val="24"/>
              </w:rPr>
              <w:t>1</w:t>
            </w:r>
            <w:r>
              <w:rPr>
                <w:rFonts w:hint="eastAsia"/>
                <w:kern w:val="0"/>
                <w:sz w:val="24"/>
              </w:rPr>
              <w:t>）制定和实施各项环境监督管理计划；</w:t>
            </w:r>
          </w:p>
          <w:p>
            <w:pPr>
              <w:tabs>
                <w:tab w:val="left" w:pos="4536"/>
              </w:tabs>
              <w:autoSpaceDN w:val="0"/>
              <w:spacing w:line="360" w:lineRule="auto"/>
              <w:ind w:firstLine="480" w:firstLineChars="200"/>
              <w:rPr>
                <w:kern w:val="0"/>
                <w:sz w:val="24"/>
              </w:rPr>
            </w:pPr>
            <w:r>
              <w:rPr>
                <w:rFonts w:hint="eastAsia"/>
                <w:kern w:val="0"/>
                <w:sz w:val="24"/>
              </w:rPr>
              <w:t>（</w:t>
            </w:r>
            <w:r>
              <w:rPr>
                <w:kern w:val="0"/>
                <w:sz w:val="24"/>
              </w:rPr>
              <w:t>2</w:t>
            </w:r>
            <w:r>
              <w:rPr>
                <w:rFonts w:hint="eastAsia"/>
                <w:kern w:val="0"/>
                <w:sz w:val="24"/>
              </w:rPr>
              <w:t>）建立废气、废水环境影响监测的数据档案，并定期与当地环境保护行政主管部门进行数据沟通；</w:t>
            </w:r>
          </w:p>
          <w:p>
            <w:pPr>
              <w:tabs>
                <w:tab w:val="left" w:pos="4536"/>
              </w:tabs>
              <w:autoSpaceDN w:val="0"/>
              <w:spacing w:line="360" w:lineRule="auto"/>
              <w:ind w:firstLine="480" w:firstLineChars="200"/>
              <w:rPr>
                <w:kern w:val="0"/>
                <w:sz w:val="24"/>
              </w:rPr>
            </w:pPr>
            <w:r>
              <w:rPr>
                <w:rFonts w:hint="eastAsia"/>
                <w:kern w:val="0"/>
                <w:sz w:val="24"/>
              </w:rPr>
              <w:t>（</w:t>
            </w:r>
            <w:r>
              <w:rPr>
                <w:kern w:val="0"/>
                <w:sz w:val="24"/>
              </w:rPr>
              <w:t>3</w:t>
            </w:r>
            <w:r>
              <w:rPr>
                <w:rFonts w:hint="eastAsia"/>
                <w:kern w:val="0"/>
                <w:sz w:val="24"/>
              </w:rPr>
              <w:t>）经常检查环保治理设施的运行情况，及时处理出现的问题；</w:t>
            </w:r>
          </w:p>
          <w:p>
            <w:pPr>
              <w:tabs>
                <w:tab w:val="left" w:pos="4536"/>
              </w:tabs>
              <w:autoSpaceDN w:val="0"/>
              <w:spacing w:line="360" w:lineRule="auto"/>
              <w:ind w:firstLine="480" w:firstLineChars="200"/>
              <w:rPr>
                <w:kern w:val="0"/>
                <w:sz w:val="24"/>
              </w:rPr>
            </w:pPr>
            <w:r>
              <w:rPr>
                <w:rFonts w:hint="eastAsia"/>
                <w:kern w:val="0"/>
                <w:sz w:val="24"/>
              </w:rPr>
              <w:t>（</w:t>
            </w:r>
            <w:r>
              <w:rPr>
                <w:kern w:val="0"/>
                <w:sz w:val="24"/>
              </w:rPr>
              <w:t>4</w:t>
            </w:r>
            <w:r>
              <w:rPr>
                <w:rFonts w:hint="eastAsia"/>
                <w:kern w:val="0"/>
                <w:sz w:val="24"/>
              </w:rPr>
              <w:t>）协调配合上级环保主管部门进行的环境调查等活动</w:t>
            </w:r>
            <w:r>
              <w:rPr>
                <w:rFonts w:hint="eastAsia"/>
                <w:bCs/>
                <w:sz w:val="24"/>
              </w:rPr>
              <w:t>。</w:t>
            </w:r>
          </w:p>
          <w:p>
            <w:pPr>
              <w:autoSpaceDN w:val="0"/>
              <w:spacing w:line="352" w:lineRule="auto"/>
              <w:ind w:firstLine="482" w:firstLineChars="200"/>
              <w:rPr>
                <w:b/>
                <w:sz w:val="24"/>
              </w:rPr>
            </w:pPr>
            <w:r>
              <w:rPr>
                <w:rFonts w:hint="eastAsia"/>
                <w:b/>
                <w:sz w:val="24"/>
              </w:rPr>
              <w:t>4、环境监测计划</w:t>
            </w:r>
          </w:p>
          <w:p>
            <w:pPr>
              <w:autoSpaceDN w:val="0"/>
              <w:spacing w:line="352" w:lineRule="auto"/>
              <w:ind w:firstLine="480" w:firstLineChars="200"/>
              <w:rPr>
                <w:sz w:val="24"/>
              </w:rPr>
            </w:pPr>
            <w:r>
              <w:rPr>
                <w:rFonts w:hint="eastAsia"/>
                <w:sz w:val="24"/>
              </w:rPr>
              <w:t>为有效监控项目对环境影响，建设单位应建立环境监测制度，定期委托有资质环境监测部门开展污染源及环境监测，以便及时掌握产排污规律，加强污染治理，并做到心中有数。</w:t>
            </w:r>
          </w:p>
          <w:p>
            <w:pPr>
              <w:autoSpaceDN w:val="0"/>
              <w:spacing w:line="352" w:lineRule="auto"/>
              <w:ind w:firstLine="480" w:firstLineChars="200"/>
              <w:rPr>
                <w:rFonts w:hint="eastAsia"/>
              </w:rPr>
            </w:pPr>
            <w:r>
              <w:rPr>
                <w:rFonts w:hint="eastAsia"/>
                <w:sz w:val="24"/>
              </w:rPr>
              <w:t>参考《排污单位自行监测技术指南·总则》，项目营运期环境监测计划见表</w:t>
            </w:r>
            <w:r>
              <w:rPr>
                <w:rFonts w:hint="eastAsia"/>
                <w:sz w:val="24"/>
                <w:lang w:val="en-US" w:eastAsia="zh-CN"/>
              </w:rPr>
              <w:t>7-24</w:t>
            </w:r>
            <w:r>
              <w:rPr>
                <w:rFonts w:hint="eastAsia"/>
                <w:sz w:val="24"/>
              </w:rPr>
              <w:t>。</w:t>
            </w:r>
          </w:p>
          <w:p>
            <w:pPr>
              <w:autoSpaceDN w:val="0"/>
              <w:spacing w:before="156" w:beforeLines="50" w:after="156" w:afterLines="50" w:line="360" w:lineRule="auto"/>
              <w:ind w:firstLine="482" w:firstLineChars="200"/>
              <w:jc w:val="center"/>
              <w:rPr>
                <w:b/>
                <w:sz w:val="24"/>
              </w:rPr>
            </w:pPr>
            <w:r>
              <w:rPr>
                <w:rFonts w:hint="eastAsia"/>
                <w:b/>
                <w:sz w:val="24"/>
              </w:rPr>
              <w:t>表</w:t>
            </w:r>
            <w:r>
              <w:rPr>
                <w:rFonts w:hint="eastAsia"/>
                <w:b/>
                <w:sz w:val="24"/>
                <w:lang w:val="en-US" w:eastAsia="zh-CN"/>
              </w:rPr>
              <w:t xml:space="preserve">7-24 </w:t>
            </w:r>
            <w:r>
              <w:rPr>
                <w:rFonts w:hint="eastAsia"/>
                <w:b/>
                <w:sz w:val="24"/>
              </w:rPr>
              <w:t>营运期环境监测计划</w:t>
            </w:r>
          </w:p>
          <w:tbl>
            <w:tblPr>
              <w:tblStyle w:val="33"/>
              <w:tblW w:w="8504" w:type="dxa"/>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6" w:space="0"/>
              </w:tblBorders>
              <w:tblLayout w:type="fixed"/>
              <w:tblCellMar>
                <w:top w:w="0" w:type="dxa"/>
                <w:left w:w="108" w:type="dxa"/>
                <w:bottom w:w="0" w:type="dxa"/>
                <w:right w:w="108" w:type="dxa"/>
              </w:tblCellMar>
            </w:tblPr>
            <w:tblGrid>
              <w:gridCol w:w="772"/>
              <w:gridCol w:w="1119"/>
              <w:gridCol w:w="1846"/>
              <w:gridCol w:w="1073"/>
              <w:gridCol w:w="3046"/>
              <w:gridCol w:w="64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6" w:space="0"/>
                </w:tblBorders>
                <w:tblCellMar>
                  <w:top w:w="0" w:type="dxa"/>
                  <w:left w:w="108" w:type="dxa"/>
                  <w:bottom w:w="0" w:type="dxa"/>
                  <w:right w:w="108" w:type="dxa"/>
                </w:tblCellMar>
              </w:tblPrEx>
              <w:trPr>
                <w:trHeight w:val="510" w:hRule="atLeast"/>
                <w:jc w:val="center"/>
              </w:trPr>
              <w:tc>
                <w:tcPr>
                  <w:tcW w:w="77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111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监测因子</w:t>
                  </w:r>
                </w:p>
              </w:tc>
              <w:tc>
                <w:tcPr>
                  <w:tcW w:w="184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监测地点</w:t>
                  </w:r>
                </w:p>
              </w:tc>
              <w:tc>
                <w:tcPr>
                  <w:tcW w:w="1073"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监测频次</w:t>
                  </w:r>
                </w:p>
              </w:tc>
              <w:tc>
                <w:tcPr>
                  <w:tcW w:w="3046" w:type="dxa"/>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控制指标</w:t>
                  </w:r>
                </w:p>
              </w:tc>
              <w:tc>
                <w:tcPr>
                  <w:tcW w:w="648" w:type="dxa"/>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监测机构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6" w:space="0"/>
                </w:tblBorders>
                <w:tblCellMar>
                  <w:top w:w="0" w:type="dxa"/>
                  <w:left w:w="108" w:type="dxa"/>
                  <w:bottom w:w="0" w:type="dxa"/>
                  <w:right w:w="108" w:type="dxa"/>
                </w:tblCellMar>
              </w:tblPrEx>
              <w:trPr>
                <w:trHeight w:val="510" w:hRule="atLeast"/>
                <w:jc w:val="center"/>
              </w:trPr>
              <w:tc>
                <w:tcPr>
                  <w:tcW w:w="772" w:type="dxa"/>
                  <w:vMerge w:val="restart"/>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111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846" w:type="dxa"/>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w:t>
                  </w:r>
                </w:p>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无组织排放源上风向、下风向（4个监测点位）</w:t>
                  </w:r>
                </w:p>
              </w:tc>
              <w:tc>
                <w:tcPr>
                  <w:tcW w:w="1073" w:type="dxa"/>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每半年监测一次</w:t>
                  </w:r>
                </w:p>
              </w:tc>
              <w:tc>
                <w:tcPr>
                  <w:tcW w:w="3046" w:type="dxa"/>
                  <w:noWrap w:val="0"/>
                  <w:vAlign w:val="center"/>
                </w:tcPr>
                <w:p>
                  <w:pPr>
                    <w:keepNext w:val="0"/>
                    <w:keepLines w:val="0"/>
                    <w:pageBreakBefore w:val="0"/>
                    <w:widowControl w:val="0"/>
                    <w:kinsoku/>
                    <w:wordWrap/>
                    <w:overflowPunct/>
                    <w:topLinePunct w:val="0"/>
                    <w:autoSpaceDE/>
                    <w:autoSpaceDN w:val="0"/>
                    <w:bidi w:val="0"/>
                    <w:snapToGrid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《大气污染物综合排放标准》（GB16297-1996）表2中二级标准要求</w:t>
                  </w:r>
                </w:p>
              </w:tc>
              <w:tc>
                <w:tcPr>
                  <w:tcW w:w="648" w:type="dxa"/>
                  <w:vMerge w:val="restart"/>
                  <w:noWrap w:val="0"/>
                  <w:vAlign w:val="center"/>
                </w:tcPr>
                <w:p>
                  <w:pPr>
                    <w:keepNext w:val="0"/>
                    <w:keepLines w:val="0"/>
                    <w:pageBreakBefore w:val="0"/>
                    <w:widowControl w:val="0"/>
                    <w:kinsoku/>
                    <w:wordWrap/>
                    <w:overflowPunct/>
                    <w:topLinePunct w:val="0"/>
                    <w:autoSpaceDE/>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委托有资质的监测机构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6"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p>
              </w:tc>
              <w:tc>
                <w:tcPr>
                  <w:tcW w:w="111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846" w:type="dxa"/>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w:t>
                  </w:r>
                </w:p>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无组织排放源上风向、下风向（4个监测点位）</w:t>
                  </w:r>
                </w:p>
              </w:tc>
              <w:tc>
                <w:tcPr>
                  <w:tcW w:w="1073" w:type="dxa"/>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每半年监测一次</w:t>
                  </w:r>
                </w:p>
              </w:tc>
              <w:tc>
                <w:tcPr>
                  <w:tcW w:w="3046" w:type="dxa"/>
                  <w:noWrap w:val="0"/>
                  <w:vAlign w:val="center"/>
                </w:tcPr>
                <w:p>
                  <w:pPr>
                    <w:keepNext w:val="0"/>
                    <w:keepLines w:val="0"/>
                    <w:pageBreakBefore w:val="0"/>
                    <w:widowControl w:val="0"/>
                    <w:kinsoku/>
                    <w:wordWrap/>
                    <w:overflowPunct/>
                    <w:topLinePunct w:val="0"/>
                    <w:autoSpaceDE/>
                    <w:autoSpaceDN w:val="0"/>
                    <w:bidi w:val="0"/>
                    <w:snapToGrid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《挥发性有机物排放控制标准》（DB61/T1061-2017）中表面涂装行业排放限值要求及《挥发性有机物无组织排放控制标准》（GB37822-2019）</w:t>
                  </w:r>
                </w:p>
              </w:tc>
              <w:tc>
                <w:tcPr>
                  <w:tcW w:w="648" w:type="dxa"/>
                  <w:vMerge w:val="continue"/>
                  <w:noWrap w:val="0"/>
                  <w:vAlign w:val="center"/>
                </w:tcPr>
                <w:p>
                  <w:pPr>
                    <w:keepNext w:val="0"/>
                    <w:keepLines w:val="0"/>
                    <w:pageBreakBefore w:val="0"/>
                    <w:widowControl w:val="0"/>
                    <w:kinsoku/>
                    <w:wordWrap/>
                    <w:overflowPunct/>
                    <w:topLinePunct w:val="0"/>
                    <w:autoSpaceDE/>
                    <w:autoSpaceDN w:val="0"/>
                    <w:bidi w:val="0"/>
                    <w:snapToGrid w:val="0"/>
                    <w:spacing w:line="240" w:lineRule="auto"/>
                    <w:ind w:firstLine="0" w:firstLineChars="0"/>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6"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p>
              </w:tc>
              <w:tc>
                <w:tcPr>
                  <w:tcW w:w="111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、NOx和</w:t>
                  </w:r>
                  <w:r>
                    <w:rPr>
                      <w:rFonts w:hint="default" w:ascii="Times New Roman" w:hAnsi="Times New Roman" w:eastAsia="宋体" w:cs="Times New Roman"/>
                      <w:sz w:val="21"/>
                      <w:szCs w:val="21"/>
                      <w:lang w:val="en-US" w:eastAsia="zh-CN"/>
                    </w:rPr>
                    <w:t>颗粒物</w:t>
                  </w:r>
                </w:p>
              </w:tc>
              <w:tc>
                <w:tcPr>
                  <w:tcW w:w="1846" w:type="dxa"/>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w:t>
                  </w:r>
                </w:p>
              </w:tc>
              <w:tc>
                <w:tcPr>
                  <w:tcW w:w="1073" w:type="dxa"/>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每半年监测一次</w:t>
                  </w:r>
                </w:p>
              </w:tc>
              <w:tc>
                <w:tcPr>
                  <w:tcW w:w="3046" w:type="dxa"/>
                  <w:noWrap w:val="0"/>
                  <w:vAlign w:val="center"/>
                </w:tcPr>
                <w:p>
                  <w:pPr>
                    <w:keepNext w:val="0"/>
                    <w:keepLines w:val="0"/>
                    <w:pageBreakBefore w:val="0"/>
                    <w:widowControl w:val="0"/>
                    <w:kinsoku/>
                    <w:wordWrap/>
                    <w:overflowPunct/>
                    <w:topLinePunct w:val="0"/>
                    <w:autoSpaceDE/>
                    <w:autoSpaceDN w:val="0"/>
                    <w:bidi w:val="0"/>
                    <w:snapToGrid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中华人民共和国生态环境部</w:t>
                  </w:r>
                  <w:r>
                    <w:rPr>
                      <w:rFonts w:hint="eastAsia" w:ascii="Times New Roman" w:hAnsi="Times New Roman" w:eastAsia="宋体" w:cs="Times New Roman"/>
                      <w:sz w:val="21"/>
                      <w:szCs w:val="21"/>
                    </w:rPr>
                    <w:t>关于印发《工业炉窑大气污染综合治理方案》的通知中关于重点区域工业炉窑颗粒物、二氧化硫、氮氧化物实施改造的要求</w:t>
                  </w:r>
                </w:p>
              </w:tc>
              <w:tc>
                <w:tcPr>
                  <w:tcW w:w="648" w:type="dxa"/>
                  <w:vMerge w:val="continue"/>
                  <w:noWrap w:val="0"/>
                  <w:vAlign w:val="center"/>
                </w:tcPr>
                <w:p>
                  <w:pPr>
                    <w:keepNext w:val="0"/>
                    <w:keepLines w:val="0"/>
                    <w:pageBreakBefore w:val="0"/>
                    <w:widowControl w:val="0"/>
                    <w:kinsoku/>
                    <w:wordWrap/>
                    <w:overflowPunct/>
                    <w:topLinePunct w:val="0"/>
                    <w:autoSpaceDE/>
                    <w:autoSpaceDN w:val="0"/>
                    <w:bidi w:val="0"/>
                    <w:snapToGrid w:val="0"/>
                    <w:spacing w:line="240" w:lineRule="auto"/>
                    <w:ind w:firstLine="0" w:firstLineChars="0"/>
                    <w:textAlignment w:val="auto"/>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6" w:space="0"/>
                </w:tblBorders>
                <w:tblCellMar>
                  <w:top w:w="0" w:type="dxa"/>
                  <w:left w:w="108" w:type="dxa"/>
                  <w:bottom w:w="0" w:type="dxa"/>
                  <w:right w:w="108" w:type="dxa"/>
                </w:tblCellMar>
              </w:tblPrEx>
              <w:trPr>
                <w:trHeight w:val="510" w:hRule="atLeast"/>
                <w:jc w:val="center"/>
              </w:trPr>
              <w:tc>
                <w:tcPr>
                  <w:tcW w:w="77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111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等效A声级</w:t>
                  </w:r>
                </w:p>
              </w:tc>
              <w:tc>
                <w:tcPr>
                  <w:tcW w:w="1846"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厂界四周</w:t>
                  </w:r>
                </w:p>
              </w:tc>
              <w:tc>
                <w:tcPr>
                  <w:tcW w:w="1073"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每半年监测一次，测昼间噪声</w:t>
                  </w:r>
                </w:p>
              </w:tc>
              <w:tc>
                <w:tcPr>
                  <w:tcW w:w="3046" w:type="dxa"/>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《工业企业厂界环境噪声排放标准》（GB12348-2008）中2类标准</w:t>
                  </w:r>
                </w:p>
              </w:tc>
              <w:tc>
                <w:tcPr>
                  <w:tcW w:w="648" w:type="dxa"/>
                  <w:vMerge w:val="continue"/>
                  <w:noWrap w:val="0"/>
                  <w:vAlign w:val="center"/>
                </w:tcPr>
                <w:p>
                  <w:pPr>
                    <w:keepNext w:val="0"/>
                    <w:keepLines w:val="0"/>
                    <w:pageBreakBefore w:val="0"/>
                    <w:widowControl w:val="0"/>
                    <w:kinsoku/>
                    <w:wordWrap/>
                    <w:overflowPunct/>
                    <w:topLinePunct w:val="0"/>
                    <w:autoSpaceDE/>
                    <w:autoSpaceDN w:val="0"/>
                    <w:bidi w:val="0"/>
                    <w:spacing w:line="240" w:lineRule="auto"/>
                    <w:ind w:firstLine="0" w:firstLineChars="0"/>
                    <w:jc w:val="center"/>
                    <w:textAlignment w:val="auto"/>
                    <w:rPr>
                      <w:rFonts w:hint="default" w:ascii="Times New Roman" w:hAnsi="Times New Roman" w:eastAsia="宋体" w:cs="Times New Roman"/>
                      <w:sz w:val="21"/>
                      <w:szCs w:val="21"/>
                    </w:rPr>
                  </w:pPr>
                </w:p>
              </w:tc>
            </w:tr>
          </w:tbl>
          <w:p>
            <w:pPr>
              <w:autoSpaceDN w:val="0"/>
              <w:spacing w:line="360" w:lineRule="auto"/>
              <w:ind w:left="0" w:leftChars="0" w:firstLine="0" w:firstLineChars="0"/>
              <w:rPr>
                <w:rFonts w:hint="eastAsia" w:ascii="Times New Roman" w:hAnsi="Times New Roman" w:eastAsia="黑体" w:cs="Times New Roman"/>
                <w:bCs/>
                <w:sz w:val="28"/>
                <w:szCs w:val="28"/>
              </w:rPr>
            </w:pPr>
            <w:r>
              <w:rPr>
                <w:rFonts w:hint="eastAsia" w:ascii="Times New Roman" w:hAnsi="Times New Roman" w:eastAsia="黑体" w:cs="Times New Roman"/>
                <w:bCs/>
                <w:sz w:val="28"/>
                <w:szCs w:val="28"/>
                <w:lang w:val="en-US" w:eastAsia="zh-CN"/>
              </w:rPr>
              <w:t>八、</w:t>
            </w:r>
            <w:r>
              <w:rPr>
                <w:rFonts w:hint="eastAsia" w:ascii="Times New Roman" w:hAnsi="Times New Roman" w:eastAsia="黑体" w:cs="Times New Roman"/>
                <w:bCs/>
                <w:sz w:val="28"/>
                <w:szCs w:val="28"/>
              </w:rPr>
              <w:t>建设项目环保投入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sz w:val="24"/>
                <w:szCs w:val="24"/>
              </w:rPr>
              <w:t>本项目总投资</w:t>
            </w:r>
            <w:r>
              <w:rPr>
                <w:rFonts w:hint="eastAsia"/>
                <w:sz w:val="24"/>
                <w:szCs w:val="24"/>
                <w:lang w:val="en-US" w:eastAsia="zh-CN"/>
              </w:rPr>
              <w:t>5</w:t>
            </w:r>
            <w:r>
              <w:rPr>
                <w:rFonts w:hint="eastAsia"/>
                <w:sz w:val="24"/>
                <w:szCs w:val="24"/>
              </w:rPr>
              <w:t>00</w:t>
            </w:r>
            <w:r>
              <w:rPr>
                <w:sz w:val="24"/>
                <w:szCs w:val="24"/>
              </w:rPr>
              <w:t>万元，其中环保投资为</w:t>
            </w:r>
            <w:r>
              <w:rPr>
                <w:rFonts w:hint="eastAsia"/>
                <w:sz w:val="24"/>
                <w:szCs w:val="24"/>
                <w:lang w:val="en-US" w:eastAsia="zh-CN"/>
              </w:rPr>
              <w:t>24.4</w:t>
            </w:r>
            <w:r>
              <w:rPr>
                <w:sz w:val="24"/>
                <w:szCs w:val="24"/>
              </w:rPr>
              <w:t>万元，占总投资的比例为</w:t>
            </w:r>
            <w:r>
              <w:rPr>
                <w:rFonts w:hint="eastAsia"/>
                <w:sz w:val="24"/>
                <w:szCs w:val="24"/>
                <w:lang w:val="en-US" w:eastAsia="zh-CN"/>
              </w:rPr>
              <w:t>4.88</w:t>
            </w:r>
            <w:r>
              <w:rPr>
                <w:sz w:val="24"/>
                <w:szCs w:val="24"/>
              </w:rPr>
              <w:t>%，环保投资估算见表</w:t>
            </w:r>
            <w:r>
              <w:rPr>
                <w:rFonts w:hint="eastAsia"/>
                <w:sz w:val="24"/>
                <w:szCs w:val="24"/>
              </w:rPr>
              <w:t>7-</w:t>
            </w:r>
            <w:r>
              <w:rPr>
                <w:rFonts w:hint="eastAsia"/>
                <w:sz w:val="24"/>
                <w:szCs w:val="24"/>
                <w:lang w:val="en-US" w:eastAsia="zh-CN"/>
              </w:rPr>
              <w:t>25</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4"/>
              </w:rPr>
            </w:pPr>
            <w:r>
              <w:rPr>
                <w:b/>
                <w:sz w:val="24"/>
              </w:rPr>
              <w:t>表</w:t>
            </w:r>
            <w:r>
              <w:rPr>
                <w:rFonts w:hint="eastAsia"/>
                <w:b/>
                <w:sz w:val="24"/>
                <w:lang w:val="en-US" w:eastAsia="zh-CN"/>
              </w:rPr>
              <w:t>7-25</w:t>
            </w:r>
            <w:r>
              <w:rPr>
                <w:rFonts w:hint="eastAsia"/>
                <w:b/>
                <w:sz w:val="24"/>
              </w:rPr>
              <w:t xml:space="preserve"> </w:t>
            </w:r>
            <w:r>
              <w:rPr>
                <w:b/>
                <w:sz w:val="24"/>
              </w:rPr>
              <w:t>环保投</w:t>
            </w:r>
            <w:r>
              <w:rPr>
                <w:rFonts w:hint="eastAsia"/>
                <w:b/>
                <w:sz w:val="24"/>
              </w:rPr>
              <w:t>入</w:t>
            </w:r>
            <w:r>
              <w:rPr>
                <w:b/>
                <w:sz w:val="24"/>
              </w:rPr>
              <w:t>一览表</w:t>
            </w:r>
          </w:p>
          <w:tbl>
            <w:tblPr>
              <w:tblStyle w:val="33"/>
              <w:tblpPr w:leftFromText="180" w:rightFromText="180" w:vertAnchor="text" w:horzAnchor="page" w:tblpX="535" w:tblpY="116"/>
              <w:tblOverlap w:val="never"/>
              <w:tblW w:w="85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5"/>
              <w:gridCol w:w="725"/>
              <w:gridCol w:w="1306"/>
              <w:gridCol w:w="3905"/>
              <w:gridCol w:w="776"/>
              <w:gridCol w:w="10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5"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序号</w:t>
                  </w:r>
                </w:p>
              </w:tc>
              <w:tc>
                <w:tcPr>
                  <w:tcW w:w="2031" w:type="dxa"/>
                  <w:gridSpan w:val="2"/>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治理项目</w:t>
                  </w:r>
                </w:p>
              </w:tc>
              <w:tc>
                <w:tcPr>
                  <w:tcW w:w="3905"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设施名称</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数量</w:t>
                  </w:r>
                </w:p>
              </w:tc>
              <w:tc>
                <w:tcPr>
                  <w:tcW w:w="1067"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费用</w:t>
                  </w:r>
                </w:p>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5" w:type="dxa"/>
                  <w:vMerge w:val="restart"/>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w:t>
                  </w:r>
                </w:p>
              </w:tc>
              <w:tc>
                <w:tcPr>
                  <w:tcW w:w="725" w:type="dxa"/>
                  <w:vMerge w:val="restart"/>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废气</w:t>
                  </w:r>
                </w:p>
              </w:tc>
              <w:tc>
                <w:tcPr>
                  <w:tcW w:w="1306" w:type="dxa"/>
                  <w:noWrap w:val="0"/>
                  <w:vAlign w:val="center"/>
                </w:tcPr>
                <w:p>
                  <w:pPr>
                    <w:keepNext w:val="0"/>
                    <w:pageBreakBefore w:val="0"/>
                    <w:widowControl/>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bCs/>
                      <w:sz w:val="21"/>
                      <w:szCs w:val="21"/>
                    </w:rPr>
                    <w:t>焊接烟尘</w:t>
                  </w:r>
                </w:p>
              </w:tc>
              <w:tc>
                <w:tcPr>
                  <w:tcW w:w="3905" w:type="dxa"/>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eastAsia" w:ascii="Times New Roman" w:hAnsi="Times New Roman" w:eastAsia="宋体" w:cs="Times New Roman"/>
                      <w:sz w:val="21"/>
                      <w:szCs w:val="21"/>
                      <w:lang w:eastAsia="zh-CN"/>
                    </w:rPr>
                  </w:pPr>
                  <w:r>
                    <w:rPr>
                      <w:rFonts w:hint="eastAsia" w:cs="Times New Roman"/>
                      <w:kern w:val="0"/>
                      <w:sz w:val="21"/>
                      <w:szCs w:val="21"/>
                      <w:lang w:val="en-US" w:eastAsia="zh-CN"/>
                    </w:rPr>
                    <w:t>集气罩+布袋除尘器</w:t>
                  </w:r>
                  <w:r>
                    <w:rPr>
                      <w:rFonts w:hint="default" w:ascii="Times New Roman" w:hAnsi="Times New Roman" w:eastAsia="宋体" w:cs="Times New Roman"/>
                      <w:sz w:val="21"/>
                      <w:szCs w:val="21"/>
                    </w:rPr>
                    <w:t>+15m排气筒</w:t>
                  </w:r>
                  <w:r>
                    <w:rPr>
                      <w:rFonts w:hint="eastAsia" w:cs="Times New Roman"/>
                      <w:sz w:val="21"/>
                      <w:szCs w:val="21"/>
                      <w:lang w:eastAsia="zh-CN"/>
                    </w:rPr>
                    <w:t>（</w:t>
                  </w:r>
                  <w:r>
                    <w:rPr>
                      <w:rFonts w:hint="eastAsia" w:cs="Times New Roman"/>
                      <w:sz w:val="21"/>
                      <w:szCs w:val="21"/>
                      <w:lang w:val="en-US" w:eastAsia="zh-CN"/>
                    </w:rPr>
                    <w:t>1#</w:t>
                  </w:r>
                  <w:r>
                    <w:rPr>
                      <w:rFonts w:hint="eastAsia" w:cs="Times New Roman"/>
                      <w:sz w:val="21"/>
                      <w:szCs w:val="21"/>
                      <w:lang w:eastAsia="zh-CN"/>
                    </w:rPr>
                    <w:t>）</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1套</w:t>
                  </w:r>
                </w:p>
              </w:tc>
              <w:tc>
                <w:tcPr>
                  <w:tcW w:w="1067" w:type="dxa"/>
                  <w:vMerge w:val="restart"/>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725"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c>
                <w:tcPr>
                  <w:tcW w:w="725"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c>
                <w:tcPr>
                  <w:tcW w:w="1306" w:type="dxa"/>
                  <w:noWrap w:val="0"/>
                  <w:vAlign w:val="center"/>
                </w:tcPr>
                <w:p>
                  <w:pPr>
                    <w:keepNext w:val="0"/>
                    <w:pageBreakBefore w:val="0"/>
                    <w:widowControl/>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spacing w:val="-3"/>
                      <w:sz w:val="21"/>
                      <w:szCs w:val="21"/>
                    </w:rPr>
                    <w:t>喷塑</w:t>
                  </w:r>
                </w:p>
              </w:tc>
              <w:tc>
                <w:tcPr>
                  <w:tcW w:w="3905" w:type="dxa"/>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eastAsia" w:cs="Times New Roman"/>
                      <w:kern w:val="0"/>
                      <w:sz w:val="21"/>
                      <w:szCs w:val="21"/>
                      <w:lang w:val="en-US" w:eastAsia="zh-CN"/>
                    </w:rPr>
                  </w:pPr>
                  <w:r>
                    <w:rPr>
                      <w:rFonts w:hint="eastAsia" w:cs="Times New Roman"/>
                      <w:kern w:val="0"/>
                      <w:sz w:val="21"/>
                      <w:szCs w:val="21"/>
                      <w:lang w:val="en-US" w:eastAsia="zh-CN"/>
                    </w:rPr>
                    <w:t>布袋除尘器</w:t>
                  </w:r>
                </w:p>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+15m排气筒</w:t>
                  </w:r>
                  <w:r>
                    <w:rPr>
                      <w:rFonts w:hint="eastAsia" w:cs="Times New Roman"/>
                      <w:sz w:val="21"/>
                      <w:szCs w:val="21"/>
                      <w:lang w:eastAsia="zh-CN"/>
                    </w:rPr>
                    <w:t>（</w:t>
                  </w:r>
                  <w:r>
                    <w:rPr>
                      <w:rFonts w:hint="eastAsia" w:cs="Times New Roman"/>
                      <w:sz w:val="21"/>
                      <w:szCs w:val="21"/>
                      <w:lang w:val="en-US" w:eastAsia="zh-CN"/>
                    </w:rPr>
                    <w:t>2#</w:t>
                  </w:r>
                  <w:r>
                    <w:rPr>
                      <w:rFonts w:hint="eastAsia" w:cs="Times New Roman"/>
                      <w:sz w:val="21"/>
                      <w:szCs w:val="21"/>
                      <w:lang w:eastAsia="zh-CN"/>
                    </w:rPr>
                    <w:t>）</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1套</w:t>
                  </w:r>
                </w:p>
              </w:tc>
              <w:tc>
                <w:tcPr>
                  <w:tcW w:w="1067"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5"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c>
                <w:tcPr>
                  <w:tcW w:w="725"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c>
                <w:tcPr>
                  <w:tcW w:w="1306" w:type="dxa"/>
                  <w:noWrap w:val="0"/>
                  <w:vAlign w:val="center"/>
                </w:tcPr>
                <w:p>
                  <w:pPr>
                    <w:keepNext w:val="0"/>
                    <w:pageBreakBefore w:val="0"/>
                    <w:widowControl/>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spacing w:val="-3"/>
                      <w:sz w:val="21"/>
                      <w:szCs w:val="21"/>
                      <w:lang w:val="en-US" w:eastAsia="zh-CN"/>
                    </w:rPr>
                  </w:pPr>
                  <w:r>
                    <w:rPr>
                      <w:rFonts w:hint="default" w:ascii="Times New Roman" w:hAnsi="Times New Roman" w:eastAsia="宋体" w:cs="Times New Roman"/>
                      <w:spacing w:val="-3"/>
                      <w:sz w:val="21"/>
                      <w:szCs w:val="21"/>
                    </w:rPr>
                    <w:t>固化</w:t>
                  </w:r>
                  <w:r>
                    <w:rPr>
                      <w:rFonts w:hint="eastAsia" w:cs="Times New Roman"/>
                      <w:spacing w:val="-3"/>
                      <w:sz w:val="21"/>
                      <w:szCs w:val="21"/>
                      <w:lang w:eastAsia="zh-CN"/>
                    </w:rPr>
                    <w:t>、</w:t>
                  </w:r>
                  <w:r>
                    <w:rPr>
                      <w:rFonts w:hint="eastAsia" w:cs="Times New Roman"/>
                      <w:spacing w:val="-3"/>
                      <w:sz w:val="21"/>
                      <w:szCs w:val="21"/>
                      <w:lang w:val="en-US" w:eastAsia="zh-CN"/>
                    </w:rPr>
                    <w:t>封边</w:t>
                  </w:r>
                </w:p>
              </w:tc>
              <w:tc>
                <w:tcPr>
                  <w:tcW w:w="3905" w:type="dxa"/>
                  <w:noWrap w:val="0"/>
                  <w:vAlign w:val="center"/>
                </w:tcPr>
                <w:p>
                  <w:pPr>
                    <w:pStyle w:val="222"/>
                    <w:keepNext w:val="0"/>
                    <w:keepLines/>
                    <w:pageBreakBefore w:val="0"/>
                    <w:widowControl/>
                    <w:kinsoku/>
                    <w:wordWrap/>
                    <w:overflowPunct/>
                    <w:topLinePunct/>
                    <w:autoSpaceDE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UV光解+活性炭吸附+15m排气筒</w:t>
                  </w:r>
                  <w:r>
                    <w:rPr>
                      <w:rFonts w:hint="eastAsia" w:cs="Times New Roman"/>
                      <w:sz w:val="21"/>
                      <w:szCs w:val="21"/>
                      <w:lang w:eastAsia="zh-CN"/>
                    </w:rPr>
                    <w:t>（</w:t>
                  </w:r>
                  <w:r>
                    <w:rPr>
                      <w:rFonts w:hint="eastAsia" w:cs="Times New Roman"/>
                      <w:sz w:val="21"/>
                      <w:szCs w:val="21"/>
                      <w:lang w:val="en-US" w:eastAsia="zh-CN"/>
                    </w:rPr>
                    <w:t>1#</w:t>
                  </w:r>
                  <w:r>
                    <w:rPr>
                      <w:rFonts w:hint="eastAsia" w:cs="Times New Roman"/>
                      <w:sz w:val="21"/>
                      <w:szCs w:val="21"/>
                      <w:lang w:eastAsia="zh-CN"/>
                    </w:rPr>
                    <w:t>）</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1套</w:t>
                  </w:r>
                </w:p>
              </w:tc>
              <w:tc>
                <w:tcPr>
                  <w:tcW w:w="1067"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5"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c>
                <w:tcPr>
                  <w:tcW w:w="725"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c>
                <w:tcPr>
                  <w:tcW w:w="1306"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燃烧机</w:t>
                  </w:r>
                </w:p>
              </w:tc>
              <w:tc>
                <w:tcPr>
                  <w:tcW w:w="3905" w:type="dxa"/>
                  <w:noWrap w:val="0"/>
                  <w:vAlign w:val="center"/>
                </w:tcPr>
                <w:p>
                  <w:pPr>
                    <w:keepNext w:val="0"/>
                    <w:pageBreakBefore w:val="0"/>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自带低氮燃烧器+</w:t>
                  </w:r>
                  <w:r>
                    <w:rPr>
                      <w:rFonts w:hint="eastAsia" w:ascii="Times New Roman" w:hAnsi="Times New Roman" w:cs="Times New Roman"/>
                      <w:sz w:val="21"/>
                      <w:szCs w:val="21"/>
                      <w:lang w:val="en-US" w:eastAsia="zh-CN"/>
                    </w:rPr>
                    <w:t>集气罩+</w:t>
                  </w:r>
                  <w:r>
                    <w:rPr>
                      <w:rFonts w:hint="default" w:ascii="Times New Roman" w:hAnsi="Times New Roman" w:eastAsia="宋体" w:cs="Times New Roman"/>
                      <w:sz w:val="21"/>
                      <w:szCs w:val="21"/>
                    </w:rPr>
                    <w:t>15m排气筒</w:t>
                  </w:r>
                  <w:r>
                    <w:rPr>
                      <w:rFonts w:hint="eastAsia" w:cs="Times New Roman"/>
                      <w:sz w:val="21"/>
                      <w:szCs w:val="21"/>
                      <w:lang w:eastAsia="zh-CN"/>
                    </w:rPr>
                    <w:t>（</w:t>
                  </w:r>
                  <w:r>
                    <w:rPr>
                      <w:rFonts w:hint="eastAsia" w:cs="Times New Roman"/>
                      <w:sz w:val="21"/>
                      <w:szCs w:val="21"/>
                      <w:lang w:val="en-US" w:eastAsia="zh-CN"/>
                    </w:rPr>
                    <w:t>1#</w:t>
                  </w:r>
                  <w:r>
                    <w:rPr>
                      <w:rFonts w:hint="eastAsia" w:cs="Times New Roman"/>
                      <w:sz w:val="21"/>
                      <w:szCs w:val="21"/>
                      <w:lang w:eastAsia="zh-CN"/>
                    </w:rPr>
                    <w:t>）</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1套</w:t>
                  </w:r>
                </w:p>
              </w:tc>
              <w:tc>
                <w:tcPr>
                  <w:tcW w:w="1067"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5"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c>
                <w:tcPr>
                  <w:tcW w:w="725" w:type="dxa"/>
                  <w:vMerge w:val="continue"/>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p>
              </w:tc>
              <w:tc>
                <w:tcPr>
                  <w:tcW w:w="1306"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切割、打孔</w:t>
                  </w:r>
                </w:p>
              </w:tc>
              <w:tc>
                <w:tcPr>
                  <w:tcW w:w="3905" w:type="dxa"/>
                  <w:noWrap w:val="0"/>
                  <w:vAlign w:val="center"/>
                </w:tcPr>
                <w:p>
                  <w:pPr>
                    <w:keepNext w:val="0"/>
                    <w:pageBreakBefore w:val="0"/>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双桶布袋除尘器</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2套</w:t>
                  </w:r>
                </w:p>
              </w:tc>
              <w:tc>
                <w:tcPr>
                  <w:tcW w:w="1067"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cs="Times New Roman"/>
                      <w:bCs/>
                      <w:sz w:val="21"/>
                      <w:szCs w:val="21"/>
                      <w:lang w:val="en-US" w:eastAsia="zh-CN"/>
                    </w:rPr>
                  </w:pPr>
                  <w:r>
                    <w:rPr>
                      <w:rFonts w:hint="eastAsia" w:cs="Times New Roman"/>
                      <w:bCs/>
                      <w:sz w:val="21"/>
                      <w:szCs w:val="21"/>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5"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w:t>
                  </w:r>
                </w:p>
              </w:tc>
              <w:tc>
                <w:tcPr>
                  <w:tcW w:w="725"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废水</w:t>
                  </w:r>
                </w:p>
              </w:tc>
              <w:tc>
                <w:tcPr>
                  <w:tcW w:w="130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生活废水</w:t>
                  </w:r>
                </w:p>
              </w:tc>
              <w:tc>
                <w:tcPr>
                  <w:tcW w:w="3905" w:type="dxa"/>
                  <w:noWrap w:val="0"/>
                  <w:vAlign w:val="center"/>
                </w:tcPr>
                <w:p>
                  <w:pPr>
                    <w:keepNext w:val="0"/>
                    <w:pageBreakBefore w:val="0"/>
                    <w:kinsoku/>
                    <w:wordWrap/>
                    <w:overflowPunct/>
                    <w:autoSpaceDE w:val="0"/>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sz w:val="21"/>
                      <w:szCs w:val="21"/>
                      <w:lang w:val="zh-CN" w:eastAsia="zh-CN"/>
                    </w:rPr>
                  </w:pPr>
                  <w:r>
                    <w:rPr>
                      <w:rFonts w:hint="eastAsia" w:cs="Times New Roman"/>
                      <w:sz w:val="21"/>
                      <w:szCs w:val="21"/>
                      <w:lang w:val="en-US" w:eastAsia="zh-CN"/>
                    </w:rPr>
                    <w:t>旱厕</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1套</w:t>
                  </w:r>
                </w:p>
              </w:tc>
              <w:tc>
                <w:tcPr>
                  <w:tcW w:w="1067"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5"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w:t>
                  </w:r>
                </w:p>
              </w:tc>
              <w:tc>
                <w:tcPr>
                  <w:tcW w:w="725"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噪声</w:t>
                  </w:r>
                </w:p>
              </w:tc>
              <w:tc>
                <w:tcPr>
                  <w:tcW w:w="130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设备噪声</w:t>
                  </w:r>
                </w:p>
              </w:tc>
              <w:tc>
                <w:tcPr>
                  <w:tcW w:w="3905" w:type="dxa"/>
                  <w:noWrap w:val="0"/>
                  <w:vAlign w:val="center"/>
                </w:tcPr>
                <w:p>
                  <w:pPr>
                    <w:keepNext w:val="0"/>
                    <w:pageBreakBefore w:val="0"/>
                    <w:kinsoku/>
                    <w:wordWrap/>
                    <w:overflowPunct/>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基础减振，厂房主体隔声，门窗隔声</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配套</w:t>
                  </w:r>
                </w:p>
              </w:tc>
              <w:tc>
                <w:tcPr>
                  <w:tcW w:w="1067"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5" w:type="dxa"/>
                  <w:vMerge w:val="restart"/>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w:t>
                  </w:r>
                </w:p>
              </w:tc>
              <w:tc>
                <w:tcPr>
                  <w:tcW w:w="725" w:type="dxa"/>
                  <w:vMerge w:val="restart"/>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固废</w:t>
                  </w:r>
                </w:p>
              </w:tc>
              <w:tc>
                <w:tcPr>
                  <w:tcW w:w="130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生活垃圾</w:t>
                  </w:r>
                </w:p>
              </w:tc>
              <w:tc>
                <w:tcPr>
                  <w:tcW w:w="3905" w:type="dxa"/>
                  <w:noWrap w:val="0"/>
                  <w:vAlign w:val="center"/>
                </w:tcPr>
                <w:p>
                  <w:pPr>
                    <w:keepNext w:val="0"/>
                    <w:pageBreakBefore w:val="0"/>
                    <w:kinsoku/>
                    <w:wordWrap/>
                    <w:overflowPunct/>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垃圾桶</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若干</w:t>
                  </w:r>
                </w:p>
              </w:tc>
              <w:tc>
                <w:tcPr>
                  <w:tcW w:w="1067"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0.</w:t>
                  </w:r>
                  <w:r>
                    <w:rPr>
                      <w:rFonts w:hint="eastAsia" w:cs="Times New Roman"/>
                      <w:bCs/>
                      <w:sz w:val="21"/>
                      <w:szCs w:val="21"/>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5" w:type="dxa"/>
                  <w:vMerge w:val="continue"/>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725" w:type="dxa"/>
                  <w:vMerge w:val="continue"/>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306" w:type="dxa"/>
                  <w:noWrap w:val="0"/>
                  <w:vAlign w:val="center"/>
                </w:tcPr>
                <w:p>
                  <w:pPr>
                    <w:keepNext w:val="0"/>
                    <w:pageBreakBefore w:val="0"/>
                    <w:tabs>
                      <w:tab w:val="left" w:pos="3555"/>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废机油等</w:t>
                  </w:r>
                </w:p>
              </w:tc>
              <w:tc>
                <w:tcPr>
                  <w:tcW w:w="3905" w:type="dxa"/>
                  <w:noWrap w:val="0"/>
                  <w:vAlign w:val="center"/>
                </w:tcPr>
                <w:p>
                  <w:pPr>
                    <w:keepNext w:val="0"/>
                    <w:pageBreakBefore w:val="0"/>
                    <w:kinsoku/>
                    <w:wordWrap/>
                    <w:overflowPunct/>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收集设施，</w:t>
                  </w:r>
                  <w:r>
                    <w:rPr>
                      <w:rFonts w:hint="eastAsia" w:cs="Times New Roman"/>
                      <w:sz w:val="21"/>
                      <w:szCs w:val="21"/>
                      <w:lang w:val="en-US" w:eastAsia="zh-CN"/>
                    </w:rPr>
                    <w:t>危废</w:t>
                  </w:r>
                  <w:r>
                    <w:rPr>
                      <w:rFonts w:hint="default" w:ascii="Times New Roman" w:hAnsi="Times New Roman" w:eastAsia="宋体" w:cs="Times New Roman"/>
                      <w:sz w:val="21"/>
                      <w:szCs w:val="21"/>
                    </w:rPr>
                    <w:t>暂存间及</w:t>
                  </w:r>
                  <w:r>
                    <w:rPr>
                      <w:rFonts w:hint="eastAsia" w:cs="Times New Roman"/>
                      <w:sz w:val="21"/>
                      <w:szCs w:val="21"/>
                      <w:lang w:val="en-US" w:eastAsia="zh-CN"/>
                    </w:rPr>
                    <w:t>有资质单位委托处理</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Cs/>
                      <w:sz w:val="21"/>
                      <w:szCs w:val="21"/>
                      <w:lang w:val="en-US" w:eastAsia="zh-CN"/>
                    </w:rPr>
                  </w:pPr>
                  <w:r>
                    <w:rPr>
                      <w:rFonts w:hint="eastAsia" w:cs="Times New Roman"/>
                      <w:bCs/>
                      <w:sz w:val="21"/>
                      <w:szCs w:val="21"/>
                      <w:lang w:val="en-US" w:eastAsia="zh-CN"/>
                    </w:rPr>
                    <w:t>/</w:t>
                  </w:r>
                </w:p>
              </w:tc>
              <w:tc>
                <w:tcPr>
                  <w:tcW w:w="1067"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661" w:type="dxa"/>
                  <w:gridSpan w:val="4"/>
                  <w:noWrap w:val="0"/>
                  <w:vAlign w:val="center"/>
                </w:tcPr>
                <w:p>
                  <w:pPr>
                    <w:keepNext w:val="0"/>
                    <w:pageBreakBefore w:val="0"/>
                    <w:kinsoku/>
                    <w:wordWrap/>
                    <w:overflowPunct/>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总 计</w:t>
                  </w:r>
                </w:p>
              </w:tc>
              <w:tc>
                <w:tcPr>
                  <w:tcW w:w="776"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p>
              </w:tc>
              <w:tc>
                <w:tcPr>
                  <w:tcW w:w="1067" w:type="dxa"/>
                  <w:noWrap w:val="0"/>
                  <w:vAlign w:val="center"/>
                </w:tcPr>
                <w:p>
                  <w:pPr>
                    <w:keepNext w:val="0"/>
                    <w:pageBreakBefore w:val="0"/>
                    <w:tabs>
                      <w:tab w:val="left" w:pos="3555"/>
                    </w:tabs>
                    <w:kinsoku/>
                    <w:wordWrap/>
                    <w:overflowPunct/>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Cs/>
                      <w:sz w:val="21"/>
                      <w:szCs w:val="21"/>
                    </w:rPr>
                  </w:pPr>
                  <w:r>
                    <w:rPr>
                      <w:rFonts w:hint="eastAsia" w:cs="Times New Roman"/>
                      <w:bCs/>
                      <w:sz w:val="21"/>
                      <w:szCs w:val="21"/>
                      <w:lang w:val="en-US" w:eastAsia="zh-CN"/>
                    </w:rPr>
                    <w:t>27</w:t>
                  </w:r>
                  <w:r>
                    <w:rPr>
                      <w:rFonts w:hint="default" w:ascii="Times New Roman" w:hAnsi="Times New Roman" w:eastAsia="宋体" w:cs="Times New Roman"/>
                      <w:bCs/>
                      <w:sz w:val="21"/>
                      <w:szCs w:val="21"/>
                    </w:rPr>
                    <w:t>.4</w:t>
                  </w:r>
                </w:p>
              </w:tc>
            </w:tr>
          </w:tbl>
          <w:p>
            <w:pPr>
              <w:autoSpaceDN w:val="0"/>
              <w:spacing w:line="360" w:lineRule="auto"/>
              <w:ind w:left="0" w:leftChars="0" w:firstLine="0" w:firstLineChars="0"/>
              <w:rPr>
                <w:rFonts w:hint="eastAsia" w:ascii="Times New Roman" w:hAnsi="Times New Roman" w:eastAsia="黑体" w:cs="Times New Roman"/>
                <w:bCs/>
                <w:sz w:val="28"/>
                <w:szCs w:val="28"/>
                <w:lang w:val="en-US" w:eastAsia="zh-CN"/>
              </w:rPr>
            </w:pPr>
            <w:r>
              <w:rPr>
                <w:rFonts w:hint="eastAsia" w:ascii="Times New Roman" w:hAnsi="Times New Roman" w:eastAsia="黑体" w:cs="Times New Roman"/>
                <w:bCs/>
                <w:sz w:val="28"/>
                <w:szCs w:val="28"/>
                <w:lang w:val="en-US" w:eastAsia="zh-CN"/>
              </w:rPr>
              <w:t>九、环境保护竣工验收</w:t>
            </w:r>
          </w:p>
          <w:p>
            <w:pPr>
              <w:autoSpaceDN w:val="0"/>
              <w:spacing w:line="480" w:lineRule="exact"/>
              <w:ind w:firstLine="496" w:firstLineChars="200"/>
              <w:rPr>
                <w:bCs/>
                <w:spacing w:val="4"/>
                <w:sz w:val="24"/>
              </w:rPr>
            </w:pPr>
            <w:r>
              <w:rPr>
                <w:bCs/>
                <w:spacing w:val="4"/>
                <w:sz w:val="24"/>
              </w:rPr>
              <w:t>1</w:t>
            </w:r>
            <w:r>
              <w:rPr>
                <w:rFonts w:hint="eastAsia"/>
                <w:bCs/>
                <w:spacing w:val="4"/>
                <w:sz w:val="24"/>
              </w:rPr>
              <w:t>、验收范围：环评报告表、批复文件和有关设计文件规定应采取的各项环保治理设施与措施。</w:t>
            </w:r>
          </w:p>
          <w:p>
            <w:pPr>
              <w:tabs>
                <w:tab w:val="left" w:pos="7020"/>
              </w:tabs>
              <w:autoSpaceDN w:val="0"/>
              <w:snapToGrid w:val="0"/>
              <w:spacing w:line="480" w:lineRule="exact"/>
              <w:ind w:firstLine="496" w:firstLineChars="200"/>
              <w:rPr>
                <w:rStyle w:val="98"/>
                <w:sz w:val="24"/>
              </w:rPr>
            </w:pPr>
            <w:r>
              <w:rPr>
                <w:bCs/>
                <w:spacing w:val="4"/>
                <w:sz w:val="24"/>
              </w:rPr>
              <w:t>2</w:t>
            </w:r>
            <w:r>
              <w:rPr>
                <w:rFonts w:hint="eastAsia"/>
                <w:bCs/>
                <w:spacing w:val="4"/>
                <w:sz w:val="24"/>
              </w:rPr>
              <w:t>、验收清单：项目建成后，建设单位应按照《</w:t>
            </w:r>
            <w:r>
              <w:rPr>
                <w:rFonts w:ascii="Arial" w:hAnsi="Arial" w:cs="Arial"/>
                <w:bCs/>
                <w:sz w:val="24"/>
                <w:shd w:val="clear" w:color="auto" w:fill="FFFFFF"/>
              </w:rPr>
              <w:t>建设项目竣工环境保护验收暂行办法</w:t>
            </w:r>
            <w:r>
              <w:rPr>
                <w:rFonts w:hint="eastAsia"/>
                <w:bCs/>
                <w:spacing w:val="4"/>
                <w:sz w:val="24"/>
              </w:rPr>
              <w:t>》规定，对项目进行环境保护竣工验收。营运期环保设施竣工验收建议清单见</w:t>
            </w:r>
            <w:r>
              <w:rPr>
                <w:rStyle w:val="98"/>
                <w:rFonts w:hint="eastAsia"/>
                <w:sz w:val="24"/>
              </w:rPr>
              <w:t>下表：</w:t>
            </w:r>
          </w:p>
          <w:p>
            <w:pPr>
              <w:autoSpaceDN w:val="0"/>
              <w:spacing w:before="156" w:beforeLines="50" w:after="156" w:afterLines="50" w:line="360" w:lineRule="auto"/>
              <w:jc w:val="center"/>
              <w:rPr>
                <w:b/>
              </w:rPr>
            </w:pPr>
            <w:r>
              <w:rPr>
                <w:b/>
                <w:sz w:val="24"/>
              </w:rPr>
              <w:t>表</w:t>
            </w:r>
            <w:r>
              <w:rPr>
                <w:rFonts w:hint="eastAsia"/>
                <w:b/>
                <w:sz w:val="24"/>
                <w:lang w:val="en-US" w:eastAsia="zh-CN"/>
              </w:rPr>
              <w:t>7-26</w:t>
            </w:r>
            <w:r>
              <w:rPr>
                <w:rFonts w:hint="eastAsia"/>
                <w:b/>
                <w:sz w:val="24"/>
              </w:rPr>
              <w:t xml:space="preserve"> </w:t>
            </w:r>
            <w:r>
              <w:rPr>
                <w:rFonts w:hint="eastAsia"/>
                <w:b/>
                <w:bCs/>
                <w:sz w:val="24"/>
              </w:rPr>
              <w:t>环境保护竣工验收清单</w:t>
            </w:r>
          </w:p>
          <w:tbl>
            <w:tblPr>
              <w:tblStyle w:val="3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232"/>
              <w:gridCol w:w="1661"/>
              <w:gridCol w:w="791"/>
              <w:gridCol w:w="1158"/>
              <w:gridCol w:w="591"/>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1232"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w:t>
                  </w:r>
                </w:p>
              </w:tc>
              <w:tc>
                <w:tcPr>
                  <w:tcW w:w="166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环保设施名称</w:t>
                  </w:r>
                </w:p>
              </w:tc>
              <w:tc>
                <w:tcPr>
                  <w:tcW w:w="7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位置</w:t>
                  </w:r>
                </w:p>
              </w:tc>
              <w:tc>
                <w:tcPr>
                  <w:tcW w:w="1158" w:type="dxa"/>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处理</w:t>
                  </w:r>
                </w:p>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规模</w:t>
                  </w:r>
                </w:p>
              </w:tc>
              <w:tc>
                <w:tcPr>
                  <w:tcW w:w="5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数量</w:t>
                  </w:r>
                </w:p>
              </w:tc>
              <w:tc>
                <w:tcPr>
                  <w:tcW w:w="2588"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83" w:type="dxa"/>
                  <w:vMerge w:val="restart"/>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1232" w:type="dxa"/>
                  <w:noWrap w:val="0"/>
                  <w:vAlign w:val="center"/>
                </w:tcPr>
                <w:p>
                  <w:pPr>
                    <w:keepNext w:val="0"/>
                    <w:pageBreakBefore w:val="0"/>
                    <w:widowControl/>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焊接烟尘</w:t>
                  </w:r>
                </w:p>
              </w:tc>
              <w:tc>
                <w:tcPr>
                  <w:tcW w:w="1661" w:type="dxa"/>
                  <w:noWrap w:val="0"/>
                  <w:vAlign w:val="center"/>
                </w:tcPr>
                <w:p>
                  <w:pPr>
                    <w:pStyle w:val="222"/>
                    <w:keepNext w:val="0"/>
                    <w:keepLines/>
                    <w:pageBreakBefore w:val="0"/>
                    <w:widowControl/>
                    <w:kinsoku/>
                    <w:wordWrap/>
                    <w:overflowPunct/>
                    <w:topLinePunct/>
                    <w:autoSpaceDE w:val="0"/>
                    <w:bidi w:val="0"/>
                    <w:spacing w:line="240" w:lineRule="auto"/>
                    <w:ind w:firstLine="0" w:firstLineChars="0"/>
                    <w:textAlignment w:val="auto"/>
                    <w:rPr>
                      <w:rFonts w:hint="eastAsia" w:ascii="Times New Roman" w:hAnsi="Times New Roman" w:eastAsia="宋体" w:cs="Times New Roman"/>
                      <w:sz w:val="21"/>
                      <w:szCs w:val="21"/>
                      <w:lang w:eastAsia="zh-CN"/>
                    </w:rPr>
                  </w:pPr>
                  <w:r>
                    <w:rPr>
                      <w:rFonts w:hint="eastAsia" w:cs="Times New Roman"/>
                      <w:kern w:val="0"/>
                      <w:sz w:val="21"/>
                      <w:szCs w:val="21"/>
                      <w:lang w:val="en-US" w:eastAsia="zh-CN"/>
                    </w:rPr>
                    <w:t>集气罩+布袋除尘器</w:t>
                  </w:r>
                  <w:r>
                    <w:rPr>
                      <w:rFonts w:hint="default" w:ascii="Times New Roman" w:hAnsi="Times New Roman" w:eastAsia="宋体" w:cs="Times New Roman"/>
                      <w:sz w:val="21"/>
                      <w:szCs w:val="21"/>
                    </w:rPr>
                    <w:t>+15m排气筒</w:t>
                  </w:r>
                  <w:r>
                    <w:rPr>
                      <w:rFonts w:hint="eastAsia" w:cs="Times New Roman"/>
                      <w:sz w:val="21"/>
                      <w:szCs w:val="21"/>
                      <w:lang w:eastAsia="zh-CN"/>
                    </w:rPr>
                    <w:t>（</w:t>
                  </w:r>
                  <w:r>
                    <w:rPr>
                      <w:rFonts w:hint="eastAsia" w:cs="Times New Roman"/>
                      <w:sz w:val="21"/>
                      <w:szCs w:val="21"/>
                      <w:lang w:val="en-US" w:eastAsia="zh-CN"/>
                    </w:rPr>
                    <w:t>1#</w:t>
                  </w:r>
                  <w:r>
                    <w:rPr>
                      <w:rFonts w:hint="eastAsia" w:cs="Times New Roman"/>
                      <w:sz w:val="21"/>
                      <w:szCs w:val="21"/>
                      <w:lang w:eastAsia="zh-CN"/>
                    </w:rPr>
                    <w:t>）</w:t>
                  </w:r>
                </w:p>
              </w:tc>
              <w:tc>
                <w:tcPr>
                  <w:tcW w:w="791" w:type="dxa"/>
                  <w:vMerge w:val="restart"/>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1158" w:type="dxa"/>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eastAsia" w:ascii="Times New Roman" w:hAnsi="Times New Roman" w:eastAsia="宋体" w:cs="Times New Roman"/>
                      <w:sz w:val="21"/>
                      <w:szCs w:val="21"/>
                      <w:lang w:eastAsia="zh-CN"/>
                    </w:rPr>
                  </w:pPr>
                  <w:r>
                    <w:rPr>
                      <w:rFonts w:hint="default" w:ascii="Times New Roman" w:hAnsi="Times New Roman" w:eastAsia="宋体" w:cs="Times New Roman"/>
                      <w:kern w:val="0"/>
                      <w:sz w:val="21"/>
                      <w:szCs w:val="21"/>
                      <w:lang w:val="en-US" w:eastAsia="zh-CN"/>
                    </w:rPr>
                    <w:t>布袋除尘器</w:t>
                  </w:r>
                  <w:r>
                    <w:rPr>
                      <w:rFonts w:hint="eastAsia" w:cs="Times New Roman"/>
                      <w:kern w:val="0"/>
                      <w:sz w:val="21"/>
                      <w:szCs w:val="21"/>
                      <w:lang w:val="en-US" w:eastAsia="zh-CN"/>
                    </w:rPr>
                    <w:t>处理</w:t>
                  </w:r>
                </w:p>
              </w:tc>
              <w:tc>
                <w:tcPr>
                  <w:tcW w:w="591" w:type="dxa"/>
                  <w:noWrap w:val="0"/>
                  <w:vAlign w:val="center"/>
                </w:tcPr>
                <w:p>
                  <w:pPr>
                    <w:keepNext w:val="0"/>
                    <w:pageBreakBefore w:val="0"/>
                    <w:kinsoku/>
                    <w:wordWrap/>
                    <w:overflowPunct/>
                    <w:bidi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1套</w:t>
                  </w:r>
                </w:p>
              </w:tc>
              <w:tc>
                <w:tcPr>
                  <w:tcW w:w="2588" w:type="dxa"/>
                  <w:vMerge w:val="restart"/>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《大气污染物综合排放标准》（GB16297-1996）表2中二级标准要求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vMerge w:val="continue"/>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232" w:type="dxa"/>
                  <w:noWrap w:val="0"/>
                  <w:vAlign w:val="center"/>
                </w:tcPr>
                <w:p>
                  <w:pPr>
                    <w:pStyle w:val="222"/>
                    <w:keepNext w:val="0"/>
                    <w:keepLines/>
                    <w:pageBreakBefore w:val="0"/>
                    <w:widowControl/>
                    <w:kinsoku/>
                    <w:wordWrap/>
                    <w:overflowPunct/>
                    <w:topLinePunct/>
                    <w:autoSpaceDE w:val="0"/>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喷塑粉尘</w:t>
                  </w:r>
                </w:p>
              </w:tc>
              <w:tc>
                <w:tcPr>
                  <w:tcW w:w="1661" w:type="dxa"/>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eastAsia" w:cs="Times New Roman"/>
                      <w:kern w:val="0"/>
                      <w:sz w:val="21"/>
                      <w:szCs w:val="21"/>
                      <w:lang w:val="en-US" w:eastAsia="zh-CN"/>
                    </w:rPr>
                  </w:pPr>
                  <w:r>
                    <w:rPr>
                      <w:rFonts w:hint="eastAsia" w:cs="Times New Roman"/>
                      <w:kern w:val="0"/>
                      <w:sz w:val="21"/>
                      <w:szCs w:val="21"/>
                      <w:lang w:val="en-US" w:eastAsia="zh-CN"/>
                    </w:rPr>
                    <w:t>布袋除尘器</w:t>
                  </w:r>
                </w:p>
                <w:p>
                  <w:pPr>
                    <w:pStyle w:val="222"/>
                    <w:keepNext w:val="0"/>
                    <w:keepLines/>
                    <w:pageBreakBefore w:val="0"/>
                    <w:widowControl/>
                    <w:kinsoku/>
                    <w:wordWrap/>
                    <w:overflowPunct/>
                    <w:topLinePunct/>
                    <w:autoSpaceDE w:val="0"/>
                    <w:bidi w:val="0"/>
                    <w:spacing w:line="240" w:lineRule="auto"/>
                    <w:ind w:firstLine="0" w:firstLineChars="0"/>
                    <w:textAlignment w:val="auto"/>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+15m排气筒</w:t>
                  </w:r>
                  <w:r>
                    <w:rPr>
                      <w:rFonts w:hint="eastAsia" w:cs="Times New Roman"/>
                      <w:sz w:val="21"/>
                      <w:szCs w:val="21"/>
                      <w:lang w:eastAsia="zh-CN"/>
                    </w:rPr>
                    <w:t>（</w:t>
                  </w:r>
                  <w:r>
                    <w:rPr>
                      <w:rFonts w:hint="eastAsia" w:cs="Times New Roman"/>
                      <w:sz w:val="21"/>
                      <w:szCs w:val="21"/>
                      <w:lang w:val="en-US" w:eastAsia="zh-CN"/>
                    </w:rPr>
                    <w:t>2#</w:t>
                  </w:r>
                  <w:r>
                    <w:rPr>
                      <w:rFonts w:hint="eastAsia" w:cs="Times New Roman"/>
                      <w:sz w:val="21"/>
                      <w:szCs w:val="21"/>
                      <w:lang w:eastAsia="zh-CN"/>
                    </w:rPr>
                    <w:t>）</w:t>
                  </w:r>
                </w:p>
              </w:tc>
              <w:tc>
                <w:tcPr>
                  <w:tcW w:w="791" w:type="dxa"/>
                  <w:vMerge w:val="continue"/>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158" w:type="dxa"/>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eastAsia" w:ascii="Times New Roman" w:hAnsi="Times New Roman" w:eastAsia="宋体" w:cs="Times New Roman"/>
                      <w:sz w:val="21"/>
                      <w:szCs w:val="21"/>
                      <w:lang w:eastAsia="zh-CN"/>
                    </w:rPr>
                  </w:pPr>
                  <w:r>
                    <w:rPr>
                      <w:rFonts w:hint="default" w:ascii="Times New Roman" w:hAnsi="Times New Roman" w:eastAsia="宋体" w:cs="Times New Roman"/>
                      <w:kern w:val="0"/>
                      <w:sz w:val="21"/>
                      <w:szCs w:val="21"/>
                      <w:lang w:val="en-US" w:eastAsia="zh-CN"/>
                    </w:rPr>
                    <w:t>布袋除尘器</w:t>
                  </w:r>
                  <w:r>
                    <w:rPr>
                      <w:rFonts w:hint="default" w:ascii="Times New Roman" w:hAnsi="Times New Roman" w:eastAsia="宋体" w:cs="Times New Roman"/>
                      <w:kern w:val="0"/>
                      <w:sz w:val="21"/>
                      <w:szCs w:val="21"/>
                    </w:rPr>
                    <w:t>去</w:t>
                  </w:r>
                  <w:r>
                    <w:rPr>
                      <w:rFonts w:hint="eastAsia" w:cs="Times New Roman"/>
                      <w:kern w:val="0"/>
                      <w:sz w:val="21"/>
                      <w:szCs w:val="21"/>
                      <w:lang w:val="en-US" w:eastAsia="zh-CN"/>
                    </w:rPr>
                    <w:t>处理</w:t>
                  </w:r>
                </w:p>
              </w:tc>
              <w:tc>
                <w:tcPr>
                  <w:tcW w:w="5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1套</w:t>
                  </w:r>
                </w:p>
              </w:tc>
              <w:tc>
                <w:tcPr>
                  <w:tcW w:w="2588" w:type="dxa"/>
                  <w:vMerge w:val="continue"/>
                  <w:noWrap w:val="0"/>
                  <w:vAlign w:val="center"/>
                </w:tcPr>
                <w:p>
                  <w:pPr>
                    <w:keepNext w:val="0"/>
                    <w:pageBreakBefore w:val="0"/>
                    <w:kinsoku/>
                    <w:wordWrap/>
                    <w:overflowPunct/>
                    <w:autoSpaceDN w:val="0"/>
                    <w:bidi w:val="0"/>
                    <w:spacing w:line="240" w:lineRule="auto"/>
                    <w:ind w:firstLine="0" w:firstLineChars="0"/>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483" w:type="dxa"/>
                  <w:vMerge w:val="continue"/>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232" w:type="dxa"/>
                  <w:noWrap w:val="0"/>
                  <w:vAlign w:val="center"/>
                </w:tcPr>
                <w:p>
                  <w:pPr>
                    <w:pStyle w:val="222"/>
                    <w:keepNext w:val="0"/>
                    <w:keepLines/>
                    <w:pageBreakBefore w:val="0"/>
                    <w:widowControl/>
                    <w:kinsoku/>
                    <w:wordWrap/>
                    <w:overflowPunct/>
                    <w:topLinePunct/>
                    <w:autoSpaceDE w:val="0"/>
                    <w:bidi w:val="0"/>
                    <w:spacing w:line="240" w:lineRule="auto"/>
                    <w:ind w:firstLine="0" w:firstLineChars="0"/>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固化、封边废气</w:t>
                  </w:r>
                </w:p>
              </w:tc>
              <w:tc>
                <w:tcPr>
                  <w:tcW w:w="1661" w:type="dxa"/>
                  <w:noWrap w:val="0"/>
                  <w:vAlign w:val="center"/>
                </w:tcPr>
                <w:p>
                  <w:pPr>
                    <w:pStyle w:val="222"/>
                    <w:keepNext w:val="0"/>
                    <w:keepLines/>
                    <w:pageBreakBefore w:val="0"/>
                    <w:widowControl/>
                    <w:kinsoku/>
                    <w:wordWrap/>
                    <w:overflowPunct/>
                    <w:topLinePunct/>
                    <w:autoSpaceDE w:val="0"/>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UV光解+活性炭吸附+15m排气筒</w:t>
                  </w:r>
                  <w:r>
                    <w:rPr>
                      <w:rFonts w:hint="eastAsia" w:cs="Times New Roman"/>
                      <w:sz w:val="21"/>
                      <w:szCs w:val="21"/>
                      <w:lang w:eastAsia="zh-CN"/>
                    </w:rPr>
                    <w:t>（</w:t>
                  </w:r>
                  <w:r>
                    <w:rPr>
                      <w:rFonts w:hint="eastAsia" w:cs="Times New Roman"/>
                      <w:sz w:val="21"/>
                      <w:szCs w:val="21"/>
                      <w:lang w:val="en-US" w:eastAsia="zh-CN"/>
                    </w:rPr>
                    <w:t>1#</w:t>
                  </w:r>
                  <w:r>
                    <w:rPr>
                      <w:rFonts w:hint="eastAsia" w:cs="Times New Roman"/>
                      <w:sz w:val="21"/>
                      <w:szCs w:val="21"/>
                      <w:lang w:eastAsia="zh-CN"/>
                    </w:rPr>
                    <w:t>）</w:t>
                  </w:r>
                </w:p>
              </w:tc>
              <w:tc>
                <w:tcPr>
                  <w:tcW w:w="791" w:type="dxa"/>
                  <w:vMerge w:val="continue"/>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158" w:type="dxa"/>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UV光解+活性炭吸附</w:t>
                  </w:r>
                </w:p>
              </w:tc>
              <w:tc>
                <w:tcPr>
                  <w:tcW w:w="591" w:type="dxa"/>
                  <w:noWrap w:val="0"/>
                  <w:vAlign w:val="center"/>
                </w:tcPr>
                <w:p>
                  <w:pPr>
                    <w:keepNext w:val="0"/>
                    <w:pageBreakBefore w:val="0"/>
                    <w:kinsoku/>
                    <w:wordWrap/>
                    <w:overflowPunct/>
                    <w:bidi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1套</w:t>
                  </w:r>
                </w:p>
              </w:tc>
              <w:tc>
                <w:tcPr>
                  <w:tcW w:w="2588" w:type="dxa"/>
                  <w:noWrap w:val="0"/>
                  <w:vAlign w:val="center"/>
                </w:tcPr>
                <w:p>
                  <w:pPr>
                    <w:keepNext w:val="0"/>
                    <w:pageBreakBefore w:val="0"/>
                    <w:kinsoku/>
                    <w:wordWrap/>
                    <w:overflowPunct/>
                    <w:autoSpaceDN w:val="0"/>
                    <w:bidi w:val="0"/>
                    <w:spacing w:line="240" w:lineRule="auto"/>
                    <w:ind w:firstLine="0" w:firstLineChars="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《挥发性有机物排放控制标准》（DB61/T1061-2017）中表面涂装行业排放限值要求及《挥发性有机物无组织排放控制标准》（GB37822-2019）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vMerge w:val="continue"/>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232"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天然气燃烧机</w:t>
                  </w:r>
                </w:p>
              </w:tc>
              <w:tc>
                <w:tcPr>
                  <w:tcW w:w="1661" w:type="dxa"/>
                  <w:noWrap w:val="0"/>
                  <w:vAlign w:val="center"/>
                </w:tcPr>
                <w:p>
                  <w:pPr>
                    <w:keepNext w:val="0"/>
                    <w:pageBreakBefore w:val="0"/>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自带低氮燃烧器+</w:t>
                  </w:r>
                  <w:r>
                    <w:rPr>
                      <w:rFonts w:hint="eastAsia" w:cs="Times New Roman"/>
                      <w:sz w:val="21"/>
                      <w:szCs w:val="21"/>
                      <w:lang w:val="en-US" w:eastAsia="zh-CN"/>
                    </w:rPr>
                    <w:t>集气罩+15</w:t>
                  </w:r>
                  <w:r>
                    <w:rPr>
                      <w:rFonts w:hint="default" w:ascii="Times New Roman" w:hAnsi="Times New Roman" w:eastAsia="宋体" w:cs="Times New Roman"/>
                      <w:sz w:val="21"/>
                      <w:szCs w:val="21"/>
                    </w:rPr>
                    <w:t>m排气筒</w:t>
                  </w:r>
                  <w:r>
                    <w:rPr>
                      <w:rFonts w:hint="eastAsia" w:cs="Times New Roman"/>
                      <w:sz w:val="21"/>
                      <w:szCs w:val="21"/>
                      <w:lang w:eastAsia="zh-CN"/>
                    </w:rPr>
                    <w:t>（</w:t>
                  </w:r>
                  <w:r>
                    <w:rPr>
                      <w:rFonts w:hint="eastAsia" w:cs="Times New Roman"/>
                      <w:sz w:val="21"/>
                      <w:szCs w:val="21"/>
                      <w:lang w:val="en-US" w:eastAsia="zh-CN"/>
                    </w:rPr>
                    <w:t>1#</w:t>
                  </w:r>
                  <w:r>
                    <w:rPr>
                      <w:rFonts w:hint="eastAsia" w:cs="Times New Roman"/>
                      <w:sz w:val="21"/>
                      <w:szCs w:val="21"/>
                      <w:lang w:eastAsia="zh-CN"/>
                    </w:rPr>
                    <w:t>）</w:t>
                  </w:r>
                </w:p>
              </w:tc>
              <w:tc>
                <w:tcPr>
                  <w:tcW w:w="7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1158" w:type="dxa"/>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91" w:type="dxa"/>
                  <w:noWrap w:val="0"/>
                  <w:vAlign w:val="center"/>
                </w:tcPr>
                <w:p>
                  <w:pPr>
                    <w:keepNext w:val="0"/>
                    <w:pageBreakBefore w:val="0"/>
                    <w:kinsoku/>
                    <w:wordWrap/>
                    <w:overflowPunct/>
                    <w:bidi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1套</w:t>
                  </w:r>
                </w:p>
              </w:tc>
              <w:tc>
                <w:tcPr>
                  <w:tcW w:w="2588" w:type="dxa"/>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中华人民共和国生态环境部</w:t>
                  </w:r>
                  <w:r>
                    <w:rPr>
                      <w:rFonts w:hint="eastAsia" w:ascii="Times New Roman" w:hAnsi="Times New Roman" w:eastAsia="宋体" w:cs="Times New Roman"/>
                      <w:sz w:val="21"/>
                      <w:szCs w:val="21"/>
                    </w:rPr>
                    <w:t>关于印发《工业炉窑大气污染综合治理方案》的通知中关于重点区域工业炉窑颗粒物、二氧化硫、氮氧化物实施改造的要求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vMerge w:val="continue"/>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p>
              </w:tc>
              <w:tc>
                <w:tcPr>
                  <w:tcW w:w="1232"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切割、打孔</w:t>
                  </w:r>
                </w:p>
              </w:tc>
              <w:tc>
                <w:tcPr>
                  <w:tcW w:w="1661" w:type="dxa"/>
                  <w:noWrap w:val="0"/>
                  <w:vAlign w:val="center"/>
                </w:tcPr>
                <w:p>
                  <w:pPr>
                    <w:keepNext w:val="0"/>
                    <w:pageBreakBefore w:val="0"/>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双桶布袋除尘器</w:t>
                  </w:r>
                </w:p>
              </w:tc>
              <w:tc>
                <w:tcPr>
                  <w:tcW w:w="7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1158" w:type="dxa"/>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双桶布袋除尘器</w:t>
                  </w:r>
                </w:p>
              </w:tc>
              <w:tc>
                <w:tcPr>
                  <w:tcW w:w="591" w:type="dxa"/>
                  <w:noWrap w:val="0"/>
                  <w:vAlign w:val="center"/>
                </w:tcPr>
                <w:p>
                  <w:pPr>
                    <w:keepNext w:val="0"/>
                    <w:pageBreakBefore w:val="0"/>
                    <w:kinsoku/>
                    <w:wordWrap/>
                    <w:overflowPunct/>
                    <w:bidi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2</w:t>
                  </w:r>
                  <w:r>
                    <w:rPr>
                      <w:rFonts w:hint="default" w:ascii="Times New Roman" w:hAnsi="Times New Roman" w:eastAsia="宋体" w:cs="Times New Roman"/>
                      <w:sz w:val="21"/>
                      <w:szCs w:val="21"/>
                    </w:rPr>
                    <w:t>套</w:t>
                  </w:r>
                </w:p>
              </w:tc>
              <w:tc>
                <w:tcPr>
                  <w:tcW w:w="2588" w:type="dxa"/>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《大气污染物综合排放标准》（GB16297-1996）表2中二级标准要求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3"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1232"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生活废水</w:t>
                  </w:r>
                </w:p>
              </w:tc>
              <w:tc>
                <w:tcPr>
                  <w:tcW w:w="166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旱厕</w:t>
                  </w:r>
                </w:p>
              </w:tc>
              <w:tc>
                <w:tcPr>
                  <w:tcW w:w="7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厂区</w:t>
                  </w:r>
                </w:p>
              </w:tc>
              <w:tc>
                <w:tcPr>
                  <w:tcW w:w="1158" w:type="dxa"/>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座</w:t>
                  </w:r>
                </w:p>
              </w:tc>
              <w:tc>
                <w:tcPr>
                  <w:tcW w:w="2588"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定期清掏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83"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1232"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设备噪声</w:t>
                  </w:r>
                </w:p>
              </w:tc>
              <w:tc>
                <w:tcPr>
                  <w:tcW w:w="166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隔声、减振、消声设施</w:t>
                  </w:r>
                </w:p>
              </w:tc>
              <w:tc>
                <w:tcPr>
                  <w:tcW w:w="791" w:type="dxa"/>
                  <w:noWrap w:val="0"/>
                  <w:vAlign w:val="center"/>
                </w:tcPr>
                <w:p>
                  <w:pPr>
                    <w:keepNext w:val="0"/>
                    <w:pageBreakBefore w:val="0"/>
                    <w:widowControl/>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生产车间</w:t>
                  </w:r>
                </w:p>
              </w:tc>
              <w:tc>
                <w:tcPr>
                  <w:tcW w:w="1158"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降低10～15dB(A)</w:t>
                  </w:r>
                </w:p>
              </w:tc>
              <w:tc>
                <w:tcPr>
                  <w:tcW w:w="5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配套</w:t>
                  </w:r>
                </w:p>
              </w:tc>
              <w:tc>
                <w:tcPr>
                  <w:tcW w:w="2588" w:type="dxa"/>
                  <w:noWrap w:val="0"/>
                  <w:vAlign w:val="center"/>
                </w:tcPr>
                <w:p>
                  <w:pPr>
                    <w:keepNext w:val="0"/>
                    <w:pageBreakBefore w:val="0"/>
                    <w:kinsoku/>
                    <w:wordWrap/>
                    <w:overflowPunct/>
                    <w:autoSpaceDN w:val="0"/>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达到《工业企业厂界环境噪声排放标准》（GB12348-2008）2类标准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3" w:type="dxa"/>
                  <w:vMerge w:val="restart"/>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1232"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生活垃圾</w:t>
                  </w:r>
                </w:p>
              </w:tc>
              <w:tc>
                <w:tcPr>
                  <w:tcW w:w="166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收集设施</w:t>
                  </w:r>
                </w:p>
              </w:tc>
              <w:tc>
                <w:tcPr>
                  <w:tcW w:w="7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w:t>
                  </w:r>
                </w:p>
              </w:tc>
              <w:tc>
                <w:tcPr>
                  <w:tcW w:w="1158"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1处</w:t>
                  </w:r>
                </w:p>
              </w:tc>
              <w:tc>
                <w:tcPr>
                  <w:tcW w:w="2588" w:type="dxa"/>
                  <w:noWrap w:val="0"/>
                  <w:vAlign w:val="center"/>
                </w:tcPr>
                <w:p>
                  <w:pPr>
                    <w:keepNext w:val="0"/>
                    <w:pageBreakBefore w:val="0"/>
                    <w:kinsoku/>
                    <w:wordWrap/>
                    <w:overflowPunct/>
                    <w:autoSpaceDN w:val="0"/>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集中收集后环卫部门统一处理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83" w:type="dxa"/>
                  <w:vMerge w:val="continue"/>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1"/>
                      <w:szCs w:val="21"/>
                    </w:rPr>
                  </w:pPr>
                </w:p>
              </w:tc>
              <w:tc>
                <w:tcPr>
                  <w:tcW w:w="1232"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废机油</w:t>
                  </w:r>
                  <w:r>
                    <w:rPr>
                      <w:rFonts w:hint="eastAsia" w:ascii="Times New Roman" w:hAnsi="Times New Roman" w:cs="Times New Roman"/>
                      <w:bCs/>
                      <w:sz w:val="21"/>
                      <w:szCs w:val="21"/>
                      <w:lang w:eastAsia="zh-CN"/>
                    </w:rPr>
                    <w:t>、</w:t>
                  </w:r>
                  <w:r>
                    <w:rPr>
                      <w:rFonts w:hint="eastAsia" w:ascii="Times New Roman" w:hAnsi="Times New Roman" w:cs="Times New Roman"/>
                      <w:bCs/>
                      <w:sz w:val="21"/>
                      <w:szCs w:val="21"/>
                      <w:lang w:val="en-US" w:eastAsia="zh-CN"/>
                    </w:rPr>
                    <w:t>废旧活性炭</w:t>
                  </w:r>
                  <w:r>
                    <w:rPr>
                      <w:rFonts w:hint="default" w:ascii="Times New Roman" w:hAnsi="Times New Roman" w:eastAsia="宋体" w:cs="Times New Roman"/>
                      <w:bCs/>
                      <w:sz w:val="21"/>
                      <w:szCs w:val="21"/>
                    </w:rPr>
                    <w:t>等</w:t>
                  </w:r>
                </w:p>
              </w:tc>
              <w:tc>
                <w:tcPr>
                  <w:tcW w:w="166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危险固废专用分类容器、暂存房及防渗措施</w:t>
                  </w:r>
                </w:p>
              </w:tc>
              <w:tc>
                <w:tcPr>
                  <w:tcW w:w="791" w:type="dxa"/>
                  <w:noWrap w:val="0"/>
                  <w:vAlign w:val="center"/>
                </w:tcPr>
                <w:p>
                  <w:pPr>
                    <w:keepNext w:val="0"/>
                    <w:pageBreakBefore w:val="0"/>
                    <w:widowControl/>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1158"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91" w:type="dxa"/>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1处</w:t>
                  </w:r>
                </w:p>
              </w:tc>
              <w:tc>
                <w:tcPr>
                  <w:tcW w:w="2588" w:type="dxa"/>
                  <w:noWrap w:val="0"/>
                  <w:vAlign w:val="center"/>
                </w:tcPr>
                <w:p>
                  <w:pPr>
                    <w:keepNext w:val="0"/>
                    <w:pageBreakBefore w:val="0"/>
                    <w:kinsoku/>
                    <w:wordWrap/>
                    <w:overflowPunct/>
                    <w:autoSpaceDN w:val="0"/>
                    <w:bidi w:val="0"/>
                    <w:spacing w:line="240" w:lineRule="auto"/>
                    <w:ind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达到《危险废物贮存污染物控制标准》(GB18597-2001)相关要求，收集后交由有资质单位处置</w:t>
                  </w:r>
                </w:p>
              </w:tc>
            </w:tr>
          </w:tbl>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5"/>
              <w:ind w:firstLine="480"/>
              <w:outlineLvl w:val="1"/>
            </w:pPr>
          </w:p>
        </w:tc>
      </w:tr>
    </w:tbl>
    <w:p>
      <w:pPr>
        <w:spacing w:before="312"/>
        <w:ind w:firstLine="0" w:firstLineChars="0"/>
        <w:rPr>
          <w:rFonts w:eastAsia="黑体"/>
          <w:sz w:val="32"/>
          <w:szCs w:val="32"/>
        </w:rPr>
        <w:sectPr>
          <w:footerReference r:id="rId11" w:type="default"/>
          <w:pgSz w:w="11907" w:h="16840"/>
          <w:pgMar w:top="1417" w:right="1418" w:bottom="1417" w:left="1588" w:header="851" w:footer="992" w:gutter="0"/>
          <w:pgBorders>
            <w:top w:val="none" w:sz="0" w:space="0"/>
            <w:left w:val="none" w:sz="0" w:space="0"/>
            <w:bottom w:val="none" w:sz="0" w:space="0"/>
            <w:right w:val="none" w:sz="0" w:space="0"/>
          </w:pgBorders>
          <w:pgNumType w:fmt="numberInDash" w:start="1"/>
          <w:cols w:space="720" w:num="1"/>
          <w:docGrid w:type="lines" w:linePitch="326" w:charSpace="0"/>
        </w:sectPr>
      </w:pPr>
    </w:p>
    <w:p>
      <w:pPr>
        <w:spacing w:line="240" w:lineRule="auto"/>
        <w:ind w:firstLine="0" w:firstLineChars="0"/>
        <w:jc w:val="left"/>
        <w:outlineLvl w:val="0"/>
        <w:rPr>
          <w:rFonts w:eastAsia="黑体"/>
          <w:b/>
          <w:bCs/>
          <w:sz w:val="32"/>
          <w:szCs w:val="32"/>
        </w:rPr>
      </w:pPr>
      <w:r>
        <w:rPr>
          <w:rFonts w:hint="eastAsia" w:ascii="Times New Roman" w:hAnsi="Times New Roman" w:eastAsia="黑体" w:cs="Times New Roman"/>
          <w:sz w:val="32"/>
        </w:rPr>
        <w:t>八、建设项目拟采取的防治措施及预期治理效果</w:t>
      </w:r>
    </w:p>
    <w:tbl>
      <w:tblPr>
        <w:tblStyle w:val="33"/>
        <w:tblW w:w="907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42"/>
        <w:gridCol w:w="1323"/>
        <w:gridCol w:w="1541"/>
        <w:gridCol w:w="1786"/>
        <w:gridCol w:w="337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48" w:hRule="atLeast"/>
          <w:jc w:val="center"/>
        </w:trPr>
        <w:tc>
          <w:tcPr>
            <w:tcW w:w="1042" w:type="dxa"/>
            <w:tcBorders>
              <w:tl2br w:val="nil"/>
              <w:tr2bl w:val="nil"/>
            </w:tcBorders>
            <w:noWrap w:val="0"/>
            <w:vAlign w:val="top"/>
          </w:tcPr>
          <w:p>
            <w:pPr>
              <w:keepNext w:val="0"/>
              <w:pageBreakBefore w:val="0"/>
              <w:kinsoku/>
              <w:wordWrap/>
              <w:overflowPunct/>
              <w:bidi w:val="0"/>
              <w:spacing w:line="240" w:lineRule="auto"/>
              <w:ind w:firstLine="0" w:firstLineChars="0"/>
              <w:jc w:val="right"/>
              <w:textAlignment w:val="auto"/>
              <w:rPr>
                <w:rFonts w:hint="default" w:ascii="Times New Roman" w:hAnsi="Times New Roman" w:eastAsia="宋体" w:cs="Times New Roman"/>
                <w:sz w:val="24"/>
                <w:szCs w:val="24"/>
              </w:rPr>
            </w:pPr>
            <w:r>
              <w:rPr>
                <w:sz w:val="24"/>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-8890</wp:posOffset>
                      </wp:positionV>
                      <wp:extent cx="640715" cy="485140"/>
                      <wp:effectExtent l="3175" t="3810" r="3810" b="6350"/>
                      <wp:wrapNone/>
                      <wp:docPr id="7" name="直线 13"/>
                      <wp:cNvGraphicFramePr/>
                      <a:graphic xmlns:a="http://schemas.openxmlformats.org/drawingml/2006/main">
                        <a:graphicData uri="http://schemas.microsoft.com/office/word/2010/wordprocessingShape">
                          <wps:wsp>
                            <wps:cNvSpPr/>
                            <wps:spPr>
                              <a:xfrm>
                                <a:off x="0" y="0"/>
                                <a:ext cx="640715" cy="4851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3.75pt;margin-top:-0.7pt;height:38.2pt;width:50.45pt;z-index:251668480;mso-width-relative:page;mso-height-relative:page;" filled="f" stroked="t" coordsize="21600,21600" o:gfxdata="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7&#10;kHAR1QAAAAcBAAAPAAAAAAAAAAEAIAAAACIAAABkcnMvZG93bnJldi54bWxQSwECFAAUAAAACACH&#10;TuJAGTjAy+4BAADgAwAADgAAAAAAAAABACAAAAAkAQAAZHJzL2Uyb0RvYy54bWxQSwUGAAAAAAYA&#10;BgBZAQAAhAUAAAAA&#10;">
                      <v:fill on="f" focussize="0,0"/>
                      <v:stroke color="#000000" joinstyle="round"/>
                      <v:imagedata o:title=""/>
                      <o:lock v:ext="edit" aspectratio="f"/>
                    </v:line>
                  </w:pict>
                </mc:Fallback>
              </mc:AlternateContent>
            </w:r>
            <w:r>
              <w:rPr>
                <w:rFonts w:hint="default" w:ascii="Times New Roman" w:hAnsi="Times New Roman" w:eastAsia="宋体" w:cs="Times New Roman"/>
                <w:sz w:val="24"/>
                <w:szCs w:val="24"/>
              </w:rPr>
              <w:t>内容</w:t>
            </w:r>
          </w:p>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类型</w:t>
            </w:r>
          </w:p>
        </w:tc>
        <w:tc>
          <w:tcPr>
            <w:tcW w:w="1323"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排放源</w:t>
            </w:r>
          </w:p>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（编号）</w:t>
            </w:r>
          </w:p>
        </w:tc>
        <w:tc>
          <w:tcPr>
            <w:tcW w:w="1541"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污染物</w:t>
            </w:r>
          </w:p>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名称</w:t>
            </w:r>
          </w:p>
        </w:tc>
        <w:tc>
          <w:tcPr>
            <w:tcW w:w="1786"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防 治 措 施</w:t>
            </w:r>
          </w:p>
        </w:tc>
        <w:tc>
          <w:tcPr>
            <w:tcW w:w="3379"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预期治理效果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6" w:hRule="atLeast"/>
          <w:jc w:val="center"/>
        </w:trPr>
        <w:tc>
          <w:tcPr>
            <w:tcW w:w="1042" w:type="dxa"/>
            <w:vMerge w:val="restart"/>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大气</w:t>
            </w:r>
          </w:p>
          <w:p>
            <w:pPr>
              <w:pStyle w:val="12"/>
              <w:keepNext w:val="0"/>
              <w:pageBreakBefore w:val="0"/>
              <w:kinsoku/>
              <w:wordWrap/>
              <w:overflowPunct/>
              <w:bidi w:val="0"/>
              <w:spacing w:after="0"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污染物</w:t>
            </w:r>
          </w:p>
        </w:tc>
        <w:tc>
          <w:tcPr>
            <w:tcW w:w="1323"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焊接</w:t>
            </w:r>
          </w:p>
        </w:tc>
        <w:tc>
          <w:tcPr>
            <w:tcW w:w="1541" w:type="dxa"/>
            <w:tcBorders>
              <w:tl2br w:val="nil"/>
              <w:tr2bl w:val="nil"/>
            </w:tcBorders>
            <w:noWrap w:val="0"/>
            <w:vAlign w:val="center"/>
          </w:tcPr>
          <w:p>
            <w:pPr>
              <w:keepNext w:val="0"/>
              <w:pageBreakBefore w:val="0"/>
              <w:widowControl/>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焊接烟尘</w:t>
            </w:r>
          </w:p>
        </w:tc>
        <w:tc>
          <w:tcPr>
            <w:tcW w:w="1786" w:type="dxa"/>
            <w:tcBorders>
              <w:tl2br w:val="nil"/>
              <w:tr2bl w:val="nil"/>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kern w:val="0"/>
                <w:sz w:val="24"/>
                <w:szCs w:val="24"/>
                <w:lang w:val="en-US" w:eastAsia="zh-CN"/>
              </w:rPr>
              <w:t>集气罩+布袋除尘器</w:t>
            </w:r>
            <w:r>
              <w:rPr>
                <w:rFonts w:hint="default" w:ascii="Times New Roman" w:hAnsi="Times New Roman" w:eastAsia="宋体" w:cs="Times New Roman"/>
                <w:sz w:val="24"/>
                <w:szCs w:val="24"/>
              </w:rPr>
              <w:t>+15m排气筒</w:t>
            </w:r>
          </w:p>
        </w:tc>
        <w:tc>
          <w:tcPr>
            <w:tcW w:w="3379" w:type="dxa"/>
            <w:vMerge w:val="restart"/>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满足《大气污染物综合排放标准》（GB16297-1996）表2中二级标准要求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6" w:hRule="atLeast"/>
          <w:jc w:val="center"/>
        </w:trPr>
        <w:tc>
          <w:tcPr>
            <w:tcW w:w="1042"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p>
        </w:tc>
        <w:tc>
          <w:tcPr>
            <w:tcW w:w="1323" w:type="dxa"/>
            <w:tcBorders>
              <w:tl2br w:val="nil"/>
              <w:tr2bl w:val="nil"/>
            </w:tcBorders>
            <w:noWrap w:val="0"/>
            <w:vAlign w:val="center"/>
          </w:tcPr>
          <w:p>
            <w:pPr>
              <w:keepNext w:val="0"/>
              <w:pageBreakBefore w:val="0"/>
              <w:widowControl/>
              <w:tabs>
                <w:tab w:val="left" w:pos="4536"/>
              </w:tabs>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喷塑</w:t>
            </w:r>
          </w:p>
        </w:tc>
        <w:tc>
          <w:tcPr>
            <w:tcW w:w="1541" w:type="dxa"/>
            <w:tcBorders>
              <w:tl2br w:val="nil"/>
              <w:tr2bl w:val="nil"/>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粉尘</w:t>
            </w:r>
          </w:p>
        </w:tc>
        <w:tc>
          <w:tcPr>
            <w:tcW w:w="1786" w:type="dxa"/>
            <w:tcBorders>
              <w:tl2br w:val="nil"/>
              <w:tr2bl w:val="nil"/>
            </w:tcBorders>
            <w:noWrap w:val="0"/>
            <w:vAlign w:val="center"/>
          </w:tcPr>
          <w:p>
            <w:pPr>
              <w:keepNext w:val="0"/>
              <w:pageBreakBefore w:val="0"/>
              <w:kinsoku/>
              <w:wordWrap/>
              <w:overflowPunct/>
              <w:autoSpaceDN w:val="0"/>
              <w:bidi w:val="0"/>
              <w:snapToGrid w:val="0"/>
              <w:spacing w:line="240" w:lineRule="auto"/>
              <w:ind w:firstLine="0" w:firstLineChars="0"/>
              <w:jc w:val="center"/>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布袋除尘器</w:t>
            </w:r>
          </w:p>
          <w:p>
            <w:pPr>
              <w:pStyle w:val="222"/>
              <w:keepNext w:val="0"/>
              <w:keepLines/>
              <w:pageBreakBefore w:val="0"/>
              <w:widowControl/>
              <w:kinsoku/>
              <w:wordWrap/>
              <w:overflowPunct/>
              <w:topLinePunct/>
              <w:autoSpaceDE w:val="0"/>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+15m排气筒</w:t>
            </w:r>
          </w:p>
        </w:tc>
        <w:tc>
          <w:tcPr>
            <w:tcW w:w="3379" w:type="dxa"/>
            <w:vMerge w:val="continue"/>
            <w:tcBorders>
              <w:tl2br w:val="nil"/>
              <w:tr2bl w:val="nil"/>
            </w:tcBorders>
            <w:noWrap w:val="0"/>
            <w:vAlign w:val="center"/>
          </w:tcPr>
          <w:p>
            <w:pPr>
              <w:keepNext w:val="0"/>
              <w:pageBreakBefore w:val="0"/>
              <w:kinsoku/>
              <w:wordWrap/>
              <w:overflowPunct/>
              <w:autoSpaceDN w:val="0"/>
              <w:bidi w:val="0"/>
              <w:spacing w:line="240" w:lineRule="auto"/>
              <w:ind w:firstLine="0" w:firstLineChars="0"/>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042"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p>
        </w:tc>
        <w:tc>
          <w:tcPr>
            <w:tcW w:w="1323"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固化</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封边</w:t>
            </w:r>
          </w:p>
        </w:tc>
        <w:tc>
          <w:tcPr>
            <w:tcW w:w="1541" w:type="dxa"/>
            <w:tcBorders>
              <w:tl2br w:val="nil"/>
              <w:tr2bl w:val="nil"/>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非甲烷总烃</w:t>
            </w:r>
          </w:p>
        </w:tc>
        <w:tc>
          <w:tcPr>
            <w:tcW w:w="1786" w:type="dxa"/>
            <w:tcBorders>
              <w:tl2br w:val="nil"/>
              <w:tr2bl w:val="nil"/>
            </w:tcBorders>
            <w:noWrap w:val="0"/>
            <w:vAlign w:val="center"/>
          </w:tcPr>
          <w:p>
            <w:pPr>
              <w:pStyle w:val="222"/>
              <w:keepNext w:val="0"/>
              <w:keepLines/>
              <w:pageBreakBefore w:val="0"/>
              <w:widowControl/>
              <w:kinsoku/>
              <w:wordWrap/>
              <w:overflowPunct/>
              <w:topLinePunct/>
              <w:autoSpaceDE w:val="0"/>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UV光解+活性炭吸附收集装置+15m排气筒</w:t>
            </w:r>
          </w:p>
        </w:tc>
        <w:tc>
          <w:tcPr>
            <w:tcW w:w="3379" w:type="dxa"/>
            <w:tcBorders>
              <w:tl2br w:val="nil"/>
              <w:tr2bl w:val="nil"/>
            </w:tcBorders>
            <w:noWrap w:val="0"/>
            <w:vAlign w:val="center"/>
          </w:tcPr>
          <w:p>
            <w:pPr>
              <w:keepNext w:val="0"/>
              <w:pageBreakBefore w:val="0"/>
              <w:kinsoku/>
              <w:wordWrap/>
              <w:overflowPunct/>
              <w:autoSpaceDN w:val="0"/>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满足《挥发性有机物排放控制标准》（DB61/T1061-2017）中表面涂装行业排放限值要求及《挥发性有机物无组织排放控制标准》（GB37822-2019）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042"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p>
        </w:tc>
        <w:tc>
          <w:tcPr>
            <w:tcW w:w="1323"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rPr>
              <w:t>天然气燃烧机</w:t>
            </w:r>
          </w:p>
        </w:tc>
        <w:tc>
          <w:tcPr>
            <w:tcW w:w="1541" w:type="dxa"/>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rPr>
              <w:t>颗粒物、SO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p>
        </w:tc>
        <w:tc>
          <w:tcPr>
            <w:tcW w:w="1786" w:type="dxa"/>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lang w:val="en-US" w:eastAsia="zh-CN"/>
              </w:rPr>
              <w:t>集气罩</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m排气筒</w:t>
            </w:r>
          </w:p>
        </w:tc>
        <w:tc>
          <w:tcPr>
            <w:tcW w:w="3379" w:type="dxa"/>
            <w:tcBorders>
              <w:tl2br w:val="nil"/>
              <w:tr2bl w:val="nil"/>
            </w:tcBorders>
            <w:noWrap w:val="0"/>
            <w:vAlign w:val="center"/>
          </w:tcPr>
          <w:p>
            <w:pPr>
              <w:keepNext w:val="0"/>
              <w:pageBreakBefore w:val="0"/>
              <w:kinsoku/>
              <w:wordWrap/>
              <w:overflowPunct/>
              <w:bidi w:val="0"/>
              <w:snapToGrid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满足中华人民共和国生态环境部关于印发《工业炉窑大气污染综合治理方案》的通知中关于重点区域工业炉窑颗粒物、二氧化硫、氮氧化物实施改造的要求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1042"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p>
        </w:tc>
        <w:tc>
          <w:tcPr>
            <w:tcW w:w="1323"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切割、打孔</w:t>
            </w:r>
          </w:p>
        </w:tc>
        <w:tc>
          <w:tcPr>
            <w:tcW w:w="1541" w:type="dxa"/>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颗粒物</w:t>
            </w:r>
          </w:p>
        </w:tc>
        <w:tc>
          <w:tcPr>
            <w:tcW w:w="1786" w:type="dxa"/>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双桶布袋除尘器</w:t>
            </w:r>
          </w:p>
        </w:tc>
        <w:tc>
          <w:tcPr>
            <w:tcW w:w="3379" w:type="dxa"/>
            <w:tcBorders>
              <w:tl2br w:val="nil"/>
              <w:tr2bl w:val="nil"/>
            </w:tcBorders>
            <w:noWrap w:val="0"/>
            <w:vAlign w:val="center"/>
          </w:tcPr>
          <w:p>
            <w:pPr>
              <w:keepNext w:val="0"/>
              <w:pageBreakBefore w:val="0"/>
              <w:kinsoku/>
              <w:wordWrap/>
              <w:overflowPunct/>
              <w:bidi w:val="0"/>
              <w:snapToGrid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满足《大气污染物综合排放标准》（GB16297-1996）表2中二级标准要求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22" w:hRule="atLeast"/>
          <w:jc w:val="center"/>
        </w:trPr>
        <w:tc>
          <w:tcPr>
            <w:tcW w:w="1042" w:type="dxa"/>
            <w:tcBorders>
              <w:tl2br w:val="nil"/>
              <w:tr2bl w:val="nil"/>
            </w:tcBorders>
            <w:noWrap w:val="0"/>
            <w:vAlign w:val="center"/>
          </w:tcPr>
          <w:p>
            <w:pPr>
              <w:pStyle w:val="12"/>
              <w:keepNext w:val="0"/>
              <w:pageBreakBefore w:val="0"/>
              <w:kinsoku/>
              <w:wordWrap/>
              <w:overflowPunct/>
              <w:bidi w:val="0"/>
              <w:spacing w:after="0"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水污</w:t>
            </w:r>
          </w:p>
          <w:p>
            <w:pPr>
              <w:pStyle w:val="12"/>
              <w:keepNext w:val="0"/>
              <w:pageBreakBefore w:val="0"/>
              <w:kinsoku/>
              <w:wordWrap/>
              <w:overflowPunct/>
              <w:bidi w:val="0"/>
              <w:spacing w:after="0"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染物</w:t>
            </w:r>
          </w:p>
        </w:tc>
        <w:tc>
          <w:tcPr>
            <w:tcW w:w="1323"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生活废水</w:t>
            </w:r>
          </w:p>
        </w:tc>
        <w:tc>
          <w:tcPr>
            <w:tcW w:w="1541" w:type="dxa"/>
            <w:tcBorders>
              <w:tl2br w:val="nil"/>
              <w:tr2bl w:val="nil"/>
            </w:tcBorders>
            <w:noWrap w:val="0"/>
            <w:vAlign w:val="center"/>
          </w:tcPr>
          <w:p>
            <w:pPr>
              <w:pStyle w:val="244"/>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COD、BOD</w:t>
            </w:r>
            <w:r>
              <w:rPr>
                <w:rFonts w:hint="default" w:ascii="Times New Roman" w:hAnsi="Times New Roman" w:eastAsia="宋体" w:cs="Times New Roman"/>
                <w:sz w:val="24"/>
                <w:szCs w:val="24"/>
                <w:vertAlign w:val="subscript"/>
              </w:rPr>
              <w:t>5</w:t>
            </w:r>
            <w:r>
              <w:rPr>
                <w:rFonts w:hint="default" w:ascii="Times New Roman" w:hAnsi="Times New Roman" w:eastAsia="宋体" w:cs="Times New Roman"/>
                <w:sz w:val="24"/>
                <w:szCs w:val="24"/>
              </w:rPr>
              <w:t>、SS、氨氮总氮、总磷</w:t>
            </w:r>
          </w:p>
        </w:tc>
        <w:tc>
          <w:tcPr>
            <w:tcW w:w="1786" w:type="dxa"/>
            <w:tcBorders>
              <w:tl2br w:val="nil"/>
              <w:tr2bl w:val="nil"/>
            </w:tcBorders>
            <w:noWrap w:val="0"/>
            <w:vAlign w:val="center"/>
          </w:tcPr>
          <w:p>
            <w:pPr>
              <w:keepNext w:val="0"/>
              <w:pageBreakBefore w:val="0"/>
              <w:kinsoku/>
              <w:wordWrap/>
              <w:overflowPunct/>
              <w:topLinePunct/>
              <w:autoSpaceDN w:val="0"/>
              <w:bidi w:val="0"/>
              <w:spacing w:line="240" w:lineRule="auto"/>
              <w:ind w:firstLine="0" w:firstLineChars="0"/>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旱厕</w:t>
            </w:r>
          </w:p>
        </w:tc>
        <w:tc>
          <w:tcPr>
            <w:tcW w:w="3379" w:type="dxa"/>
            <w:tcBorders>
              <w:tl2br w:val="nil"/>
              <w:tr2bl w:val="nil"/>
            </w:tcBorders>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拉走做农肥，不外排。</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23" w:hRule="atLeast"/>
          <w:jc w:val="center"/>
        </w:trPr>
        <w:tc>
          <w:tcPr>
            <w:tcW w:w="1042" w:type="dxa"/>
            <w:vMerge w:val="restart"/>
            <w:tcBorders>
              <w:tl2br w:val="nil"/>
              <w:tr2bl w:val="nil"/>
            </w:tcBorders>
            <w:noWrap w:val="0"/>
            <w:vAlign w:val="center"/>
          </w:tcPr>
          <w:p>
            <w:pPr>
              <w:pStyle w:val="12"/>
              <w:keepNext w:val="0"/>
              <w:pageBreakBefore w:val="0"/>
              <w:kinsoku/>
              <w:wordWrap/>
              <w:overflowPunct/>
              <w:bidi w:val="0"/>
              <w:spacing w:after="0"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固体废物</w:t>
            </w:r>
          </w:p>
        </w:tc>
        <w:tc>
          <w:tcPr>
            <w:tcW w:w="1323" w:type="dxa"/>
            <w:vMerge w:val="restart"/>
            <w:tcBorders>
              <w:tl2br w:val="nil"/>
              <w:tr2bl w:val="nil"/>
            </w:tcBorders>
            <w:noWrap w:val="0"/>
            <w:vAlign w:val="center"/>
          </w:tcPr>
          <w:p>
            <w:pPr>
              <w:keepNext w:val="0"/>
              <w:pageBreakBefore w:val="0"/>
              <w:kinsoku/>
              <w:wordWrap/>
              <w:overflowPunct/>
              <w:bidi w:val="0"/>
              <w:adjustRightInd w:val="0"/>
              <w:snapToGrid w:val="0"/>
              <w:spacing w:line="240" w:lineRule="auto"/>
              <w:ind w:firstLine="0" w:firstLineChars="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生产</w:t>
            </w:r>
            <w:r>
              <w:rPr>
                <w:rFonts w:hint="default" w:ascii="Times New Roman" w:hAnsi="Times New Roman" w:eastAsia="宋体" w:cs="Times New Roman"/>
                <w:sz w:val="24"/>
                <w:szCs w:val="24"/>
                <w:lang w:val="en-US" w:eastAsia="zh-CN"/>
              </w:rPr>
              <w:t>车间</w:t>
            </w:r>
          </w:p>
        </w:tc>
        <w:tc>
          <w:tcPr>
            <w:tcW w:w="1541" w:type="dxa"/>
            <w:tcBorders>
              <w:tl2br w:val="nil"/>
              <w:tr2bl w:val="nil"/>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sz w:val="24"/>
                <w:szCs w:val="24"/>
              </w:rPr>
              <w:t>除尘系统收集的</w:t>
            </w:r>
            <w:r>
              <w:rPr>
                <w:rFonts w:hint="default" w:ascii="Times New Roman" w:hAnsi="Times New Roman" w:eastAsia="宋体" w:cs="Times New Roman"/>
                <w:sz w:val="24"/>
                <w:szCs w:val="24"/>
                <w:lang w:val="en-US" w:eastAsia="zh-CN"/>
              </w:rPr>
              <w:t>塑粉</w:t>
            </w:r>
          </w:p>
        </w:tc>
        <w:tc>
          <w:tcPr>
            <w:tcW w:w="1786" w:type="dxa"/>
            <w:tcBorders>
              <w:tl2br w:val="nil"/>
              <w:tr2bl w:val="nil"/>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sz w:val="24"/>
                <w:szCs w:val="24"/>
              </w:rPr>
              <w:t>喷塑收尘回用于生产</w:t>
            </w:r>
          </w:p>
        </w:tc>
        <w:tc>
          <w:tcPr>
            <w:tcW w:w="3379" w:type="dxa"/>
            <w:vMerge w:val="restart"/>
            <w:tcBorders>
              <w:tl2br w:val="nil"/>
              <w:tr2bl w:val="nil"/>
            </w:tcBorders>
            <w:noWrap w:val="0"/>
            <w:vAlign w:val="center"/>
          </w:tcPr>
          <w:p>
            <w:pPr>
              <w:keepNext w:val="0"/>
              <w:pageBreakBefore w:val="0"/>
              <w:kinsoku/>
              <w:wordWrap/>
              <w:overflowPunct/>
              <w:autoSpaceDN w:val="0"/>
              <w:bidi w:val="0"/>
              <w:adjustRightInd w:val="0"/>
              <w:snapToGrid w:val="0"/>
              <w:spacing w:line="240" w:lineRule="auto"/>
              <w:ind w:firstLine="0" w:firstLine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处置率100%，不造成二次污染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92" w:hRule="atLeast"/>
          <w:jc w:val="center"/>
        </w:trPr>
        <w:tc>
          <w:tcPr>
            <w:tcW w:w="1042" w:type="dxa"/>
            <w:vMerge w:val="continue"/>
            <w:tcBorders>
              <w:tl2br w:val="nil"/>
              <w:tr2bl w:val="nil"/>
            </w:tcBorders>
            <w:noWrap w:val="0"/>
            <w:vAlign w:val="center"/>
          </w:tcPr>
          <w:p>
            <w:pPr>
              <w:pStyle w:val="12"/>
              <w:keepNext w:val="0"/>
              <w:pageBreakBefore w:val="0"/>
              <w:kinsoku/>
              <w:wordWrap/>
              <w:overflowPunct/>
              <w:bidi w:val="0"/>
              <w:spacing w:after="0" w:line="240" w:lineRule="auto"/>
              <w:ind w:firstLine="0" w:firstLineChars="0"/>
              <w:jc w:val="center"/>
              <w:textAlignment w:val="auto"/>
              <w:rPr>
                <w:rFonts w:hint="default" w:ascii="Times New Roman" w:hAnsi="Times New Roman" w:eastAsia="宋体" w:cs="Times New Roman"/>
                <w:sz w:val="24"/>
                <w:szCs w:val="24"/>
              </w:rPr>
            </w:pPr>
          </w:p>
        </w:tc>
        <w:tc>
          <w:tcPr>
            <w:tcW w:w="1323" w:type="dxa"/>
            <w:vMerge w:val="continue"/>
            <w:tcBorders>
              <w:tl2br w:val="nil"/>
              <w:tr2bl w:val="nil"/>
            </w:tcBorders>
            <w:noWrap w:val="0"/>
            <w:vAlign w:val="center"/>
          </w:tcPr>
          <w:p>
            <w:pPr>
              <w:keepNext w:val="0"/>
              <w:pageBreakBefore w:val="0"/>
              <w:kinsoku/>
              <w:wordWrap/>
              <w:overflowPunct/>
              <w:bidi w:val="0"/>
              <w:adjustRightInd w:val="0"/>
              <w:snapToGrid w:val="0"/>
              <w:spacing w:line="240" w:lineRule="auto"/>
              <w:ind w:firstLine="0" w:firstLineChars="0"/>
              <w:jc w:val="center"/>
              <w:textAlignment w:val="auto"/>
              <w:rPr>
                <w:rFonts w:hint="default" w:ascii="Times New Roman" w:hAnsi="Times New Roman" w:eastAsia="宋体" w:cs="Times New Roman"/>
                <w:sz w:val="24"/>
                <w:szCs w:val="24"/>
              </w:rPr>
            </w:pPr>
          </w:p>
        </w:tc>
        <w:tc>
          <w:tcPr>
            <w:tcW w:w="1541" w:type="dxa"/>
            <w:tcBorders>
              <w:tl2br w:val="nil"/>
              <w:tr2bl w:val="nil"/>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焊接烟尘</w:t>
            </w:r>
          </w:p>
        </w:tc>
        <w:tc>
          <w:tcPr>
            <w:tcW w:w="1786" w:type="dxa"/>
            <w:tcBorders>
              <w:tl2br w:val="nil"/>
              <w:tr2bl w:val="nil"/>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收集后交由专门回收单位处理</w:t>
            </w:r>
          </w:p>
        </w:tc>
        <w:tc>
          <w:tcPr>
            <w:tcW w:w="3379" w:type="dxa"/>
            <w:vMerge w:val="continue"/>
            <w:tcBorders>
              <w:tl2br w:val="nil"/>
              <w:tr2bl w:val="nil"/>
            </w:tcBorders>
            <w:noWrap w:val="0"/>
            <w:vAlign w:val="center"/>
          </w:tcPr>
          <w:p>
            <w:pPr>
              <w:keepNext w:val="0"/>
              <w:pageBreakBefore w:val="0"/>
              <w:kinsoku/>
              <w:wordWrap/>
              <w:overflowPunct/>
              <w:autoSpaceDN w:val="0"/>
              <w:bidi w:val="0"/>
              <w:adjustRightInd w:val="0"/>
              <w:snapToGrid w:val="0"/>
              <w:spacing w:line="240" w:lineRule="auto"/>
              <w:ind w:firstLine="0" w:firstLineChars="0"/>
              <w:jc w:val="lef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1" w:hRule="atLeast"/>
          <w:jc w:val="center"/>
        </w:trPr>
        <w:tc>
          <w:tcPr>
            <w:tcW w:w="1042" w:type="dxa"/>
            <w:vMerge w:val="continue"/>
            <w:tcBorders>
              <w:tl2br w:val="nil"/>
              <w:tr2bl w:val="nil"/>
            </w:tcBorders>
            <w:noWrap w:val="0"/>
            <w:vAlign w:val="center"/>
          </w:tcPr>
          <w:p>
            <w:pPr>
              <w:pStyle w:val="12"/>
              <w:keepNext w:val="0"/>
              <w:pageBreakBefore w:val="0"/>
              <w:kinsoku/>
              <w:wordWrap/>
              <w:overflowPunct/>
              <w:bidi w:val="0"/>
              <w:spacing w:after="0" w:line="240" w:lineRule="auto"/>
              <w:ind w:firstLine="0" w:firstLineChars="0"/>
              <w:jc w:val="center"/>
              <w:textAlignment w:val="auto"/>
              <w:rPr>
                <w:rFonts w:hint="default" w:ascii="Times New Roman" w:hAnsi="Times New Roman" w:eastAsia="宋体" w:cs="Times New Roman"/>
                <w:sz w:val="24"/>
                <w:szCs w:val="24"/>
              </w:rPr>
            </w:pPr>
          </w:p>
        </w:tc>
        <w:tc>
          <w:tcPr>
            <w:tcW w:w="1323" w:type="dxa"/>
            <w:vMerge w:val="continue"/>
            <w:tcBorders>
              <w:tl2br w:val="nil"/>
              <w:tr2bl w:val="nil"/>
            </w:tcBorders>
            <w:noWrap w:val="0"/>
            <w:vAlign w:val="center"/>
          </w:tcPr>
          <w:p>
            <w:pPr>
              <w:keepNext w:val="0"/>
              <w:pageBreakBefore w:val="0"/>
              <w:kinsoku/>
              <w:wordWrap/>
              <w:overflowPunct/>
              <w:bidi w:val="0"/>
              <w:adjustRightInd w:val="0"/>
              <w:snapToGrid w:val="0"/>
              <w:spacing w:line="240" w:lineRule="auto"/>
              <w:ind w:firstLine="0" w:firstLineChars="0"/>
              <w:jc w:val="center"/>
              <w:textAlignment w:val="auto"/>
              <w:rPr>
                <w:rFonts w:hint="default" w:ascii="Times New Roman" w:hAnsi="Times New Roman" w:eastAsia="宋体" w:cs="Times New Roman"/>
                <w:sz w:val="24"/>
                <w:szCs w:val="24"/>
              </w:rPr>
            </w:pPr>
          </w:p>
        </w:tc>
        <w:tc>
          <w:tcPr>
            <w:tcW w:w="1541"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木材边角料</w:t>
            </w:r>
          </w:p>
        </w:tc>
        <w:tc>
          <w:tcPr>
            <w:tcW w:w="1786" w:type="dxa"/>
            <w:tcBorders>
              <w:tl2br w:val="nil"/>
              <w:tr2bl w:val="nil"/>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收集后外售</w:t>
            </w:r>
          </w:p>
        </w:tc>
        <w:tc>
          <w:tcPr>
            <w:tcW w:w="3379" w:type="dxa"/>
            <w:vMerge w:val="continue"/>
            <w:tcBorders>
              <w:tl2br w:val="nil"/>
              <w:tr2bl w:val="nil"/>
            </w:tcBorders>
            <w:noWrap w:val="0"/>
            <w:vAlign w:val="center"/>
          </w:tcPr>
          <w:p>
            <w:pPr>
              <w:keepNext w:val="0"/>
              <w:pageBreakBefore w:val="0"/>
              <w:kinsoku/>
              <w:wordWrap/>
              <w:overflowPunct/>
              <w:autoSpaceDN w:val="0"/>
              <w:bidi w:val="0"/>
              <w:adjustRightInd w:val="0"/>
              <w:snapToGrid w:val="0"/>
              <w:spacing w:line="240" w:lineRule="auto"/>
              <w:ind w:firstLine="0" w:firstLineChars="0"/>
              <w:jc w:val="lef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56" w:hRule="atLeast"/>
          <w:jc w:val="center"/>
        </w:trPr>
        <w:tc>
          <w:tcPr>
            <w:tcW w:w="1042" w:type="dxa"/>
            <w:vMerge w:val="continue"/>
            <w:tcBorders>
              <w:tl2br w:val="nil"/>
              <w:tr2bl w:val="nil"/>
            </w:tcBorders>
            <w:noWrap w:val="0"/>
            <w:vAlign w:val="center"/>
          </w:tcPr>
          <w:p>
            <w:pPr>
              <w:pStyle w:val="12"/>
              <w:keepNext w:val="0"/>
              <w:pageBreakBefore w:val="0"/>
              <w:kinsoku/>
              <w:wordWrap/>
              <w:overflowPunct/>
              <w:bidi w:val="0"/>
              <w:spacing w:after="0" w:line="240" w:lineRule="auto"/>
              <w:ind w:firstLine="0" w:firstLineChars="0"/>
              <w:jc w:val="center"/>
              <w:textAlignment w:val="auto"/>
              <w:rPr>
                <w:rFonts w:hint="default" w:ascii="Times New Roman" w:hAnsi="Times New Roman" w:eastAsia="宋体" w:cs="Times New Roman"/>
                <w:sz w:val="24"/>
                <w:szCs w:val="24"/>
              </w:rPr>
            </w:pPr>
          </w:p>
        </w:tc>
        <w:tc>
          <w:tcPr>
            <w:tcW w:w="1323" w:type="dxa"/>
            <w:vMerge w:val="continue"/>
            <w:tcBorders>
              <w:tl2br w:val="nil"/>
              <w:tr2bl w:val="nil"/>
            </w:tcBorders>
            <w:noWrap w:val="0"/>
            <w:vAlign w:val="center"/>
          </w:tcPr>
          <w:p>
            <w:pPr>
              <w:keepNext w:val="0"/>
              <w:pageBreakBefore w:val="0"/>
              <w:kinsoku/>
              <w:wordWrap/>
              <w:overflowPunct/>
              <w:bidi w:val="0"/>
              <w:adjustRightInd w:val="0"/>
              <w:snapToGrid w:val="0"/>
              <w:spacing w:line="240" w:lineRule="auto"/>
              <w:ind w:firstLine="0" w:firstLineChars="0"/>
              <w:jc w:val="center"/>
              <w:textAlignment w:val="auto"/>
              <w:rPr>
                <w:rFonts w:hint="default" w:ascii="Times New Roman" w:hAnsi="Times New Roman" w:eastAsia="宋体" w:cs="Times New Roman"/>
                <w:sz w:val="24"/>
                <w:szCs w:val="24"/>
              </w:rPr>
            </w:pPr>
          </w:p>
        </w:tc>
        <w:tc>
          <w:tcPr>
            <w:tcW w:w="1541" w:type="dxa"/>
            <w:tcBorders>
              <w:tl2br w:val="nil"/>
              <w:tr2bl w:val="nil"/>
            </w:tcBorders>
            <w:noWrap w:val="0"/>
            <w:vAlign w:val="center"/>
          </w:tcPr>
          <w:p>
            <w:pPr>
              <w:ind w:left="0" w:leftChars="0" w:firstLine="0" w:firstLineChars="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木屑粉尘</w:t>
            </w:r>
          </w:p>
        </w:tc>
        <w:tc>
          <w:tcPr>
            <w:tcW w:w="1786" w:type="dxa"/>
            <w:tcBorders>
              <w:tl2br w:val="nil"/>
              <w:tr2bl w:val="nil"/>
            </w:tcBorders>
            <w:noWrap w:val="0"/>
            <w:vAlign w:val="center"/>
          </w:tcPr>
          <w:p>
            <w:pPr>
              <w:keepNext w:val="0"/>
              <w:pageBreakBefore w:val="0"/>
              <w:kinsoku/>
              <w:wordWrap/>
              <w:overflowPunct/>
              <w:autoSpaceDE w:val="0"/>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收集后外售</w:t>
            </w:r>
          </w:p>
        </w:tc>
        <w:tc>
          <w:tcPr>
            <w:tcW w:w="3379" w:type="dxa"/>
            <w:vMerge w:val="continue"/>
            <w:tcBorders>
              <w:tl2br w:val="nil"/>
              <w:tr2bl w:val="nil"/>
            </w:tcBorders>
            <w:noWrap w:val="0"/>
            <w:vAlign w:val="center"/>
          </w:tcPr>
          <w:p>
            <w:pPr>
              <w:keepNext w:val="0"/>
              <w:pageBreakBefore w:val="0"/>
              <w:kinsoku/>
              <w:wordWrap/>
              <w:overflowPunct/>
              <w:autoSpaceDN w:val="0"/>
              <w:bidi w:val="0"/>
              <w:adjustRightInd w:val="0"/>
              <w:snapToGrid w:val="0"/>
              <w:spacing w:line="240" w:lineRule="auto"/>
              <w:ind w:firstLine="0" w:firstLineChars="0"/>
              <w:jc w:val="lef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5" w:hRule="atLeast"/>
          <w:jc w:val="center"/>
        </w:trPr>
        <w:tc>
          <w:tcPr>
            <w:tcW w:w="1042" w:type="dxa"/>
            <w:vMerge w:val="continue"/>
            <w:tcBorders>
              <w:tl2br w:val="nil"/>
              <w:tr2bl w:val="nil"/>
            </w:tcBorders>
            <w:noWrap w:val="0"/>
            <w:vAlign w:val="center"/>
          </w:tcPr>
          <w:p>
            <w:pPr>
              <w:pStyle w:val="12"/>
              <w:keepNext w:val="0"/>
              <w:pageBreakBefore w:val="0"/>
              <w:kinsoku/>
              <w:wordWrap/>
              <w:overflowPunct/>
              <w:bidi w:val="0"/>
              <w:spacing w:after="0" w:line="240" w:lineRule="auto"/>
              <w:ind w:firstLine="0" w:firstLineChars="0"/>
              <w:jc w:val="center"/>
              <w:textAlignment w:val="auto"/>
              <w:rPr>
                <w:rFonts w:hint="default" w:ascii="Times New Roman" w:hAnsi="Times New Roman" w:eastAsia="宋体" w:cs="Times New Roman"/>
                <w:sz w:val="24"/>
                <w:szCs w:val="24"/>
              </w:rPr>
            </w:pPr>
          </w:p>
        </w:tc>
        <w:tc>
          <w:tcPr>
            <w:tcW w:w="1323" w:type="dxa"/>
            <w:vMerge w:val="continue"/>
            <w:tcBorders>
              <w:tl2br w:val="nil"/>
              <w:tr2bl w:val="nil"/>
            </w:tcBorders>
            <w:noWrap w:val="0"/>
            <w:vAlign w:val="center"/>
          </w:tcPr>
          <w:p>
            <w:pPr>
              <w:keepNext w:val="0"/>
              <w:pageBreakBefore w:val="0"/>
              <w:kinsoku/>
              <w:wordWrap/>
              <w:overflowPunct/>
              <w:bidi w:val="0"/>
              <w:adjustRightInd w:val="0"/>
              <w:snapToGrid w:val="0"/>
              <w:spacing w:line="240" w:lineRule="auto"/>
              <w:ind w:firstLine="0" w:firstLineChars="0"/>
              <w:jc w:val="center"/>
              <w:textAlignment w:val="auto"/>
              <w:rPr>
                <w:rFonts w:hint="default" w:ascii="Times New Roman" w:hAnsi="Times New Roman" w:eastAsia="宋体" w:cs="Times New Roman"/>
                <w:sz w:val="24"/>
                <w:szCs w:val="24"/>
              </w:rPr>
            </w:pPr>
          </w:p>
        </w:tc>
        <w:tc>
          <w:tcPr>
            <w:tcW w:w="1541" w:type="dxa"/>
            <w:tcBorders>
              <w:tl2br w:val="nil"/>
              <w:tr2bl w:val="nil"/>
            </w:tcBorders>
            <w:noWrap w:val="0"/>
            <w:vAlign w:val="center"/>
          </w:tcPr>
          <w:p>
            <w:pPr>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bCs/>
                <w:sz w:val="24"/>
                <w:szCs w:val="24"/>
              </w:rPr>
              <w:t>废机油</w:t>
            </w:r>
          </w:p>
        </w:tc>
        <w:tc>
          <w:tcPr>
            <w:tcW w:w="1786" w:type="dxa"/>
            <w:vMerge w:val="restart"/>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统一收集，交由有资质的单位回收处理</w:t>
            </w:r>
          </w:p>
        </w:tc>
        <w:tc>
          <w:tcPr>
            <w:tcW w:w="3379" w:type="dxa"/>
            <w:vMerge w:val="continue"/>
            <w:tcBorders>
              <w:tl2br w:val="nil"/>
              <w:tr2bl w:val="nil"/>
            </w:tcBorders>
            <w:noWrap w:val="0"/>
            <w:vAlign w:val="center"/>
          </w:tcPr>
          <w:p>
            <w:pPr>
              <w:keepNext w:val="0"/>
              <w:pageBreakBefore w:val="0"/>
              <w:kinsoku/>
              <w:wordWrap/>
              <w:overflowPunct/>
              <w:autoSpaceDN w:val="0"/>
              <w:bidi w:val="0"/>
              <w:adjustRightInd w:val="0"/>
              <w:snapToGrid w:val="0"/>
              <w:spacing w:line="240" w:lineRule="auto"/>
              <w:ind w:firstLine="0" w:firstLineChars="0"/>
              <w:jc w:val="left"/>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2" w:hRule="atLeast"/>
          <w:jc w:val="center"/>
        </w:trPr>
        <w:tc>
          <w:tcPr>
            <w:tcW w:w="1042"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c>
          <w:tcPr>
            <w:tcW w:w="1323"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c>
          <w:tcPr>
            <w:tcW w:w="1541"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sz w:val="24"/>
                <w:szCs w:val="24"/>
              </w:rPr>
              <w:t>废灯管</w:t>
            </w:r>
          </w:p>
        </w:tc>
        <w:tc>
          <w:tcPr>
            <w:tcW w:w="1786" w:type="dxa"/>
            <w:vMerge w:val="continue"/>
            <w:tcBorders>
              <w:tl2br w:val="nil"/>
              <w:tr2bl w:val="nil"/>
            </w:tcBorders>
            <w:noWrap w:val="0"/>
            <w:vAlign w:val="top"/>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c>
          <w:tcPr>
            <w:tcW w:w="3379"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2" w:hRule="atLeast"/>
          <w:jc w:val="center"/>
        </w:trPr>
        <w:tc>
          <w:tcPr>
            <w:tcW w:w="1042"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c>
          <w:tcPr>
            <w:tcW w:w="1323"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c>
          <w:tcPr>
            <w:tcW w:w="1541" w:type="dxa"/>
            <w:tcBorders>
              <w:tl2br w:val="nil"/>
              <w:tr2bl w:val="nil"/>
            </w:tcBorders>
            <w:noWrap w:val="0"/>
            <w:vAlign w:val="center"/>
          </w:tcPr>
          <w:p>
            <w:pPr>
              <w:pStyle w:val="15"/>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废活性炭</w:t>
            </w:r>
          </w:p>
        </w:tc>
        <w:tc>
          <w:tcPr>
            <w:tcW w:w="1786" w:type="dxa"/>
            <w:vMerge w:val="continue"/>
            <w:tcBorders>
              <w:tl2br w:val="nil"/>
              <w:tr2bl w:val="nil"/>
            </w:tcBorders>
            <w:noWrap w:val="0"/>
            <w:vAlign w:val="top"/>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c>
          <w:tcPr>
            <w:tcW w:w="3379"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1042"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c>
          <w:tcPr>
            <w:tcW w:w="1323" w:type="dxa"/>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职工生活</w:t>
            </w:r>
          </w:p>
        </w:tc>
        <w:tc>
          <w:tcPr>
            <w:tcW w:w="1541" w:type="dxa"/>
            <w:tcBorders>
              <w:tl2br w:val="nil"/>
              <w:tr2bl w:val="nil"/>
            </w:tcBorders>
            <w:noWrap w:val="0"/>
            <w:vAlign w:val="center"/>
          </w:tcPr>
          <w:p>
            <w:pPr>
              <w:pStyle w:val="15"/>
              <w:keepNext w:val="0"/>
              <w:pageBreakBefore w:val="0"/>
              <w:kinsoku/>
              <w:wordWrap/>
              <w:overflowPunct/>
              <w:autoSpaceDN w:val="0"/>
              <w:bidi w:val="0"/>
              <w:spacing w:line="240" w:lineRule="auto"/>
              <w:ind w:firstLine="0" w:firstLineChars="0"/>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生活垃圾</w:t>
            </w:r>
          </w:p>
        </w:tc>
        <w:tc>
          <w:tcPr>
            <w:tcW w:w="1786" w:type="dxa"/>
            <w:tcBorders>
              <w:tl2br w:val="nil"/>
              <w:tr2bl w:val="nil"/>
            </w:tcBorders>
            <w:noWrap w:val="0"/>
            <w:vAlign w:val="top"/>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集中收集后环卫部门统一处理</w:t>
            </w:r>
          </w:p>
        </w:tc>
        <w:tc>
          <w:tcPr>
            <w:tcW w:w="3379" w:type="dxa"/>
            <w:vMerge w:val="continue"/>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64" w:hRule="atLeast"/>
          <w:jc w:val="center"/>
        </w:trPr>
        <w:tc>
          <w:tcPr>
            <w:tcW w:w="1042" w:type="dxa"/>
            <w:tcBorders>
              <w:tl2br w:val="nil"/>
              <w:tr2bl w:val="nil"/>
            </w:tcBorders>
            <w:noWrap w:val="0"/>
            <w:vAlign w:val="center"/>
          </w:tcPr>
          <w:p>
            <w:pPr>
              <w:keepNext w:val="0"/>
              <w:pageBreakBefore w:val="0"/>
              <w:kinsoku/>
              <w:wordWrap/>
              <w:overflowPunct/>
              <w:bidi w:val="0"/>
              <w:spacing w:line="240" w:lineRule="auto"/>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噪声</w:t>
            </w:r>
          </w:p>
        </w:tc>
        <w:tc>
          <w:tcPr>
            <w:tcW w:w="8029" w:type="dxa"/>
            <w:gridSpan w:val="4"/>
            <w:tcBorders>
              <w:tl2br w:val="nil"/>
              <w:tr2bl w:val="nil"/>
            </w:tcBorders>
            <w:noWrap w:val="0"/>
            <w:vAlign w:val="center"/>
          </w:tcPr>
          <w:p>
            <w:pPr>
              <w:keepNext w:val="0"/>
              <w:pageBreakBefore w:val="0"/>
              <w:kinsoku/>
              <w:wordWrap/>
              <w:overflowPunct/>
              <w:bidi w:val="0"/>
              <w:spacing w:line="24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噪声源主要为空压机、风机、二保焊机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推台锯、封边机、排钻</w:t>
            </w:r>
            <w:r>
              <w:rPr>
                <w:rFonts w:hint="default" w:ascii="Times New Roman" w:hAnsi="Times New Roman" w:eastAsia="宋体" w:cs="Times New Roman"/>
                <w:sz w:val="24"/>
                <w:szCs w:val="24"/>
              </w:rPr>
              <w:t>等设</w:t>
            </w:r>
            <w:r>
              <w:rPr>
                <w:rFonts w:hint="default" w:ascii="Times New Roman" w:hAnsi="Times New Roman" w:eastAsia="宋体" w:cs="Times New Roman"/>
                <w:sz w:val="24"/>
                <w:szCs w:val="24"/>
                <w:lang w:val="zh-CN"/>
              </w:rPr>
              <w:t>备的运行噪声，噪声值约为</w:t>
            </w:r>
            <w:r>
              <w:rPr>
                <w:rFonts w:hint="default" w:ascii="Times New Roman" w:hAnsi="Times New Roman" w:eastAsia="宋体" w:cs="Times New Roman"/>
                <w:sz w:val="24"/>
                <w:szCs w:val="24"/>
              </w:rPr>
              <w:t>70~</w:t>
            </w:r>
            <w:r>
              <w:rPr>
                <w:rFonts w:hint="default" w:ascii="Times New Roman" w:hAnsi="Times New Roman" w:eastAsia="宋体" w:cs="Times New Roman"/>
                <w:sz w:val="24"/>
                <w:szCs w:val="24"/>
                <w:lang w:val="en-US" w:eastAsia="zh-CN"/>
              </w:rPr>
              <w:t>85</w:t>
            </w:r>
            <w:r>
              <w:rPr>
                <w:rFonts w:hint="default" w:ascii="Times New Roman" w:hAnsi="Times New Roman" w:eastAsia="宋体" w:cs="Times New Roman"/>
                <w:sz w:val="24"/>
                <w:szCs w:val="24"/>
              </w:rPr>
              <w:t>dB(A)，经过基础减振，噪声满足《工业企业厂界环境噪声排放标准》（GB12348－2008）2类标准要求。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21" w:hRule="atLeast"/>
          <w:jc w:val="center"/>
        </w:trPr>
        <w:tc>
          <w:tcPr>
            <w:tcW w:w="9071" w:type="dxa"/>
            <w:gridSpan w:val="5"/>
            <w:tcBorders>
              <w:tl2br w:val="nil"/>
              <w:tr2bl w:val="nil"/>
            </w:tcBorders>
            <w:noWrap w:val="0"/>
            <w:vAlign w:val="top"/>
          </w:tcPr>
          <w:p>
            <w:pPr>
              <w:keepNext w:val="0"/>
              <w:pageBreakBefore w:val="0"/>
              <w:kinsoku/>
              <w:wordWrap/>
              <w:overflowPunct/>
              <w:bidi w:val="0"/>
              <w:spacing w:line="240" w:lineRule="auto"/>
              <w:ind w:firstLine="0" w:firstLineChars="0"/>
              <w:jc w:val="left"/>
              <w:textAlignment w:val="auto"/>
              <w:rPr>
                <w:rFonts w:hint="default"/>
              </w:rPr>
            </w:pPr>
            <w:r>
              <w:rPr>
                <w:rFonts w:hint="default"/>
              </w:rPr>
              <w:t>生态保护措施及预期效果</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rFonts w:hint="default"/>
              </w:rPr>
            </w:pPr>
            <w:r>
              <w:rPr>
                <w:rFonts w:hint="default"/>
              </w:rPr>
              <w:t>经现场勘察项目区范围内，无国家保护珍惜动植物物种。该项目的建设不会对周围生态环境产生明显的破坏和影响。</w:t>
            </w: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tc>
      </w:tr>
    </w:tbl>
    <w:p>
      <w:pPr>
        <w:pStyle w:val="49"/>
        <w:sectPr>
          <w:footerReference r:id="rId12" w:type="default"/>
          <w:pgSz w:w="11907" w:h="16840"/>
          <w:pgMar w:top="1417" w:right="1417" w:bottom="1417" w:left="1587" w:header="851" w:footer="992" w:gutter="0"/>
          <w:pgBorders>
            <w:top w:val="none" w:sz="0" w:space="0"/>
            <w:left w:val="none" w:sz="0" w:space="0"/>
            <w:bottom w:val="none" w:sz="0" w:space="0"/>
            <w:right w:val="none" w:sz="0" w:space="0"/>
          </w:pgBorders>
          <w:pgNumType w:fmt="numberInDash"/>
          <w:cols w:space="0" w:num="1"/>
          <w:rtlGutter w:val="0"/>
          <w:docGrid w:type="lines" w:linePitch="326" w:charSpace="0"/>
        </w:sectPr>
      </w:pPr>
    </w:p>
    <w:p>
      <w:pPr>
        <w:spacing w:line="240" w:lineRule="auto"/>
        <w:ind w:firstLine="0" w:firstLineChars="0"/>
        <w:jc w:val="left"/>
        <w:outlineLvl w:val="0"/>
        <w:rPr>
          <w:rFonts w:hint="eastAsia" w:ascii="Times New Roman" w:hAnsi="Times New Roman" w:eastAsia="黑体" w:cs="Times New Roman"/>
          <w:sz w:val="32"/>
        </w:rPr>
      </w:pPr>
      <w:r>
        <w:rPr>
          <w:rFonts w:hint="eastAsia" w:ascii="Times New Roman" w:hAnsi="Times New Roman" w:eastAsia="黑体" w:cs="Times New Roman"/>
          <w:sz w:val="32"/>
        </w:rPr>
        <w:t>九、结论与建议</w:t>
      </w:r>
    </w:p>
    <w:tbl>
      <w:tblPr>
        <w:tblStyle w:val="33"/>
        <w:tblW w:w="907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 w:hRule="atLeast"/>
          <w:jc w:val="center"/>
        </w:trPr>
        <w:tc>
          <w:tcPr>
            <w:tcW w:w="9071" w:type="dxa"/>
            <w:vAlign w:val="top"/>
          </w:tcPr>
          <w:p>
            <w:pPr>
              <w:ind w:firstLine="0" w:firstLineChars="0"/>
              <w:rPr>
                <w:b/>
                <w:bCs/>
                <w:sz w:val="28"/>
                <w:szCs w:val="28"/>
              </w:rPr>
            </w:pPr>
            <w:r>
              <w:rPr>
                <w:b/>
                <w:bCs/>
                <w:sz w:val="28"/>
                <w:szCs w:val="28"/>
              </w:rPr>
              <w:t>一、结论</w:t>
            </w:r>
          </w:p>
          <w:p>
            <w:pPr>
              <w:widowControl/>
              <w:spacing w:line="360" w:lineRule="auto"/>
              <w:ind w:firstLine="482" w:firstLineChars="200"/>
              <w:rPr>
                <w:rFonts w:hint="eastAsia"/>
                <w:b/>
                <w:sz w:val="24"/>
                <w:lang w:val="en-US" w:eastAsia="zh-CN"/>
              </w:rPr>
            </w:pPr>
            <w:r>
              <w:rPr>
                <w:rFonts w:hint="eastAsia"/>
                <w:b/>
                <w:sz w:val="24"/>
                <w:lang w:val="en-US" w:eastAsia="zh-CN"/>
              </w:rPr>
              <w:t>1、项目概况</w:t>
            </w:r>
          </w:p>
          <w:p>
            <w:pPr>
              <w:ind w:firstLine="480"/>
              <w:rPr>
                <w:rFonts w:hint="eastAsia"/>
              </w:rPr>
            </w:pPr>
            <w:r>
              <w:t>本项目位于</w:t>
            </w:r>
            <w:r>
              <w:rPr>
                <w:rFonts w:eastAsiaTheme="minorEastAsia"/>
                <w:lang w:val="zh-CN"/>
              </w:rPr>
              <w:t>西安市灞桥区狄寨街道夏寨村南3号</w:t>
            </w:r>
            <w:r>
              <w:rPr>
                <w:rFonts w:hint="eastAsia"/>
              </w:rPr>
              <w:t>，占地面积</w:t>
            </w:r>
            <w:r>
              <w:rPr>
                <w:rFonts w:hint="eastAsia"/>
                <w:lang w:val="en-US" w:eastAsia="zh-CN"/>
              </w:rPr>
              <w:t>5880</w:t>
            </w:r>
            <w:r>
              <w:rPr>
                <w:rFonts w:hint="eastAsia"/>
              </w:rPr>
              <w:t>m</w:t>
            </w:r>
            <w:r>
              <w:rPr>
                <w:rFonts w:hint="eastAsia"/>
                <w:vertAlign w:val="superscript"/>
              </w:rPr>
              <w:t>2</w:t>
            </w:r>
            <w:r>
              <w:rPr>
                <w:rFonts w:hint="eastAsia"/>
              </w:rPr>
              <w:t>，项目总投资</w:t>
            </w:r>
            <w:r>
              <w:rPr>
                <w:rFonts w:hint="eastAsia"/>
                <w:lang w:val="en-US" w:eastAsia="zh-CN"/>
              </w:rPr>
              <w:t>5</w:t>
            </w:r>
            <w:r>
              <w:rPr>
                <w:rFonts w:hint="eastAsia"/>
              </w:rPr>
              <w:t>00万元，环保投资</w:t>
            </w:r>
            <w:r>
              <w:rPr>
                <w:rFonts w:hint="eastAsia"/>
                <w:lang w:val="en-US" w:eastAsia="zh-CN"/>
              </w:rPr>
              <w:t>24.4</w:t>
            </w:r>
            <w:r>
              <w:rPr>
                <w:rFonts w:hint="eastAsia"/>
              </w:rPr>
              <w:t>万元，占总投资的</w:t>
            </w:r>
            <w:r>
              <w:rPr>
                <w:rFonts w:hint="eastAsia"/>
                <w:lang w:val="en-US" w:eastAsia="zh-CN"/>
              </w:rPr>
              <w:t>4.88</w:t>
            </w:r>
            <w:r>
              <w:rPr>
                <w:rFonts w:hint="eastAsia"/>
              </w:rPr>
              <w:t>%。主要建设生产车间、办公楼相关配套设施，项目年产生</w:t>
            </w:r>
            <w:r>
              <w:rPr>
                <w:rFonts w:hint="eastAsia"/>
                <w:lang w:val="en-US" w:eastAsia="zh-CN"/>
              </w:rPr>
              <w:t>金属架子床10000件</w:t>
            </w:r>
            <w:r>
              <w:rPr>
                <w:rFonts w:hint="eastAsia"/>
              </w:rPr>
              <w:t>。</w:t>
            </w:r>
          </w:p>
          <w:p>
            <w:pPr>
              <w:widowControl/>
              <w:spacing w:line="360" w:lineRule="auto"/>
              <w:ind w:firstLine="482" w:firstLineChars="200"/>
              <w:rPr>
                <w:rFonts w:hint="default"/>
                <w:b/>
                <w:sz w:val="24"/>
                <w:lang w:val="en-US" w:eastAsia="zh-CN"/>
              </w:rPr>
            </w:pPr>
            <w:r>
              <w:rPr>
                <w:rFonts w:hint="eastAsia"/>
                <w:b/>
                <w:sz w:val="24"/>
                <w:lang w:val="en-US" w:eastAsia="zh-CN"/>
              </w:rPr>
              <w:t>2、</w:t>
            </w:r>
            <w:r>
              <w:rPr>
                <w:rFonts w:hint="default"/>
                <w:b/>
                <w:sz w:val="24"/>
                <w:lang w:val="en-US" w:eastAsia="zh-CN"/>
              </w:rPr>
              <w:t>产业政策符合性</w:t>
            </w:r>
          </w:p>
          <w:p>
            <w:pPr>
              <w:ind w:firstLine="480"/>
            </w:pPr>
            <w:r>
              <w:rPr>
                <w:rFonts w:hAnsi="宋体"/>
              </w:rPr>
              <w:t>根据中华人民共和国国家发展和改革委员会第</w:t>
            </w:r>
            <w:r>
              <w:t>9</w:t>
            </w:r>
            <w:r>
              <w:rPr>
                <w:rFonts w:hAnsi="宋体"/>
              </w:rPr>
              <w:t>号令《产业结构调整指导目录（</w:t>
            </w:r>
            <w:r>
              <w:t>2011</w:t>
            </w:r>
            <w:r>
              <w:rPr>
                <w:rFonts w:hAnsi="宋体"/>
              </w:rPr>
              <w:t>年本）</w:t>
            </w:r>
            <w:r>
              <w:t>2013</w:t>
            </w:r>
            <w:r>
              <w:rPr>
                <w:rFonts w:hAnsi="宋体"/>
              </w:rPr>
              <w:t>修正》，本项目不属于鼓励类、限制类和淘汰类项目，应属允许类。本项目不在《陕西省限制投资类产业指导目录》（陕发改产业</w:t>
            </w:r>
            <w:r>
              <w:t>[2007]97</w:t>
            </w:r>
            <w:r>
              <w:rPr>
                <w:rFonts w:hAnsi="宋体"/>
              </w:rPr>
              <w:t>号），也不在《市场准入负面清单（</w:t>
            </w:r>
            <w:r>
              <w:t>2018</w:t>
            </w:r>
            <w:r>
              <w:rPr>
                <w:rFonts w:hAnsi="宋体"/>
              </w:rPr>
              <w:t>版）》（发改经体【</w:t>
            </w:r>
            <w:r>
              <w:t>2018</w:t>
            </w:r>
            <w:r>
              <w:rPr>
                <w:rFonts w:hAnsi="宋体"/>
              </w:rPr>
              <w:t>】</w:t>
            </w:r>
            <w:r>
              <w:t>1892</w:t>
            </w:r>
            <w:r>
              <w:rPr>
                <w:rFonts w:hAnsi="宋体"/>
              </w:rPr>
              <w:t>号）负面清单内，因此本项目符合国家及陕西省现行的有关产业政策。</w:t>
            </w:r>
          </w:p>
          <w:p>
            <w:pPr>
              <w:widowControl/>
              <w:spacing w:line="360" w:lineRule="auto"/>
              <w:ind w:firstLine="482" w:firstLineChars="200"/>
              <w:rPr>
                <w:rFonts w:hint="default"/>
                <w:b/>
                <w:sz w:val="24"/>
                <w:lang w:val="zh-CN" w:eastAsia="zh-CN"/>
              </w:rPr>
            </w:pPr>
            <w:r>
              <w:rPr>
                <w:rFonts w:hint="eastAsia"/>
                <w:b/>
                <w:sz w:val="24"/>
                <w:lang w:val="en-US" w:eastAsia="zh-CN"/>
              </w:rPr>
              <w:t>3、</w:t>
            </w:r>
            <w:r>
              <w:rPr>
                <w:rFonts w:hint="default"/>
                <w:b/>
                <w:sz w:val="24"/>
                <w:lang w:val="zh-CN" w:eastAsia="zh-CN"/>
              </w:rPr>
              <w:t>规划</w:t>
            </w:r>
            <w:r>
              <w:rPr>
                <w:rFonts w:hint="eastAsia"/>
                <w:b/>
                <w:sz w:val="24"/>
                <w:lang w:val="zh-CN" w:eastAsia="zh-CN"/>
              </w:rPr>
              <w:t>、</w:t>
            </w:r>
            <w:r>
              <w:rPr>
                <w:rFonts w:hint="default"/>
                <w:b/>
                <w:sz w:val="24"/>
                <w:lang w:val="zh-CN" w:eastAsia="zh-CN"/>
              </w:rPr>
              <w:t>选址合理性</w:t>
            </w:r>
          </w:p>
          <w:p>
            <w:pPr>
              <w:widowControl/>
              <w:snapToGrid w:val="0"/>
              <w:ind w:firstLine="480"/>
              <w:jc w:val="left"/>
              <w:rPr>
                <w:rFonts w:hint="default" w:ascii="Times New Roman" w:hAnsi="Times New Roman" w:cs="Times New Roman"/>
                <w:b/>
                <w:bCs/>
                <w:kern w:val="0"/>
                <w:sz w:val="24"/>
                <w:szCs w:val="24"/>
              </w:rPr>
            </w:pPr>
            <w:r>
              <w:rPr>
                <w:rFonts w:hint="eastAsia"/>
              </w:rPr>
              <w:t>本项目选址于</w:t>
            </w:r>
            <w:r>
              <w:rPr>
                <w:rFonts w:eastAsiaTheme="minorEastAsia"/>
                <w:lang w:val="zh-CN"/>
              </w:rPr>
              <w:t>西安市灞桥区狄寨街道夏寨村南3号</w:t>
            </w:r>
            <w:r>
              <w:rPr>
                <w:rFonts w:hint="eastAsia"/>
              </w:rPr>
              <w:t>，</w:t>
            </w:r>
            <w:r>
              <w:t>租赁</w:t>
            </w:r>
            <w:r>
              <w:rPr>
                <w:rFonts w:hint="eastAsia"/>
              </w:rPr>
              <w:t>西安市灞桥区狄寨街道办夏寨村委会工矿用地</w:t>
            </w:r>
            <w:r>
              <w:rPr>
                <w:rFonts w:hint="eastAsia"/>
                <w:lang w:eastAsia="zh-CN"/>
              </w:rPr>
              <w:t>，</w:t>
            </w:r>
            <w:r>
              <w:rPr>
                <w:rFonts w:hint="eastAsia"/>
                <w:color w:val="000000" w:themeColor="text1"/>
              </w:rPr>
              <w:t>根据现场勘查，厂区地势平坦，地理位置优越，东侧为农田，南侧为农田，西侧为家具加工厂，北侧为农田。基础设施完善。项目运营期间产生的各类污染物经采取有效的治理措施后，均能达标排放，对外环境的影响较小。建设单位承诺，当项目选址、布局、规模等不符合相关法定规划时，企业自愿搬迁。因此，环境保护角度来看，本项目选址合理可行。</w:t>
            </w:r>
          </w:p>
          <w:p>
            <w:pPr>
              <w:widowControl/>
              <w:spacing w:line="360" w:lineRule="auto"/>
              <w:ind w:firstLine="482" w:firstLineChars="200"/>
              <w:rPr>
                <w:b/>
                <w:sz w:val="24"/>
              </w:rPr>
            </w:pPr>
            <w:r>
              <w:rPr>
                <w:rFonts w:hint="eastAsia"/>
                <w:b/>
                <w:sz w:val="24"/>
                <w:lang w:val="en-US" w:eastAsia="zh-CN"/>
              </w:rPr>
              <w:t>4</w:t>
            </w:r>
            <w:r>
              <w:rPr>
                <w:b/>
                <w:sz w:val="24"/>
              </w:rPr>
              <w:t>、环境质量现状</w:t>
            </w:r>
          </w:p>
          <w:p>
            <w:pPr>
              <w:spacing w:line="360" w:lineRule="auto"/>
              <w:ind w:firstLine="480" w:firstLineChars="200"/>
              <w:rPr>
                <w:bCs/>
                <w:sz w:val="24"/>
                <w:szCs w:val="24"/>
              </w:rPr>
            </w:pPr>
            <w:bookmarkStart w:id="101" w:name="_Toc423990953"/>
            <w:r>
              <w:rPr>
                <w:rFonts w:hint="eastAsia"/>
                <w:bCs/>
                <w:sz w:val="24"/>
                <w:szCs w:val="24"/>
                <w:lang w:eastAsia="zh-CN"/>
              </w:rPr>
              <w:t>（</w:t>
            </w:r>
            <w:r>
              <w:rPr>
                <w:rFonts w:hint="eastAsia"/>
                <w:bCs/>
                <w:sz w:val="24"/>
                <w:szCs w:val="24"/>
                <w:lang w:val="en-US" w:eastAsia="zh-CN"/>
              </w:rPr>
              <w:t>1</w:t>
            </w:r>
            <w:r>
              <w:rPr>
                <w:rFonts w:hint="eastAsia"/>
                <w:bCs/>
                <w:sz w:val="24"/>
                <w:szCs w:val="24"/>
                <w:lang w:eastAsia="zh-CN"/>
              </w:rPr>
              <w:t>）</w:t>
            </w:r>
            <w:r>
              <w:rPr>
                <w:bCs/>
                <w:sz w:val="24"/>
                <w:szCs w:val="24"/>
              </w:rPr>
              <w:t>环境空气质量现状：2018年灞桥区常规大气污染物中</w:t>
            </w:r>
            <w:r>
              <w:rPr>
                <w:sz w:val="24"/>
                <w:szCs w:val="24"/>
              </w:rPr>
              <w:t>SO</w:t>
            </w:r>
            <w:r>
              <w:rPr>
                <w:sz w:val="24"/>
                <w:szCs w:val="24"/>
                <w:vertAlign w:val="subscript"/>
              </w:rPr>
              <w:t>2</w:t>
            </w:r>
            <w:r>
              <w:rPr>
                <w:sz w:val="24"/>
                <w:szCs w:val="24"/>
              </w:rPr>
              <w:t>年平均质量浓度和CO</w:t>
            </w:r>
            <w:r>
              <w:rPr>
                <w:rFonts w:hint="eastAsia"/>
                <w:sz w:val="24"/>
                <w:szCs w:val="24"/>
              </w:rPr>
              <w:t xml:space="preserve"> </w:t>
            </w:r>
            <w:r>
              <w:rPr>
                <w:sz w:val="24"/>
                <w:szCs w:val="24"/>
              </w:rPr>
              <w:t>95%百分位数24h平均浓度达到《环境空气质量标准》（GB30952012）二级标准要求，PM</w:t>
            </w:r>
            <w:r>
              <w:rPr>
                <w:sz w:val="24"/>
                <w:szCs w:val="24"/>
                <w:vertAlign w:val="subscript"/>
              </w:rPr>
              <w:t>2.5</w:t>
            </w:r>
            <w:r>
              <w:rPr>
                <w:sz w:val="24"/>
                <w:szCs w:val="24"/>
              </w:rPr>
              <w:t>年平均质量浓度、NO</w:t>
            </w:r>
            <w:r>
              <w:rPr>
                <w:sz w:val="24"/>
                <w:szCs w:val="24"/>
                <w:vertAlign w:val="subscript"/>
              </w:rPr>
              <w:t>2</w:t>
            </w:r>
            <w:r>
              <w:rPr>
                <w:sz w:val="24"/>
                <w:szCs w:val="24"/>
              </w:rPr>
              <w:t>年平均质量浓度PM</w:t>
            </w:r>
            <w:r>
              <w:rPr>
                <w:sz w:val="24"/>
                <w:szCs w:val="24"/>
                <w:vertAlign w:val="subscript"/>
              </w:rPr>
              <w:t>10</w:t>
            </w:r>
            <w:r>
              <w:rPr>
                <w:sz w:val="24"/>
                <w:szCs w:val="24"/>
              </w:rPr>
              <w:t>年平均质量浓度和O</w:t>
            </w:r>
            <w:r>
              <w:rPr>
                <w:sz w:val="24"/>
                <w:szCs w:val="24"/>
                <w:vertAlign w:val="subscript"/>
              </w:rPr>
              <w:t>3</w:t>
            </w:r>
            <w:r>
              <w:rPr>
                <w:sz w:val="24"/>
                <w:szCs w:val="24"/>
              </w:rPr>
              <w:t xml:space="preserve"> 第90百分位浓度8h平均质量浓度均超过《环境空气质量标准》（GB3095</w:t>
            </w:r>
            <w:r>
              <w:rPr>
                <w:rFonts w:hint="eastAsia"/>
                <w:sz w:val="24"/>
                <w:szCs w:val="24"/>
                <w:lang w:val="en-US" w:eastAsia="zh-CN"/>
              </w:rPr>
              <w:t>-</w:t>
            </w:r>
            <w:r>
              <w:rPr>
                <w:sz w:val="24"/>
                <w:szCs w:val="24"/>
              </w:rPr>
              <w:t>2012）二级标准限值</w:t>
            </w:r>
            <w:r>
              <w:rPr>
                <w:bCs/>
                <w:sz w:val="24"/>
                <w:szCs w:val="24"/>
              </w:rPr>
              <w:t>，本项目所在区域属于不达标区。</w:t>
            </w:r>
          </w:p>
          <w:p>
            <w:pPr>
              <w:keepNext w:val="0"/>
              <w:keepLines w:val="0"/>
              <w:pageBreakBefore w:val="0"/>
              <w:kinsoku/>
              <w:wordWrap/>
              <w:overflowPunct/>
              <w:topLinePunct w:val="0"/>
              <w:autoSpaceDE/>
              <w:autoSpaceDN/>
              <w:bidi w:val="0"/>
              <w:adjustRightInd/>
              <w:ind w:firstLine="480"/>
              <w:textAlignment w:val="auto"/>
              <w:rPr>
                <w:rFonts w:hint="default" w:eastAsia="宋体"/>
                <w:bCs/>
                <w:sz w:val="24"/>
                <w:szCs w:val="24"/>
                <w:lang w:val="en-US" w:eastAsia="zh-CN"/>
              </w:rPr>
            </w:pPr>
            <w:r>
              <w:rPr>
                <w:rFonts w:hint="eastAsia"/>
                <w:bCs/>
                <w:sz w:val="24"/>
                <w:szCs w:val="24"/>
                <w:lang w:val="en-US" w:eastAsia="zh-CN"/>
              </w:rPr>
              <w:t>特征污染物检测结果表明</w:t>
            </w:r>
            <w:r>
              <w:rPr>
                <w:rFonts w:hint="eastAsia"/>
                <w:lang w:val="en-US" w:eastAsia="zh-CN"/>
              </w:rPr>
              <w:t>项目所在区域特征污染物</w:t>
            </w:r>
            <w:r>
              <w:t>非甲烷总烃满足《大气污染物排放标准详解》中浓度限值的规定。</w:t>
            </w:r>
          </w:p>
          <w:p>
            <w:pPr>
              <w:keepNext w:val="0"/>
              <w:keepLines w:val="0"/>
              <w:pageBreakBefore w:val="0"/>
              <w:widowControl/>
              <w:tabs>
                <w:tab w:val="center" w:pos="4538"/>
              </w:tabs>
              <w:kinsoku/>
              <w:wordWrap/>
              <w:overflowPunct/>
              <w:topLinePunct w:val="0"/>
              <w:autoSpaceDE/>
              <w:autoSpaceDN/>
              <w:bidi w:val="0"/>
              <w:adjustRightInd/>
              <w:spacing w:line="360" w:lineRule="auto"/>
              <w:ind w:firstLine="480" w:firstLineChars="200"/>
              <w:textAlignment w:val="auto"/>
              <w:rPr>
                <w:rFonts w:hint="eastAsia"/>
              </w:rPr>
            </w:pPr>
            <w:r>
              <w:rPr>
                <w:rFonts w:hint="eastAsia"/>
                <w:bCs/>
                <w:sz w:val="24"/>
                <w:szCs w:val="24"/>
                <w:lang w:eastAsia="zh-CN"/>
              </w:rPr>
              <w:t>（</w:t>
            </w:r>
            <w:r>
              <w:rPr>
                <w:rFonts w:hint="eastAsia"/>
                <w:bCs/>
                <w:sz w:val="24"/>
                <w:szCs w:val="24"/>
                <w:lang w:val="en-US" w:eastAsia="zh-CN"/>
              </w:rPr>
              <w:t>2</w:t>
            </w:r>
            <w:r>
              <w:rPr>
                <w:rFonts w:hint="eastAsia"/>
                <w:bCs/>
                <w:sz w:val="24"/>
                <w:szCs w:val="24"/>
                <w:lang w:eastAsia="zh-CN"/>
              </w:rPr>
              <w:t>）</w:t>
            </w:r>
            <w:r>
              <w:rPr>
                <w:bCs/>
                <w:sz w:val="24"/>
                <w:szCs w:val="24"/>
              </w:rPr>
              <w:t>声环境质量现状：</w:t>
            </w:r>
            <w:r>
              <w:rPr>
                <w:sz w:val="24"/>
                <w:szCs w:val="24"/>
              </w:rPr>
              <w:t>根据监测结果，</w:t>
            </w:r>
            <w:r>
              <w:rPr>
                <w:rFonts w:hint="eastAsia"/>
                <w:sz w:val="24"/>
              </w:rPr>
              <w:t>厂</w:t>
            </w:r>
            <w:r>
              <w:rPr>
                <w:sz w:val="24"/>
              </w:rPr>
              <w:t>界</w:t>
            </w:r>
            <w:r>
              <w:rPr>
                <w:rFonts w:hint="eastAsia"/>
                <w:sz w:val="24"/>
              </w:rPr>
              <w:t>四周及敏感点昼夜间</w:t>
            </w:r>
            <w:r>
              <w:rPr>
                <w:sz w:val="24"/>
              </w:rPr>
              <w:t>噪声值均能满足《声环境质量标准》(GB3096</w:t>
            </w:r>
            <w:r>
              <w:rPr>
                <w:szCs w:val="21"/>
              </w:rPr>
              <w:t>-</w:t>
            </w:r>
            <w:r>
              <w:rPr>
                <w:sz w:val="24"/>
              </w:rPr>
              <w:t>2008)中</w:t>
            </w:r>
            <w:r>
              <w:rPr>
                <w:rFonts w:hint="eastAsia"/>
                <w:sz w:val="24"/>
              </w:rPr>
              <w:t>2</w:t>
            </w:r>
            <w:r>
              <w:rPr>
                <w:sz w:val="24"/>
              </w:rPr>
              <w:t>类标准要求</w:t>
            </w:r>
            <w:r>
              <w:rPr>
                <w:rFonts w:hint="eastAsia"/>
                <w:sz w:val="24"/>
              </w:rPr>
              <w:t>，说明项目区声环境质量良好。</w:t>
            </w:r>
          </w:p>
          <w:bookmarkEnd w:id="101"/>
          <w:p>
            <w:pPr>
              <w:pStyle w:val="13"/>
              <w:keepNext w:val="0"/>
              <w:keepLines w:val="0"/>
              <w:pageBreakBefore w:val="0"/>
              <w:kinsoku/>
              <w:wordWrap/>
              <w:overflowPunct/>
              <w:topLinePunct w:val="0"/>
              <w:autoSpaceDE/>
              <w:autoSpaceDN/>
              <w:bidi w:val="0"/>
              <w:adjustRightInd/>
              <w:snapToGrid w:val="0"/>
              <w:spacing w:before="0" w:after="0" w:line="360" w:lineRule="auto"/>
              <w:ind w:left="0" w:leftChars="0" w:firstLine="480" w:firstLineChars="200"/>
              <w:textAlignment w:val="auto"/>
              <w:rPr>
                <w:rFonts w:hint="eastAsia"/>
              </w:rPr>
            </w:pPr>
            <w:bookmarkStart w:id="102" w:name="OLE_LINK54"/>
            <w:r>
              <w:rPr>
                <w:rFonts w:hint="eastAsia"/>
                <w:color w:val="000000"/>
                <w:sz w:val="24"/>
                <w:lang w:eastAsia="zh-CN"/>
              </w:rPr>
              <w:t>（</w:t>
            </w:r>
            <w:r>
              <w:rPr>
                <w:rFonts w:hint="eastAsia"/>
                <w:color w:val="000000"/>
                <w:sz w:val="24"/>
                <w:lang w:val="en-US" w:eastAsia="zh-CN"/>
              </w:rPr>
              <w:t>3</w:t>
            </w:r>
            <w:r>
              <w:rPr>
                <w:rFonts w:hint="eastAsia"/>
                <w:color w:val="000000"/>
                <w:sz w:val="24"/>
                <w:lang w:eastAsia="zh-CN"/>
              </w:rPr>
              <w:t>）</w:t>
            </w:r>
            <w:r>
              <w:rPr>
                <w:rFonts w:hint="eastAsia"/>
                <w:color w:val="000000"/>
                <w:sz w:val="24"/>
                <w:lang w:val="en-US" w:eastAsia="zh-CN"/>
              </w:rPr>
              <w:t>土壤环境现状：根据检测结果土壤现状</w:t>
            </w:r>
            <w:r>
              <w:rPr>
                <w:color w:val="000000"/>
                <w:sz w:val="24"/>
              </w:rPr>
              <w:t>能满足《土壤环境质量标准</w:t>
            </w:r>
            <w:r>
              <w:rPr>
                <w:rFonts w:hint="eastAsia"/>
                <w:color w:val="000000"/>
                <w:sz w:val="24"/>
              </w:rPr>
              <w:t xml:space="preserve"> </w:t>
            </w:r>
            <w:r>
              <w:rPr>
                <w:color w:val="000000"/>
                <w:sz w:val="24"/>
              </w:rPr>
              <w:t>建设用地土壤风险管控标准（试行）》（GB36600-2018）第二类用地筛选值标准</w:t>
            </w:r>
            <w:r>
              <w:rPr>
                <w:rFonts w:hint="eastAsia"/>
                <w:color w:val="000000"/>
                <w:sz w:val="24"/>
                <w:lang w:eastAsia="zh-CN"/>
              </w:rPr>
              <w:t>，</w:t>
            </w:r>
            <w:r>
              <w:rPr>
                <w:rFonts w:hint="eastAsia"/>
                <w:color w:val="000000"/>
                <w:sz w:val="24"/>
                <w:lang w:val="en-US" w:eastAsia="zh-CN"/>
              </w:rPr>
              <w:t>周边农田</w:t>
            </w:r>
            <w:r>
              <w:rPr>
                <w:color w:val="000000"/>
                <w:sz w:val="24"/>
              </w:rPr>
              <w:t>能满足《土壤环境质量标准</w:t>
            </w:r>
            <w:r>
              <w:rPr>
                <w:rFonts w:hint="eastAsia"/>
                <w:color w:val="000000"/>
                <w:sz w:val="24"/>
              </w:rPr>
              <w:t xml:space="preserve"> </w:t>
            </w:r>
            <w:r>
              <w:rPr>
                <w:rFonts w:hint="eastAsia"/>
                <w:color w:val="000000"/>
                <w:sz w:val="24"/>
                <w:lang w:val="en-US" w:eastAsia="zh-CN"/>
              </w:rPr>
              <w:t>农</w:t>
            </w:r>
            <w:r>
              <w:rPr>
                <w:color w:val="000000"/>
                <w:sz w:val="24"/>
              </w:rPr>
              <w:t>用地土壤风险管控标准（试行）》（GB</w:t>
            </w:r>
            <w:r>
              <w:rPr>
                <w:rFonts w:hint="eastAsia"/>
                <w:color w:val="000000"/>
                <w:sz w:val="24"/>
                <w:lang w:val="en-US" w:eastAsia="zh-CN"/>
              </w:rPr>
              <w:t>15618</w:t>
            </w:r>
            <w:r>
              <w:rPr>
                <w:color w:val="000000"/>
                <w:sz w:val="24"/>
              </w:rPr>
              <w:t>-2018）</w:t>
            </w:r>
            <w:r>
              <w:rPr>
                <w:rFonts w:hint="eastAsia"/>
                <w:color w:val="000000"/>
                <w:sz w:val="24"/>
                <w:lang w:val="en-US" w:eastAsia="zh-CN"/>
              </w:rPr>
              <w:t>农用地土壤污染风险筛选值（其他）</w:t>
            </w:r>
            <w:r>
              <w:rPr>
                <w:color w:val="000000"/>
                <w:sz w:val="24"/>
              </w:rPr>
              <w:t>。</w:t>
            </w:r>
          </w:p>
          <w:p>
            <w:pPr>
              <w:adjustRightInd w:val="0"/>
              <w:snapToGrid w:val="0"/>
              <w:spacing w:line="360" w:lineRule="auto"/>
              <w:rPr>
                <w:b/>
                <w:bCs/>
                <w:kern w:val="0"/>
                <w:sz w:val="24"/>
                <w:szCs w:val="24"/>
              </w:rPr>
            </w:pPr>
            <w:r>
              <w:rPr>
                <w:rFonts w:hint="eastAsia"/>
                <w:b/>
                <w:bCs/>
                <w:kern w:val="0"/>
                <w:sz w:val="24"/>
                <w:szCs w:val="24"/>
                <w:lang w:val="en-US" w:eastAsia="zh-CN"/>
              </w:rPr>
              <w:t>5</w:t>
            </w:r>
            <w:r>
              <w:rPr>
                <w:b/>
                <w:bCs/>
                <w:kern w:val="0"/>
                <w:sz w:val="24"/>
                <w:szCs w:val="24"/>
              </w:rPr>
              <w:t>、施工期环境影响结论</w:t>
            </w:r>
          </w:p>
          <w:p>
            <w:pPr>
              <w:spacing w:line="360" w:lineRule="auto"/>
              <w:ind w:firstLine="480" w:firstLineChars="200"/>
              <w:rPr>
                <w:bCs/>
                <w:sz w:val="24"/>
                <w:szCs w:val="24"/>
              </w:rPr>
            </w:pPr>
            <w:r>
              <w:rPr>
                <w:bCs/>
                <w:sz w:val="24"/>
                <w:szCs w:val="24"/>
              </w:rPr>
              <w:t>本项目已建成，因此本次环评不对施工期进行环境影响评价。</w:t>
            </w:r>
          </w:p>
          <w:p>
            <w:pPr>
              <w:adjustRightInd w:val="0"/>
              <w:snapToGrid w:val="0"/>
              <w:spacing w:line="360" w:lineRule="auto"/>
              <w:rPr>
                <w:b/>
                <w:bCs/>
                <w:kern w:val="0"/>
                <w:sz w:val="24"/>
                <w:szCs w:val="24"/>
              </w:rPr>
            </w:pPr>
            <w:r>
              <w:rPr>
                <w:rFonts w:hint="eastAsia"/>
                <w:b/>
                <w:bCs/>
                <w:kern w:val="0"/>
                <w:sz w:val="24"/>
                <w:szCs w:val="24"/>
                <w:lang w:val="en-US" w:eastAsia="zh-CN"/>
              </w:rPr>
              <w:t>6</w:t>
            </w:r>
            <w:r>
              <w:rPr>
                <w:b/>
                <w:bCs/>
                <w:kern w:val="0"/>
                <w:sz w:val="24"/>
                <w:szCs w:val="24"/>
              </w:rPr>
              <w:t>、运营期环境影响结论</w:t>
            </w:r>
          </w:p>
          <w:p>
            <w:pPr>
              <w:spacing w:line="360" w:lineRule="auto"/>
              <w:ind w:firstLine="480" w:firstLineChars="200"/>
              <w:rPr>
                <w:sz w:val="24"/>
              </w:rPr>
            </w:pPr>
            <w:r>
              <w:rPr>
                <w:sz w:val="24"/>
              </w:rPr>
              <w:t>（</w:t>
            </w:r>
            <w:r>
              <w:rPr>
                <w:rFonts w:hint="eastAsia"/>
                <w:sz w:val="24"/>
              </w:rPr>
              <w:t>1</w:t>
            </w:r>
            <w:r>
              <w:rPr>
                <w:sz w:val="24"/>
              </w:rPr>
              <w:t>）</w:t>
            </w:r>
            <w:r>
              <w:rPr>
                <w:rFonts w:hint="eastAsia"/>
                <w:sz w:val="24"/>
              </w:rPr>
              <w:t>大气环境影</w:t>
            </w:r>
            <w:r>
              <w:rPr>
                <w:sz w:val="24"/>
              </w:rPr>
              <w:t>响分析</w:t>
            </w:r>
          </w:p>
          <w:p>
            <w:pPr>
              <w:pStyle w:val="2"/>
              <w:rPr>
                <w:sz w:val="24"/>
              </w:rPr>
            </w:pPr>
            <w:r>
              <w:rPr>
                <w:sz w:val="24"/>
              </w:rPr>
              <w:t>本</w:t>
            </w:r>
            <w:r>
              <w:rPr>
                <w:rFonts w:hint="eastAsia"/>
                <w:sz w:val="24"/>
              </w:rPr>
              <w:t>项目运营期</w:t>
            </w:r>
            <w:r>
              <w:rPr>
                <w:rFonts w:hint="eastAsia"/>
                <w:sz w:val="24"/>
                <w:lang w:val="en-US" w:eastAsia="zh-CN"/>
              </w:rPr>
              <w:t>架子床生产工序</w:t>
            </w:r>
            <w:r>
              <w:rPr>
                <w:rFonts w:hint="eastAsia"/>
                <w:sz w:val="24"/>
              </w:rPr>
              <w:t>大气污染物主要为</w:t>
            </w:r>
            <w:r>
              <w:rPr>
                <w:rFonts w:hint="eastAsia" w:ascii="宋体" w:hAnsi="宋体"/>
                <w:sz w:val="24"/>
              </w:rPr>
              <w:t>焊接过程产生焊接烟尘、工件喷塑过程产生的粉尘及固化过程产生的有机废气</w:t>
            </w:r>
            <w:r>
              <w:rPr>
                <w:rFonts w:hint="eastAsia" w:ascii="宋体" w:hAnsi="宋体"/>
                <w:sz w:val="24"/>
                <w:lang w:val="en-US" w:eastAsia="zh-CN"/>
              </w:rPr>
              <w:t>和</w:t>
            </w:r>
            <w:r>
              <w:rPr>
                <w:rFonts w:hint="eastAsia" w:ascii="宋体" w:hAnsi="宋体"/>
                <w:sz w:val="24"/>
              </w:rPr>
              <w:t>燃烧机燃烧产生的燃烧废气。</w:t>
            </w:r>
            <w:r>
              <w:rPr>
                <w:rFonts w:hint="eastAsia" w:ascii="宋体" w:hAnsi="宋体"/>
                <w:sz w:val="24"/>
                <w:lang w:val="en-US" w:eastAsia="zh-CN"/>
              </w:rPr>
              <w:t>床板生产工序产生的</w:t>
            </w:r>
            <w:r>
              <w:rPr>
                <w:rFonts w:hint="eastAsia"/>
                <w:sz w:val="24"/>
              </w:rPr>
              <w:t>大气污染物主要</w:t>
            </w:r>
            <w:r>
              <w:rPr>
                <w:rFonts w:hint="eastAsia"/>
                <w:sz w:val="24"/>
                <w:lang w:val="en-US" w:eastAsia="zh-CN"/>
              </w:rPr>
              <w:t>为木板切割、打孔产生的粉尘以及封边产生的有机废气。</w:t>
            </w:r>
          </w:p>
          <w:p>
            <w:pPr>
              <w:spacing w:line="360" w:lineRule="auto"/>
              <w:ind w:firstLine="480" w:firstLineChars="200"/>
              <w:rPr>
                <w:rFonts w:hint="eastAsia" w:ascii="宋体" w:hAnsi="宋体"/>
                <w:sz w:val="24"/>
                <w:lang w:eastAsia="zh-CN"/>
              </w:rPr>
            </w:pPr>
            <w:r>
              <w:rPr>
                <w:rFonts w:hint="eastAsia" w:ascii="宋体" w:hAnsi="宋体"/>
                <w:sz w:val="24"/>
              </w:rPr>
              <w:t>项目焊</w:t>
            </w:r>
            <w:r>
              <w:rPr>
                <w:rFonts w:hint="eastAsia" w:ascii="宋体" w:hAnsi="宋体"/>
                <w:sz w:val="24"/>
                <w:lang w:val="en-US" w:eastAsia="zh-CN"/>
              </w:rPr>
              <w:t>工</w:t>
            </w:r>
            <w:r>
              <w:rPr>
                <w:rFonts w:hint="eastAsia" w:ascii="宋体" w:hAnsi="宋体"/>
                <w:sz w:val="24"/>
              </w:rPr>
              <w:t>间</w:t>
            </w:r>
            <w:r>
              <w:rPr>
                <w:rFonts w:hint="eastAsia" w:ascii="宋体" w:hAnsi="宋体"/>
                <w:sz w:val="24"/>
                <w:lang w:val="en-US" w:eastAsia="zh-CN"/>
              </w:rPr>
              <w:t>设有8个焊接工位，</w:t>
            </w:r>
            <w:r>
              <w:rPr>
                <w:rFonts w:hint="eastAsia"/>
                <w:sz w:val="24"/>
                <w:szCs w:val="24"/>
                <w:lang w:val="en-US" w:eastAsia="zh-CN"/>
              </w:rPr>
              <w:t>每个焊接工位上方</w:t>
            </w:r>
            <w:r>
              <w:rPr>
                <w:rFonts w:hint="eastAsia" w:ascii="宋体" w:hAnsi="宋体"/>
                <w:sz w:val="24"/>
              </w:rPr>
              <w:t>设置</w:t>
            </w:r>
            <w:r>
              <w:rPr>
                <w:rFonts w:hint="eastAsia" w:ascii="宋体" w:hAnsi="宋体"/>
                <w:sz w:val="24"/>
                <w:lang w:val="en-US" w:eastAsia="zh-CN"/>
              </w:rPr>
              <w:t>1个集气罩</w:t>
            </w:r>
            <w:r>
              <w:rPr>
                <w:rFonts w:hint="eastAsia" w:ascii="宋体" w:hAnsi="宋体"/>
                <w:sz w:val="24"/>
              </w:rPr>
              <w:t>，</w:t>
            </w:r>
            <w:r>
              <w:rPr>
                <w:rFonts w:hint="eastAsia" w:ascii="宋体" w:hAnsi="宋体"/>
                <w:sz w:val="24"/>
                <w:lang w:val="en-US" w:eastAsia="zh-CN"/>
              </w:rPr>
              <w:t>烟尘收集后经</w:t>
            </w:r>
            <w:r>
              <w:rPr>
                <w:rFonts w:hint="eastAsia" w:ascii="宋体" w:hAnsi="宋体"/>
                <w:sz w:val="24"/>
              </w:rPr>
              <w:t>脉冲</w:t>
            </w:r>
            <w:r>
              <w:rPr>
                <w:rFonts w:hint="eastAsia" w:ascii="宋体" w:hAnsi="宋体"/>
                <w:sz w:val="24"/>
                <w:lang w:val="en-US" w:eastAsia="zh-CN"/>
              </w:rPr>
              <w:t>布袋</w:t>
            </w:r>
            <w:r>
              <w:rPr>
                <w:rFonts w:hint="eastAsia" w:ascii="宋体" w:hAnsi="宋体"/>
                <w:sz w:val="24"/>
              </w:rPr>
              <w:t>除尘器处理后</w:t>
            </w:r>
            <w:r>
              <w:rPr>
                <w:rFonts w:hint="eastAsia" w:ascii="宋体" w:hAnsi="宋体"/>
                <w:sz w:val="24"/>
                <w:lang w:val="en-US" w:eastAsia="zh-CN"/>
              </w:rPr>
              <w:t>经15m排气筒</w:t>
            </w:r>
            <w:r>
              <w:rPr>
                <w:rFonts w:hint="eastAsia" w:ascii="宋体" w:hAnsi="宋体"/>
                <w:sz w:val="24"/>
              </w:rPr>
              <w:t>排放，年排放烟尘</w:t>
            </w:r>
            <w:r>
              <w:rPr>
                <w:rFonts w:hint="eastAsia"/>
                <w:sz w:val="24"/>
              </w:rPr>
              <w:t>0.</w:t>
            </w:r>
            <w:r>
              <w:rPr>
                <w:rFonts w:hint="eastAsia"/>
                <w:sz w:val="24"/>
                <w:lang w:val="en-US" w:eastAsia="zh-CN"/>
              </w:rPr>
              <w:t>0012t</w:t>
            </w:r>
            <w:r>
              <w:rPr>
                <w:rFonts w:hint="eastAsia"/>
                <w:sz w:val="24"/>
              </w:rPr>
              <w:t>/a</w:t>
            </w:r>
            <w:r>
              <w:rPr>
                <w:rFonts w:hint="eastAsia"/>
                <w:sz w:val="24"/>
                <w:lang w:eastAsia="zh-CN"/>
              </w:rPr>
              <w:t>，</w:t>
            </w:r>
            <w:r>
              <w:rPr>
                <w:rFonts w:hint="eastAsia" w:ascii="宋体" w:hAnsi="宋体"/>
                <w:sz w:val="24"/>
              </w:rPr>
              <w:t>对周围环境影响很小</w:t>
            </w:r>
            <w:r>
              <w:rPr>
                <w:rFonts w:hint="eastAsia" w:ascii="宋体" w:hAnsi="宋体"/>
                <w:sz w:val="24"/>
                <w:lang w:eastAsia="zh-CN"/>
              </w:rPr>
              <w:t>；</w:t>
            </w:r>
          </w:p>
          <w:p>
            <w:pPr>
              <w:spacing w:line="360" w:lineRule="auto"/>
              <w:ind w:firstLine="480" w:firstLineChars="200"/>
              <w:rPr>
                <w:rFonts w:hint="eastAsia" w:ascii="宋体" w:hAnsi="宋体"/>
                <w:sz w:val="24"/>
                <w:lang w:eastAsia="zh-CN"/>
              </w:rPr>
            </w:pPr>
            <w:r>
              <w:rPr>
                <w:rFonts w:hint="eastAsia" w:ascii="宋体" w:hAnsi="宋体"/>
                <w:sz w:val="24"/>
              </w:rPr>
              <w:t>项目静电喷涂在专门的静电喷涂室内进行，喷塑设备配套密封柜、</w:t>
            </w:r>
            <w:r>
              <w:rPr>
                <w:rFonts w:hint="eastAsia" w:ascii="宋体" w:hAnsi="宋体"/>
                <w:sz w:val="24"/>
                <w:lang w:val="en-US" w:eastAsia="zh-CN"/>
              </w:rPr>
              <w:t>脉冲布袋</w:t>
            </w:r>
            <w:r>
              <w:rPr>
                <w:rFonts w:hint="eastAsia" w:ascii="宋体" w:hAnsi="宋体"/>
                <w:sz w:val="24"/>
              </w:rPr>
              <w:t>除尘器和</w:t>
            </w:r>
            <w:r>
              <w:rPr>
                <w:sz w:val="24"/>
              </w:rPr>
              <w:t>15</w:t>
            </w:r>
            <w:r>
              <w:rPr>
                <w:rFonts w:hint="eastAsia" w:ascii="宋体" w:hAnsi="宋体"/>
                <w:sz w:val="24"/>
              </w:rPr>
              <w:t>米高的排气筒，</w:t>
            </w:r>
            <w:r>
              <w:rPr>
                <w:rFonts w:hint="eastAsia" w:ascii="宋体" w:hAnsi="宋体"/>
                <w:sz w:val="24"/>
                <w:lang w:val="en-US" w:eastAsia="zh-CN"/>
              </w:rPr>
              <w:t>项目</w:t>
            </w:r>
            <w:r>
              <w:rPr>
                <w:rFonts w:hint="eastAsia" w:ascii="宋体" w:hAnsi="宋体"/>
                <w:sz w:val="24"/>
              </w:rPr>
              <w:t>塑粉产生量为</w:t>
            </w:r>
            <w:r>
              <w:rPr>
                <w:rFonts w:hint="eastAsia"/>
                <w:sz w:val="24"/>
                <w:lang w:val="en-US" w:eastAsia="zh-CN"/>
              </w:rPr>
              <w:t>0.5</w:t>
            </w:r>
            <w:r>
              <w:rPr>
                <w:sz w:val="24"/>
              </w:rPr>
              <w:t>t/a</w:t>
            </w:r>
            <w:r>
              <w:rPr>
                <w:rFonts w:hint="eastAsia" w:ascii="宋体" w:hAnsi="宋体"/>
                <w:sz w:val="24"/>
              </w:rPr>
              <w:t>，回收量为</w:t>
            </w:r>
            <w:r>
              <w:rPr>
                <w:rFonts w:hint="eastAsia"/>
                <w:sz w:val="24"/>
                <w:lang w:val="en-US" w:eastAsia="zh-CN"/>
              </w:rPr>
              <w:t>0.495</w:t>
            </w:r>
            <w:r>
              <w:rPr>
                <w:sz w:val="24"/>
              </w:rPr>
              <w:t>t/a</w:t>
            </w:r>
            <w:r>
              <w:rPr>
                <w:rFonts w:hint="eastAsia" w:ascii="宋体" w:hAnsi="宋体"/>
                <w:sz w:val="24"/>
              </w:rPr>
              <w:t>，排放量为</w:t>
            </w:r>
            <w:r>
              <w:rPr>
                <w:sz w:val="24"/>
              </w:rPr>
              <w:t>0.</w:t>
            </w:r>
            <w:r>
              <w:rPr>
                <w:rFonts w:hint="eastAsia"/>
                <w:sz w:val="24"/>
              </w:rPr>
              <w:t>0</w:t>
            </w:r>
            <w:r>
              <w:rPr>
                <w:rFonts w:hint="eastAsia"/>
                <w:sz w:val="24"/>
                <w:lang w:val="en-US" w:eastAsia="zh-CN"/>
              </w:rPr>
              <w:t>05</w:t>
            </w:r>
            <w:r>
              <w:rPr>
                <w:sz w:val="24"/>
              </w:rPr>
              <w:t>t/a</w:t>
            </w:r>
            <w:r>
              <w:rPr>
                <w:rFonts w:hint="eastAsia" w:ascii="宋体" w:hAnsi="宋体"/>
                <w:sz w:val="24"/>
              </w:rPr>
              <w:t>，能够满足《大气污染物综合排放标准》（</w:t>
            </w:r>
            <w:r>
              <w:rPr>
                <w:sz w:val="24"/>
              </w:rPr>
              <w:t>GB16297-1996</w:t>
            </w:r>
            <w:r>
              <w:rPr>
                <w:rFonts w:hint="eastAsia" w:ascii="宋体" w:hAnsi="宋体"/>
                <w:sz w:val="24"/>
              </w:rPr>
              <w:t>）表</w:t>
            </w:r>
            <w:r>
              <w:rPr>
                <w:sz w:val="24"/>
              </w:rPr>
              <w:t>2</w:t>
            </w:r>
            <w:r>
              <w:rPr>
                <w:rFonts w:hint="eastAsia" w:ascii="宋体" w:hAnsi="宋体"/>
                <w:sz w:val="24"/>
              </w:rPr>
              <w:t>中二级标准</w:t>
            </w:r>
            <w:r>
              <w:rPr>
                <w:rFonts w:hint="eastAsia" w:ascii="宋体" w:hAnsi="宋体"/>
                <w:sz w:val="24"/>
                <w:lang w:eastAsia="zh-CN"/>
              </w:rPr>
              <w:t>；</w:t>
            </w:r>
          </w:p>
          <w:p>
            <w:pPr>
              <w:spacing w:line="360" w:lineRule="auto"/>
              <w:ind w:firstLine="480" w:firstLineChars="200"/>
              <w:rPr>
                <w:rFonts w:hint="eastAsia" w:cs="Times New Roman"/>
                <w:sz w:val="24"/>
                <w:szCs w:val="24"/>
                <w:lang w:eastAsia="zh-CN"/>
              </w:rPr>
            </w:pPr>
            <w:r>
              <w:rPr>
                <w:rFonts w:hint="default" w:ascii="Times New Roman" w:hAnsi="Times New Roman" w:eastAsia="宋体" w:cs="Times New Roman"/>
                <w:color w:val="000000" w:themeColor="text1"/>
                <w:sz w:val="24"/>
                <w:szCs w:val="24"/>
              </w:rPr>
              <w:t>项目固化采用天然气燃烧机加热，燃料为</w:t>
            </w:r>
            <w:r>
              <w:rPr>
                <w:rFonts w:hint="eastAsia" w:cs="Times New Roman"/>
                <w:color w:val="000000" w:themeColor="text1"/>
                <w:sz w:val="24"/>
                <w:szCs w:val="24"/>
                <w:lang w:val="en-US" w:eastAsia="zh-CN"/>
              </w:rPr>
              <w:t>液化</w:t>
            </w:r>
            <w:r>
              <w:rPr>
                <w:rFonts w:hint="default" w:ascii="Times New Roman" w:hAnsi="Times New Roman" w:eastAsia="宋体" w:cs="Times New Roman"/>
                <w:color w:val="000000" w:themeColor="text1"/>
                <w:sz w:val="24"/>
                <w:szCs w:val="24"/>
              </w:rPr>
              <w:t>天然气，</w:t>
            </w:r>
            <w:r>
              <w:rPr>
                <w:rFonts w:hint="default" w:ascii="Times New Roman" w:hAnsi="Times New Roman" w:eastAsia="宋体" w:cs="Times New Roman"/>
                <w:sz w:val="24"/>
                <w:szCs w:val="24"/>
                <w:lang w:val="en-US" w:eastAsia="zh-CN"/>
              </w:rPr>
              <w:t>燃烧</w:t>
            </w:r>
            <w:r>
              <w:rPr>
                <w:rFonts w:hint="default" w:ascii="Times New Roman" w:hAnsi="Times New Roman" w:eastAsia="宋体" w:cs="Times New Roman"/>
                <w:sz w:val="24"/>
                <w:szCs w:val="24"/>
              </w:rPr>
              <w:t>产生的颗粒物、SO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eastAsia="宋体" w:cs="Times New Roman"/>
                <w:sz w:val="24"/>
                <w:szCs w:val="24"/>
              </w:rPr>
              <w:t>经</w:t>
            </w:r>
            <w:r>
              <w:rPr>
                <w:rFonts w:hint="eastAsia" w:cs="Times New Roman"/>
                <w:sz w:val="24"/>
                <w:szCs w:val="24"/>
                <w:lang w:val="en-US" w:eastAsia="zh-CN"/>
              </w:rPr>
              <w:t>集气罩收集后通过15m</w:t>
            </w:r>
            <w:r>
              <w:rPr>
                <w:rFonts w:hint="eastAsia" w:eastAsia="宋体" w:cs="Times New Roman"/>
                <w:sz w:val="24"/>
                <w:szCs w:val="24"/>
                <w:lang w:val="en-US" w:eastAsia="zh-CN"/>
              </w:rPr>
              <w:t>排气筒</w:t>
            </w:r>
            <w:r>
              <w:rPr>
                <w:rFonts w:hint="default" w:ascii="Times New Roman" w:hAnsi="Times New Roman" w:eastAsia="宋体" w:cs="Times New Roman"/>
                <w:sz w:val="24"/>
                <w:szCs w:val="24"/>
              </w:rPr>
              <w:t>排放，对周围环境影响较小</w:t>
            </w:r>
            <w:r>
              <w:rPr>
                <w:rFonts w:hint="eastAsia" w:cs="Times New Roman"/>
                <w:sz w:val="24"/>
                <w:szCs w:val="24"/>
                <w:lang w:eastAsia="zh-CN"/>
              </w:rPr>
              <w:t>；</w:t>
            </w:r>
          </w:p>
          <w:p>
            <w:pPr>
              <w:spacing w:line="360" w:lineRule="auto"/>
              <w:ind w:firstLine="480" w:firstLineChars="200"/>
              <w:rPr>
                <w:rFonts w:hint="default"/>
                <w:lang w:val="en-US" w:eastAsia="zh-CN"/>
              </w:rPr>
            </w:pPr>
            <w:r>
              <w:rPr>
                <w:rFonts w:hint="default" w:ascii="Times New Roman" w:hAnsi="Times New Roman" w:eastAsia="宋体" w:cs="Times New Roman"/>
                <w:color w:val="000000" w:themeColor="text1"/>
              </w:rPr>
              <w:t>本项目在</w:t>
            </w:r>
            <w:r>
              <w:rPr>
                <w:rFonts w:hint="eastAsia" w:ascii="Times New Roman" w:hAnsi="Times New Roman" w:cs="Times New Roman"/>
                <w:color w:val="000000" w:themeColor="text1"/>
                <w:lang w:val="en-US" w:eastAsia="zh-CN"/>
              </w:rPr>
              <w:t>切割</w:t>
            </w:r>
            <w:r>
              <w:rPr>
                <w:rFonts w:hint="default" w:ascii="Times New Roman" w:hAnsi="Times New Roman" w:eastAsia="宋体" w:cs="Times New Roman"/>
                <w:color w:val="000000" w:themeColor="text1"/>
              </w:rPr>
              <w:t>、打孔等产生粉尘工序</w:t>
            </w:r>
            <w:r>
              <w:rPr>
                <w:rFonts w:hint="default" w:ascii="Times New Roman" w:hAnsi="Times New Roman" w:eastAsia="宋体" w:cs="Times New Roman"/>
                <w:color w:val="000000" w:themeColor="text1"/>
                <w:lang w:val="en-US" w:eastAsia="zh-CN"/>
              </w:rPr>
              <w:t>均</w:t>
            </w:r>
            <w:r>
              <w:rPr>
                <w:rFonts w:hint="default" w:ascii="Times New Roman" w:hAnsi="Times New Roman" w:eastAsia="宋体" w:cs="Times New Roman"/>
                <w:color w:val="000000" w:themeColor="text1"/>
              </w:rPr>
              <w:t>安装</w:t>
            </w:r>
            <w:r>
              <w:rPr>
                <w:rFonts w:hint="eastAsia" w:ascii="Times New Roman" w:hAnsi="Times New Roman" w:cs="Times New Roman"/>
                <w:color w:val="000000" w:themeColor="text1"/>
                <w:lang w:eastAsia="zh-CN"/>
              </w:rPr>
              <w:t>双桶布袋除尘器</w:t>
            </w:r>
            <w:r>
              <w:rPr>
                <w:rFonts w:hint="default" w:ascii="Times New Roman" w:hAnsi="Times New Roman" w:eastAsia="宋体" w:cs="Times New Roman"/>
                <w:color w:val="000000" w:themeColor="text1"/>
              </w:rPr>
              <w:t>，</w:t>
            </w:r>
            <w:r>
              <w:rPr>
                <w:rFonts w:hint="eastAsia" w:ascii="Times New Roman" w:hAnsi="Times New Roman" w:cs="Times New Roman"/>
                <w:color w:val="000000" w:themeColor="text1"/>
                <w:lang w:eastAsia="zh-CN"/>
              </w:rPr>
              <w:t>双桶布袋除尘器</w:t>
            </w:r>
            <w:r>
              <w:rPr>
                <w:rFonts w:hint="default" w:ascii="Times New Roman" w:hAnsi="Times New Roman" w:eastAsia="宋体" w:cs="Times New Roman"/>
                <w:color w:val="000000" w:themeColor="text1"/>
              </w:rPr>
              <w:t>的</w:t>
            </w:r>
            <w:r>
              <w:rPr>
                <w:rFonts w:hint="eastAsia" w:ascii="Times New Roman" w:hAnsi="Times New Roman" w:cs="Times New Roman"/>
                <w:color w:val="000000" w:themeColor="text1"/>
                <w:lang w:val="en-US" w:eastAsia="zh-CN"/>
              </w:rPr>
              <w:t>除尘效率</w:t>
            </w:r>
            <w:r>
              <w:rPr>
                <w:rFonts w:hint="default" w:ascii="Times New Roman" w:hAnsi="Times New Roman" w:eastAsia="宋体" w:cs="Times New Roman"/>
                <w:color w:val="000000" w:themeColor="text1"/>
              </w:rPr>
              <w:t>为</w:t>
            </w:r>
            <w:r>
              <w:rPr>
                <w:rFonts w:hint="eastAsia" w:ascii="Times New Roman" w:hAnsi="Times New Roman" w:cs="Times New Roman"/>
                <w:color w:val="000000" w:themeColor="text1"/>
                <w:lang w:val="en-US" w:eastAsia="zh-CN"/>
              </w:rPr>
              <w:t>9</w:t>
            </w:r>
            <w:r>
              <w:rPr>
                <w:rFonts w:hint="default" w:ascii="Times New Roman" w:hAnsi="Times New Roman" w:eastAsia="宋体" w:cs="Times New Roman"/>
                <w:color w:val="000000" w:themeColor="text1"/>
              </w:rPr>
              <w:t>0%，</w:t>
            </w:r>
            <w:r>
              <w:rPr>
                <w:rFonts w:hint="eastAsia" w:ascii="Times New Roman" w:hAnsi="Times New Roman" w:cs="Times New Roman"/>
                <w:color w:val="000000" w:themeColor="text1"/>
                <w:lang w:val="en-US" w:eastAsia="zh-CN"/>
              </w:rPr>
              <w:t>未收集的粉尘以无组织形式排放</w:t>
            </w:r>
            <w:r>
              <w:rPr>
                <w:rFonts w:hint="eastAsia" w:cs="Times New Roman"/>
                <w:color w:val="000000" w:themeColor="text1"/>
                <w:lang w:val="en-US" w:eastAsia="zh-CN"/>
              </w:rPr>
              <w:t>；</w:t>
            </w:r>
          </w:p>
          <w:p>
            <w:pPr>
              <w:spacing w:line="360" w:lineRule="auto"/>
              <w:ind w:firstLine="480" w:firstLineChars="200"/>
              <w:rPr>
                <w:rFonts w:hint="default" w:ascii="Times New Roman" w:hAnsi="Times New Roman" w:eastAsia="宋体" w:cs="Times New Roman"/>
                <w:sz w:val="24"/>
                <w:szCs w:val="24"/>
              </w:rPr>
            </w:pPr>
            <w:r>
              <w:rPr>
                <w:rFonts w:hint="eastAsia" w:ascii="宋体" w:hAnsi="宋体"/>
                <w:sz w:val="24"/>
              </w:rPr>
              <w:t>在</w:t>
            </w:r>
            <w:r>
              <w:rPr>
                <w:rFonts w:hint="eastAsia" w:ascii="宋体" w:hAnsi="宋体"/>
                <w:sz w:val="24"/>
                <w:lang w:eastAsia="zh-CN"/>
              </w:rPr>
              <w:t>烤箱</w:t>
            </w:r>
            <w:r>
              <w:rPr>
                <w:rFonts w:hint="eastAsia" w:ascii="宋体" w:hAnsi="宋体"/>
                <w:sz w:val="24"/>
                <w:lang w:val="en-US" w:eastAsia="zh-CN"/>
              </w:rPr>
              <w:t>和封边机</w:t>
            </w:r>
            <w:r>
              <w:rPr>
                <w:rFonts w:hint="eastAsia" w:ascii="宋体" w:hAnsi="宋体"/>
                <w:sz w:val="24"/>
              </w:rPr>
              <w:t>上</w:t>
            </w:r>
            <w:r>
              <w:rPr>
                <w:rFonts w:hint="eastAsia" w:ascii="宋体" w:hAnsi="宋体"/>
                <w:sz w:val="24"/>
                <w:lang w:val="en-US" w:eastAsia="zh-CN"/>
              </w:rPr>
              <w:t>分别</w:t>
            </w:r>
            <w:r>
              <w:rPr>
                <w:rFonts w:hint="eastAsia" w:ascii="宋体" w:hAnsi="宋体"/>
                <w:sz w:val="24"/>
              </w:rPr>
              <w:t>设置一个</w:t>
            </w:r>
            <w:r>
              <w:rPr>
                <w:rFonts w:hint="eastAsia" w:ascii="宋体" w:hAnsi="宋体"/>
                <w:sz w:val="24"/>
                <w:lang w:val="en-US" w:eastAsia="zh-CN"/>
              </w:rPr>
              <w:t>集气罩，废气收集后经</w:t>
            </w:r>
            <w:r>
              <w:rPr>
                <w:sz w:val="24"/>
              </w:rPr>
              <w:t>UV</w:t>
            </w:r>
            <w:r>
              <w:rPr>
                <w:rFonts w:hint="eastAsia" w:ascii="宋体" w:hAnsi="宋体"/>
                <w:sz w:val="24"/>
              </w:rPr>
              <w:t>光解</w:t>
            </w:r>
            <w:r>
              <w:rPr>
                <w:sz w:val="24"/>
              </w:rPr>
              <w:t>+</w:t>
            </w:r>
            <w:r>
              <w:rPr>
                <w:rFonts w:hint="eastAsia" w:ascii="宋体" w:hAnsi="宋体"/>
                <w:sz w:val="24"/>
              </w:rPr>
              <w:t>活性炭吸附收集装置处理，通过</w:t>
            </w:r>
            <w:r>
              <w:rPr>
                <w:sz w:val="24"/>
              </w:rPr>
              <w:t>15m</w:t>
            </w:r>
            <w:r>
              <w:rPr>
                <w:rFonts w:hint="eastAsia" w:ascii="宋体" w:hAnsi="宋体"/>
                <w:sz w:val="24"/>
              </w:rPr>
              <w:t>排气筒排放。能够满足《挥发性有机物排放控制标准》（</w:t>
            </w:r>
            <w:r>
              <w:rPr>
                <w:sz w:val="24"/>
              </w:rPr>
              <w:t>DB61/T1061-2017</w:t>
            </w:r>
            <w:r>
              <w:rPr>
                <w:rFonts w:hint="eastAsia" w:ascii="宋体" w:hAnsi="宋体"/>
                <w:sz w:val="24"/>
              </w:rPr>
              <w:t>）中表面涂装行业排放限值要求。</w:t>
            </w:r>
          </w:p>
          <w:p>
            <w:pPr>
              <w:pStyle w:val="2"/>
              <w:rPr>
                <w:rFonts w:hint="eastAsia"/>
                <w:lang w:val="en-US" w:eastAsia="zh-CN"/>
              </w:rPr>
            </w:pPr>
            <w:r>
              <w:rPr>
                <w:rFonts w:hint="eastAsia"/>
                <w:lang w:val="en-US" w:eastAsia="zh-CN"/>
              </w:rPr>
              <w:t>根据估算预测结果，在严格落实环保措施的基础上，项目产生的有机废气、焊接烟尘、粉尘和燃烧废气可以做到达标排放。</w:t>
            </w:r>
          </w:p>
          <w:p>
            <w:pPr>
              <w:autoSpaceDN w:val="0"/>
              <w:spacing w:line="360" w:lineRule="auto"/>
              <w:ind w:firstLine="480" w:firstLineChars="200"/>
              <w:rPr>
                <w:sz w:val="24"/>
              </w:rPr>
            </w:pPr>
            <w:r>
              <w:rPr>
                <w:rFonts w:hint="eastAsia"/>
                <w:sz w:val="24"/>
              </w:rPr>
              <w:t>（2）</w:t>
            </w:r>
            <w:r>
              <w:rPr>
                <w:sz w:val="24"/>
              </w:rPr>
              <w:t>水环境影响分析</w:t>
            </w:r>
          </w:p>
          <w:p>
            <w:pPr>
              <w:autoSpaceDN w:val="0"/>
              <w:spacing w:line="360" w:lineRule="auto"/>
              <w:ind w:firstLine="480" w:firstLineChars="200"/>
              <w:rPr>
                <w:rFonts w:ascii="宋体"/>
                <w:sz w:val="24"/>
              </w:rPr>
            </w:pPr>
            <w:r>
              <w:rPr>
                <w:rFonts w:hint="eastAsia" w:ascii="宋体"/>
                <w:sz w:val="24"/>
              </w:rPr>
              <w:t>本项目</w:t>
            </w:r>
            <w:r>
              <w:rPr>
                <w:rFonts w:hint="eastAsia" w:ascii="宋体"/>
                <w:sz w:val="24"/>
                <w:lang w:val="en-US" w:eastAsia="zh-CN"/>
              </w:rPr>
              <w:t>冷却水循环使用，不外排。员工生活废水</w:t>
            </w:r>
            <w:r>
              <w:rPr>
                <w:rFonts w:hint="eastAsia" w:ascii="宋体"/>
                <w:sz w:val="24"/>
              </w:rPr>
              <w:t>排入</w:t>
            </w:r>
            <w:r>
              <w:rPr>
                <w:rFonts w:hint="eastAsia" w:ascii="宋体"/>
                <w:sz w:val="24"/>
                <w:lang w:val="en-US" w:eastAsia="zh-CN"/>
              </w:rPr>
              <w:t>旱厕</w:t>
            </w:r>
            <w:r>
              <w:rPr>
                <w:rFonts w:hint="eastAsia" w:ascii="宋体"/>
                <w:sz w:val="24"/>
              </w:rPr>
              <w:t>，定期拉走做农肥。对地表水环境影响较小。</w:t>
            </w:r>
          </w:p>
          <w:p>
            <w:pPr>
              <w:spacing w:line="360" w:lineRule="auto"/>
              <w:ind w:firstLine="480" w:firstLineChars="200"/>
              <w:rPr>
                <w:sz w:val="24"/>
              </w:rPr>
            </w:pPr>
            <w:r>
              <w:rPr>
                <w:sz w:val="24"/>
              </w:rPr>
              <w:t>（3）噪声环境影响分析</w:t>
            </w:r>
          </w:p>
          <w:p>
            <w:pPr>
              <w:spacing w:line="360" w:lineRule="auto"/>
              <w:ind w:firstLine="480" w:firstLineChars="200"/>
              <w:rPr>
                <w:sz w:val="24"/>
              </w:rPr>
            </w:pPr>
            <w:r>
              <w:rPr>
                <w:rFonts w:hint="eastAsia"/>
                <w:sz w:val="24"/>
              </w:rPr>
              <w:t>由预测结果可知，采取评价提出的隔声降噪措施后，东、南、西、北各厂界昼间噪声贡献值满足《工业企业厂界环境噪声排放标准》（GB12348-2008）中2类标准要求，敏感点噪声预测值满足《声环境质量标准》(GB3096-2008)中2类标准要求，对环境影响较小。</w:t>
            </w:r>
          </w:p>
          <w:p>
            <w:pPr>
              <w:spacing w:line="360" w:lineRule="auto"/>
              <w:ind w:firstLine="480" w:firstLineChars="200"/>
              <w:rPr>
                <w:sz w:val="24"/>
              </w:rPr>
            </w:pPr>
            <w:r>
              <w:rPr>
                <w:sz w:val="24"/>
              </w:rPr>
              <w:t>（4）固废环境影响分析</w:t>
            </w:r>
          </w:p>
          <w:p>
            <w:pPr>
              <w:spacing w:line="360" w:lineRule="auto"/>
              <w:ind w:firstLine="480" w:firstLineChars="200"/>
              <w:rPr>
                <w:rFonts w:hint="eastAsia" w:ascii="宋体"/>
                <w:sz w:val="24"/>
              </w:rPr>
            </w:pPr>
            <w:r>
              <w:rPr>
                <w:rFonts w:hint="eastAsia"/>
                <w:bCs/>
                <w:sz w:val="24"/>
              </w:rPr>
              <w:t>本项目</w:t>
            </w:r>
            <w:r>
              <w:rPr>
                <w:rFonts w:hAnsi="宋体"/>
                <w:sz w:val="24"/>
              </w:rPr>
              <w:t>焊接过程会产生少量的</w:t>
            </w:r>
            <w:r>
              <w:rPr>
                <w:rFonts w:hint="eastAsia" w:hAnsi="宋体"/>
                <w:sz w:val="24"/>
                <w:lang w:val="en-US" w:eastAsia="zh-CN"/>
              </w:rPr>
              <w:t>粉尘</w:t>
            </w:r>
            <w:r>
              <w:rPr>
                <w:rFonts w:hAnsi="宋体"/>
                <w:sz w:val="24"/>
              </w:rPr>
              <w:t>，收集后交由专门回收单位</w:t>
            </w:r>
            <w:r>
              <w:rPr>
                <w:rFonts w:hint="eastAsia" w:hAnsi="宋体"/>
                <w:sz w:val="24"/>
              </w:rPr>
              <w:t>处置</w:t>
            </w:r>
            <w:r>
              <w:rPr>
                <w:rFonts w:hint="eastAsia" w:hAnsi="宋体"/>
                <w:sz w:val="24"/>
                <w:lang w:eastAsia="zh-CN"/>
              </w:rPr>
              <w:t>；</w:t>
            </w:r>
            <w:r>
              <w:rPr>
                <w:rFonts w:hint="default" w:ascii="Times New Roman" w:hAnsi="Times New Roman" w:eastAsia="宋体" w:cs="Times New Roman"/>
                <w:sz w:val="24"/>
                <w:szCs w:val="24"/>
                <w:lang w:val="en-US" w:eastAsia="zh-CN"/>
              </w:rPr>
              <w:t>喷塑过程中</w:t>
            </w:r>
            <w:r>
              <w:rPr>
                <w:rFonts w:hint="default" w:ascii="Times New Roman" w:hAnsi="Times New Roman" w:eastAsia="宋体" w:cs="Times New Roman"/>
                <w:sz w:val="24"/>
                <w:szCs w:val="24"/>
              </w:rPr>
              <w:t>塑粉收</w:t>
            </w:r>
            <w:r>
              <w:rPr>
                <w:rFonts w:hint="default" w:ascii="Times New Roman" w:hAnsi="Times New Roman" w:eastAsia="宋体" w:cs="Times New Roman"/>
                <w:sz w:val="24"/>
                <w:szCs w:val="24"/>
                <w:lang w:val="en-US" w:eastAsia="zh-CN"/>
              </w:rPr>
              <w:t>集后</w:t>
            </w:r>
            <w:r>
              <w:rPr>
                <w:rFonts w:hint="default" w:ascii="Times New Roman" w:hAnsi="Times New Roman" w:eastAsia="宋体" w:cs="Times New Roman"/>
                <w:sz w:val="24"/>
                <w:szCs w:val="24"/>
              </w:rPr>
              <w:t>回用于生产</w:t>
            </w:r>
            <w:r>
              <w:rPr>
                <w:rFonts w:hint="eastAsia" w:cs="Times New Roman"/>
                <w:sz w:val="24"/>
                <w:szCs w:val="24"/>
                <w:lang w:eastAsia="zh-CN"/>
              </w:rPr>
              <w:t>；</w:t>
            </w:r>
            <w:r>
              <w:rPr>
                <w:rFonts w:hint="eastAsia" w:cs="Times New Roman"/>
                <w:sz w:val="24"/>
                <w:szCs w:val="24"/>
                <w:lang w:val="en-US" w:eastAsia="zh-CN"/>
              </w:rPr>
              <w:t>项目木板切割过程中产生的边角料</w:t>
            </w:r>
            <w:r>
              <w:rPr>
                <w:rFonts w:hint="default" w:ascii="Times New Roman" w:hAnsi="Times New Roman" w:cs="Times New Roman"/>
                <w:sz w:val="24"/>
                <w:szCs w:val="24"/>
                <w:lang w:val="en-US" w:eastAsia="zh-CN"/>
              </w:rPr>
              <w:t>为</w:t>
            </w:r>
            <w:r>
              <w:rPr>
                <w:rFonts w:hint="eastAsia" w:cs="Times New Roman"/>
                <w:sz w:val="24"/>
                <w:szCs w:val="24"/>
                <w:lang w:val="en-US" w:eastAsia="zh-CN"/>
              </w:rPr>
              <w:t>、</w:t>
            </w:r>
            <w:r>
              <w:rPr>
                <w:rFonts w:hint="default" w:ascii="Times New Roman" w:hAnsi="Times New Roman" w:cs="Times New Roman"/>
                <w:sz w:val="24"/>
                <w:szCs w:val="24"/>
                <w:lang w:val="en-US" w:eastAsia="zh-CN"/>
              </w:rPr>
              <w:t>双桶除尘器收集的</w:t>
            </w:r>
            <w:r>
              <w:rPr>
                <w:rFonts w:hint="eastAsia" w:ascii="Times New Roman" w:hAnsi="Times New Roman" w:cs="Times New Roman"/>
                <w:sz w:val="24"/>
                <w:szCs w:val="24"/>
                <w:lang w:val="en-US" w:eastAsia="zh-CN"/>
              </w:rPr>
              <w:t>木屑</w:t>
            </w:r>
            <w:r>
              <w:rPr>
                <w:rFonts w:hint="default" w:ascii="Times New Roman" w:hAnsi="Times New Roman" w:cs="Times New Roman"/>
                <w:sz w:val="24"/>
                <w:szCs w:val="24"/>
                <w:lang w:val="en-US" w:eastAsia="zh-CN"/>
              </w:rPr>
              <w:t>粉尘</w:t>
            </w:r>
            <w:r>
              <w:rPr>
                <w:rFonts w:hint="eastAsia" w:ascii="Times New Roman" w:hAnsi="Times New Roman" w:cs="Times New Roman"/>
                <w:sz w:val="24"/>
                <w:szCs w:val="24"/>
                <w:lang w:val="en-US" w:eastAsia="zh-CN"/>
              </w:rPr>
              <w:t>收集后</w:t>
            </w:r>
            <w:r>
              <w:rPr>
                <w:rFonts w:hint="eastAsia" w:cs="Times New Roman"/>
                <w:sz w:val="24"/>
                <w:szCs w:val="24"/>
                <w:lang w:val="en-US" w:eastAsia="zh-CN"/>
              </w:rPr>
              <w:t>出售</w:t>
            </w:r>
            <w:r>
              <w:rPr>
                <w:rFonts w:hint="eastAsia" w:ascii="Times New Roman" w:hAnsi="Times New Roman" w:cs="Times New Roman"/>
                <w:sz w:val="24"/>
                <w:szCs w:val="24"/>
                <w:lang w:val="en-US" w:eastAsia="zh-CN"/>
              </w:rPr>
              <w:t>给废物回收单位</w:t>
            </w:r>
            <w:r>
              <w:rPr>
                <w:rFonts w:hint="eastAsia"/>
                <w:bCs/>
                <w:sz w:val="24"/>
                <w:lang w:eastAsia="zh-CN"/>
              </w:rPr>
              <w:t>。</w:t>
            </w:r>
            <w:r>
              <w:rPr>
                <w:rFonts w:hint="eastAsia"/>
                <w:bCs/>
                <w:sz w:val="24"/>
              </w:rPr>
              <w:t>生活垃圾经收集后定期交由环卫部门统一处理；危险废物设危险废物暂存</w:t>
            </w:r>
            <w:r>
              <w:rPr>
                <w:rFonts w:hint="eastAsia"/>
                <w:bCs/>
                <w:sz w:val="24"/>
                <w:lang w:val="en-US" w:eastAsia="zh-CN"/>
              </w:rPr>
              <w:t>间</w:t>
            </w:r>
            <w:r>
              <w:rPr>
                <w:rFonts w:hint="eastAsia"/>
                <w:bCs/>
                <w:sz w:val="24"/>
              </w:rPr>
              <w:t>，定期交由有资质单位处置。在采取环评提出的各项措施后，项目固废均得到合理处置，对周围环境影响较小</w:t>
            </w:r>
            <w:r>
              <w:rPr>
                <w:rFonts w:hint="eastAsia" w:ascii="宋体"/>
                <w:sz w:val="24"/>
              </w:rPr>
              <w:t>。</w:t>
            </w:r>
          </w:p>
          <w:p>
            <w:pPr>
              <w:keepNext w:val="0"/>
              <w:keepLines w:val="0"/>
              <w:pageBreakBefore w:val="0"/>
              <w:widowControl/>
              <w:tabs>
                <w:tab w:val="left" w:pos="3000"/>
              </w:tabs>
              <w:kinsoku/>
              <w:wordWrap/>
              <w:overflowPunct/>
              <w:topLinePunct w:val="0"/>
              <w:autoSpaceDE/>
              <w:autoSpaceDN/>
              <w:bidi w:val="0"/>
              <w:adjustRightInd/>
              <w:snapToGrid w:val="0"/>
              <w:spacing w:line="360" w:lineRule="auto"/>
              <w:ind w:firstLine="460"/>
              <w:jc w:val="left"/>
              <w:textAlignment w:val="auto"/>
              <w:rPr>
                <w:rFonts w:hint="default" w:ascii="宋体"/>
                <w:sz w:val="24"/>
                <w:lang w:val="en-US" w:eastAsia="zh-CN"/>
              </w:rPr>
            </w:pPr>
            <w:r>
              <w:rPr>
                <w:rFonts w:hint="eastAsia" w:ascii="宋体"/>
                <w:sz w:val="24"/>
                <w:lang w:eastAsia="zh-CN"/>
              </w:rPr>
              <w:t>（</w:t>
            </w:r>
            <w:r>
              <w:rPr>
                <w:rFonts w:hint="eastAsia" w:ascii="宋体"/>
                <w:sz w:val="24"/>
                <w:lang w:val="en-US" w:eastAsia="zh-CN"/>
              </w:rPr>
              <w:t>5</w:t>
            </w:r>
            <w:r>
              <w:rPr>
                <w:rFonts w:hint="eastAsia" w:ascii="宋体"/>
                <w:sz w:val="24"/>
                <w:lang w:eastAsia="zh-CN"/>
              </w:rPr>
              <w:t>）</w:t>
            </w:r>
            <w:r>
              <w:rPr>
                <w:rFonts w:hint="eastAsia" w:ascii="宋体"/>
                <w:sz w:val="24"/>
                <w:lang w:val="en-US" w:eastAsia="zh-CN"/>
              </w:rPr>
              <w:t>土壤环境分析</w:t>
            </w:r>
          </w:p>
          <w:p>
            <w:pPr>
              <w:keepNext w:val="0"/>
              <w:keepLines w:val="0"/>
              <w:pageBreakBefore w:val="0"/>
              <w:widowControl/>
              <w:tabs>
                <w:tab w:val="left" w:pos="3000"/>
              </w:tabs>
              <w:kinsoku/>
              <w:wordWrap/>
              <w:overflowPunct/>
              <w:topLinePunct w:val="0"/>
              <w:autoSpaceDE/>
              <w:autoSpaceDN/>
              <w:bidi w:val="0"/>
              <w:adjustRightInd/>
              <w:snapToGrid w:val="0"/>
              <w:spacing w:line="360" w:lineRule="auto"/>
              <w:ind w:firstLine="460"/>
              <w:jc w:val="left"/>
              <w:textAlignment w:val="auto"/>
              <w:rPr>
                <w:rFonts w:hint="eastAsia"/>
              </w:rPr>
            </w:pPr>
            <w:r>
              <w:rPr>
                <w:color w:val="000000"/>
                <w:sz w:val="24"/>
              </w:rPr>
              <w:t>项目运营过程中，生产厂间、仓库地面进行混凝土硬化，无裸露地面，水土流失量较小。本项目为</w:t>
            </w:r>
            <w:r>
              <w:rPr>
                <w:rFonts w:hint="eastAsia"/>
                <w:color w:val="000000"/>
                <w:sz w:val="24"/>
                <w:lang w:val="en-US" w:eastAsia="zh-CN"/>
              </w:rPr>
              <w:t>金属</w:t>
            </w:r>
            <w:r>
              <w:rPr>
                <w:color w:val="000000"/>
                <w:sz w:val="24"/>
              </w:rPr>
              <w:t>家具制造，属于《环境影响评价技术导则-土壤环境》附录A中制造业中的其他用品制造类项目，项目不涉及表面处理及喷漆，</w:t>
            </w:r>
            <w:r>
              <w:rPr>
                <w:rFonts w:hint="eastAsia"/>
                <w:color w:val="000000"/>
                <w:sz w:val="24"/>
                <w:lang w:val="en-US" w:eastAsia="zh-CN"/>
              </w:rPr>
              <w:t>仅在固化、封边工艺有少量有机废气产生，</w:t>
            </w:r>
            <w:r>
              <w:rPr>
                <w:color w:val="000000"/>
                <w:sz w:val="24"/>
              </w:rPr>
              <w:t>生产过程中</w:t>
            </w:r>
            <w:r>
              <w:rPr>
                <w:rFonts w:hint="eastAsia"/>
                <w:color w:val="000000"/>
                <w:sz w:val="24"/>
                <w:lang w:val="en-US" w:eastAsia="zh-CN"/>
              </w:rPr>
              <w:t>通过加强环保管理，喷塑车间密闭等等措施后少量有机废气沉降，</w:t>
            </w:r>
            <w:r>
              <w:rPr>
                <w:color w:val="000000"/>
                <w:sz w:val="24"/>
              </w:rPr>
              <w:t>不会对土壤产生</w:t>
            </w:r>
            <w:r>
              <w:rPr>
                <w:rFonts w:hint="eastAsia"/>
                <w:color w:val="000000"/>
                <w:sz w:val="24"/>
                <w:lang w:val="en-US" w:eastAsia="zh-CN"/>
              </w:rPr>
              <w:t>较大</w:t>
            </w:r>
            <w:r>
              <w:rPr>
                <w:color w:val="000000"/>
                <w:sz w:val="24"/>
              </w:rPr>
              <w:t>污染。</w:t>
            </w:r>
          </w:p>
          <w:p>
            <w:pPr>
              <w:autoSpaceDE w:val="0"/>
              <w:autoSpaceDN w:val="0"/>
              <w:spacing w:line="360" w:lineRule="auto"/>
              <w:ind w:firstLine="482" w:firstLineChars="200"/>
              <w:rPr>
                <w:b/>
                <w:kern w:val="0"/>
                <w:sz w:val="24"/>
                <w:lang w:val="en-GB"/>
              </w:rPr>
            </w:pPr>
            <w:r>
              <w:rPr>
                <w:rFonts w:hint="eastAsia"/>
                <w:b/>
                <w:sz w:val="24"/>
                <w:lang w:val="en-US" w:eastAsia="zh-CN"/>
              </w:rPr>
              <w:t>7</w:t>
            </w:r>
            <w:r>
              <w:rPr>
                <w:b/>
                <w:sz w:val="24"/>
              </w:rPr>
              <w:t>、总结论</w:t>
            </w:r>
          </w:p>
          <w:p>
            <w:pPr>
              <w:pStyle w:val="10"/>
              <w:autoSpaceDN w:val="0"/>
              <w:spacing w:line="360" w:lineRule="auto"/>
              <w:ind w:firstLine="480" w:firstLineChars="200"/>
              <w:jc w:val="both"/>
              <w:rPr>
                <w:rFonts w:hint="eastAsia"/>
                <w:sz w:val="24"/>
                <w:szCs w:val="24"/>
              </w:rPr>
            </w:pPr>
            <w:r>
              <w:rPr>
                <w:rFonts w:hint="eastAsia"/>
                <w:bCs/>
                <w:kern w:val="0"/>
                <w:sz w:val="24"/>
                <w:szCs w:val="24"/>
              </w:rPr>
              <w:t>综上所述，本项目符合国家及地方产业政策和相关规划，项目运营期产生的废气、废水、噪声、固废采取措施治理后，能够实现污染物的达标排放，</w:t>
            </w:r>
            <w:r>
              <w:rPr>
                <w:rFonts w:hint="eastAsia"/>
                <w:bCs/>
                <w:sz w:val="24"/>
                <w:szCs w:val="24"/>
              </w:rPr>
              <w:t>对周边环境影响较小</w:t>
            </w:r>
            <w:r>
              <w:rPr>
                <w:rFonts w:hint="eastAsia"/>
                <w:bCs/>
                <w:kern w:val="0"/>
                <w:sz w:val="24"/>
                <w:szCs w:val="24"/>
              </w:rPr>
              <w:t>。在落实本环评提出的环境保护措施后，项目污染物可以做到达标排放。</w:t>
            </w:r>
            <w:r>
              <w:rPr>
                <w:rFonts w:hint="eastAsia"/>
                <w:bCs/>
                <w:sz w:val="24"/>
                <w:szCs w:val="24"/>
              </w:rPr>
              <w:t>从环境保护技术角度分析，项目建设是可行的</w:t>
            </w:r>
            <w:r>
              <w:rPr>
                <w:rFonts w:hint="eastAsia"/>
                <w:sz w:val="24"/>
                <w:szCs w:val="24"/>
              </w:rPr>
              <w:t>。</w:t>
            </w:r>
          </w:p>
          <w:p>
            <w:pPr>
              <w:ind w:firstLine="0" w:firstLineChars="0"/>
              <w:rPr>
                <w:b/>
                <w:bCs/>
                <w:sz w:val="28"/>
                <w:szCs w:val="28"/>
              </w:rPr>
            </w:pPr>
            <w:bookmarkStart w:id="103" w:name="_Toc423990961"/>
            <w:r>
              <w:rPr>
                <w:rFonts w:hint="eastAsia"/>
                <w:b/>
                <w:bCs/>
                <w:sz w:val="28"/>
                <w:szCs w:val="28"/>
                <w:lang w:val="en-US" w:eastAsia="zh-CN"/>
              </w:rPr>
              <w:t>二、</w:t>
            </w:r>
            <w:r>
              <w:rPr>
                <w:b/>
                <w:bCs/>
                <w:sz w:val="28"/>
                <w:szCs w:val="28"/>
              </w:rPr>
              <w:t>要求与建议</w:t>
            </w:r>
          </w:p>
          <w:bookmarkEnd w:id="102"/>
          <w:bookmarkEnd w:id="103"/>
          <w:p>
            <w:pPr>
              <w:autoSpaceDN w:val="0"/>
              <w:spacing w:line="360" w:lineRule="auto"/>
              <w:ind w:firstLine="482" w:firstLineChars="200"/>
              <w:rPr>
                <w:b/>
                <w:sz w:val="24"/>
              </w:rPr>
            </w:pPr>
            <w:r>
              <w:rPr>
                <w:b/>
                <w:sz w:val="24"/>
              </w:rPr>
              <w:t>1、要求</w:t>
            </w:r>
          </w:p>
          <w:p>
            <w:pPr>
              <w:autoSpaceDN w:val="0"/>
              <w:spacing w:line="360" w:lineRule="auto"/>
              <w:ind w:firstLine="480" w:firstLineChars="200"/>
              <w:rPr>
                <w:rFonts w:hint="eastAsia"/>
                <w:sz w:val="24"/>
              </w:rPr>
            </w:pPr>
            <w:r>
              <w:rPr>
                <w:rFonts w:hint="eastAsia"/>
                <w:sz w:val="24"/>
              </w:rPr>
              <w:t>（</w:t>
            </w:r>
            <w:r>
              <w:rPr>
                <w:sz w:val="24"/>
              </w:rPr>
              <w:t>1</w:t>
            </w:r>
            <w:r>
              <w:rPr>
                <w:rFonts w:hint="eastAsia"/>
                <w:sz w:val="24"/>
              </w:rPr>
              <w:t>）严格落实评价提出的污染物治理措施，将项目污染物对周围环境的影响降至最低。</w:t>
            </w:r>
          </w:p>
          <w:p>
            <w:pPr>
              <w:autoSpaceDN w:val="0"/>
              <w:spacing w:line="360" w:lineRule="auto"/>
              <w:ind w:firstLine="480" w:firstLineChars="200"/>
              <w:rPr>
                <w:rFonts w:hint="eastAsia"/>
                <w:sz w:val="24"/>
              </w:rPr>
            </w:pPr>
            <w:r>
              <w:rPr>
                <w:rFonts w:hint="eastAsia"/>
                <w:sz w:val="24"/>
              </w:rPr>
              <w:t>（2）定期检修保养生产设备，定期监控污染治理设施运行情况，保证设备正常运行和污染物的达标排放。</w:t>
            </w:r>
          </w:p>
          <w:p>
            <w:pPr>
              <w:autoSpaceDN w:val="0"/>
              <w:spacing w:line="360" w:lineRule="auto"/>
              <w:ind w:firstLine="480" w:firstLineChars="200"/>
              <w:rPr>
                <w:rFonts w:hint="eastAsia"/>
                <w:sz w:val="24"/>
              </w:rPr>
            </w:pPr>
            <w:r>
              <w:rPr>
                <w:rFonts w:hint="eastAsia"/>
                <w:sz w:val="24"/>
              </w:rPr>
              <w:t>（3）生活垃圾应及时清理、避免长期堆放；</w:t>
            </w:r>
          </w:p>
          <w:p>
            <w:pPr>
              <w:autoSpaceDN w:val="0"/>
              <w:spacing w:line="360" w:lineRule="auto"/>
              <w:ind w:firstLine="480" w:firstLineChars="200"/>
              <w:rPr>
                <w:rFonts w:hint="eastAsia"/>
                <w:sz w:val="24"/>
              </w:rPr>
            </w:pPr>
            <w:r>
              <w:rPr>
                <w:rFonts w:hint="eastAsia"/>
                <w:sz w:val="24"/>
              </w:rPr>
              <w:t>（4）废机油、</w:t>
            </w:r>
            <w:r>
              <w:rPr>
                <w:rFonts w:hint="eastAsia"/>
                <w:sz w:val="24"/>
                <w:lang w:val="en-US" w:eastAsia="zh-CN"/>
              </w:rPr>
              <w:t>废旧活性炭</w:t>
            </w:r>
            <w:r>
              <w:rPr>
                <w:rFonts w:hint="eastAsia"/>
                <w:sz w:val="24"/>
              </w:rPr>
              <w:t>等危险废物于危废暂存</w:t>
            </w:r>
            <w:r>
              <w:rPr>
                <w:rFonts w:hint="eastAsia"/>
                <w:sz w:val="24"/>
                <w:lang w:val="en-US" w:eastAsia="zh-CN"/>
              </w:rPr>
              <w:t>间</w:t>
            </w:r>
            <w:r>
              <w:rPr>
                <w:rFonts w:hint="eastAsia"/>
                <w:sz w:val="24"/>
              </w:rPr>
              <w:t>暂存后交由有资质单位处理，并与其签署危废处置协议，定期转运，建立危险废物转运台账；</w:t>
            </w:r>
          </w:p>
          <w:p>
            <w:pPr>
              <w:autoSpaceDN w:val="0"/>
              <w:spacing w:line="360" w:lineRule="auto"/>
              <w:ind w:firstLine="480" w:firstLineChars="200"/>
              <w:rPr>
                <w:rFonts w:hint="eastAsia"/>
                <w:sz w:val="24"/>
              </w:rPr>
            </w:pPr>
            <w:r>
              <w:rPr>
                <w:rFonts w:hint="eastAsia"/>
                <w:sz w:val="24"/>
              </w:rPr>
              <w:t>（5）加强营运期的环境管理，将环境管理任务落实到个人，专人负责，定期检查，减少环境影响。</w:t>
            </w:r>
          </w:p>
          <w:p>
            <w:pPr>
              <w:autoSpaceDN w:val="0"/>
              <w:spacing w:line="360" w:lineRule="auto"/>
              <w:ind w:firstLine="482" w:firstLineChars="200"/>
              <w:rPr>
                <w:b/>
                <w:sz w:val="24"/>
              </w:rPr>
            </w:pPr>
            <w:r>
              <w:rPr>
                <w:b/>
                <w:sz w:val="24"/>
              </w:rPr>
              <w:t>2、建议</w:t>
            </w:r>
          </w:p>
          <w:p>
            <w:pPr>
              <w:autoSpaceDN w:val="0"/>
              <w:spacing w:line="360" w:lineRule="auto"/>
              <w:ind w:firstLine="480" w:firstLineChars="200"/>
              <w:rPr>
                <w:rFonts w:hint="eastAsia"/>
                <w:sz w:val="24"/>
              </w:rPr>
            </w:pPr>
            <w:r>
              <w:rPr>
                <w:rFonts w:hint="eastAsia"/>
                <w:sz w:val="24"/>
              </w:rPr>
              <w:t>（1）企业应认真执行国家和地方的各项环保法规和要求，明确厂内环保机构的主要职责，建立健全各项规章制度；</w:t>
            </w:r>
          </w:p>
          <w:p>
            <w:pPr>
              <w:autoSpaceDN w:val="0"/>
              <w:spacing w:line="360" w:lineRule="auto"/>
              <w:ind w:firstLine="480" w:firstLineChars="200"/>
              <w:rPr>
                <w:rFonts w:hint="eastAsia"/>
                <w:sz w:val="24"/>
              </w:rPr>
            </w:pPr>
            <w:r>
              <w:rPr>
                <w:rFonts w:hint="eastAsia"/>
                <w:sz w:val="24"/>
              </w:rPr>
              <w:t>（2）企业应强化管理，树立环保意识，并由专人通过培训负责环保工作；</w:t>
            </w:r>
          </w:p>
          <w:p>
            <w:pPr>
              <w:autoSpaceDN w:val="0"/>
              <w:spacing w:line="360" w:lineRule="auto"/>
              <w:ind w:firstLine="480" w:firstLineChars="200"/>
              <w:rPr>
                <w:rFonts w:hint="eastAsia"/>
                <w:sz w:val="24"/>
              </w:rPr>
            </w:pPr>
            <w:r>
              <w:rPr>
                <w:rFonts w:hint="eastAsia"/>
                <w:sz w:val="24"/>
              </w:rPr>
              <w:t>（3）企业要不断加强环境管理，做好持续清洁生产工作，加大技术设备改造，加强管理，不断提高企业综合竞争力。</w:t>
            </w:r>
          </w:p>
          <w:p>
            <w:pPr>
              <w:pStyle w:val="5"/>
              <w:rPr>
                <w:rFonts w:hint="eastAsia"/>
                <w:sz w:val="24"/>
              </w:rPr>
            </w:pPr>
          </w:p>
          <w:p>
            <w:pPr>
              <w:rPr>
                <w:rFonts w:hint="eastAsia"/>
                <w:sz w:val="24"/>
              </w:rPr>
            </w:pPr>
          </w:p>
          <w:p>
            <w:pPr>
              <w:pStyle w:val="5"/>
              <w:rPr>
                <w:rFonts w:hint="eastAsia"/>
                <w:sz w:val="24"/>
              </w:rPr>
            </w:pPr>
          </w:p>
          <w:p>
            <w:pPr>
              <w:rPr>
                <w:rFonts w:hint="eastAsia"/>
                <w:sz w:val="24"/>
              </w:rPr>
            </w:pPr>
          </w:p>
          <w:p>
            <w:pPr>
              <w:pStyle w:val="5"/>
              <w:rPr>
                <w:rFonts w:hint="eastAsia"/>
                <w:sz w:val="24"/>
              </w:rPr>
            </w:pPr>
          </w:p>
          <w:p>
            <w:pPr>
              <w:rPr>
                <w:rFonts w:hint="eastAsia"/>
                <w:sz w:val="24"/>
              </w:rPr>
            </w:pPr>
          </w:p>
          <w:p>
            <w:pPr>
              <w:pStyle w:val="5"/>
              <w:rPr>
                <w:rFonts w:hint="eastAsia"/>
                <w:sz w:val="24"/>
              </w:rPr>
            </w:pPr>
          </w:p>
          <w:p>
            <w:pPr>
              <w:rPr>
                <w:rFonts w:hint="eastAsia"/>
                <w:sz w:val="24"/>
              </w:rPr>
            </w:pPr>
          </w:p>
          <w:p>
            <w:pPr>
              <w:pStyle w:val="5"/>
              <w:rPr>
                <w:rFonts w:hint="eastAsia"/>
                <w:sz w:val="24"/>
              </w:rPr>
            </w:pPr>
          </w:p>
          <w:p>
            <w:pPr>
              <w:rPr>
                <w:rFonts w:hint="eastAsia"/>
                <w:sz w:val="24"/>
              </w:rPr>
            </w:pPr>
          </w:p>
          <w:p>
            <w:pPr>
              <w:pStyle w:val="5"/>
              <w:ind w:left="0" w:leftChars="0" w:firstLine="0" w:firstLineChars="0"/>
              <w:rPr>
                <w:rFonts w:hint="eastAsia"/>
                <w:sz w:val="24"/>
              </w:rPr>
            </w:pPr>
          </w:p>
          <w:p>
            <w:pPr>
              <w:rPr>
                <w:rFonts w:hint="eastAsia"/>
              </w:rPr>
            </w:pPr>
          </w:p>
          <w:p>
            <w:pPr>
              <w:ind w:firstLine="0" w:firstLineChars="0"/>
            </w:pPr>
          </w:p>
        </w:tc>
      </w:tr>
    </w:tbl>
    <w:p>
      <w:pPr>
        <w:ind w:firstLine="0" w:firstLineChars="0"/>
      </w:pPr>
    </w:p>
    <w:p>
      <w:pPr>
        <w:pStyle w:val="32"/>
        <w:ind w:left="480" w:firstLine="480"/>
        <w:sectPr>
          <w:headerReference r:id="rId13" w:type="default"/>
          <w:pgSz w:w="11907" w:h="16840"/>
          <w:pgMar w:top="1417" w:right="1417" w:bottom="1418" w:left="1587" w:header="1134" w:footer="1134" w:gutter="0"/>
          <w:pgBorders>
            <w:top w:val="none" w:sz="0" w:space="0"/>
            <w:left w:val="none" w:sz="0" w:space="0"/>
            <w:bottom w:val="none" w:sz="0" w:space="0"/>
            <w:right w:val="none" w:sz="0" w:space="0"/>
          </w:pgBorders>
          <w:pgNumType w:fmt="numberInDash"/>
          <w:cols w:space="720" w:num="1"/>
          <w:docGrid w:type="lines" w:linePitch="326" w:charSpace="0"/>
        </w:sectPr>
      </w:pPr>
    </w:p>
    <w:tbl>
      <w:tblPr>
        <w:tblStyle w:val="33"/>
        <w:tblW w:w="855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83" w:hRule="atLeast"/>
          <w:jc w:val="center"/>
        </w:trPr>
        <w:tc>
          <w:tcPr>
            <w:tcW w:w="8553" w:type="dxa"/>
            <w:vAlign w:val="center"/>
          </w:tcPr>
          <w:p>
            <w:pPr>
              <w:pStyle w:val="12"/>
              <w:adjustRightInd w:val="0"/>
              <w:snapToGrid w:val="0"/>
              <w:spacing w:after="0" w:line="500" w:lineRule="atLeast"/>
              <w:ind w:firstLine="562"/>
              <w:jc w:val="left"/>
              <w:rPr>
                <w:b/>
                <w:bCs/>
                <w:sz w:val="28"/>
                <w:szCs w:val="24"/>
              </w:rPr>
            </w:pPr>
            <w:r>
              <w:rPr>
                <w:b/>
                <w:bCs/>
                <w:sz w:val="28"/>
                <w:szCs w:val="24"/>
              </w:rPr>
              <w:t>预审意见：</w:t>
            </w: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r>
              <w:t>公章</w:t>
            </w:r>
          </w:p>
          <w:p>
            <w:pPr>
              <w:spacing w:line="500" w:lineRule="atLeast"/>
              <w:ind w:firstLine="480"/>
            </w:pPr>
            <w:r>
              <w:t>经办人：    年  月  日</w:t>
            </w:r>
          </w:p>
          <w:p>
            <w:pPr>
              <w:spacing w:line="500" w:lineRule="atLeast"/>
              <w:ind w:firstLine="480"/>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2" w:hRule="atLeast"/>
          <w:jc w:val="center"/>
        </w:trPr>
        <w:tc>
          <w:tcPr>
            <w:tcW w:w="8553" w:type="dxa"/>
            <w:vAlign w:val="center"/>
          </w:tcPr>
          <w:p>
            <w:pPr>
              <w:pStyle w:val="12"/>
              <w:adjustRightInd w:val="0"/>
              <w:snapToGrid w:val="0"/>
              <w:spacing w:after="0" w:line="500" w:lineRule="atLeast"/>
              <w:ind w:firstLine="562"/>
              <w:jc w:val="left"/>
              <w:rPr>
                <w:b/>
                <w:bCs/>
                <w:sz w:val="28"/>
                <w:szCs w:val="24"/>
              </w:rPr>
            </w:pPr>
            <w:r>
              <w:rPr>
                <w:b/>
                <w:bCs/>
                <w:sz w:val="28"/>
                <w:szCs w:val="24"/>
              </w:rPr>
              <w:t>下一级环境保护行政主管部门审查意见：</w:t>
            </w:r>
          </w:p>
          <w:p>
            <w:pPr>
              <w:pStyle w:val="12"/>
              <w:adjustRightInd w:val="0"/>
              <w:snapToGrid w:val="0"/>
              <w:spacing w:after="0" w:line="500" w:lineRule="atLeast"/>
              <w:ind w:firstLine="562"/>
              <w:jc w:val="left"/>
              <w:rPr>
                <w:b/>
                <w:bCs/>
                <w:sz w:val="28"/>
                <w:szCs w:val="24"/>
              </w:rPr>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r>
              <w:t>公章</w:t>
            </w:r>
          </w:p>
          <w:p>
            <w:pPr>
              <w:spacing w:line="500" w:lineRule="atLeast"/>
              <w:ind w:firstLine="480"/>
            </w:pPr>
            <w:r>
              <w:t>经办人：    年  月  日</w:t>
            </w:r>
          </w:p>
          <w:p>
            <w:pPr>
              <w:spacing w:line="500" w:lineRule="atLeast"/>
              <w:ind w:firstLine="480"/>
            </w:pPr>
          </w:p>
          <w:p>
            <w:pPr>
              <w:spacing w:line="500" w:lineRule="atLeast"/>
              <w:ind w:firstLine="480"/>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49" w:hRule="atLeast"/>
          <w:jc w:val="center"/>
        </w:trPr>
        <w:tc>
          <w:tcPr>
            <w:tcW w:w="8553" w:type="dxa"/>
          </w:tcPr>
          <w:p>
            <w:pPr>
              <w:pStyle w:val="12"/>
              <w:adjustRightInd w:val="0"/>
              <w:snapToGrid w:val="0"/>
              <w:spacing w:after="0" w:line="500" w:lineRule="atLeast"/>
              <w:ind w:firstLine="562"/>
              <w:jc w:val="left"/>
              <w:rPr>
                <w:b/>
                <w:bCs/>
                <w:sz w:val="28"/>
                <w:szCs w:val="24"/>
              </w:rPr>
            </w:pPr>
            <w:r>
              <w:rPr>
                <w:b/>
                <w:bCs/>
                <w:sz w:val="28"/>
                <w:szCs w:val="24"/>
              </w:rPr>
              <w:t>审批意见：</w:t>
            </w: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spacing w:line="500" w:lineRule="atLeast"/>
              <w:ind w:firstLine="480"/>
            </w:pPr>
          </w:p>
          <w:p>
            <w:pPr>
              <w:pStyle w:val="32"/>
              <w:ind w:left="0" w:leftChars="0" w:firstLine="0" w:firstLineChars="0"/>
            </w:pPr>
          </w:p>
          <w:p>
            <w:pPr>
              <w:spacing w:line="500" w:lineRule="atLeast"/>
              <w:ind w:firstLine="480"/>
            </w:pPr>
            <w:r>
              <w:t>公章</w:t>
            </w:r>
          </w:p>
          <w:p>
            <w:pPr>
              <w:spacing w:line="500" w:lineRule="atLeast"/>
              <w:ind w:firstLine="480"/>
              <w:rPr>
                <w:color w:val="FF0000"/>
              </w:rPr>
            </w:pPr>
            <w:r>
              <w:t>经办人：    年  月  日</w:t>
            </w:r>
          </w:p>
        </w:tc>
      </w:tr>
    </w:tbl>
    <w:p>
      <w:pPr>
        <w:ind w:firstLine="0" w:firstLineChars="0"/>
      </w:pPr>
    </w:p>
    <w:sectPr>
      <w:footerReference r:id="rId14"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汉鼎简书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240"/>
      <w:ind w:firstLine="0" w:firstLineChars="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240"/>
      <w:ind w:firstLine="0" w:firstLineChars="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ind w:firstLine="360"/>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alSEx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BGpUhMQIAAGMEAAAOAAAAAAAAAAEAIAAAAB8BAABkcnMvZTJvRG9jLnhtbFBLBQYA&#10;AAAABgAGAFkBAADCBQAAAAA=&#10;">
              <v:fill on="f" focussize="0,0"/>
              <v:stroke on="f" weight="0.5pt"/>
              <v:imagedata o:title=""/>
              <o:lock v:ext="edit" aspectratio="f"/>
              <v:textbox inset="0mm,0mm,0mm,0mm" style="mso-fit-shape-to-text:t;">
                <w:txbxContent>
                  <w:p>
                    <w:pPr>
                      <w:pStyle w:val="19"/>
                      <w:ind w:firstLine="360"/>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ind w:firstLine="360"/>
                          </w:pPr>
                          <w:r>
                            <w:fldChar w:fldCharType="begin"/>
                          </w:r>
                          <w:r>
                            <w:instrText xml:space="preserve"> PAGE  \* MERGEFORMAT </w:instrText>
                          </w:r>
                          <w:r>
                            <w:fldChar w:fldCharType="separate"/>
                          </w:r>
                          <w:r>
                            <w:t>- 52 -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NiFnkyAgAAYw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hRDOFhp++fzv9&#10;+HX6+ZVcRXla62eIerCIC91b02FohnuPy8i6q5yKv+BD4Ie4x4u4oguEx0fTyXSaw8XhGw7Azx6f&#10;W+fDO2EUiUZBHbqXRGWHjQ996BASs2mzbqRMHZSatAW9fn2V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2IWeTICAABjBAAADgAAAAAAAAABACAAAAAfAQAAZHJzL2Uyb0RvYy54bWxQSwUG&#10;AAAAAAYABgBZAQAAwwUAAAAA&#10;">
              <v:fill on="f" focussize="0,0"/>
              <v:stroke on="f" weight="0.5pt"/>
              <v:imagedata o:title=""/>
              <o:lock v:ext="edit" aspectratio="f"/>
              <v:textbox inset="0mm,0mm,0mm,0mm" style="mso-fit-shape-to-text:t;">
                <w:txbxContent>
                  <w:p>
                    <w:pPr>
                      <w:pStyle w:val="19"/>
                      <w:ind w:firstLine="360"/>
                    </w:pPr>
                    <w:r>
                      <w:fldChar w:fldCharType="begin"/>
                    </w:r>
                    <w:r>
                      <w:instrText xml:space="preserve"> PAGE  \* MERGEFORMAT </w:instrText>
                    </w:r>
                    <w:r>
                      <w:fldChar w:fldCharType="separate"/>
                    </w:r>
                    <w:r>
                      <w:t>- 52 -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ind w:firstLine="360"/>
                          </w:pPr>
                          <w:r>
                            <w:fldChar w:fldCharType="begin"/>
                          </w:r>
                          <w:r>
                            <w:instrText xml:space="preserve"> PAGE  \* MERGEFORMAT </w:instrText>
                          </w:r>
                          <w:r>
                            <w:fldChar w:fldCharType="separate"/>
                          </w:r>
                          <w:r>
                            <w:t>- 54 -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ckEkxAgAAZA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M3JBJMQIAAGQEAAAOAAAAAAAAAAEAIAAAAB8BAABkcnMvZTJvRG9jLnhtbFBLBQYA&#10;AAAABgAGAFkBAADCBQAAAAA=&#10;">
              <v:fill on="f" focussize="0,0"/>
              <v:stroke on="f" weight="0.5pt"/>
              <v:imagedata o:title=""/>
              <o:lock v:ext="edit" aspectratio="f"/>
              <v:textbox inset="0mm,0mm,0mm,0mm" style="mso-fit-shape-to-text:t;">
                <w:txbxContent>
                  <w:p>
                    <w:pPr>
                      <w:pStyle w:val="19"/>
                      <w:ind w:firstLine="360"/>
                    </w:pPr>
                    <w:r>
                      <w:fldChar w:fldCharType="begin"/>
                    </w:r>
                    <w:r>
                      <w:instrText xml:space="preserve"> PAGE  \* MERGEFORMAT </w:instrText>
                    </w:r>
                    <w:r>
                      <w:fldChar w:fldCharType="separate"/>
                    </w:r>
                    <w:r>
                      <w:t>- 54 -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F1E3B"/>
    <w:multiLevelType w:val="singleLevel"/>
    <w:tmpl w:val="A83F1E3B"/>
    <w:lvl w:ilvl="0" w:tentative="0">
      <w:start w:val="5"/>
      <w:numFmt w:val="decimal"/>
      <w:suff w:val="nothing"/>
      <w:lvlText w:val="（%1）"/>
      <w:lvlJc w:val="left"/>
    </w:lvl>
  </w:abstractNum>
  <w:abstractNum w:abstractNumId="1">
    <w:nsid w:val="52F406CF"/>
    <w:multiLevelType w:val="singleLevel"/>
    <w:tmpl w:val="52F406C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ZjdhYzIyZjQwNjZkMTY3NzQ4ZjBjZTMyZmQ4OGIifQ=="/>
  </w:docVars>
  <w:rsids>
    <w:rsidRoot w:val="00172A27"/>
    <w:rsid w:val="0000045F"/>
    <w:rsid w:val="00001A02"/>
    <w:rsid w:val="0000249D"/>
    <w:rsid w:val="00002CEA"/>
    <w:rsid w:val="00004705"/>
    <w:rsid w:val="000134FF"/>
    <w:rsid w:val="00013923"/>
    <w:rsid w:val="00014E5B"/>
    <w:rsid w:val="00015477"/>
    <w:rsid w:val="000158B1"/>
    <w:rsid w:val="0001683E"/>
    <w:rsid w:val="00017891"/>
    <w:rsid w:val="00017BD4"/>
    <w:rsid w:val="00020204"/>
    <w:rsid w:val="00020C7E"/>
    <w:rsid w:val="00022464"/>
    <w:rsid w:val="00023B61"/>
    <w:rsid w:val="000249D0"/>
    <w:rsid w:val="0002747D"/>
    <w:rsid w:val="00027A60"/>
    <w:rsid w:val="00031218"/>
    <w:rsid w:val="00032897"/>
    <w:rsid w:val="000328F7"/>
    <w:rsid w:val="00032F40"/>
    <w:rsid w:val="0003517C"/>
    <w:rsid w:val="00043123"/>
    <w:rsid w:val="0004432A"/>
    <w:rsid w:val="000455C4"/>
    <w:rsid w:val="00045C8D"/>
    <w:rsid w:val="00045D62"/>
    <w:rsid w:val="00047F73"/>
    <w:rsid w:val="00051A3A"/>
    <w:rsid w:val="00051B9B"/>
    <w:rsid w:val="0005238C"/>
    <w:rsid w:val="000530BE"/>
    <w:rsid w:val="00053DE9"/>
    <w:rsid w:val="00053DED"/>
    <w:rsid w:val="0005504E"/>
    <w:rsid w:val="0005555B"/>
    <w:rsid w:val="000614B1"/>
    <w:rsid w:val="0006155E"/>
    <w:rsid w:val="000618A3"/>
    <w:rsid w:val="00061A56"/>
    <w:rsid w:val="000634E4"/>
    <w:rsid w:val="000659D9"/>
    <w:rsid w:val="00065B00"/>
    <w:rsid w:val="000661F4"/>
    <w:rsid w:val="000663D8"/>
    <w:rsid w:val="00067063"/>
    <w:rsid w:val="0007004F"/>
    <w:rsid w:val="000700D3"/>
    <w:rsid w:val="00070781"/>
    <w:rsid w:val="00070E6C"/>
    <w:rsid w:val="000718E5"/>
    <w:rsid w:val="00071A07"/>
    <w:rsid w:val="00071C1E"/>
    <w:rsid w:val="00071EDD"/>
    <w:rsid w:val="0007384E"/>
    <w:rsid w:val="000743B9"/>
    <w:rsid w:val="000767B3"/>
    <w:rsid w:val="0007700B"/>
    <w:rsid w:val="00077013"/>
    <w:rsid w:val="000771D6"/>
    <w:rsid w:val="00077E68"/>
    <w:rsid w:val="00080DA6"/>
    <w:rsid w:val="00080E6C"/>
    <w:rsid w:val="000833E6"/>
    <w:rsid w:val="00083B47"/>
    <w:rsid w:val="00085F2B"/>
    <w:rsid w:val="00086A1E"/>
    <w:rsid w:val="00086BBD"/>
    <w:rsid w:val="00086E7B"/>
    <w:rsid w:val="00087CA0"/>
    <w:rsid w:val="00090258"/>
    <w:rsid w:val="00092231"/>
    <w:rsid w:val="00092AC0"/>
    <w:rsid w:val="0009326A"/>
    <w:rsid w:val="00094A20"/>
    <w:rsid w:val="00096112"/>
    <w:rsid w:val="0009766C"/>
    <w:rsid w:val="00097933"/>
    <w:rsid w:val="00097B95"/>
    <w:rsid w:val="000A088F"/>
    <w:rsid w:val="000A205E"/>
    <w:rsid w:val="000A4080"/>
    <w:rsid w:val="000A45B8"/>
    <w:rsid w:val="000A55D9"/>
    <w:rsid w:val="000A575E"/>
    <w:rsid w:val="000A6322"/>
    <w:rsid w:val="000A65AF"/>
    <w:rsid w:val="000A7D63"/>
    <w:rsid w:val="000B002F"/>
    <w:rsid w:val="000B09C3"/>
    <w:rsid w:val="000B2FAA"/>
    <w:rsid w:val="000B3372"/>
    <w:rsid w:val="000B3A05"/>
    <w:rsid w:val="000B4FB1"/>
    <w:rsid w:val="000B5831"/>
    <w:rsid w:val="000B60B3"/>
    <w:rsid w:val="000C2DE2"/>
    <w:rsid w:val="000C2E75"/>
    <w:rsid w:val="000C40D6"/>
    <w:rsid w:val="000C44D0"/>
    <w:rsid w:val="000C45D1"/>
    <w:rsid w:val="000C65FC"/>
    <w:rsid w:val="000C6B30"/>
    <w:rsid w:val="000C7207"/>
    <w:rsid w:val="000C7933"/>
    <w:rsid w:val="000D09B2"/>
    <w:rsid w:val="000D09FC"/>
    <w:rsid w:val="000D152E"/>
    <w:rsid w:val="000D16B4"/>
    <w:rsid w:val="000D2140"/>
    <w:rsid w:val="000D2ABD"/>
    <w:rsid w:val="000D32A4"/>
    <w:rsid w:val="000D4FE1"/>
    <w:rsid w:val="000D5266"/>
    <w:rsid w:val="000D5535"/>
    <w:rsid w:val="000D59CE"/>
    <w:rsid w:val="000D72E4"/>
    <w:rsid w:val="000E38D4"/>
    <w:rsid w:val="000E40A5"/>
    <w:rsid w:val="000E5473"/>
    <w:rsid w:val="000E5AB1"/>
    <w:rsid w:val="000E6425"/>
    <w:rsid w:val="000E64BD"/>
    <w:rsid w:val="000E6881"/>
    <w:rsid w:val="000E7AED"/>
    <w:rsid w:val="000F192A"/>
    <w:rsid w:val="000F32AD"/>
    <w:rsid w:val="000F370C"/>
    <w:rsid w:val="00101451"/>
    <w:rsid w:val="00102757"/>
    <w:rsid w:val="00103DD7"/>
    <w:rsid w:val="00103E84"/>
    <w:rsid w:val="0010401F"/>
    <w:rsid w:val="001043B1"/>
    <w:rsid w:val="00105F6C"/>
    <w:rsid w:val="001072ED"/>
    <w:rsid w:val="00107F39"/>
    <w:rsid w:val="00110979"/>
    <w:rsid w:val="00111D48"/>
    <w:rsid w:val="00114B9B"/>
    <w:rsid w:val="00115BB1"/>
    <w:rsid w:val="001169DF"/>
    <w:rsid w:val="00117FF1"/>
    <w:rsid w:val="001220C9"/>
    <w:rsid w:val="00122238"/>
    <w:rsid w:val="00122B4E"/>
    <w:rsid w:val="00123905"/>
    <w:rsid w:val="001241EF"/>
    <w:rsid w:val="00125EB0"/>
    <w:rsid w:val="00127DC3"/>
    <w:rsid w:val="001302B3"/>
    <w:rsid w:val="00133BD5"/>
    <w:rsid w:val="0013602D"/>
    <w:rsid w:val="00136605"/>
    <w:rsid w:val="00136F9E"/>
    <w:rsid w:val="00140C0F"/>
    <w:rsid w:val="00141126"/>
    <w:rsid w:val="00143AEC"/>
    <w:rsid w:val="00143FE4"/>
    <w:rsid w:val="00144AC2"/>
    <w:rsid w:val="001450E9"/>
    <w:rsid w:val="00145EFF"/>
    <w:rsid w:val="00146DF3"/>
    <w:rsid w:val="001479BA"/>
    <w:rsid w:val="001500F2"/>
    <w:rsid w:val="001528D6"/>
    <w:rsid w:val="0015495A"/>
    <w:rsid w:val="00154C31"/>
    <w:rsid w:val="00157305"/>
    <w:rsid w:val="00157793"/>
    <w:rsid w:val="00157ABF"/>
    <w:rsid w:val="00160381"/>
    <w:rsid w:val="0016207A"/>
    <w:rsid w:val="00162683"/>
    <w:rsid w:val="00162B7A"/>
    <w:rsid w:val="001631CB"/>
    <w:rsid w:val="00163280"/>
    <w:rsid w:val="0016406F"/>
    <w:rsid w:val="00164442"/>
    <w:rsid w:val="00164507"/>
    <w:rsid w:val="0016471F"/>
    <w:rsid w:val="0016482F"/>
    <w:rsid w:val="00165EED"/>
    <w:rsid w:val="00167027"/>
    <w:rsid w:val="0017091E"/>
    <w:rsid w:val="00171D75"/>
    <w:rsid w:val="00172843"/>
    <w:rsid w:val="00172A27"/>
    <w:rsid w:val="001751CB"/>
    <w:rsid w:val="00175BF6"/>
    <w:rsid w:val="00175BFA"/>
    <w:rsid w:val="00182AF5"/>
    <w:rsid w:val="00182F5E"/>
    <w:rsid w:val="00183566"/>
    <w:rsid w:val="00183AF5"/>
    <w:rsid w:val="00183EBA"/>
    <w:rsid w:val="001854EF"/>
    <w:rsid w:val="0018699C"/>
    <w:rsid w:val="00190C0A"/>
    <w:rsid w:val="00190E25"/>
    <w:rsid w:val="001910DA"/>
    <w:rsid w:val="0019220F"/>
    <w:rsid w:val="00192783"/>
    <w:rsid w:val="00193CEE"/>
    <w:rsid w:val="001946D5"/>
    <w:rsid w:val="001949A7"/>
    <w:rsid w:val="00195ABA"/>
    <w:rsid w:val="00195C43"/>
    <w:rsid w:val="001970A6"/>
    <w:rsid w:val="001A3571"/>
    <w:rsid w:val="001A55A3"/>
    <w:rsid w:val="001A6E37"/>
    <w:rsid w:val="001A6E97"/>
    <w:rsid w:val="001A76D9"/>
    <w:rsid w:val="001A7D9E"/>
    <w:rsid w:val="001B1B81"/>
    <w:rsid w:val="001B242D"/>
    <w:rsid w:val="001B28D6"/>
    <w:rsid w:val="001B3BDF"/>
    <w:rsid w:val="001B3D6A"/>
    <w:rsid w:val="001B43D4"/>
    <w:rsid w:val="001B57F8"/>
    <w:rsid w:val="001B62B1"/>
    <w:rsid w:val="001B7185"/>
    <w:rsid w:val="001B7689"/>
    <w:rsid w:val="001C575E"/>
    <w:rsid w:val="001C5948"/>
    <w:rsid w:val="001C6207"/>
    <w:rsid w:val="001C7309"/>
    <w:rsid w:val="001D0357"/>
    <w:rsid w:val="001D0862"/>
    <w:rsid w:val="001D0ED5"/>
    <w:rsid w:val="001D2390"/>
    <w:rsid w:val="001D2BEC"/>
    <w:rsid w:val="001D2C1A"/>
    <w:rsid w:val="001D3CCE"/>
    <w:rsid w:val="001D6671"/>
    <w:rsid w:val="001D68D3"/>
    <w:rsid w:val="001D78A8"/>
    <w:rsid w:val="001E1514"/>
    <w:rsid w:val="001E22AE"/>
    <w:rsid w:val="001E544B"/>
    <w:rsid w:val="001E55B5"/>
    <w:rsid w:val="001E5E03"/>
    <w:rsid w:val="001E6973"/>
    <w:rsid w:val="001E71EC"/>
    <w:rsid w:val="001E7D83"/>
    <w:rsid w:val="001E7DBB"/>
    <w:rsid w:val="001E7E31"/>
    <w:rsid w:val="001F00CB"/>
    <w:rsid w:val="001F09E0"/>
    <w:rsid w:val="001F0AFD"/>
    <w:rsid w:val="001F0E35"/>
    <w:rsid w:val="001F1114"/>
    <w:rsid w:val="001F150C"/>
    <w:rsid w:val="001F2908"/>
    <w:rsid w:val="001F2A10"/>
    <w:rsid w:val="001F2EED"/>
    <w:rsid w:val="001F43D6"/>
    <w:rsid w:val="001F5142"/>
    <w:rsid w:val="001F62E5"/>
    <w:rsid w:val="001F77E9"/>
    <w:rsid w:val="001F7B17"/>
    <w:rsid w:val="00200796"/>
    <w:rsid w:val="00202067"/>
    <w:rsid w:val="00202D13"/>
    <w:rsid w:val="00203A06"/>
    <w:rsid w:val="002044B6"/>
    <w:rsid w:val="0020664B"/>
    <w:rsid w:val="002070EB"/>
    <w:rsid w:val="002072EE"/>
    <w:rsid w:val="00207EDB"/>
    <w:rsid w:val="00211DE7"/>
    <w:rsid w:val="00213BEA"/>
    <w:rsid w:val="0021405D"/>
    <w:rsid w:val="002148AF"/>
    <w:rsid w:val="002150CD"/>
    <w:rsid w:val="00215210"/>
    <w:rsid w:val="00217DB7"/>
    <w:rsid w:val="002210AD"/>
    <w:rsid w:val="00221C67"/>
    <w:rsid w:val="0022261E"/>
    <w:rsid w:val="002243AA"/>
    <w:rsid w:val="00225072"/>
    <w:rsid w:val="00225700"/>
    <w:rsid w:val="0022649F"/>
    <w:rsid w:val="002308A5"/>
    <w:rsid w:val="002321A1"/>
    <w:rsid w:val="00232FB7"/>
    <w:rsid w:val="00233544"/>
    <w:rsid w:val="002336FB"/>
    <w:rsid w:val="00233D93"/>
    <w:rsid w:val="00233EB7"/>
    <w:rsid w:val="00234126"/>
    <w:rsid w:val="002347FB"/>
    <w:rsid w:val="0023485E"/>
    <w:rsid w:val="00235532"/>
    <w:rsid w:val="00235A3C"/>
    <w:rsid w:val="00236310"/>
    <w:rsid w:val="00236CE1"/>
    <w:rsid w:val="00240B5B"/>
    <w:rsid w:val="00240B9B"/>
    <w:rsid w:val="00241B5A"/>
    <w:rsid w:val="00242B28"/>
    <w:rsid w:val="00243502"/>
    <w:rsid w:val="00243F64"/>
    <w:rsid w:val="00244DF5"/>
    <w:rsid w:val="00246684"/>
    <w:rsid w:val="00247433"/>
    <w:rsid w:val="00250654"/>
    <w:rsid w:val="00250C0D"/>
    <w:rsid w:val="00251FF1"/>
    <w:rsid w:val="00256DB2"/>
    <w:rsid w:val="00260AC7"/>
    <w:rsid w:val="002615D8"/>
    <w:rsid w:val="00261F39"/>
    <w:rsid w:val="00262DA0"/>
    <w:rsid w:val="00270654"/>
    <w:rsid w:val="002715F8"/>
    <w:rsid w:val="00271EA2"/>
    <w:rsid w:val="00271F2F"/>
    <w:rsid w:val="0027572A"/>
    <w:rsid w:val="00277FDE"/>
    <w:rsid w:val="00280203"/>
    <w:rsid w:val="002802D2"/>
    <w:rsid w:val="00280E5A"/>
    <w:rsid w:val="00283770"/>
    <w:rsid w:val="00284DC1"/>
    <w:rsid w:val="002862E8"/>
    <w:rsid w:val="00287535"/>
    <w:rsid w:val="0029056B"/>
    <w:rsid w:val="0029196F"/>
    <w:rsid w:val="00291D9C"/>
    <w:rsid w:val="00292602"/>
    <w:rsid w:val="0029493B"/>
    <w:rsid w:val="00294A18"/>
    <w:rsid w:val="0029689A"/>
    <w:rsid w:val="002A04D7"/>
    <w:rsid w:val="002A0864"/>
    <w:rsid w:val="002A0A56"/>
    <w:rsid w:val="002A1C3F"/>
    <w:rsid w:val="002A2683"/>
    <w:rsid w:val="002A384D"/>
    <w:rsid w:val="002A44B9"/>
    <w:rsid w:val="002A59B6"/>
    <w:rsid w:val="002A6055"/>
    <w:rsid w:val="002A737F"/>
    <w:rsid w:val="002A7BD9"/>
    <w:rsid w:val="002B2D3B"/>
    <w:rsid w:val="002B3377"/>
    <w:rsid w:val="002B33CD"/>
    <w:rsid w:val="002B345E"/>
    <w:rsid w:val="002B4CE3"/>
    <w:rsid w:val="002B4DEC"/>
    <w:rsid w:val="002B6438"/>
    <w:rsid w:val="002B7A48"/>
    <w:rsid w:val="002C0605"/>
    <w:rsid w:val="002C35A0"/>
    <w:rsid w:val="002C4268"/>
    <w:rsid w:val="002C524B"/>
    <w:rsid w:val="002C6653"/>
    <w:rsid w:val="002D0191"/>
    <w:rsid w:val="002D0C4F"/>
    <w:rsid w:val="002D182D"/>
    <w:rsid w:val="002D37F4"/>
    <w:rsid w:val="002D58B7"/>
    <w:rsid w:val="002D5B2F"/>
    <w:rsid w:val="002D60EA"/>
    <w:rsid w:val="002D620F"/>
    <w:rsid w:val="002D6DD9"/>
    <w:rsid w:val="002D6FF5"/>
    <w:rsid w:val="002E080B"/>
    <w:rsid w:val="002E175E"/>
    <w:rsid w:val="002E1A76"/>
    <w:rsid w:val="002E1E84"/>
    <w:rsid w:val="002E33DF"/>
    <w:rsid w:val="002E4C96"/>
    <w:rsid w:val="002E60C3"/>
    <w:rsid w:val="002E655F"/>
    <w:rsid w:val="002E658F"/>
    <w:rsid w:val="002E6E8C"/>
    <w:rsid w:val="002E74A6"/>
    <w:rsid w:val="002E797A"/>
    <w:rsid w:val="002E7C41"/>
    <w:rsid w:val="002F16A2"/>
    <w:rsid w:val="002F2A65"/>
    <w:rsid w:val="002F3DCA"/>
    <w:rsid w:val="002F5F74"/>
    <w:rsid w:val="002F71F2"/>
    <w:rsid w:val="00300679"/>
    <w:rsid w:val="0030221B"/>
    <w:rsid w:val="00302530"/>
    <w:rsid w:val="00302A48"/>
    <w:rsid w:val="00302BAC"/>
    <w:rsid w:val="00303950"/>
    <w:rsid w:val="00304127"/>
    <w:rsid w:val="003062A5"/>
    <w:rsid w:val="003066ED"/>
    <w:rsid w:val="00306C1B"/>
    <w:rsid w:val="00310197"/>
    <w:rsid w:val="00311E40"/>
    <w:rsid w:val="00313EC4"/>
    <w:rsid w:val="00316603"/>
    <w:rsid w:val="003172F3"/>
    <w:rsid w:val="003179DC"/>
    <w:rsid w:val="00320C2D"/>
    <w:rsid w:val="00320CB5"/>
    <w:rsid w:val="00321566"/>
    <w:rsid w:val="003215AB"/>
    <w:rsid w:val="00323761"/>
    <w:rsid w:val="00323F78"/>
    <w:rsid w:val="00330AFD"/>
    <w:rsid w:val="0033193B"/>
    <w:rsid w:val="003324C9"/>
    <w:rsid w:val="00333A77"/>
    <w:rsid w:val="00336C87"/>
    <w:rsid w:val="00336F50"/>
    <w:rsid w:val="00337B34"/>
    <w:rsid w:val="00337D3F"/>
    <w:rsid w:val="00340652"/>
    <w:rsid w:val="003407A3"/>
    <w:rsid w:val="00340A6C"/>
    <w:rsid w:val="0034129C"/>
    <w:rsid w:val="00342FFC"/>
    <w:rsid w:val="003441E7"/>
    <w:rsid w:val="00346214"/>
    <w:rsid w:val="0035107E"/>
    <w:rsid w:val="00353053"/>
    <w:rsid w:val="00354724"/>
    <w:rsid w:val="00355447"/>
    <w:rsid w:val="00355B74"/>
    <w:rsid w:val="003568D5"/>
    <w:rsid w:val="00357A78"/>
    <w:rsid w:val="00361D39"/>
    <w:rsid w:val="00361ECB"/>
    <w:rsid w:val="003622BF"/>
    <w:rsid w:val="0036390C"/>
    <w:rsid w:val="003648D9"/>
    <w:rsid w:val="00364AEC"/>
    <w:rsid w:val="003662EA"/>
    <w:rsid w:val="0036645D"/>
    <w:rsid w:val="00371EA9"/>
    <w:rsid w:val="00371EBD"/>
    <w:rsid w:val="003739BB"/>
    <w:rsid w:val="00375888"/>
    <w:rsid w:val="003774CB"/>
    <w:rsid w:val="003775BE"/>
    <w:rsid w:val="00377E27"/>
    <w:rsid w:val="003807D6"/>
    <w:rsid w:val="00381F0C"/>
    <w:rsid w:val="00384D38"/>
    <w:rsid w:val="00386109"/>
    <w:rsid w:val="003861F5"/>
    <w:rsid w:val="00391E05"/>
    <w:rsid w:val="00391E2C"/>
    <w:rsid w:val="00392894"/>
    <w:rsid w:val="0039292B"/>
    <w:rsid w:val="0039323F"/>
    <w:rsid w:val="00393B15"/>
    <w:rsid w:val="003944F8"/>
    <w:rsid w:val="0039488A"/>
    <w:rsid w:val="00394B35"/>
    <w:rsid w:val="00396D65"/>
    <w:rsid w:val="00397E80"/>
    <w:rsid w:val="003A09A2"/>
    <w:rsid w:val="003A2D2A"/>
    <w:rsid w:val="003A48A9"/>
    <w:rsid w:val="003A61BB"/>
    <w:rsid w:val="003A7816"/>
    <w:rsid w:val="003A7C2F"/>
    <w:rsid w:val="003B0A14"/>
    <w:rsid w:val="003B3B33"/>
    <w:rsid w:val="003B4CF2"/>
    <w:rsid w:val="003B5906"/>
    <w:rsid w:val="003B6202"/>
    <w:rsid w:val="003C0C30"/>
    <w:rsid w:val="003C15B7"/>
    <w:rsid w:val="003C289A"/>
    <w:rsid w:val="003C3731"/>
    <w:rsid w:val="003C4520"/>
    <w:rsid w:val="003C58EC"/>
    <w:rsid w:val="003C5C37"/>
    <w:rsid w:val="003C6D8E"/>
    <w:rsid w:val="003C7635"/>
    <w:rsid w:val="003C7A41"/>
    <w:rsid w:val="003D0254"/>
    <w:rsid w:val="003D1D11"/>
    <w:rsid w:val="003D33F0"/>
    <w:rsid w:val="003D3A65"/>
    <w:rsid w:val="003D4224"/>
    <w:rsid w:val="003D42FF"/>
    <w:rsid w:val="003D4705"/>
    <w:rsid w:val="003D4B8A"/>
    <w:rsid w:val="003D766D"/>
    <w:rsid w:val="003D79C0"/>
    <w:rsid w:val="003E0E6F"/>
    <w:rsid w:val="003E1942"/>
    <w:rsid w:val="003E2584"/>
    <w:rsid w:val="003E2FBA"/>
    <w:rsid w:val="003E368C"/>
    <w:rsid w:val="003E44E1"/>
    <w:rsid w:val="003E5500"/>
    <w:rsid w:val="003E61F8"/>
    <w:rsid w:val="003E642D"/>
    <w:rsid w:val="003F02F2"/>
    <w:rsid w:val="003F1161"/>
    <w:rsid w:val="003F1AC8"/>
    <w:rsid w:val="003F21FD"/>
    <w:rsid w:val="003F31DC"/>
    <w:rsid w:val="003F54E0"/>
    <w:rsid w:val="003F7327"/>
    <w:rsid w:val="00400705"/>
    <w:rsid w:val="004009A4"/>
    <w:rsid w:val="004023D5"/>
    <w:rsid w:val="0040262A"/>
    <w:rsid w:val="00402A5A"/>
    <w:rsid w:val="00403DCD"/>
    <w:rsid w:val="004054A3"/>
    <w:rsid w:val="00405500"/>
    <w:rsid w:val="004055D5"/>
    <w:rsid w:val="00405A19"/>
    <w:rsid w:val="00405F60"/>
    <w:rsid w:val="00407D54"/>
    <w:rsid w:val="00407E14"/>
    <w:rsid w:val="004102C5"/>
    <w:rsid w:val="004127A0"/>
    <w:rsid w:val="004136F7"/>
    <w:rsid w:val="004140C0"/>
    <w:rsid w:val="00414E8A"/>
    <w:rsid w:val="004168D1"/>
    <w:rsid w:val="00417366"/>
    <w:rsid w:val="00423180"/>
    <w:rsid w:val="004244A8"/>
    <w:rsid w:val="00424D7C"/>
    <w:rsid w:val="00425525"/>
    <w:rsid w:val="00425D11"/>
    <w:rsid w:val="00426F08"/>
    <w:rsid w:val="0043232B"/>
    <w:rsid w:val="004327CE"/>
    <w:rsid w:val="00433A29"/>
    <w:rsid w:val="0043540F"/>
    <w:rsid w:val="0043669A"/>
    <w:rsid w:val="00436F05"/>
    <w:rsid w:val="0043796C"/>
    <w:rsid w:val="00440C22"/>
    <w:rsid w:val="00441CCB"/>
    <w:rsid w:val="00446F86"/>
    <w:rsid w:val="004479A3"/>
    <w:rsid w:val="00453AF0"/>
    <w:rsid w:val="00454C5E"/>
    <w:rsid w:val="00457042"/>
    <w:rsid w:val="0045724C"/>
    <w:rsid w:val="004577B0"/>
    <w:rsid w:val="00461880"/>
    <w:rsid w:val="00464347"/>
    <w:rsid w:val="00464CA2"/>
    <w:rsid w:val="00465FEB"/>
    <w:rsid w:val="00466B78"/>
    <w:rsid w:val="00466D21"/>
    <w:rsid w:val="00467A34"/>
    <w:rsid w:val="00467FC6"/>
    <w:rsid w:val="004714B4"/>
    <w:rsid w:val="004715A1"/>
    <w:rsid w:val="00472ABA"/>
    <w:rsid w:val="004756BB"/>
    <w:rsid w:val="004819A1"/>
    <w:rsid w:val="00481DC2"/>
    <w:rsid w:val="004820AF"/>
    <w:rsid w:val="004822C7"/>
    <w:rsid w:val="004837C6"/>
    <w:rsid w:val="004844E1"/>
    <w:rsid w:val="00484919"/>
    <w:rsid w:val="00485023"/>
    <w:rsid w:val="004866B1"/>
    <w:rsid w:val="00486A14"/>
    <w:rsid w:val="004906F8"/>
    <w:rsid w:val="00490EFD"/>
    <w:rsid w:val="0049229D"/>
    <w:rsid w:val="0049564A"/>
    <w:rsid w:val="004A1319"/>
    <w:rsid w:val="004A1726"/>
    <w:rsid w:val="004A2EDD"/>
    <w:rsid w:val="004A5086"/>
    <w:rsid w:val="004A65DC"/>
    <w:rsid w:val="004A6F1F"/>
    <w:rsid w:val="004A7703"/>
    <w:rsid w:val="004B1C64"/>
    <w:rsid w:val="004B7C2F"/>
    <w:rsid w:val="004C034E"/>
    <w:rsid w:val="004C5B96"/>
    <w:rsid w:val="004C5BC2"/>
    <w:rsid w:val="004C6879"/>
    <w:rsid w:val="004C7CD5"/>
    <w:rsid w:val="004D08A1"/>
    <w:rsid w:val="004D0DE7"/>
    <w:rsid w:val="004D36BD"/>
    <w:rsid w:val="004D3829"/>
    <w:rsid w:val="004D40DA"/>
    <w:rsid w:val="004D563E"/>
    <w:rsid w:val="004D5EF3"/>
    <w:rsid w:val="004D5FB2"/>
    <w:rsid w:val="004D62F4"/>
    <w:rsid w:val="004D6A1D"/>
    <w:rsid w:val="004E0A35"/>
    <w:rsid w:val="004E1739"/>
    <w:rsid w:val="004E2B0D"/>
    <w:rsid w:val="004E2C08"/>
    <w:rsid w:val="004E3C4C"/>
    <w:rsid w:val="004E4450"/>
    <w:rsid w:val="004E5166"/>
    <w:rsid w:val="004E59A6"/>
    <w:rsid w:val="004F0490"/>
    <w:rsid w:val="004F0CF2"/>
    <w:rsid w:val="004F0D0A"/>
    <w:rsid w:val="004F320B"/>
    <w:rsid w:val="004F337B"/>
    <w:rsid w:val="004F35DD"/>
    <w:rsid w:val="004F4454"/>
    <w:rsid w:val="004F6BD4"/>
    <w:rsid w:val="004F6E83"/>
    <w:rsid w:val="004F7033"/>
    <w:rsid w:val="004F79C5"/>
    <w:rsid w:val="004F7AF2"/>
    <w:rsid w:val="00500B1C"/>
    <w:rsid w:val="00500ED0"/>
    <w:rsid w:val="00504D56"/>
    <w:rsid w:val="005052E5"/>
    <w:rsid w:val="005060CB"/>
    <w:rsid w:val="00506242"/>
    <w:rsid w:val="00507741"/>
    <w:rsid w:val="00507748"/>
    <w:rsid w:val="00510419"/>
    <w:rsid w:val="0051048B"/>
    <w:rsid w:val="005105CB"/>
    <w:rsid w:val="0051175A"/>
    <w:rsid w:val="00511A0E"/>
    <w:rsid w:val="00511E46"/>
    <w:rsid w:val="005128B9"/>
    <w:rsid w:val="005165CD"/>
    <w:rsid w:val="00516697"/>
    <w:rsid w:val="005223A5"/>
    <w:rsid w:val="005227FD"/>
    <w:rsid w:val="00522DDC"/>
    <w:rsid w:val="0052428E"/>
    <w:rsid w:val="005254B0"/>
    <w:rsid w:val="0052582B"/>
    <w:rsid w:val="0052639A"/>
    <w:rsid w:val="005274E2"/>
    <w:rsid w:val="00527FD4"/>
    <w:rsid w:val="00530792"/>
    <w:rsid w:val="00530B41"/>
    <w:rsid w:val="00531559"/>
    <w:rsid w:val="00536BE0"/>
    <w:rsid w:val="00537009"/>
    <w:rsid w:val="0053750C"/>
    <w:rsid w:val="0053767C"/>
    <w:rsid w:val="0054318F"/>
    <w:rsid w:val="00543476"/>
    <w:rsid w:val="0054531C"/>
    <w:rsid w:val="0054602F"/>
    <w:rsid w:val="005462BD"/>
    <w:rsid w:val="00551B5F"/>
    <w:rsid w:val="0055437E"/>
    <w:rsid w:val="005549EE"/>
    <w:rsid w:val="00556308"/>
    <w:rsid w:val="00557D81"/>
    <w:rsid w:val="00562816"/>
    <w:rsid w:val="005633E1"/>
    <w:rsid w:val="00563BE3"/>
    <w:rsid w:val="005652DD"/>
    <w:rsid w:val="0056581C"/>
    <w:rsid w:val="00566937"/>
    <w:rsid w:val="00567F18"/>
    <w:rsid w:val="00571B5D"/>
    <w:rsid w:val="005723EA"/>
    <w:rsid w:val="00572841"/>
    <w:rsid w:val="00572A92"/>
    <w:rsid w:val="00573987"/>
    <w:rsid w:val="00573BC4"/>
    <w:rsid w:val="00574091"/>
    <w:rsid w:val="00574235"/>
    <w:rsid w:val="00575E6E"/>
    <w:rsid w:val="0058326D"/>
    <w:rsid w:val="00586339"/>
    <w:rsid w:val="00587B45"/>
    <w:rsid w:val="00587D51"/>
    <w:rsid w:val="00587E8C"/>
    <w:rsid w:val="005920B8"/>
    <w:rsid w:val="00593F0A"/>
    <w:rsid w:val="00595D95"/>
    <w:rsid w:val="0059637F"/>
    <w:rsid w:val="00597112"/>
    <w:rsid w:val="005971C9"/>
    <w:rsid w:val="005A0258"/>
    <w:rsid w:val="005A03F4"/>
    <w:rsid w:val="005A03F5"/>
    <w:rsid w:val="005A04EB"/>
    <w:rsid w:val="005A1248"/>
    <w:rsid w:val="005A396B"/>
    <w:rsid w:val="005A4229"/>
    <w:rsid w:val="005A42CD"/>
    <w:rsid w:val="005A4DF6"/>
    <w:rsid w:val="005A6DC3"/>
    <w:rsid w:val="005A708C"/>
    <w:rsid w:val="005A7181"/>
    <w:rsid w:val="005B2C47"/>
    <w:rsid w:val="005B4799"/>
    <w:rsid w:val="005B53B3"/>
    <w:rsid w:val="005B56B3"/>
    <w:rsid w:val="005C141E"/>
    <w:rsid w:val="005C1C17"/>
    <w:rsid w:val="005C24C6"/>
    <w:rsid w:val="005C27F6"/>
    <w:rsid w:val="005C295B"/>
    <w:rsid w:val="005C3E9F"/>
    <w:rsid w:val="005C58C7"/>
    <w:rsid w:val="005C736F"/>
    <w:rsid w:val="005D064B"/>
    <w:rsid w:val="005D2340"/>
    <w:rsid w:val="005D2362"/>
    <w:rsid w:val="005D2B80"/>
    <w:rsid w:val="005D469A"/>
    <w:rsid w:val="005D4BD7"/>
    <w:rsid w:val="005D4CF0"/>
    <w:rsid w:val="005D5009"/>
    <w:rsid w:val="005D571B"/>
    <w:rsid w:val="005D59BF"/>
    <w:rsid w:val="005D6963"/>
    <w:rsid w:val="005D7EE1"/>
    <w:rsid w:val="005E19C0"/>
    <w:rsid w:val="005E308E"/>
    <w:rsid w:val="005E5AC1"/>
    <w:rsid w:val="005E5D20"/>
    <w:rsid w:val="005E61E5"/>
    <w:rsid w:val="005E6296"/>
    <w:rsid w:val="005E6C25"/>
    <w:rsid w:val="005F03C1"/>
    <w:rsid w:val="005F09B8"/>
    <w:rsid w:val="005F285E"/>
    <w:rsid w:val="005F29AA"/>
    <w:rsid w:val="005F3B83"/>
    <w:rsid w:val="005F58BF"/>
    <w:rsid w:val="005F5F7E"/>
    <w:rsid w:val="00600C89"/>
    <w:rsid w:val="00604073"/>
    <w:rsid w:val="00604149"/>
    <w:rsid w:val="006050A6"/>
    <w:rsid w:val="00606BB0"/>
    <w:rsid w:val="006071D6"/>
    <w:rsid w:val="0060767B"/>
    <w:rsid w:val="006078CA"/>
    <w:rsid w:val="006119B4"/>
    <w:rsid w:val="00612214"/>
    <w:rsid w:val="00613D07"/>
    <w:rsid w:val="0061436A"/>
    <w:rsid w:val="00614A45"/>
    <w:rsid w:val="00614D99"/>
    <w:rsid w:val="00617769"/>
    <w:rsid w:val="00620692"/>
    <w:rsid w:val="00620925"/>
    <w:rsid w:val="00620D29"/>
    <w:rsid w:val="006240B9"/>
    <w:rsid w:val="00624168"/>
    <w:rsid w:val="00624260"/>
    <w:rsid w:val="0062451E"/>
    <w:rsid w:val="0062500B"/>
    <w:rsid w:val="006274CE"/>
    <w:rsid w:val="006274EA"/>
    <w:rsid w:val="00630BBC"/>
    <w:rsid w:val="00631B8E"/>
    <w:rsid w:val="00632611"/>
    <w:rsid w:val="00633249"/>
    <w:rsid w:val="00633F56"/>
    <w:rsid w:val="00634C35"/>
    <w:rsid w:val="00641076"/>
    <w:rsid w:val="00642F90"/>
    <w:rsid w:val="006449D6"/>
    <w:rsid w:val="00645418"/>
    <w:rsid w:val="00645577"/>
    <w:rsid w:val="0064560C"/>
    <w:rsid w:val="0064696C"/>
    <w:rsid w:val="0065022C"/>
    <w:rsid w:val="00650794"/>
    <w:rsid w:val="00650CAC"/>
    <w:rsid w:val="00651B96"/>
    <w:rsid w:val="00651BBA"/>
    <w:rsid w:val="00651E88"/>
    <w:rsid w:val="006527B8"/>
    <w:rsid w:val="00653611"/>
    <w:rsid w:val="00653C57"/>
    <w:rsid w:val="0065558B"/>
    <w:rsid w:val="0065665E"/>
    <w:rsid w:val="00656B77"/>
    <w:rsid w:val="00657892"/>
    <w:rsid w:val="00657B0B"/>
    <w:rsid w:val="0066085D"/>
    <w:rsid w:val="00660935"/>
    <w:rsid w:val="0066108E"/>
    <w:rsid w:val="00661702"/>
    <w:rsid w:val="006617C1"/>
    <w:rsid w:val="00662421"/>
    <w:rsid w:val="00663747"/>
    <w:rsid w:val="006637DF"/>
    <w:rsid w:val="00663963"/>
    <w:rsid w:val="00663E86"/>
    <w:rsid w:val="006640DC"/>
    <w:rsid w:val="006642DF"/>
    <w:rsid w:val="00666D37"/>
    <w:rsid w:val="00672971"/>
    <w:rsid w:val="006732BD"/>
    <w:rsid w:val="00673896"/>
    <w:rsid w:val="00673988"/>
    <w:rsid w:val="00673CCE"/>
    <w:rsid w:val="0067545D"/>
    <w:rsid w:val="00676908"/>
    <w:rsid w:val="00681AE4"/>
    <w:rsid w:val="006824DE"/>
    <w:rsid w:val="0068376C"/>
    <w:rsid w:val="006844F1"/>
    <w:rsid w:val="006862D5"/>
    <w:rsid w:val="00686C9B"/>
    <w:rsid w:val="00686D18"/>
    <w:rsid w:val="00690723"/>
    <w:rsid w:val="0069120A"/>
    <w:rsid w:val="00692133"/>
    <w:rsid w:val="00693D6F"/>
    <w:rsid w:val="00694694"/>
    <w:rsid w:val="00694E23"/>
    <w:rsid w:val="00695EA1"/>
    <w:rsid w:val="00696283"/>
    <w:rsid w:val="006A0250"/>
    <w:rsid w:val="006A231A"/>
    <w:rsid w:val="006A5153"/>
    <w:rsid w:val="006A658B"/>
    <w:rsid w:val="006A696D"/>
    <w:rsid w:val="006B3E98"/>
    <w:rsid w:val="006B4655"/>
    <w:rsid w:val="006B4A5A"/>
    <w:rsid w:val="006B5BAF"/>
    <w:rsid w:val="006C0D99"/>
    <w:rsid w:val="006C369A"/>
    <w:rsid w:val="006C3EB6"/>
    <w:rsid w:val="006D019D"/>
    <w:rsid w:val="006D0958"/>
    <w:rsid w:val="006D116E"/>
    <w:rsid w:val="006D13FD"/>
    <w:rsid w:val="006D1939"/>
    <w:rsid w:val="006D28E8"/>
    <w:rsid w:val="006D4138"/>
    <w:rsid w:val="006D4AEC"/>
    <w:rsid w:val="006D4D8A"/>
    <w:rsid w:val="006D526F"/>
    <w:rsid w:val="006D5C13"/>
    <w:rsid w:val="006D5C3F"/>
    <w:rsid w:val="006D713C"/>
    <w:rsid w:val="006E0577"/>
    <w:rsid w:val="006E0842"/>
    <w:rsid w:val="006E23D2"/>
    <w:rsid w:val="006E47EB"/>
    <w:rsid w:val="006E56C8"/>
    <w:rsid w:val="006E607E"/>
    <w:rsid w:val="006E6868"/>
    <w:rsid w:val="006E6C3A"/>
    <w:rsid w:val="006E7F26"/>
    <w:rsid w:val="006F01A0"/>
    <w:rsid w:val="006F1721"/>
    <w:rsid w:val="006F273B"/>
    <w:rsid w:val="006F37F5"/>
    <w:rsid w:val="006F61B7"/>
    <w:rsid w:val="006F68DD"/>
    <w:rsid w:val="006F7CF4"/>
    <w:rsid w:val="00700D93"/>
    <w:rsid w:val="00700FE2"/>
    <w:rsid w:val="0070245A"/>
    <w:rsid w:val="007024C7"/>
    <w:rsid w:val="0070324F"/>
    <w:rsid w:val="00704513"/>
    <w:rsid w:val="00710FE6"/>
    <w:rsid w:val="00715B64"/>
    <w:rsid w:val="00717A60"/>
    <w:rsid w:val="007200B8"/>
    <w:rsid w:val="007203CA"/>
    <w:rsid w:val="00720861"/>
    <w:rsid w:val="007214AF"/>
    <w:rsid w:val="00722216"/>
    <w:rsid w:val="0072329F"/>
    <w:rsid w:val="00723F0D"/>
    <w:rsid w:val="00723F3C"/>
    <w:rsid w:val="0072450C"/>
    <w:rsid w:val="00726279"/>
    <w:rsid w:val="00726D61"/>
    <w:rsid w:val="00726E95"/>
    <w:rsid w:val="00730434"/>
    <w:rsid w:val="00731001"/>
    <w:rsid w:val="00731080"/>
    <w:rsid w:val="00731D91"/>
    <w:rsid w:val="00733AAF"/>
    <w:rsid w:val="0073482A"/>
    <w:rsid w:val="007365A9"/>
    <w:rsid w:val="007376DF"/>
    <w:rsid w:val="0074239B"/>
    <w:rsid w:val="00743243"/>
    <w:rsid w:val="00744251"/>
    <w:rsid w:val="00745FB3"/>
    <w:rsid w:val="007460DD"/>
    <w:rsid w:val="0074635F"/>
    <w:rsid w:val="00746830"/>
    <w:rsid w:val="00750932"/>
    <w:rsid w:val="00751139"/>
    <w:rsid w:val="00752855"/>
    <w:rsid w:val="00752F7A"/>
    <w:rsid w:val="00753A55"/>
    <w:rsid w:val="00754728"/>
    <w:rsid w:val="00757DC6"/>
    <w:rsid w:val="0076155D"/>
    <w:rsid w:val="0076209E"/>
    <w:rsid w:val="00762EE5"/>
    <w:rsid w:val="00764236"/>
    <w:rsid w:val="007647CC"/>
    <w:rsid w:val="0076784F"/>
    <w:rsid w:val="0077065C"/>
    <w:rsid w:val="00770B27"/>
    <w:rsid w:val="00772950"/>
    <w:rsid w:val="00773488"/>
    <w:rsid w:val="00776824"/>
    <w:rsid w:val="00777C3A"/>
    <w:rsid w:val="00777E95"/>
    <w:rsid w:val="007809B9"/>
    <w:rsid w:val="007809F6"/>
    <w:rsid w:val="00782C1E"/>
    <w:rsid w:val="007837F2"/>
    <w:rsid w:val="00786829"/>
    <w:rsid w:val="00790347"/>
    <w:rsid w:val="007918BC"/>
    <w:rsid w:val="0079191A"/>
    <w:rsid w:val="00791F85"/>
    <w:rsid w:val="007928E3"/>
    <w:rsid w:val="00792F0B"/>
    <w:rsid w:val="00794AE5"/>
    <w:rsid w:val="00795C2D"/>
    <w:rsid w:val="00795C94"/>
    <w:rsid w:val="00795E3F"/>
    <w:rsid w:val="00795EC7"/>
    <w:rsid w:val="00796324"/>
    <w:rsid w:val="00796D1C"/>
    <w:rsid w:val="007979A9"/>
    <w:rsid w:val="007A07A3"/>
    <w:rsid w:val="007A0C26"/>
    <w:rsid w:val="007A15B3"/>
    <w:rsid w:val="007A15E6"/>
    <w:rsid w:val="007A4A9B"/>
    <w:rsid w:val="007A7C7F"/>
    <w:rsid w:val="007B15D3"/>
    <w:rsid w:val="007B2CAA"/>
    <w:rsid w:val="007B4FE8"/>
    <w:rsid w:val="007B6129"/>
    <w:rsid w:val="007C171D"/>
    <w:rsid w:val="007C5BBC"/>
    <w:rsid w:val="007C72B0"/>
    <w:rsid w:val="007D29B8"/>
    <w:rsid w:val="007D46B9"/>
    <w:rsid w:val="007D551F"/>
    <w:rsid w:val="007D5547"/>
    <w:rsid w:val="007D67EF"/>
    <w:rsid w:val="007D6D24"/>
    <w:rsid w:val="007D7183"/>
    <w:rsid w:val="007E0F9C"/>
    <w:rsid w:val="007E11B4"/>
    <w:rsid w:val="007E4225"/>
    <w:rsid w:val="007E4889"/>
    <w:rsid w:val="007E4ED6"/>
    <w:rsid w:val="007E640E"/>
    <w:rsid w:val="007E6994"/>
    <w:rsid w:val="007E7B60"/>
    <w:rsid w:val="007F0397"/>
    <w:rsid w:val="007F158C"/>
    <w:rsid w:val="007F34FD"/>
    <w:rsid w:val="007F3E8E"/>
    <w:rsid w:val="007F49A7"/>
    <w:rsid w:val="007F6201"/>
    <w:rsid w:val="007F6B07"/>
    <w:rsid w:val="007F6CB7"/>
    <w:rsid w:val="008003E1"/>
    <w:rsid w:val="0080110A"/>
    <w:rsid w:val="00801B0C"/>
    <w:rsid w:val="008022CE"/>
    <w:rsid w:val="00805283"/>
    <w:rsid w:val="00805ACD"/>
    <w:rsid w:val="00806314"/>
    <w:rsid w:val="00807258"/>
    <w:rsid w:val="00810ADE"/>
    <w:rsid w:val="00810CC7"/>
    <w:rsid w:val="00811123"/>
    <w:rsid w:val="00811570"/>
    <w:rsid w:val="00812F58"/>
    <w:rsid w:val="00812F72"/>
    <w:rsid w:val="008166FA"/>
    <w:rsid w:val="0081716B"/>
    <w:rsid w:val="00817DB2"/>
    <w:rsid w:val="0082004A"/>
    <w:rsid w:val="00820275"/>
    <w:rsid w:val="00820411"/>
    <w:rsid w:val="008215EF"/>
    <w:rsid w:val="00821D1F"/>
    <w:rsid w:val="00822495"/>
    <w:rsid w:val="00823FEF"/>
    <w:rsid w:val="008243AC"/>
    <w:rsid w:val="00825113"/>
    <w:rsid w:val="00826416"/>
    <w:rsid w:val="0082661B"/>
    <w:rsid w:val="00826B1F"/>
    <w:rsid w:val="00831AFA"/>
    <w:rsid w:val="0083279E"/>
    <w:rsid w:val="00832967"/>
    <w:rsid w:val="00832DB7"/>
    <w:rsid w:val="0083316D"/>
    <w:rsid w:val="008331D9"/>
    <w:rsid w:val="0083332C"/>
    <w:rsid w:val="00834B8C"/>
    <w:rsid w:val="00835921"/>
    <w:rsid w:val="00835C77"/>
    <w:rsid w:val="00835E18"/>
    <w:rsid w:val="00840649"/>
    <w:rsid w:val="0084273B"/>
    <w:rsid w:val="00842FFE"/>
    <w:rsid w:val="008447F7"/>
    <w:rsid w:val="00844BD4"/>
    <w:rsid w:val="00844FEE"/>
    <w:rsid w:val="00845528"/>
    <w:rsid w:val="00846EBD"/>
    <w:rsid w:val="008473F7"/>
    <w:rsid w:val="00850874"/>
    <w:rsid w:val="00851530"/>
    <w:rsid w:val="008525BB"/>
    <w:rsid w:val="0085263A"/>
    <w:rsid w:val="00853110"/>
    <w:rsid w:val="00855D5A"/>
    <w:rsid w:val="00857059"/>
    <w:rsid w:val="00860797"/>
    <w:rsid w:val="00860B37"/>
    <w:rsid w:val="00863449"/>
    <w:rsid w:val="0086391E"/>
    <w:rsid w:val="00863EA9"/>
    <w:rsid w:val="0086590C"/>
    <w:rsid w:val="00866066"/>
    <w:rsid w:val="0086667A"/>
    <w:rsid w:val="00867EA3"/>
    <w:rsid w:val="00870F80"/>
    <w:rsid w:val="008728C5"/>
    <w:rsid w:val="008729BA"/>
    <w:rsid w:val="00873595"/>
    <w:rsid w:val="00874A59"/>
    <w:rsid w:val="00875169"/>
    <w:rsid w:val="00875499"/>
    <w:rsid w:val="008769A6"/>
    <w:rsid w:val="00877260"/>
    <w:rsid w:val="00877609"/>
    <w:rsid w:val="0088355C"/>
    <w:rsid w:val="008859DD"/>
    <w:rsid w:val="00886602"/>
    <w:rsid w:val="008874DA"/>
    <w:rsid w:val="00890507"/>
    <w:rsid w:val="00890C79"/>
    <w:rsid w:val="00892BE5"/>
    <w:rsid w:val="00896A8D"/>
    <w:rsid w:val="00897072"/>
    <w:rsid w:val="00897792"/>
    <w:rsid w:val="00897C5C"/>
    <w:rsid w:val="008A0B3D"/>
    <w:rsid w:val="008A49AD"/>
    <w:rsid w:val="008A5704"/>
    <w:rsid w:val="008B0FA8"/>
    <w:rsid w:val="008B1312"/>
    <w:rsid w:val="008B17B3"/>
    <w:rsid w:val="008B4A47"/>
    <w:rsid w:val="008B5A8D"/>
    <w:rsid w:val="008B68C2"/>
    <w:rsid w:val="008B7B16"/>
    <w:rsid w:val="008B7F12"/>
    <w:rsid w:val="008C0162"/>
    <w:rsid w:val="008C467B"/>
    <w:rsid w:val="008C4B69"/>
    <w:rsid w:val="008C5360"/>
    <w:rsid w:val="008C5DF5"/>
    <w:rsid w:val="008C68D4"/>
    <w:rsid w:val="008D27F4"/>
    <w:rsid w:val="008D3121"/>
    <w:rsid w:val="008D6D70"/>
    <w:rsid w:val="008D6E60"/>
    <w:rsid w:val="008D74EE"/>
    <w:rsid w:val="008E0DAE"/>
    <w:rsid w:val="008E22C7"/>
    <w:rsid w:val="008E2B68"/>
    <w:rsid w:val="008E363F"/>
    <w:rsid w:val="008E478A"/>
    <w:rsid w:val="008E4F0C"/>
    <w:rsid w:val="008E6BAB"/>
    <w:rsid w:val="008E71D8"/>
    <w:rsid w:val="008E768F"/>
    <w:rsid w:val="008F25A5"/>
    <w:rsid w:val="008F2875"/>
    <w:rsid w:val="008F2D13"/>
    <w:rsid w:val="008F3C3B"/>
    <w:rsid w:val="009008C5"/>
    <w:rsid w:val="0090150A"/>
    <w:rsid w:val="00902447"/>
    <w:rsid w:val="009039F5"/>
    <w:rsid w:val="0090476E"/>
    <w:rsid w:val="00913A49"/>
    <w:rsid w:val="00915054"/>
    <w:rsid w:val="00915CCD"/>
    <w:rsid w:val="00916099"/>
    <w:rsid w:val="00917009"/>
    <w:rsid w:val="00920269"/>
    <w:rsid w:val="00921172"/>
    <w:rsid w:val="00921A41"/>
    <w:rsid w:val="00922A62"/>
    <w:rsid w:val="00922C13"/>
    <w:rsid w:val="00923476"/>
    <w:rsid w:val="0092485D"/>
    <w:rsid w:val="009266E9"/>
    <w:rsid w:val="00927E41"/>
    <w:rsid w:val="00930473"/>
    <w:rsid w:val="009309E1"/>
    <w:rsid w:val="0093160F"/>
    <w:rsid w:val="0093178E"/>
    <w:rsid w:val="00932AB3"/>
    <w:rsid w:val="00933599"/>
    <w:rsid w:val="0093394B"/>
    <w:rsid w:val="00934513"/>
    <w:rsid w:val="009356A0"/>
    <w:rsid w:val="009360F3"/>
    <w:rsid w:val="00936913"/>
    <w:rsid w:val="009370FC"/>
    <w:rsid w:val="009377EF"/>
    <w:rsid w:val="009423D2"/>
    <w:rsid w:val="00943317"/>
    <w:rsid w:val="009450F6"/>
    <w:rsid w:val="00945205"/>
    <w:rsid w:val="00945AE1"/>
    <w:rsid w:val="00950811"/>
    <w:rsid w:val="009511C3"/>
    <w:rsid w:val="009511FB"/>
    <w:rsid w:val="00952224"/>
    <w:rsid w:val="00952ADB"/>
    <w:rsid w:val="009543AB"/>
    <w:rsid w:val="00955BEA"/>
    <w:rsid w:val="009570FE"/>
    <w:rsid w:val="009576C2"/>
    <w:rsid w:val="00962F33"/>
    <w:rsid w:val="00963E45"/>
    <w:rsid w:val="00964CB1"/>
    <w:rsid w:val="00967575"/>
    <w:rsid w:val="00970358"/>
    <w:rsid w:val="0097045C"/>
    <w:rsid w:val="00972EB5"/>
    <w:rsid w:val="009731B0"/>
    <w:rsid w:val="009742A6"/>
    <w:rsid w:val="00975DA0"/>
    <w:rsid w:val="009764DA"/>
    <w:rsid w:val="00976A08"/>
    <w:rsid w:val="009836FB"/>
    <w:rsid w:val="00983A72"/>
    <w:rsid w:val="00983D64"/>
    <w:rsid w:val="00983E7F"/>
    <w:rsid w:val="00984BB5"/>
    <w:rsid w:val="00987B49"/>
    <w:rsid w:val="00987DEC"/>
    <w:rsid w:val="00991906"/>
    <w:rsid w:val="0099216B"/>
    <w:rsid w:val="0099376B"/>
    <w:rsid w:val="009939AA"/>
    <w:rsid w:val="00993D37"/>
    <w:rsid w:val="00995DD7"/>
    <w:rsid w:val="0099776B"/>
    <w:rsid w:val="0099789E"/>
    <w:rsid w:val="00997E38"/>
    <w:rsid w:val="009A012F"/>
    <w:rsid w:val="009A0429"/>
    <w:rsid w:val="009A1A46"/>
    <w:rsid w:val="009A4248"/>
    <w:rsid w:val="009B06B0"/>
    <w:rsid w:val="009B16B6"/>
    <w:rsid w:val="009B3DFA"/>
    <w:rsid w:val="009B3E20"/>
    <w:rsid w:val="009B45C9"/>
    <w:rsid w:val="009B4E6F"/>
    <w:rsid w:val="009B5220"/>
    <w:rsid w:val="009B667C"/>
    <w:rsid w:val="009B6B0C"/>
    <w:rsid w:val="009B6E48"/>
    <w:rsid w:val="009C00BA"/>
    <w:rsid w:val="009C04BB"/>
    <w:rsid w:val="009C1279"/>
    <w:rsid w:val="009C16F6"/>
    <w:rsid w:val="009C2CBF"/>
    <w:rsid w:val="009C2D4E"/>
    <w:rsid w:val="009C3108"/>
    <w:rsid w:val="009C35E6"/>
    <w:rsid w:val="009C3AEC"/>
    <w:rsid w:val="009C4486"/>
    <w:rsid w:val="009C45EF"/>
    <w:rsid w:val="009C4A43"/>
    <w:rsid w:val="009C4C82"/>
    <w:rsid w:val="009C5B03"/>
    <w:rsid w:val="009C675B"/>
    <w:rsid w:val="009C782A"/>
    <w:rsid w:val="009C7CF9"/>
    <w:rsid w:val="009D09D5"/>
    <w:rsid w:val="009D1110"/>
    <w:rsid w:val="009D12C0"/>
    <w:rsid w:val="009D58C1"/>
    <w:rsid w:val="009D7074"/>
    <w:rsid w:val="009E15EB"/>
    <w:rsid w:val="009E178A"/>
    <w:rsid w:val="009E2172"/>
    <w:rsid w:val="009E30F8"/>
    <w:rsid w:val="009E343A"/>
    <w:rsid w:val="009E4565"/>
    <w:rsid w:val="009E4EFE"/>
    <w:rsid w:val="009E53E1"/>
    <w:rsid w:val="009E57BC"/>
    <w:rsid w:val="009E7052"/>
    <w:rsid w:val="009E7670"/>
    <w:rsid w:val="009E7D89"/>
    <w:rsid w:val="009F0ACC"/>
    <w:rsid w:val="009F0E72"/>
    <w:rsid w:val="009F1B08"/>
    <w:rsid w:val="009F21C7"/>
    <w:rsid w:val="009F4BFB"/>
    <w:rsid w:val="009F50E0"/>
    <w:rsid w:val="009F6A99"/>
    <w:rsid w:val="009F6C5E"/>
    <w:rsid w:val="009F73AB"/>
    <w:rsid w:val="009F774C"/>
    <w:rsid w:val="00A0034F"/>
    <w:rsid w:val="00A0198B"/>
    <w:rsid w:val="00A01C8A"/>
    <w:rsid w:val="00A01F17"/>
    <w:rsid w:val="00A03364"/>
    <w:rsid w:val="00A03A4B"/>
    <w:rsid w:val="00A0781A"/>
    <w:rsid w:val="00A1067E"/>
    <w:rsid w:val="00A10894"/>
    <w:rsid w:val="00A110DF"/>
    <w:rsid w:val="00A125E5"/>
    <w:rsid w:val="00A12637"/>
    <w:rsid w:val="00A129BC"/>
    <w:rsid w:val="00A13C52"/>
    <w:rsid w:val="00A13C7B"/>
    <w:rsid w:val="00A13D6E"/>
    <w:rsid w:val="00A152EB"/>
    <w:rsid w:val="00A154EB"/>
    <w:rsid w:val="00A156F8"/>
    <w:rsid w:val="00A16536"/>
    <w:rsid w:val="00A16FC3"/>
    <w:rsid w:val="00A17186"/>
    <w:rsid w:val="00A224C1"/>
    <w:rsid w:val="00A22F42"/>
    <w:rsid w:val="00A254DA"/>
    <w:rsid w:val="00A3092A"/>
    <w:rsid w:val="00A31503"/>
    <w:rsid w:val="00A31782"/>
    <w:rsid w:val="00A32CE4"/>
    <w:rsid w:val="00A33A89"/>
    <w:rsid w:val="00A34724"/>
    <w:rsid w:val="00A373DF"/>
    <w:rsid w:val="00A4031F"/>
    <w:rsid w:val="00A43E7F"/>
    <w:rsid w:val="00A5032A"/>
    <w:rsid w:val="00A507ED"/>
    <w:rsid w:val="00A51676"/>
    <w:rsid w:val="00A51EB3"/>
    <w:rsid w:val="00A5739F"/>
    <w:rsid w:val="00A57681"/>
    <w:rsid w:val="00A57EC9"/>
    <w:rsid w:val="00A605D7"/>
    <w:rsid w:val="00A61E53"/>
    <w:rsid w:val="00A62F66"/>
    <w:rsid w:val="00A63950"/>
    <w:rsid w:val="00A657B4"/>
    <w:rsid w:val="00A676BF"/>
    <w:rsid w:val="00A71D23"/>
    <w:rsid w:val="00A727FE"/>
    <w:rsid w:val="00A73B49"/>
    <w:rsid w:val="00A73B64"/>
    <w:rsid w:val="00A75E9B"/>
    <w:rsid w:val="00A8112D"/>
    <w:rsid w:val="00A82189"/>
    <w:rsid w:val="00A82C6E"/>
    <w:rsid w:val="00A846FD"/>
    <w:rsid w:val="00A85872"/>
    <w:rsid w:val="00A864CE"/>
    <w:rsid w:val="00A8690A"/>
    <w:rsid w:val="00A86965"/>
    <w:rsid w:val="00A87265"/>
    <w:rsid w:val="00A87D9D"/>
    <w:rsid w:val="00A91368"/>
    <w:rsid w:val="00A9203D"/>
    <w:rsid w:val="00A92123"/>
    <w:rsid w:val="00A9272E"/>
    <w:rsid w:val="00A92DEC"/>
    <w:rsid w:val="00A94966"/>
    <w:rsid w:val="00A95E30"/>
    <w:rsid w:val="00A96BD0"/>
    <w:rsid w:val="00AA0B2E"/>
    <w:rsid w:val="00AA0C3B"/>
    <w:rsid w:val="00AA1415"/>
    <w:rsid w:val="00AA3366"/>
    <w:rsid w:val="00AA39F6"/>
    <w:rsid w:val="00AA4EC9"/>
    <w:rsid w:val="00AA5525"/>
    <w:rsid w:val="00AB0E69"/>
    <w:rsid w:val="00AB0F62"/>
    <w:rsid w:val="00AB1E13"/>
    <w:rsid w:val="00AB1ED2"/>
    <w:rsid w:val="00AB2759"/>
    <w:rsid w:val="00AB4743"/>
    <w:rsid w:val="00AB4E4D"/>
    <w:rsid w:val="00AB69FF"/>
    <w:rsid w:val="00AB706E"/>
    <w:rsid w:val="00AB7528"/>
    <w:rsid w:val="00AC0210"/>
    <w:rsid w:val="00AC0757"/>
    <w:rsid w:val="00AC086A"/>
    <w:rsid w:val="00AC248F"/>
    <w:rsid w:val="00AC4669"/>
    <w:rsid w:val="00AC4934"/>
    <w:rsid w:val="00AC4970"/>
    <w:rsid w:val="00AC6062"/>
    <w:rsid w:val="00AD0537"/>
    <w:rsid w:val="00AD1D31"/>
    <w:rsid w:val="00AD2479"/>
    <w:rsid w:val="00AD2B3F"/>
    <w:rsid w:val="00AD330E"/>
    <w:rsid w:val="00AD3A46"/>
    <w:rsid w:val="00AD3EF3"/>
    <w:rsid w:val="00AD4176"/>
    <w:rsid w:val="00AD5215"/>
    <w:rsid w:val="00AD52CB"/>
    <w:rsid w:val="00AD7A75"/>
    <w:rsid w:val="00AD7C5B"/>
    <w:rsid w:val="00AE0CE2"/>
    <w:rsid w:val="00AE1705"/>
    <w:rsid w:val="00AE2B33"/>
    <w:rsid w:val="00AE32EA"/>
    <w:rsid w:val="00AE4812"/>
    <w:rsid w:val="00AE4B29"/>
    <w:rsid w:val="00AE511C"/>
    <w:rsid w:val="00AE7509"/>
    <w:rsid w:val="00AE756F"/>
    <w:rsid w:val="00AF1390"/>
    <w:rsid w:val="00AF14D0"/>
    <w:rsid w:val="00AF1693"/>
    <w:rsid w:val="00AF1824"/>
    <w:rsid w:val="00AF24BF"/>
    <w:rsid w:val="00AF4540"/>
    <w:rsid w:val="00AF5CC4"/>
    <w:rsid w:val="00AF7D9E"/>
    <w:rsid w:val="00B00991"/>
    <w:rsid w:val="00B0154D"/>
    <w:rsid w:val="00B035AE"/>
    <w:rsid w:val="00B03826"/>
    <w:rsid w:val="00B03B81"/>
    <w:rsid w:val="00B041E1"/>
    <w:rsid w:val="00B05474"/>
    <w:rsid w:val="00B06276"/>
    <w:rsid w:val="00B10BEE"/>
    <w:rsid w:val="00B13DE3"/>
    <w:rsid w:val="00B14102"/>
    <w:rsid w:val="00B1592C"/>
    <w:rsid w:val="00B17496"/>
    <w:rsid w:val="00B1777A"/>
    <w:rsid w:val="00B21634"/>
    <w:rsid w:val="00B21C25"/>
    <w:rsid w:val="00B23165"/>
    <w:rsid w:val="00B23280"/>
    <w:rsid w:val="00B240E3"/>
    <w:rsid w:val="00B2733C"/>
    <w:rsid w:val="00B273AB"/>
    <w:rsid w:val="00B30CC9"/>
    <w:rsid w:val="00B340AD"/>
    <w:rsid w:val="00B3575A"/>
    <w:rsid w:val="00B36A0E"/>
    <w:rsid w:val="00B370CE"/>
    <w:rsid w:val="00B37D6C"/>
    <w:rsid w:val="00B401F2"/>
    <w:rsid w:val="00B4030C"/>
    <w:rsid w:val="00B43381"/>
    <w:rsid w:val="00B442EC"/>
    <w:rsid w:val="00B456AE"/>
    <w:rsid w:val="00B45A22"/>
    <w:rsid w:val="00B5028D"/>
    <w:rsid w:val="00B50496"/>
    <w:rsid w:val="00B52918"/>
    <w:rsid w:val="00B53409"/>
    <w:rsid w:val="00B5415E"/>
    <w:rsid w:val="00B54D1B"/>
    <w:rsid w:val="00B555AE"/>
    <w:rsid w:val="00B56137"/>
    <w:rsid w:val="00B56835"/>
    <w:rsid w:val="00B60348"/>
    <w:rsid w:val="00B63D81"/>
    <w:rsid w:val="00B641D3"/>
    <w:rsid w:val="00B65AD9"/>
    <w:rsid w:val="00B677FA"/>
    <w:rsid w:val="00B7113C"/>
    <w:rsid w:val="00B75DA4"/>
    <w:rsid w:val="00B764EB"/>
    <w:rsid w:val="00B76511"/>
    <w:rsid w:val="00B76A8D"/>
    <w:rsid w:val="00B76FE4"/>
    <w:rsid w:val="00B80380"/>
    <w:rsid w:val="00B82197"/>
    <w:rsid w:val="00B82BD1"/>
    <w:rsid w:val="00B84D7A"/>
    <w:rsid w:val="00B85408"/>
    <w:rsid w:val="00B858CF"/>
    <w:rsid w:val="00B860A4"/>
    <w:rsid w:val="00B868A4"/>
    <w:rsid w:val="00B86DC7"/>
    <w:rsid w:val="00B87DCF"/>
    <w:rsid w:val="00B905DD"/>
    <w:rsid w:val="00B90D78"/>
    <w:rsid w:val="00B90E80"/>
    <w:rsid w:val="00B949D8"/>
    <w:rsid w:val="00B955DB"/>
    <w:rsid w:val="00B966FA"/>
    <w:rsid w:val="00B97CD7"/>
    <w:rsid w:val="00BA2253"/>
    <w:rsid w:val="00BA3525"/>
    <w:rsid w:val="00BA5BA0"/>
    <w:rsid w:val="00BA6662"/>
    <w:rsid w:val="00BA66A9"/>
    <w:rsid w:val="00BA71D9"/>
    <w:rsid w:val="00BB0B15"/>
    <w:rsid w:val="00BB0FA8"/>
    <w:rsid w:val="00BB1754"/>
    <w:rsid w:val="00BB2960"/>
    <w:rsid w:val="00BB2BF4"/>
    <w:rsid w:val="00BB37FD"/>
    <w:rsid w:val="00BB3FF6"/>
    <w:rsid w:val="00BB6EA1"/>
    <w:rsid w:val="00BB7AB3"/>
    <w:rsid w:val="00BC0B56"/>
    <w:rsid w:val="00BC0E7E"/>
    <w:rsid w:val="00BC1847"/>
    <w:rsid w:val="00BC28F2"/>
    <w:rsid w:val="00BC39B9"/>
    <w:rsid w:val="00BC3A0F"/>
    <w:rsid w:val="00BC5646"/>
    <w:rsid w:val="00BC59FF"/>
    <w:rsid w:val="00BC623C"/>
    <w:rsid w:val="00BD05F2"/>
    <w:rsid w:val="00BD15BC"/>
    <w:rsid w:val="00BD1657"/>
    <w:rsid w:val="00BD35F3"/>
    <w:rsid w:val="00BD3D8C"/>
    <w:rsid w:val="00BD49DF"/>
    <w:rsid w:val="00BD4F25"/>
    <w:rsid w:val="00BD53A2"/>
    <w:rsid w:val="00BD6AA3"/>
    <w:rsid w:val="00BD6EED"/>
    <w:rsid w:val="00BD72BA"/>
    <w:rsid w:val="00BE2827"/>
    <w:rsid w:val="00BE3770"/>
    <w:rsid w:val="00BE51A7"/>
    <w:rsid w:val="00BE59B0"/>
    <w:rsid w:val="00BE65E0"/>
    <w:rsid w:val="00BE7447"/>
    <w:rsid w:val="00BE7458"/>
    <w:rsid w:val="00BF0F18"/>
    <w:rsid w:val="00BF3AAB"/>
    <w:rsid w:val="00BF40C5"/>
    <w:rsid w:val="00BF41E9"/>
    <w:rsid w:val="00BF4CE9"/>
    <w:rsid w:val="00BF77A5"/>
    <w:rsid w:val="00BF7CD3"/>
    <w:rsid w:val="00C000D3"/>
    <w:rsid w:val="00C00582"/>
    <w:rsid w:val="00C00756"/>
    <w:rsid w:val="00C01A44"/>
    <w:rsid w:val="00C01DA3"/>
    <w:rsid w:val="00C020A8"/>
    <w:rsid w:val="00C021ED"/>
    <w:rsid w:val="00C0362C"/>
    <w:rsid w:val="00C03A9D"/>
    <w:rsid w:val="00C05C98"/>
    <w:rsid w:val="00C10F44"/>
    <w:rsid w:val="00C13935"/>
    <w:rsid w:val="00C14D97"/>
    <w:rsid w:val="00C15156"/>
    <w:rsid w:val="00C21516"/>
    <w:rsid w:val="00C21A84"/>
    <w:rsid w:val="00C21DC3"/>
    <w:rsid w:val="00C220E2"/>
    <w:rsid w:val="00C22903"/>
    <w:rsid w:val="00C22D42"/>
    <w:rsid w:val="00C22F92"/>
    <w:rsid w:val="00C2646E"/>
    <w:rsid w:val="00C27202"/>
    <w:rsid w:val="00C27989"/>
    <w:rsid w:val="00C31A2C"/>
    <w:rsid w:val="00C33035"/>
    <w:rsid w:val="00C331D4"/>
    <w:rsid w:val="00C34975"/>
    <w:rsid w:val="00C354DE"/>
    <w:rsid w:val="00C4189D"/>
    <w:rsid w:val="00C4239F"/>
    <w:rsid w:val="00C428AF"/>
    <w:rsid w:val="00C45F6A"/>
    <w:rsid w:val="00C47C83"/>
    <w:rsid w:val="00C50809"/>
    <w:rsid w:val="00C51452"/>
    <w:rsid w:val="00C5549E"/>
    <w:rsid w:val="00C56BF4"/>
    <w:rsid w:val="00C571FE"/>
    <w:rsid w:val="00C65132"/>
    <w:rsid w:val="00C65B82"/>
    <w:rsid w:val="00C674E3"/>
    <w:rsid w:val="00C67825"/>
    <w:rsid w:val="00C70258"/>
    <w:rsid w:val="00C727EE"/>
    <w:rsid w:val="00C7298D"/>
    <w:rsid w:val="00C755D9"/>
    <w:rsid w:val="00C80B55"/>
    <w:rsid w:val="00C80C31"/>
    <w:rsid w:val="00C841F1"/>
    <w:rsid w:val="00C869BF"/>
    <w:rsid w:val="00C872B0"/>
    <w:rsid w:val="00C87C7E"/>
    <w:rsid w:val="00C90810"/>
    <w:rsid w:val="00C93FF6"/>
    <w:rsid w:val="00C94559"/>
    <w:rsid w:val="00C964A8"/>
    <w:rsid w:val="00C970FB"/>
    <w:rsid w:val="00C976BA"/>
    <w:rsid w:val="00CA2946"/>
    <w:rsid w:val="00CA2B42"/>
    <w:rsid w:val="00CA3EDF"/>
    <w:rsid w:val="00CA5486"/>
    <w:rsid w:val="00CA5575"/>
    <w:rsid w:val="00CA5B6F"/>
    <w:rsid w:val="00CA5EFA"/>
    <w:rsid w:val="00CA5F23"/>
    <w:rsid w:val="00CB2035"/>
    <w:rsid w:val="00CB2046"/>
    <w:rsid w:val="00CB50EC"/>
    <w:rsid w:val="00CB5F42"/>
    <w:rsid w:val="00CB64FA"/>
    <w:rsid w:val="00CB7356"/>
    <w:rsid w:val="00CC1FC7"/>
    <w:rsid w:val="00CC21E2"/>
    <w:rsid w:val="00CC280C"/>
    <w:rsid w:val="00CC28A2"/>
    <w:rsid w:val="00CC298D"/>
    <w:rsid w:val="00CC2C31"/>
    <w:rsid w:val="00CC3A96"/>
    <w:rsid w:val="00CC3F8E"/>
    <w:rsid w:val="00CC6DBF"/>
    <w:rsid w:val="00CC7B7B"/>
    <w:rsid w:val="00CD2538"/>
    <w:rsid w:val="00CD2829"/>
    <w:rsid w:val="00CD48F5"/>
    <w:rsid w:val="00CD525E"/>
    <w:rsid w:val="00CD6909"/>
    <w:rsid w:val="00CD7B18"/>
    <w:rsid w:val="00CE1043"/>
    <w:rsid w:val="00CE266E"/>
    <w:rsid w:val="00CE418E"/>
    <w:rsid w:val="00CE5E8E"/>
    <w:rsid w:val="00CE73EA"/>
    <w:rsid w:val="00CF3427"/>
    <w:rsid w:val="00CF3C07"/>
    <w:rsid w:val="00CF680B"/>
    <w:rsid w:val="00CF6E60"/>
    <w:rsid w:val="00CF7394"/>
    <w:rsid w:val="00CF7557"/>
    <w:rsid w:val="00D00C9D"/>
    <w:rsid w:val="00D01845"/>
    <w:rsid w:val="00D020F0"/>
    <w:rsid w:val="00D02835"/>
    <w:rsid w:val="00D02AB6"/>
    <w:rsid w:val="00D03EA1"/>
    <w:rsid w:val="00D04C94"/>
    <w:rsid w:val="00D0551A"/>
    <w:rsid w:val="00D059DD"/>
    <w:rsid w:val="00D06FC8"/>
    <w:rsid w:val="00D07F8D"/>
    <w:rsid w:val="00D100B8"/>
    <w:rsid w:val="00D10D54"/>
    <w:rsid w:val="00D11AD5"/>
    <w:rsid w:val="00D11BB0"/>
    <w:rsid w:val="00D11D77"/>
    <w:rsid w:val="00D126E6"/>
    <w:rsid w:val="00D132A5"/>
    <w:rsid w:val="00D13A63"/>
    <w:rsid w:val="00D15EC2"/>
    <w:rsid w:val="00D165B9"/>
    <w:rsid w:val="00D20CBD"/>
    <w:rsid w:val="00D20CE1"/>
    <w:rsid w:val="00D2202F"/>
    <w:rsid w:val="00D221FC"/>
    <w:rsid w:val="00D225D9"/>
    <w:rsid w:val="00D25848"/>
    <w:rsid w:val="00D25E39"/>
    <w:rsid w:val="00D26CF2"/>
    <w:rsid w:val="00D30740"/>
    <w:rsid w:val="00D31BB6"/>
    <w:rsid w:val="00D33DFE"/>
    <w:rsid w:val="00D34345"/>
    <w:rsid w:val="00D356FC"/>
    <w:rsid w:val="00D35EE7"/>
    <w:rsid w:val="00D407F9"/>
    <w:rsid w:val="00D41F60"/>
    <w:rsid w:val="00D42BC6"/>
    <w:rsid w:val="00D43D41"/>
    <w:rsid w:val="00D441E1"/>
    <w:rsid w:val="00D44C36"/>
    <w:rsid w:val="00D44D4F"/>
    <w:rsid w:val="00D4586A"/>
    <w:rsid w:val="00D45FE2"/>
    <w:rsid w:val="00D467D3"/>
    <w:rsid w:val="00D50C81"/>
    <w:rsid w:val="00D50E4B"/>
    <w:rsid w:val="00D51B5B"/>
    <w:rsid w:val="00D52F70"/>
    <w:rsid w:val="00D53B5E"/>
    <w:rsid w:val="00D564FF"/>
    <w:rsid w:val="00D57109"/>
    <w:rsid w:val="00D5780F"/>
    <w:rsid w:val="00D57BC6"/>
    <w:rsid w:val="00D60525"/>
    <w:rsid w:val="00D60D90"/>
    <w:rsid w:val="00D60E35"/>
    <w:rsid w:val="00D610C5"/>
    <w:rsid w:val="00D61963"/>
    <w:rsid w:val="00D62704"/>
    <w:rsid w:val="00D6297A"/>
    <w:rsid w:val="00D64214"/>
    <w:rsid w:val="00D649FC"/>
    <w:rsid w:val="00D64DD0"/>
    <w:rsid w:val="00D67D8D"/>
    <w:rsid w:val="00D74B40"/>
    <w:rsid w:val="00D754D2"/>
    <w:rsid w:val="00D76616"/>
    <w:rsid w:val="00D76894"/>
    <w:rsid w:val="00D76BD6"/>
    <w:rsid w:val="00D816BE"/>
    <w:rsid w:val="00D83D53"/>
    <w:rsid w:val="00D84286"/>
    <w:rsid w:val="00D8498E"/>
    <w:rsid w:val="00D84B48"/>
    <w:rsid w:val="00D8590D"/>
    <w:rsid w:val="00D86480"/>
    <w:rsid w:val="00D86AE4"/>
    <w:rsid w:val="00D87AF0"/>
    <w:rsid w:val="00D914B7"/>
    <w:rsid w:val="00D9190D"/>
    <w:rsid w:val="00D92624"/>
    <w:rsid w:val="00D937C1"/>
    <w:rsid w:val="00D95CF9"/>
    <w:rsid w:val="00D9662F"/>
    <w:rsid w:val="00D96882"/>
    <w:rsid w:val="00DA0730"/>
    <w:rsid w:val="00DA08A3"/>
    <w:rsid w:val="00DA09FA"/>
    <w:rsid w:val="00DA187A"/>
    <w:rsid w:val="00DA3FE2"/>
    <w:rsid w:val="00DA4642"/>
    <w:rsid w:val="00DA4A72"/>
    <w:rsid w:val="00DA4C8E"/>
    <w:rsid w:val="00DA562E"/>
    <w:rsid w:val="00DA5980"/>
    <w:rsid w:val="00DA5D78"/>
    <w:rsid w:val="00DA61BC"/>
    <w:rsid w:val="00DB038E"/>
    <w:rsid w:val="00DB1BDB"/>
    <w:rsid w:val="00DB3A21"/>
    <w:rsid w:val="00DB425F"/>
    <w:rsid w:val="00DB48D0"/>
    <w:rsid w:val="00DB4FD2"/>
    <w:rsid w:val="00DB70D4"/>
    <w:rsid w:val="00DB7600"/>
    <w:rsid w:val="00DB7F85"/>
    <w:rsid w:val="00DC0607"/>
    <w:rsid w:val="00DC4F14"/>
    <w:rsid w:val="00DC51F6"/>
    <w:rsid w:val="00DC59BF"/>
    <w:rsid w:val="00DC7C06"/>
    <w:rsid w:val="00DD0779"/>
    <w:rsid w:val="00DD1070"/>
    <w:rsid w:val="00DD251C"/>
    <w:rsid w:val="00DD2C82"/>
    <w:rsid w:val="00DD5A83"/>
    <w:rsid w:val="00DD6AF9"/>
    <w:rsid w:val="00DD7CF2"/>
    <w:rsid w:val="00DE198D"/>
    <w:rsid w:val="00DE418E"/>
    <w:rsid w:val="00DE6EA2"/>
    <w:rsid w:val="00DE7104"/>
    <w:rsid w:val="00DE7F0E"/>
    <w:rsid w:val="00DF0974"/>
    <w:rsid w:val="00DF24B7"/>
    <w:rsid w:val="00DF5EDA"/>
    <w:rsid w:val="00E001C7"/>
    <w:rsid w:val="00E00FE6"/>
    <w:rsid w:val="00E017E1"/>
    <w:rsid w:val="00E0218D"/>
    <w:rsid w:val="00E02F16"/>
    <w:rsid w:val="00E03A66"/>
    <w:rsid w:val="00E04023"/>
    <w:rsid w:val="00E047CD"/>
    <w:rsid w:val="00E0551D"/>
    <w:rsid w:val="00E060C8"/>
    <w:rsid w:val="00E063BF"/>
    <w:rsid w:val="00E06EB5"/>
    <w:rsid w:val="00E071E3"/>
    <w:rsid w:val="00E10040"/>
    <w:rsid w:val="00E101E7"/>
    <w:rsid w:val="00E1086C"/>
    <w:rsid w:val="00E10F5A"/>
    <w:rsid w:val="00E110C9"/>
    <w:rsid w:val="00E1232A"/>
    <w:rsid w:val="00E1382F"/>
    <w:rsid w:val="00E13B27"/>
    <w:rsid w:val="00E13CA0"/>
    <w:rsid w:val="00E15B22"/>
    <w:rsid w:val="00E15F09"/>
    <w:rsid w:val="00E15F4C"/>
    <w:rsid w:val="00E15FD3"/>
    <w:rsid w:val="00E169FD"/>
    <w:rsid w:val="00E17A26"/>
    <w:rsid w:val="00E20380"/>
    <w:rsid w:val="00E20CCC"/>
    <w:rsid w:val="00E238D9"/>
    <w:rsid w:val="00E24236"/>
    <w:rsid w:val="00E245D4"/>
    <w:rsid w:val="00E25B99"/>
    <w:rsid w:val="00E2700E"/>
    <w:rsid w:val="00E33BFD"/>
    <w:rsid w:val="00E3451B"/>
    <w:rsid w:val="00E35104"/>
    <w:rsid w:val="00E35FEF"/>
    <w:rsid w:val="00E36360"/>
    <w:rsid w:val="00E36518"/>
    <w:rsid w:val="00E41262"/>
    <w:rsid w:val="00E4178E"/>
    <w:rsid w:val="00E425E4"/>
    <w:rsid w:val="00E431F7"/>
    <w:rsid w:val="00E447D3"/>
    <w:rsid w:val="00E45726"/>
    <w:rsid w:val="00E465DB"/>
    <w:rsid w:val="00E475A9"/>
    <w:rsid w:val="00E4799B"/>
    <w:rsid w:val="00E502AA"/>
    <w:rsid w:val="00E50A93"/>
    <w:rsid w:val="00E50F68"/>
    <w:rsid w:val="00E53FB7"/>
    <w:rsid w:val="00E54776"/>
    <w:rsid w:val="00E634E1"/>
    <w:rsid w:val="00E63526"/>
    <w:rsid w:val="00E636CF"/>
    <w:rsid w:val="00E64F98"/>
    <w:rsid w:val="00E67512"/>
    <w:rsid w:val="00E74836"/>
    <w:rsid w:val="00E7501D"/>
    <w:rsid w:val="00E76776"/>
    <w:rsid w:val="00E769B6"/>
    <w:rsid w:val="00E80C28"/>
    <w:rsid w:val="00E81B47"/>
    <w:rsid w:val="00E84520"/>
    <w:rsid w:val="00E86BEF"/>
    <w:rsid w:val="00E87204"/>
    <w:rsid w:val="00E874DF"/>
    <w:rsid w:val="00E9028C"/>
    <w:rsid w:val="00E90D7E"/>
    <w:rsid w:val="00E915E8"/>
    <w:rsid w:val="00E9179D"/>
    <w:rsid w:val="00E9367E"/>
    <w:rsid w:val="00E949B6"/>
    <w:rsid w:val="00E94D4D"/>
    <w:rsid w:val="00E95233"/>
    <w:rsid w:val="00E95621"/>
    <w:rsid w:val="00E95E82"/>
    <w:rsid w:val="00E964CE"/>
    <w:rsid w:val="00EA099B"/>
    <w:rsid w:val="00EA136D"/>
    <w:rsid w:val="00EA24D0"/>
    <w:rsid w:val="00EA286D"/>
    <w:rsid w:val="00EA2E7B"/>
    <w:rsid w:val="00EA2F48"/>
    <w:rsid w:val="00EA6606"/>
    <w:rsid w:val="00EA772B"/>
    <w:rsid w:val="00EA7EF3"/>
    <w:rsid w:val="00EB0AD2"/>
    <w:rsid w:val="00EB1B37"/>
    <w:rsid w:val="00EB2889"/>
    <w:rsid w:val="00EB48F0"/>
    <w:rsid w:val="00EB52EA"/>
    <w:rsid w:val="00EB6447"/>
    <w:rsid w:val="00EC0B9E"/>
    <w:rsid w:val="00EC0E4F"/>
    <w:rsid w:val="00EC3A9A"/>
    <w:rsid w:val="00EC5424"/>
    <w:rsid w:val="00EC557C"/>
    <w:rsid w:val="00EC78F8"/>
    <w:rsid w:val="00ED0697"/>
    <w:rsid w:val="00ED0D47"/>
    <w:rsid w:val="00ED13E0"/>
    <w:rsid w:val="00ED1A0D"/>
    <w:rsid w:val="00ED2316"/>
    <w:rsid w:val="00ED3A45"/>
    <w:rsid w:val="00ED3AFF"/>
    <w:rsid w:val="00ED501C"/>
    <w:rsid w:val="00ED5D25"/>
    <w:rsid w:val="00ED636E"/>
    <w:rsid w:val="00EE0B6F"/>
    <w:rsid w:val="00EE0C39"/>
    <w:rsid w:val="00EE1ED8"/>
    <w:rsid w:val="00EE2CCD"/>
    <w:rsid w:val="00EE2D56"/>
    <w:rsid w:val="00EE3F78"/>
    <w:rsid w:val="00EF0180"/>
    <w:rsid w:val="00EF0639"/>
    <w:rsid w:val="00EF095E"/>
    <w:rsid w:val="00EF0C6F"/>
    <w:rsid w:val="00EF42E3"/>
    <w:rsid w:val="00EF48CE"/>
    <w:rsid w:val="00EF4FF8"/>
    <w:rsid w:val="00EF530D"/>
    <w:rsid w:val="00EF593E"/>
    <w:rsid w:val="00EF6802"/>
    <w:rsid w:val="00EF6C65"/>
    <w:rsid w:val="00F01EBC"/>
    <w:rsid w:val="00F04345"/>
    <w:rsid w:val="00F0483A"/>
    <w:rsid w:val="00F04942"/>
    <w:rsid w:val="00F04971"/>
    <w:rsid w:val="00F0528E"/>
    <w:rsid w:val="00F068DB"/>
    <w:rsid w:val="00F075F7"/>
    <w:rsid w:val="00F12C7B"/>
    <w:rsid w:val="00F138D4"/>
    <w:rsid w:val="00F15F79"/>
    <w:rsid w:val="00F16D0B"/>
    <w:rsid w:val="00F17051"/>
    <w:rsid w:val="00F20E90"/>
    <w:rsid w:val="00F22232"/>
    <w:rsid w:val="00F226F1"/>
    <w:rsid w:val="00F24393"/>
    <w:rsid w:val="00F24F9E"/>
    <w:rsid w:val="00F25943"/>
    <w:rsid w:val="00F26CC1"/>
    <w:rsid w:val="00F27883"/>
    <w:rsid w:val="00F311BB"/>
    <w:rsid w:val="00F3148F"/>
    <w:rsid w:val="00F32EB8"/>
    <w:rsid w:val="00F33AF2"/>
    <w:rsid w:val="00F34432"/>
    <w:rsid w:val="00F358DB"/>
    <w:rsid w:val="00F36305"/>
    <w:rsid w:val="00F3664D"/>
    <w:rsid w:val="00F40202"/>
    <w:rsid w:val="00F40695"/>
    <w:rsid w:val="00F4153D"/>
    <w:rsid w:val="00F41AC4"/>
    <w:rsid w:val="00F43B84"/>
    <w:rsid w:val="00F43CC7"/>
    <w:rsid w:val="00F4478F"/>
    <w:rsid w:val="00F449B8"/>
    <w:rsid w:val="00F45BC6"/>
    <w:rsid w:val="00F4637F"/>
    <w:rsid w:val="00F47EAA"/>
    <w:rsid w:val="00F512FF"/>
    <w:rsid w:val="00F5177A"/>
    <w:rsid w:val="00F51A78"/>
    <w:rsid w:val="00F51C6E"/>
    <w:rsid w:val="00F5412D"/>
    <w:rsid w:val="00F549E1"/>
    <w:rsid w:val="00F560D6"/>
    <w:rsid w:val="00F60795"/>
    <w:rsid w:val="00F620FD"/>
    <w:rsid w:val="00F64F14"/>
    <w:rsid w:val="00F669A8"/>
    <w:rsid w:val="00F678B9"/>
    <w:rsid w:val="00F67EE7"/>
    <w:rsid w:val="00F67EF8"/>
    <w:rsid w:val="00F70657"/>
    <w:rsid w:val="00F740AB"/>
    <w:rsid w:val="00F74A53"/>
    <w:rsid w:val="00F758E7"/>
    <w:rsid w:val="00F76A68"/>
    <w:rsid w:val="00F76C1D"/>
    <w:rsid w:val="00F77041"/>
    <w:rsid w:val="00F777FA"/>
    <w:rsid w:val="00F8055C"/>
    <w:rsid w:val="00F80EBB"/>
    <w:rsid w:val="00F81190"/>
    <w:rsid w:val="00F81825"/>
    <w:rsid w:val="00F8208E"/>
    <w:rsid w:val="00F82198"/>
    <w:rsid w:val="00F82AEE"/>
    <w:rsid w:val="00F84220"/>
    <w:rsid w:val="00F90228"/>
    <w:rsid w:val="00F91288"/>
    <w:rsid w:val="00F918D5"/>
    <w:rsid w:val="00F92B5E"/>
    <w:rsid w:val="00F94083"/>
    <w:rsid w:val="00F96845"/>
    <w:rsid w:val="00F96B2C"/>
    <w:rsid w:val="00FA1543"/>
    <w:rsid w:val="00FA241F"/>
    <w:rsid w:val="00FA2D01"/>
    <w:rsid w:val="00FA331C"/>
    <w:rsid w:val="00FA3449"/>
    <w:rsid w:val="00FA61E0"/>
    <w:rsid w:val="00FA6765"/>
    <w:rsid w:val="00FA6C0C"/>
    <w:rsid w:val="00FA79EA"/>
    <w:rsid w:val="00FB3B3B"/>
    <w:rsid w:val="00FB4AD2"/>
    <w:rsid w:val="00FB6E73"/>
    <w:rsid w:val="00FB7C41"/>
    <w:rsid w:val="00FC1838"/>
    <w:rsid w:val="00FC19D7"/>
    <w:rsid w:val="00FC2C78"/>
    <w:rsid w:val="00FC337D"/>
    <w:rsid w:val="00FC76A9"/>
    <w:rsid w:val="00FD0EC0"/>
    <w:rsid w:val="00FD1359"/>
    <w:rsid w:val="00FD2C3C"/>
    <w:rsid w:val="00FD3571"/>
    <w:rsid w:val="00FD496D"/>
    <w:rsid w:val="00FE19D6"/>
    <w:rsid w:val="00FE35C6"/>
    <w:rsid w:val="00FE3656"/>
    <w:rsid w:val="00FE51DF"/>
    <w:rsid w:val="00FE5647"/>
    <w:rsid w:val="00FE60DF"/>
    <w:rsid w:val="00FE6651"/>
    <w:rsid w:val="00FE756D"/>
    <w:rsid w:val="00FF27B1"/>
    <w:rsid w:val="00FF394A"/>
    <w:rsid w:val="00FF4B19"/>
    <w:rsid w:val="00FF667B"/>
    <w:rsid w:val="01110EBB"/>
    <w:rsid w:val="01172159"/>
    <w:rsid w:val="01200DBA"/>
    <w:rsid w:val="01442E29"/>
    <w:rsid w:val="014E4831"/>
    <w:rsid w:val="015572F6"/>
    <w:rsid w:val="01A46E72"/>
    <w:rsid w:val="01A80FC1"/>
    <w:rsid w:val="01AD5012"/>
    <w:rsid w:val="01AE1477"/>
    <w:rsid w:val="01B47BC5"/>
    <w:rsid w:val="01CA127A"/>
    <w:rsid w:val="01CC3631"/>
    <w:rsid w:val="01CC4EFB"/>
    <w:rsid w:val="01D11587"/>
    <w:rsid w:val="01D44BD1"/>
    <w:rsid w:val="01E4458B"/>
    <w:rsid w:val="01EC0E66"/>
    <w:rsid w:val="01F724E0"/>
    <w:rsid w:val="020F6E55"/>
    <w:rsid w:val="02336B94"/>
    <w:rsid w:val="0252665D"/>
    <w:rsid w:val="025E466E"/>
    <w:rsid w:val="027006DA"/>
    <w:rsid w:val="02933672"/>
    <w:rsid w:val="02946579"/>
    <w:rsid w:val="02A129F2"/>
    <w:rsid w:val="02AC46B2"/>
    <w:rsid w:val="02D900E1"/>
    <w:rsid w:val="02F3798F"/>
    <w:rsid w:val="02F8278A"/>
    <w:rsid w:val="02FB573A"/>
    <w:rsid w:val="03130A6B"/>
    <w:rsid w:val="0362649B"/>
    <w:rsid w:val="036556F0"/>
    <w:rsid w:val="03772BBD"/>
    <w:rsid w:val="03961041"/>
    <w:rsid w:val="039D10C3"/>
    <w:rsid w:val="03C73944"/>
    <w:rsid w:val="03D15269"/>
    <w:rsid w:val="03D41EAC"/>
    <w:rsid w:val="03DB7189"/>
    <w:rsid w:val="03DC38A0"/>
    <w:rsid w:val="03EE1902"/>
    <w:rsid w:val="03FA7913"/>
    <w:rsid w:val="04163365"/>
    <w:rsid w:val="04301B2B"/>
    <w:rsid w:val="045764B7"/>
    <w:rsid w:val="045D5C4E"/>
    <w:rsid w:val="046075CD"/>
    <w:rsid w:val="04895CF5"/>
    <w:rsid w:val="04911EF7"/>
    <w:rsid w:val="0491498E"/>
    <w:rsid w:val="04974713"/>
    <w:rsid w:val="049806E7"/>
    <w:rsid w:val="04A02E36"/>
    <w:rsid w:val="04AB50F9"/>
    <w:rsid w:val="04B270C1"/>
    <w:rsid w:val="04C327F9"/>
    <w:rsid w:val="04D7385E"/>
    <w:rsid w:val="050D7206"/>
    <w:rsid w:val="051F6C6B"/>
    <w:rsid w:val="052A5291"/>
    <w:rsid w:val="05344197"/>
    <w:rsid w:val="05364978"/>
    <w:rsid w:val="053F4BEA"/>
    <w:rsid w:val="055B0A39"/>
    <w:rsid w:val="056E2BC2"/>
    <w:rsid w:val="05863D68"/>
    <w:rsid w:val="058A4BA6"/>
    <w:rsid w:val="05905187"/>
    <w:rsid w:val="05B440E6"/>
    <w:rsid w:val="05B76EC6"/>
    <w:rsid w:val="05C02A1F"/>
    <w:rsid w:val="05CD53FD"/>
    <w:rsid w:val="05D50A3D"/>
    <w:rsid w:val="05DB7368"/>
    <w:rsid w:val="06115E72"/>
    <w:rsid w:val="06187C8D"/>
    <w:rsid w:val="062318A1"/>
    <w:rsid w:val="063F4A41"/>
    <w:rsid w:val="06441328"/>
    <w:rsid w:val="06464795"/>
    <w:rsid w:val="064A1761"/>
    <w:rsid w:val="065472DC"/>
    <w:rsid w:val="06572C04"/>
    <w:rsid w:val="068B7401"/>
    <w:rsid w:val="06A12170"/>
    <w:rsid w:val="06A9629E"/>
    <w:rsid w:val="06D53634"/>
    <w:rsid w:val="06E573E1"/>
    <w:rsid w:val="06EC4F00"/>
    <w:rsid w:val="06EF2979"/>
    <w:rsid w:val="06F3283B"/>
    <w:rsid w:val="06FC3783"/>
    <w:rsid w:val="06FF718E"/>
    <w:rsid w:val="07096798"/>
    <w:rsid w:val="070968FA"/>
    <w:rsid w:val="070A2FBC"/>
    <w:rsid w:val="070D738B"/>
    <w:rsid w:val="071F18B7"/>
    <w:rsid w:val="073161DB"/>
    <w:rsid w:val="07383D99"/>
    <w:rsid w:val="07540CBA"/>
    <w:rsid w:val="075E5DA6"/>
    <w:rsid w:val="076808B4"/>
    <w:rsid w:val="0777731F"/>
    <w:rsid w:val="079356FB"/>
    <w:rsid w:val="0795047E"/>
    <w:rsid w:val="07BD61EF"/>
    <w:rsid w:val="07EB02CF"/>
    <w:rsid w:val="07EB476C"/>
    <w:rsid w:val="07FD070B"/>
    <w:rsid w:val="07FE56B2"/>
    <w:rsid w:val="080C6C29"/>
    <w:rsid w:val="0810566E"/>
    <w:rsid w:val="082A0D4A"/>
    <w:rsid w:val="0862434F"/>
    <w:rsid w:val="08742264"/>
    <w:rsid w:val="087D47E2"/>
    <w:rsid w:val="08816717"/>
    <w:rsid w:val="08822685"/>
    <w:rsid w:val="088E0696"/>
    <w:rsid w:val="08980BAC"/>
    <w:rsid w:val="08A34DB8"/>
    <w:rsid w:val="08AA532C"/>
    <w:rsid w:val="08B172A4"/>
    <w:rsid w:val="08BA49DD"/>
    <w:rsid w:val="08D527A9"/>
    <w:rsid w:val="08FD2E0C"/>
    <w:rsid w:val="091A3AFD"/>
    <w:rsid w:val="09467E45"/>
    <w:rsid w:val="09663729"/>
    <w:rsid w:val="09684013"/>
    <w:rsid w:val="097F42F2"/>
    <w:rsid w:val="09914D0C"/>
    <w:rsid w:val="09B207F9"/>
    <w:rsid w:val="09D00C36"/>
    <w:rsid w:val="09EF5A85"/>
    <w:rsid w:val="09F36ED7"/>
    <w:rsid w:val="09F56ED3"/>
    <w:rsid w:val="0A0774F9"/>
    <w:rsid w:val="0A0E3D16"/>
    <w:rsid w:val="0A1B4491"/>
    <w:rsid w:val="0A2A393B"/>
    <w:rsid w:val="0A327F26"/>
    <w:rsid w:val="0A43140E"/>
    <w:rsid w:val="0A4A1C71"/>
    <w:rsid w:val="0A4A3FD1"/>
    <w:rsid w:val="0A524906"/>
    <w:rsid w:val="0A567C82"/>
    <w:rsid w:val="0A6F7FBD"/>
    <w:rsid w:val="0A8254D6"/>
    <w:rsid w:val="0AC50BBD"/>
    <w:rsid w:val="0AED4CFD"/>
    <w:rsid w:val="0AFE4681"/>
    <w:rsid w:val="0B0411B5"/>
    <w:rsid w:val="0B09461B"/>
    <w:rsid w:val="0B1C6C60"/>
    <w:rsid w:val="0B273062"/>
    <w:rsid w:val="0B57704E"/>
    <w:rsid w:val="0B8073DC"/>
    <w:rsid w:val="0B86339C"/>
    <w:rsid w:val="0B953B99"/>
    <w:rsid w:val="0B9547F3"/>
    <w:rsid w:val="0BBB11A0"/>
    <w:rsid w:val="0BCD1784"/>
    <w:rsid w:val="0BEC6028"/>
    <w:rsid w:val="0BFA5267"/>
    <w:rsid w:val="0C0323A7"/>
    <w:rsid w:val="0C102436"/>
    <w:rsid w:val="0C1C357B"/>
    <w:rsid w:val="0C254791"/>
    <w:rsid w:val="0C255B39"/>
    <w:rsid w:val="0C3050D1"/>
    <w:rsid w:val="0C426542"/>
    <w:rsid w:val="0C4573D1"/>
    <w:rsid w:val="0C4B608E"/>
    <w:rsid w:val="0C541CC6"/>
    <w:rsid w:val="0C5B5093"/>
    <w:rsid w:val="0C5F2110"/>
    <w:rsid w:val="0C7C7FC8"/>
    <w:rsid w:val="0C820EA1"/>
    <w:rsid w:val="0C821F05"/>
    <w:rsid w:val="0C8B3A1F"/>
    <w:rsid w:val="0CBA3726"/>
    <w:rsid w:val="0CC20155"/>
    <w:rsid w:val="0CC82944"/>
    <w:rsid w:val="0D100790"/>
    <w:rsid w:val="0D102B7A"/>
    <w:rsid w:val="0D2C77AB"/>
    <w:rsid w:val="0D4E1839"/>
    <w:rsid w:val="0D697610"/>
    <w:rsid w:val="0D902EA6"/>
    <w:rsid w:val="0D94088F"/>
    <w:rsid w:val="0D9D1B80"/>
    <w:rsid w:val="0DC40C23"/>
    <w:rsid w:val="0DC5092B"/>
    <w:rsid w:val="0DCD6757"/>
    <w:rsid w:val="0DD271D8"/>
    <w:rsid w:val="0DE46F59"/>
    <w:rsid w:val="0DEA7E59"/>
    <w:rsid w:val="0E3015D7"/>
    <w:rsid w:val="0E344C5A"/>
    <w:rsid w:val="0E3A6C8D"/>
    <w:rsid w:val="0E3B10CA"/>
    <w:rsid w:val="0E466635"/>
    <w:rsid w:val="0E5C591E"/>
    <w:rsid w:val="0EBE46BE"/>
    <w:rsid w:val="0EBF433E"/>
    <w:rsid w:val="0EC230C4"/>
    <w:rsid w:val="0ECA4D9B"/>
    <w:rsid w:val="0ED81472"/>
    <w:rsid w:val="0EE25E67"/>
    <w:rsid w:val="0EEA0A05"/>
    <w:rsid w:val="0F1C6532"/>
    <w:rsid w:val="0F240E91"/>
    <w:rsid w:val="0F2A16DF"/>
    <w:rsid w:val="0F2D20BB"/>
    <w:rsid w:val="0F471F69"/>
    <w:rsid w:val="0F605F39"/>
    <w:rsid w:val="0F647B61"/>
    <w:rsid w:val="0F701AE7"/>
    <w:rsid w:val="0F7347E5"/>
    <w:rsid w:val="0F820ED2"/>
    <w:rsid w:val="0FC669D7"/>
    <w:rsid w:val="0FE45D20"/>
    <w:rsid w:val="0FE866D3"/>
    <w:rsid w:val="0FED517A"/>
    <w:rsid w:val="10116C45"/>
    <w:rsid w:val="1023528A"/>
    <w:rsid w:val="10245F01"/>
    <w:rsid w:val="102C1DB6"/>
    <w:rsid w:val="10362874"/>
    <w:rsid w:val="103D4AA3"/>
    <w:rsid w:val="105917B6"/>
    <w:rsid w:val="10702FAF"/>
    <w:rsid w:val="10731DC3"/>
    <w:rsid w:val="10A02715"/>
    <w:rsid w:val="10A03235"/>
    <w:rsid w:val="10A3272D"/>
    <w:rsid w:val="10A73CB7"/>
    <w:rsid w:val="10B640E9"/>
    <w:rsid w:val="10BD4B62"/>
    <w:rsid w:val="10C81D35"/>
    <w:rsid w:val="10D85575"/>
    <w:rsid w:val="10E550F8"/>
    <w:rsid w:val="10EC3453"/>
    <w:rsid w:val="10F2465E"/>
    <w:rsid w:val="11080D80"/>
    <w:rsid w:val="111A18B0"/>
    <w:rsid w:val="112109EA"/>
    <w:rsid w:val="11296D36"/>
    <w:rsid w:val="1133568D"/>
    <w:rsid w:val="113C1D80"/>
    <w:rsid w:val="113E3458"/>
    <w:rsid w:val="114F362E"/>
    <w:rsid w:val="11816ECB"/>
    <w:rsid w:val="11B72236"/>
    <w:rsid w:val="11B901E5"/>
    <w:rsid w:val="11C14E83"/>
    <w:rsid w:val="11C3702D"/>
    <w:rsid w:val="11F64F5F"/>
    <w:rsid w:val="121F716D"/>
    <w:rsid w:val="12242D67"/>
    <w:rsid w:val="124222CC"/>
    <w:rsid w:val="12435284"/>
    <w:rsid w:val="12864282"/>
    <w:rsid w:val="128B1488"/>
    <w:rsid w:val="12A119E9"/>
    <w:rsid w:val="12A142FD"/>
    <w:rsid w:val="12A5511A"/>
    <w:rsid w:val="12AF006D"/>
    <w:rsid w:val="12D32F3E"/>
    <w:rsid w:val="12D84EEA"/>
    <w:rsid w:val="12DB66FD"/>
    <w:rsid w:val="12E10819"/>
    <w:rsid w:val="131878B4"/>
    <w:rsid w:val="133576B7"/>
    <w:rsid w:val="134770B1"/>
    <w:rsid w:val="135702DE"/>
    <w:rsid w:val="13580DE3"/>
    <w:rsid w:val="136B224E"/>
    <w:rsid w:val="138717C9"/>
    <w:rsid w:val="13950B66"/>
    <w:rsid w:val="139571DD"/>
    <w:rsid w:val="13B851A3"/>
    <w:rsid w:val="13C20F8E"/>
    <w:rsid w:val="13C33935"/>
    <w:rsid w:val="13C6650D"/>
    <w:rsid w:val="13E435F6"/>
    <w:rsid w:val="13E52DCD"/>
    <w:rsid w:val="14054CCB"/>
    <w:rsid w:val="140D761F"/>
    <w:rsid w:val="14350BC4"/>
    <w:rsid w:val="144D0B5D"/>
    <w:rsid w:val="14552881"/>
    <w:rsid w:val="1457366A"/>
    <w:rsid w:val="14742044"/>
    <w:rsid w:val="14B55ED9"/>
    <w:rsid w:val="14BF1929"/>
    <w:rsid w:val="14D56DE7"/>
    <w:rsid w:val="14E51FD5"/>
    <w:rsid w:val="14EC2B4F"/>
    <w:rsid w:val="14FC474A"/>
    <w:rsid w:val="151B6253"/>
    <w:rsid w:val="15277834"/>
    <w:rsid w:val="1534579F"/>
    <w:rsid w:val="15386F27"/>
    <w:rsid w:val="153F5BBA"/>
    <w:rsid w:val="15515D31"/>
    <w:rsid w:val="15721AB0"/>
    <w:rsid w:val="157E1AE8"/>
    <w:rsid w:val="1593588C"/>
    <w:rsid w:val="15AC1AAA"/>
    <w:rsid w:val="15BE4FE8"/>
    <w:rsid w:val="15CE0863"/>
    <w:rsid w:val="15FD0801"/>
    <w:rsid w:val="160E2CA9"/>
    <w:rsid w:val="161E6859"/>
    <w:rsid w:val="16301FF7"/>
    <w:rsid w:val="16352BFB"/>
    <w:rsid w:val="163F5D65"/>
    <w:rsid w:val="164A2BA1"/>
    <w:rsid w:val="165D484F"/>
    <w:rsid w:val="16606DB7"/>
    <w:rsid w:val="16716F03"/>
    <w:rsid w:val="16AC1DB7"/>
    <w:rsid w:val="16C233FC"/>
    <w:rsid w:val="16C414B8"/>
    <w:rsid w:val="16CD7010"/>
    <w:rsid w:val="16D45314"/>
    <w:rsid w:val="16D75725"/>
    <w:rsid w:val="16D85C88"/>
    <w:rsid w:val="16EA330D"/>
    <w:rsid w:val="16FA10EC"/>
    <w:rsid w:val="16FF1304"/>
    <w:rsid w:val="170C1D85"/>
    <w:rsid w:val="17154B4E"/>
    <w:rsid w:val="171C1713"/>
    <w:rsid w:val="171F4F8A"/>
    <w:rsid w:val="174E114A"/>
    <w:rsid w:val="175116D8"/>
    <w:rsid w:val="178900A9"/>
    <w:rsid w:val="17A07C63"/>
    <w:rsid w:val="17A51B58"/>
    <w:rsid w:val="17A553DC"/>
    <w:rsid w:val="17DC6052"/>
    <w:rsid w:val="17E556B7"/>
    <w:rsid w:val="17E75E45"/>
    <w:rsid w:val="17E817E1"/>
    <w:rsid w:val="17FA4A18"/>
    <w:rsid w:val="182C61D5"/>
    <w:rsid w:val="183326C1"/>
    <w:rsid w:val="183D7DCF"/>
    <w:rsid w:val="185D7307"/>
    <w:rsid w:val="18731517"/>
    <w:rsid w:val="18947263"/>
    <w:rsid w:val="18AA304E"/>
    <w:rsid w:val="18B51996"/>
    <w:rsid w:val="18BF17C3"/>
    <w:rsid w:val="18D57CCC"/>
    <w:rsid w:val="18E018E0"/>
    <w:rsid w:val="18EB7C71"/>
    <w:rsid w:val="190C23A4"/>
    <w:rsid w:val="19123ED7"/>
    <w:rsid w:val="19127B31"/>
    <w:rsid w:val="19161D08"/>
    <w:rsid w:val="191A694D"/>
    <w:rsid w:val="191D22E3"/>
    <w:rsid w:val="19301A26"/>
    <w:rsid w:val="196A4078"/>
    <w:rsid w:val="19C84285"/>
    <w:rsid w:val="19CC7C35"/>
    <w:rsid w:val="19D7784F"/>
    <w:rsid w:val="1A0511B3"/>
    <w:rsid w:val="1A4E1B8D"/>
    <w:rsid w:val="1A5204BD"/>
    <w:rsid w:val="1A524C3A"/>
    <w:rsid w:val="1A5C5E05"/>
    <w:rsid w:val="1A7D4B85"/>
    <w:rsid w:val="1AB50D4E"/>
    <w:rsid w:val="1ABB4FCF"/>
    <w:rsid w:val="1AE43B0D"/>
    <w:rsid w:val="1AF21570"/>
    <w:rsid w:val="1B0D487D"/>
    <w:rsid w:val="1B227504"/>
    <w:rsid w:val="1B3F335D"/>
    <w:rsid w:val="1B6F732C"/>
    <w:rsid w:val="1B720CF5"/>
    <w:rsid w:val="1B835510"/>
    <w:rsid w:val="1BA210E4"/>
    <w:rsid w:val="1BB75806"/>
    <w:rsid w:val="1BC96D64"/>
    <w:rsid w:val="1BE31B4D"/>
    <w:rsid w:val="1C0D2168"/>
    <w:rsid w:val="1C235D46"/>
    <w:rsid w:val="1C3041CB"/>
    <w:rsid w:val="1C3575B2"/>
    <w:rsid w:val="1C370B0E"/>
    <w:rsid w:val="1C394F3A"/>
    <w:rsid w:val="1C3B6257"/>
    <w:rsid w:val="1C543218"/>
    <w:rsid w:val="1C6B12C9"/>
    <w:rsid w:val="1C6C7F3F"/>
    <w:rsid w:val="1C976DEE"/>
    <w:rsid w:val="1C9E7FC3"/>
    <w:rsid w:val="1CB112A1"/>
    <w:rsid w:val="1CBB7632"/>
    <w:rsid w:val="1CE31B24"/>
    <w:rsid w:val="1CED24E6"/>
    <w:rsid w:val="1D142144"/>
    <w:rsid w:val="1D5C34A4"/>
    <w:rsid w:val="1D677FE8"/>
    <w:rsid w:val="1D8E34F6"/>
    <w:rsid w:val="1D925556"/>
    <w:rsid w:val="1D9301FA"/>
    <w:rsid w:val="1DAB4D3C"/>
    <w:rsid w:val="1DB54661"/>
    <w:rsid w:val="1DB83C92"/>
    <w:rsid w:val="1DBF561E"/>
    <w:rsid w:val="1E0B6EAC"/>
    <w:rsid w:val="1E205F2C"/>
    <w:rsid w:val="1E3061D8"/>
    <w:rsid w:val="1E662539"/>
    <w:rsid w:val="1E6D287C"/>
    <w:rsid w:val="1E775676"/>
    <w:rsid w:val="1E846C1E"/>
    <w:rsid w:val="1E847879"/>
    <w:rsid w:val="1E852796"/>
    <w:rsid w:val="1E905B34"/>
    <w:rsid w:val="1E926960"/>
    <w:rsid w:val="1E954A74"/>
    <w:rsid w:val="1EA67059"/>
    <w:rsid w:val="1EB00710"/>
    <w:rsid w:val="1EB10FCA"/>
    <w:rsid w:val="1EBD707C"/>
    <w:rsid w:val="1EC466DE"/>
    <w:rsid w:val="1EFC55E3"/>
    <w:rsid w:val="1F1C2D79"/>
    <w:rsid w:val="1F1F7F83"/>
    <w:rsid w:val="1F254A63"/>
    <w:rsid w:val="1F3017E2"/>
    <w:rsid w:val="1F3512B9"/>
    <w:rsid w:val="1F50506D"/>
    <w:rsid w:val="1F576B9C"/>
    <w:rsid w:val="1F8C4A9E"/>
    <w:rsid w:val="1F9B057E"/>
    <w:rsid w:val="1FB35111"/>
    <w:rsid w:val="1FD430C8"/>
    <w:rsid w:val="1FF83B3E"/>
    <w:rsid w:val="1FFE308D"/>
    <w:rsid w:val="20062FBA"/>
    <w:rsid w:val="20293236"/>
    <w:rsid w:val="204A1876"/>
    <w:rsid w:val="204C6209"/>
    <w:rsid w:val="204F7069"/>
    <w:rsid w:val="20524269"/>
    <w:rsid w:val="206C3B97"/>
    <w:rsid w:val="207E5EF7"/>
    <w:rsid w:val="20872AC9"/>
    <w:rsid w:val="208B50AF"/>
    <w:rsid w:val="20A10411"/>
    <w:rsid w:val="20CE32DF"/>
    <w:rsid w:val="20EF4A20"/>
    <w:rsid w:val="20F435AD"/>
    <w:rsid w:val="20FF6300"/>
    <w:rsid w:val="211A6978"/>
    <w:rsid w:val="211F2956"/>
    <w:rsid w:val="21227B6B"/>
    <w:rsid w:val="21452025"/>
    <w:rsid w:val="21795FFC"/>
    <w:rsid w:val="219370BE"/>
    <w:rsid w:val="219B3B93"/>
    <w:rsid w:val="21AD316C"/>
    <w:rsid w:val="21CF0904"/>
    <w:rsid w:val="21E924AF"/>
    <w:rsid w:val="22147F7F"/>
    <w:rsid w:val="221903BF"/>
    <w:rsid w:val="221B52DB"/>
    <w:rsid w:val="22551E62"/>
    <w:rsid w:val="22734DEE"/>
    <w:rsid w:val="22762106"/>
    <w:rsid w:val="2298782A"/>
    <w:rsid w:val="22A03C3C"/>
    <w:rsid w:val="22A209DC"/>
    <w:rsid w:val="22A34E16"/>
    <w:rsid w:val="22B44C2C"/>
    <w:rsid w:val="22E31397"/>
    <w:rsid w:val="22EA133C"/>
    <w:rsid w:val="22F37BFD"/>
    <w:rsid w:val="230A018E"/>
    <w:rsid w:val="23593C8E"/>
    <w:rsid w:val="236626D5"/>
    <w:rsid w:val="237B19AF"/>
    <w:rsid w:val="23910519"/>
    <w:rsid w:val="23936EB4"/>
    <w:rsid w:val="239B0F01"/>
    <w:rsid w:val="23AF238D"/>
    <w:rsid w:val="23AF4CC7"/>
    <w:rsid w:val="23C47CE5"/>
    <w:rsid w:val="23DA785B"/>
    <w:rsid w:val="23DF259B"/>
    <w:rsid w:val="23F17030"/>
    <w:rsid w:val="241327E9"/>
    <w:rsid w:val="241822CE"/>
    <w:rsid w:val="242D2988"/>
    <w:rsid w:val="24394588"/>
    <w:rsid w:val="24473292"/>
    <w:rsid w:val="2450295F"/>
    <w:rsid w:val="24592174"/>
    <w:rsid w:val="24603231"/>
    <w:rsid w:val="24657643"/>
    <w:rsid w:val="246A0F34"/>
    <w:rsid w:val="247E684B"/>
    <w:rsid w:val="247F18C2"/>
    <w:rsid w:val="24A249D8"/>
    <w:rsid w:val="24A36613"/>
    <w:rsid w:val="24A712C2"/>
    <w:rsid w:val="24A7212B"/>
    <w:rsid w:val="24AB4534"/>
    <w:rsid w:val="24AD1C0A"/>
    <w:rsid w:val="24C51B68"/>
    <w:rsid w:val="24E024E0"/>
    <w:rsid w:val="24E17E08"/>
    <w:rsid w:val="25277C0E"/>
    <w:rsid w:val="25314722"/>
    <w:rsid w:val="253713DE"/>
    <w:rsid w:val="256F14A4"/>
    <w:rsid w:val="258C7063"/>
    <w:rsid w:val="258C771C"/>
    <w:rsid w:val="25A311C1"/>
    <w:rsid w:val="25A64B4A"/>
    <w:rsid w:val="25AC5155"/>
    <w:rsid w:val="25AD34A1"/>
    <w:rsid w:val="25C96A29"/>
    <w:rsid w:val="25D649AD"/>
    <w:rsid w:val="25E21DBB"/>
    <w:rsid w:val="260F2064"/>
    <w:rsid w:val="262650A6"/>
    <w:rsid w:val="262B4B66"/>
    <w:rsid w:val="263A6DFD"/>
    <w:rsid w:val="265D777E"/>
    <w:rsid w:val="266052D9"/>
    <w:rsid w:val="2665756E"/>
    <w:rsid w:val="26675B0F"/>
    <w:rsid w:val="26723EA0"/>
    <w:rsid w:val="268D271D"/>
    <w:rsid w:val="268E1ABE"/>
    <w:rsid w:val="269233F3"/>
    <w:rsid w:val="269C0568"/>
    <w:rsid w:val="26B37194"/>
    <w:rsid w:val="26C848AF"/>
    <w:rsid w:val="26E30CF0"/>
    <w:rsid w:val="26F01747"/>
    <w:rsid w:val="26F9665E"/>
    <w:rsid w:val="26FE7307"/>
    <w:rsid w:val="27093278"/>
    <w:rsid w:val="270C711C"/>
    <w:rsid w:val="273563C6"/>
    <w:rsid w:val="273A324E"/>
    <w:rsid w:val="276C1B3A"/>
    <w:rsid w:val="276C77AE"/>
    <w:rsid w:val="27765CCC"/>
    <w:rsid w:val="277B4CA3"/>
    <w:rsid w:val="278E042A"/>
    <w:rsid w:val="27CC6067"/>
    <w:rsid w:val="27DA5985"/>
    <w:rsid w:val="27EF245D"/>
    <w:rsid w:val="28004D24"/>
    <w:rsid w:val="2813074C"/>
    <w:rsid w:val="2816303B"/>
    <w:rsid w:val="28505EA0"/>
    <w:rsid w:val="285142A6"/>
    <w:rsid w:val="285A17C2"/>
    <w:rsid w:val="286F5EE4"/>
    <w:rsid w:val="287A7AF8"/>
    <w:rsid w:val="288745ED"/>
    <w:rsid w:val="28F77471"/>
    <w:rsid w:val="29087121"/>
    <w:rsid w:val="29112525"/>
    <w:rsid w:val="2924563F"/>
    <w:rsid w:val="29282051"/>
    <w:rsid w:val="29397748"/>
    <w:rsid w:val="29452FCB"/>
    <w:rsid w:val="29476983"/>
    <w:rsid w:val="294E26BB"/>
    <w:rsid w:val="294E595F"/>
    <w:rsid w:val="296210B4"/>
    <w:rsid w:val="296D211B"/>
    <w:rsid w:val="29735DBD"/>
    <w:rsid w:val="29783CFB"/>
    <w:rsid w:val="29803573"/>
    <w:rsid w:val="2997338A"/>
    <w:rsid w:val="29A04058"/>
    <w:rsid w:val="29AB5C6C"/>
    <w:rsid w:val="29AC59AE"/>
    <w:rsid w:val="29C4057D"/>
    <w:rsid w:val="29E4119E"/>
    <w:rsid w:val="2A007861"/>
    <w:rsid w:val="2A1A1685"/>
    <w:rsid w:val="2A323573"/>
    <w:rsid w:val="2A3A2CA6"/>
    <w:rsid w:val="2A4370E4"/>
    <w:rsid w:val="2A440171"/>
    <w:rsid w:val="2A6255E9"/>
    <w:rsid w:val="2A997AF3"/>
    <w:rsid w:val="2B054C24"/>
    <w:rsid w:val="2B6C52C9"/>
    <w:rsid w:val="2B832EFD"/>
    <w:rsid w:val="2B8962FC"/>
    <w:rsid w:val="2B976719"/>
    <w:rsid w:val="2B9D74C1"/>
    <w:rsid w:val="2BA3447C"/>
    <w:rsid w:val="2BBF5412"/>
    <w:rsid w:val="2BD03942"/>
    <w:rsid w:val="2BD703E1"/>
    <w:rsid w:val="2BDB5C92"/>
    <w:rsid w:val="2BE15BF3"/>
    <w:rsid w:val="2BF7091B"/>
    <w:rsid w:val="2BFA6116"/>
    <w:rsid w:val="2C0A0C74"/>
    <w:rsid w:val="2C0B35EF"/>
    <w:rsid w:val="2C147D9A"/>
    <w:rsid w:val="2C191113"/>
    <w:rsid w:val="2C1956AF"/>
    <w:rsid w:val="2C333C7F"/>
    <w:rsid w:val="2C3E37E4"/>
    <w:rsid w:val="2C44084B"/>
    <w:rsid w:val="2C4B74B9"/>
    <w:rsid w:val="2C692ABE"/>
    <w:rsid w:val="2C7050B1"/>
    <w:rsid w:val="2C7C3F3F"/>
    <w:rsid w:val="2C7F7E94"/>
    <w:rsid w:val="2C8260D1"/>
    <w:rsid w:val="2C94724E"/>
    <w:rsid w:val="2C993522"/>
    <w:rsid w:val="2C9A78E2"/>
    <w:rsid w:val="2CB52520"/>
    <w:rsid w:val="2CCA4293"/>
    <w:rsid w:val="2CCB3ACA"/>
    <w:rsid w:val="2CF808D7"/>
    <w:rsid w:val="2CFA0860"/>
    <w:rsid w:val="2D066E97"/>
    <w:rsid w:val="2D0F04FC"/>
    <w:rsid w:val="2D1D7F6F"/>
    <w:rsid w:val="2D1E09C2"/>
    <w:rsid w:val="2D3524EA"/>
    <w:rsid w:val="2D383910"/>
    <w:rsid w:val="2D3B5A3C"/>
    <w:rsid w:val="2D531226"/>
    <w:rsid w:val="2D5B72F6"/>
    <w:rsid w:val="2D7711A5"/>
    <w:rsid w:val="2D7F7527"/>
    <w:rsid w:val="2DC115E0"/>
    <w:rsid w:val="2DD00721"/>
    <w:rsid w:val="2DD67E3A"/>
    <w:rsid w:val="2DFD0C11"/>
    <w:rsid w:val="2DFD22CC"/>
    <w:rsid w:val="2DFD2703"/>
    <w:rsid w:val="2E0717D0"/>
    <w:rsid w:val="2E107915"/>
    <w:rsid w:val="2E207D21"/>
    <w:rsid w:val="2E274EA0"/>
    <w:rsid w:val="2E3B3FF3"/>
    <w:rsid w:val="2E402DEC"/>
    <w:rsid w:val="2E407F69"/>
    <w:rsid w:val="2E445A5D"/>
    <w:rsid w:val="2E62222D"/>
    <w:rsid w:val="2E662D6E"/>
    <w:rsid w:val="2E6A2D37"/>
    <w:rsid w:val="2ED67E68"/>
    <w:rsid w:val="2EDC75ED"/>
    <w:rsid w:val="2F03224A"/>
    <w:rsid w:val="2F0A16E7"/>
    <w:rsid w:val="2F0D2540"/>
    <w:rsid w:val="2F0E226B"/>
    <w:rsid w:val="2F1D2DEE"/>
    <w:rsid w:val="2F30628F"/>
    <w:rsid w:val="2F325A96"/>
    <w:rsid w:val="2F64514D"/>
    <w:rsid w:val="2F6B1D2A"/>
    <w:rsid w:val="2F7E2436"/>
    <w:rsid w:val="2F9F0A3F"/>
    <w:rsid w:val="2FB14176"/>
    <w:rsid w:val="2FCE5019"/>
    <w:rsid w:val="2FD4205A"/>
    <w:rsid w:val="2FDA6411"/>
    <w:rsid w:val="30101DE8"/>
    <w:rsid w:val="30336A9F"/>
    <w:rsid w:val="304A1011"/>
    <w:rsid w:val="304F02A4"/>
    <w:rsid w:val="30537B1D"/>
    <w:rsid w:val="30953209"/>
    <w:rsid w:val="30963C91"/>
    <w:rsid w:val="3098106B"/>
    <w:rsid w:val="309C5B77"/>
    <w:rsid w:val="30A50EF0"/>
    <w:rsid w:val="30BC3C73"/>
    <w:rsid w:val="30C93255"/>
    <w:rsid w:val="30DE0194"/>
    <w:rsid w:val="3132434B"/>
    <w:rsid w:val="315F619F"/>
    <w:rsid w:val="31632148"/>
    <w:rsid w:val="316771D6"/>
    <w:rsid w:val="31710D65"/>
    <w:rsid w:val="319332B0"/>
    <w:rsid w:val="31A359FC"/>
    <w:rsid w:val="31CE5623"/>
    <w:rsid w:val="31DD28CC"/>
    <w:rsid w:val="31EB5A5D"/>
    <w:rsid w:val="3204001F"/>
    <w:rsid w:val="320C1BA8"/>
    <w:rsid w:val="321B43C1"/>
    <w:rsid w:val="32211C4E"/>
    <w:rsid w:val="3224393A"/>
    <w:rsid w:val="323105BB"/>
    <w:rsid w:val="324540EC"/>
    <w:rsid w:val="32454C15"/>
    <w:rsid w:val="324C41D4"/>
    <w:rsid w:val="325D6BED"/>
    <w:rsid w:val="32925B83"/>
    <w:rsid w:val="329662F2"/>
    <w:rsid w:val="32AB75FE"/>
    <w:rsid w:val="32B143AC"/>
    <w:rsid w:val="32B81514"/>
    <w:rsid w:val="32C75B5F"/>
    <w:rsid w:val="32E102AA"/>
    <w:rsid w:val="32E61BA7"/>
    <w:rsid w:val="32FF7EB7"/>
    <w:rsid w:val="330865C8"/>
    <w:rsid w:val="33137988"/>
    <w:rsid w:val="332A1CE9"/>
    <w:rsid w:val="335B756D"/>
    <w:rsid w:val="336933EB"/>
    <w:rsid w:val="33A5017B"/>
    <w:rsid w:val="33A508EF"/>
    <w:rsid w:val="33AB2CC5"/>
    <w:rsid w:val="33AF02B5"/>
    <w:rsid w:val="33C113A0"/>
    <w:rsid w:val="33C2127A"/>
    <w:rsid w:val="33DB3385"/>
    <w:rsid w:val="33EB2DDB"/>
    <w:rsid w:val="33ED7EC6"/>
    <w:rsid w:val="340A1737"/>
    <w:rsid w:val="3439473C"/>
    <w:rsid w:val="34412906"/>
    <w:rsid w:val="34473216"/>
    <w:rsid w:val="346F6E14"/>
    <w:rsid w:val="347318AE"/>
    <w:rsid w:val="34816816"/>
    <w:rsid w:val="348415F8"/>
    <w:rsid w:val="34856DB9"/>
    <w:rsid w:val="34907349"/>
    <w:rsid w:val="349A34DB"/>
    <w:rsid w:val="34BF68F5"/>
    <w:rsid w:val="34C31AB4"/>
    <w:rsid w:val="34F542EB"/>
    <w:rsid w:val="34F65B2A"/>
    <w:rsid w:val="35097AD9"/>
    <w:rsid w:val="35117362"/>
    <w:rsid w:val="351E7B81"/>
    <w:rsid w:val="35230B1B"/>
    <w:rsid w:val="35365EA9"/>
    <w:rsid w:val="353E18C9"/>
    <w:rsid w:val="353F19A5"/>
    <w:rsid w:val="3568128E"/>
    <w:rsid w:val="35725598"/>
    <w:rsid w:val="357D3203"/>
    <w:rsid w:val="357F179C"/>
    <w:rsid w:val="358124BD"/>
    <w:rsid w:val="358A1FE7"/>
    <w:rsid w:val="358B0DB2"/>
    <w:rsid w:val="35AA3319"/>
    <w:rsid w:val="35AD23AE"/>
    <w:rsid w:val="35CE15C2"/>
    <w:rsid w:val="35E952B6"/>
    <w:rsid w:val="35F31954"/>
    <w:rsid w:val="35FF5532"/>
    <w:rsid w:val="36002A6E"/>
    <w:rsid w:val="360A34C5"/>
    <w:rsid w:val="362C03EF"/>
    <w:rsid w:val="36366780"/>
    <w:rsid w:val="363F28D4"/>
    <w:rsid w:val="36691DA2"/>
    <w:rsid w:val="367245CD"/>
    <w:rsid w:val="36B934D6"/>
    <w:rsid w:val="36D579AF"/>
    <w:rsid w:val="36DC5170"/>
    <w:rsid w:val="36E02E2E"/>
    <w:rsid w:val="36F516CF"/>
    <w:rsid w:val="36F64E78"/>
    <w:rsid w:val="36FB77C2"/>
    <w:rsid w:val="36FF704F"/>
    <w:rsid w:val="371305CF"/>
    <w:rsid w:val="37146D59"/>
    <w:rsid w:val="37272CB8"/>
    <w:rsid w:val="375827F0"/>
    <w:rsid w:val="375C149E"/>
    <w:rsid w:val="37666EB6"/>
    <w:rsid w:val="378739B8"/>
    <w:rsid w:val="379237E8"/>
    <w:rsid w:val="379D6FCC"/>
    <w:rsid w:val="379E284F"/>
    <w:rsid w:val="37BE4BAE"/>
    <w:rsid w:val="37D820A9"/>
    <w:rsid w:val="38074401"/>
    <w:rsid w:val="38280E05"/>
    <w:rsid w:val="383A5757"/>
    <w:rsid w:val="38730C8F"/>
    <w:rsid w:val="389C2D60"/>
    <w:rsid w:val="38A26026"/>
    <w:rsid w:val="38B70925"/>
    <w:rsid w:val="38D834D0"/>
    <w:rsid w:val="38DB3BD9"/>
    <w:rsid w:val="390778B3"/>
    <w:rsid w:val="393A03C7"/>
    <w:rsid w:val="393F5E29"/>
    <w:rsid w:val="3972165B"/>
    <w:rsid w:val="39734BEF"/>
    <w:rsid w:val="39896288"/>
    <w:rsid w:val="39A31181"/>
    <w:rsid w:val="39A325FC"/>
    <w:rsid w:val="39B106EC"/>
    <w:rsid w:val="39C14B91"/>
    <w:rsid w:val="39C75357"/>
    <w:rsid w:val="3A0672D4"/>
    <w:rsid w:val="3A127D55"/>
    <w:rsid w:val="3A1B7148"/>
    <w:rsid w:val="3A274EDB"/>
    <w:rsid w:val="3A2870C0"/>
    <w:rsid w:val="3A41309A"/>
    <w:rsid w:val="3A43329C"/>
    <w:rsid w:val="3A6A03E3"/>
    <w:rsid w:val="3A9F2E3C"/>
    <w:rsid w:val="3AB64676"/>
    <w:rsid w:val="3ACB7183"/>
    <w:rsid w:val="3AFD4ED2"/>
    <w:rsid w:val="3B083CC7"/>
    <w:rsid w:val="3B180812"/>
    <w:rsid w:val="3B2146F5"/>
    <w:rsid w:val="3B2D5F85"/>
    <w:rsid w:val="3B387B37"/>
    <w:rsid w:val="3B4A069A"/>
    <w:rsid w:val="3B6A4B28"/>
    <w:rsid w:val="3B7136A5"/>
    <w:rsid w:val="3B8E4CC3"/>
    <w:rsid w:val="3B977596"/>
    <w:rsid w:val="3BA532F8"/>
    <w:rsid w:val="3BB54B82"/>
    <w:rsid w:val="3C223B97"/>
    <w:rsid w:val="3C71191D"/>
    <w:rsid w:val="3C8903DE"/>
    <w:rsid w:val="3C940D05"/>
    <w:rsid w:val="3C9F0383"/>
    <w:rsid w:val="3C9F4B00"/>
    <w:rsid w:val="3CB32DBA"/>
    <w:rsid w:val="3CC83B8C"/>
    <w:rsid w:val="3CEA6ECC"/>
    <w:rsid w:val="3CF81D20"/>
    <w:rsid w:val="3CFF7E6E"/>
    <w:rsid w:val="3D0B54B4"/>
    <w:rsid w:val="3D2D30CA"/>
    <w:rsid w:val="3D3375CD"/>
    <w:rsid w:val="3D3F6218"/>
    <w:rsid w:val="3D464477"/>
    <w:rsid w:val="3D4C1403"/>
    <w:rsid w:val="3D584302"/>
    <w:rsid w:val="3D6C4254"/>
    <w:rsid w:val="3D986530"/>
    <w:rsid w:val="3DE30D25"/>
    <w:rsid w:val="3DEE75C2"/>
    <w:rsid w:val="3DF14694"/>
    <w:rsid w:val="3DF317BE"/>
    <w:rsid w:val="3DF40AAA"/>
    <w:rsid w:val="3DFA2BBE"/>
    <w:rsid w:val="3E1C635A"/>
    <w:rsid w:val="3E341317"/>
    <w:rsid w:val="3E4041C8"/>
    <w:rsid w:val="3E4F7BD3"/>
    <w:rsid w:val="3E507D4A"/>
    <w:rsid w:val="3E5A5829"/>
    <w:rsid w:val="3E5B60DB"/>
    <w:rsid w:val="3E5E1336"/>
    <w:rsid w:val="3E632F30"/>
    <w:rsid w:val="3E7826CB"/>
    <w:rsid w:val="3E807E4B"/>
    <w:rsid w:val="3EB82AA0"/>
    <w:rsid w:val="3EC66802"/>
    <w:rsid w:val="3EE44A3B"/>
    <w:rsid w:val="3EE63D38"/>
    <w:rsid w:val="3EFC552E"/>
    <w:rsid w:val="3EFD24BA"/>
    <w:rsid w:val="3F0E45A8"/>
    <w:rsid w:val="3F290227"/>
    <w:rsid w:val="3F2F17FD"/>
    <w:rsid w:val="3F360838"/>
    <w:rsid w:val="3F3F5454"/>
    <w:rsid w:val="3F58430F"/>
    <w:rsid w:val="3F64083A"/>
    <w:rsid w:val="3F670E0E"/>
    <w:rsid w:val="3F6B5F18"/>
    <w:rsid w:val="3F7C226A"/>
    <w:rsid w:val="3F8452F5"/>
    <w:rsid w:val="3F990B69"/>
    <w:rsid w:val="3F9C6F5F"/>
    <w:rsid w:val="3FB83028"/>
    <w:rsid w:val="3FCA2B92"/>
    <w:rsid w:val="3FDB4E1E"/>
    <w:rsid w:val="3FE04C7F"/>
    <w:rsid w:val="400C0590"/>
    <w:rsid w:val="402356C6"/>
    <w:rsid w:val="402F5B10"/>
    <w:rsid w:val="4030697C"/>
    <w:rsid w:val="40325531"/>
    <w:rsid w:val="40797F89"/>
    <w:rsid w:val="40837EDB"/>
    <w:rsid w:val="40861EE7"/>
    <w:rsid w:val="40A04251"/>
    <w:rsid w:val="40A5279C"/>
    <w:rsid w:val="40B272C5"/>
    <w:rsid w:val="40C26BD9"/>
    <w:rsid w:val="40C60753"/>
    <w:rsid w:val="40F66E21"/>
    <w:rsid w:val="410C100B"/>
    <w:rsid w:val="411D2B7A"/>
    <w:rsid w:val="417A3D51"/>
    <w:rsid w:val="41A3376A"/>
    <w:rsid w:val="41A73D05"/>
    <w:rsid w:val="42161379"/>
    <w:rsid w:val="42245B7A"/>
    <w:rsid w:val="423435F7"/>
    <w:rsid w:val="426D6660"/>
    <w:rsid w:val="427A53BC"/>
    <w:rsid w:val="429960CF"/>
    <w:rsid w:val="42A516E8"/>
    <w:rsid w:val="42AE7907"/>
    <w:rsid w:val="42BB45A9"/>
    <w:rsid w:val="42DC0BE5"/>
    <w:rsid w:val="42E41D3F"/>
    <w:rsid w:val="42E51041"/>
    <w:rsid w:val="42F06ADE"/>
    <w:rsid w:val="42FB4E6F"/>
    <w:rsid w:val="430909E7"/>
    <w:rsid w:val="43256CDE"/>
    <w:rsid w:val="43482ED7"/>
    <w:rsid w:val="43650CC5"/>
    <w:rsid w:val="43671817"/>
    <w:rsid w:val="437C23D7"/>
    <w:rsid w:val="438E3DA4"/>
    <w:rsid w:val="43913BB2"/>
    <w:rsid w:val="43997950"/>
    <w:rsid w:val="439E32AC"/>
    <w:rsid w:val="439E41B8"/>
    <w:rsid w:val="439F65A6"/>
    <w:rsid w:val="43B00A9C"/>
    <w:rsid w:val="43B3461E"/>
    <w:rsid w:val="43B37EA1"/>
    <w:rsid w:val="43B60B3A"/>
    <w:rsid w:val="43B87EBB"/>
    <w:rsid w:val="43E828F9"/>
    <w:rsid w:val="43FE01D6"/>
    <w:rsid w:val="43FF6C9B"/>
    <w:rsid w:val="44147938"/>
    <w:rsid w:val="441F4FD2"/>
    <w:rsid w:val="444B1319"/>
    <w:rsid w:val="445B3723"/>
    <w:rsid w:val="44602738"/>
    <w:rsid w:val="44803D71"/>
    <w:rsid w:val="44A31B02"/>
    <w:rsid w:val="44A76736"/>
    <w:rsid w:val="44AA74C5"/>
    <w:rsid w:val="44CC63EF"/>
    <w:rsid w:val="44E206B3"/>
    <w:rsid w:val="44EE0B22"/>
    <w:rsid w:val="44EE43A5"/>
    <w:rsid w:val="450E4DF1"/>
    <w:rsid w:val="45344815"/>
    <w:rsid w:val="453856F3"/>
    <w:rsid w:val="453A31A0"/>
    <w:rsid w:val="45465571"/>
    <w:rsid w:val="454E2809"/>
    <w:rsid w:val="455A14D6"/>
    <w:rsid w:val="45647867"/>
    <w:rsid w:val="456554FE"/>
    <w:rsid w:val="456D3F41"/>
    <w:rsid w:val="458D3CFC"/>
    <w:rsid w:val="45A47952"/>
    <w:rsid w:val="45CB5FFD"/>
    <w:rsid w:val="45D73795"/>
    <w:rsid w:val="45DC0612"/>
    <w:rsid w:val="45ED2731"/>
    <w:rsid w:val="45F261D2"/>
    <w:rsid w:val="46595434"/>
    <w:rsid w:val="466348BC"/>
    <w:rsid w:val="46B553AB"/>
    <w:rsid w:val="46D93105"/>
    <w:rsid w:val="46E20B76"/>
    <w:rsid w:val="46F43765"/>
    <w:rsid w:val="470C331A"/>
    <w:rsid w:val="47274E0C"/>
    <w:rsid w:val="47380A67"/>
    <w:rsid w:val="473C1F12"/>
    <w:rsid w:val="47435C4B"/>
    <w:rsid w:val="4748040E"/>
    <w:rsid w:val="474D5189"/>
    <w:rsid w:val="475A4640"/>
    <w:rsid w:val="47640AA7"/>
    <w:rsid w:val="47703C20"/>
    <w:rsid w:val="47891446"/>
    <w:rsid w:val="47975C01"/>
    <w:rsid w:val="47A33DDE"/>
    <w:rsid w:val="47A34C60"/>
    <w:rsid w:val="47A351D9"/>
    <w:rsid w:val="47AA304A"/>
    <w:rsid w:val="47AB49EE"/>
    <w:rsid w:val="47BF299F"/>
    <w:rsid w:val="47D0100D"/>
    <w:rsid w:val="47E76275"/>
    <w:rsid w:val="48232181"/>
    <w:rsid w:val="482C05AE"/>
    <w:rsid w:val="48525D93"/>
    <w:rsid w:val="48533DE8"/>
    <w:rsid w:val="48574CE2"/>
    <w:rsid w:val="48797DE7"/>
    <w:rsid w:val="487C6C09"/>
    <w:rsid w:val="48927A1F"/>
    <w:rsid w:val="48A246AC"/>
    <w:rsid w:val="48A56FF1"/>
    <w:rsid w:val="48A925F7"/>
    <w:rsid w:val="48B8537D"/>
    <w:rsid w:val="48C920F7"/>
    <w:rsid w:val="48FB3BCB"/>
    <w:rsid w:val="491621F6"/>
    <w:rsid w:val="4945045C"/>
    <w:rsid w:val="49485D48"/>
    <w:rsid w:val="49591AA1"/>
    <w:rsid w:val="4961356F"/>
    <w:rsid w:val="496E5357"/>
    <w:rsid w:val="497760B6"/>
    <w:rsid w:val="49782402"/>
    <w:rsid w:val="49793459"/>
    <w:rsid w:val="497A7AEB"/>
    <w:rsid w:val="49A3785C"/>
    <w:rsid w:val="49AE7A54"/>
    <w:rsid w:val="49AF3DF1"/>
    <w:rsid w:val="49D37AE3"/>
    <w:rsid w:val="49D57DBD"/>
    <w:rsid w:val="49D95FDE"/>
    <w:rsid w:val="49F07E6E"/>
    <w:rsid w:val="49F358B8"/>
    <w:rsid w:val="4A1C3829"/>
    <w:rsid w:val="4A211B24"/>
    <w:rsid w:val="4A3268F2"/>
    <w:rsid w:val="4A3D25C8"/>
    <w:rsid w:val="4A5A77E7"/>
    <w:rsid w:val="4A5B288E"/>
    <w:rsid w:val="4A660648"/>
    <w:rsid w:val="4A706FB0"/>
    <w:rsid w:val="4A7419A2"/>
    <w:rsid w:val="4A893860"/>
    <w:rsid w:val="4AB023D4"/>
    <w:rsid w:val="4ABD162D"/>
    <w:rsid w:val="4B014276"/>
    <w:rsid w:val="4B095F09"/>
    <w:rsid w:val="4B0C5815"/>
    <w:rsid w:val="4B14423A"/>
    <w:rsid w:val="4B1A6CB8"/>
    <w:rsid w:val="4B29031E"/>
    <w:rsid w:val="4B3D02FB"/>
    <w:rsid w:val="4B4605A0"/>
    <w:rsid w:val="4B534AEA"/>
    <w:rsid w:val="4B69442B"/>
    <w:rsid w:val="4B7F716D"/>
    <w:rsid w:val="4B884325"/>
    <w:rsid w:val="4B8F5B9D"/>
    <w:rsid w:val="4B993FDF"/>
    <w:rsid w:val="4B9B33DE"/>
    <w:rsid w:val="4BB45140"/>
    <w:rsid w:val="4BC27856"/>
    <w:rsid w:val="4BC57B4A"/>
    <w:rsid w:val="4BC6027F"/>
    <w:rsid w:val="4BCE3E52"/>
    <w:rsid w:val="4BE944BF"/>
    <w:rsid w:val="4C2E4987"/>
    <w:rsid w:val="4C3046EC"/>
    <w:rsid w:val="4C4E5374"/>
    <w:rsid w:val="4C5B0703"/>
    <w:rsid w:val="4C740097"/>
    <w:rsid w:val="4C88098D"/>
    <w:rsid w:val="4C893D72"/>
    <w:rsid w:val="4C915BA5"/>
    <w:rsid w:val="4CB53A98"/>
    <w:rsid w:val="4CBD7441"/>
    <w:rsid w:val="4CC16AB6"/>
    <w:rsid w:val="4CDC3EB4"/>
    <w:rsid w:val="4CE6248E"/>
    <w:rsid w:val="4CED3576"/>
    <w:rsid w:val="4CFC67EF"/>
    <w:rsid w:val="4D29362E"/>
    <w:rsid w:val="4D2B44D3"/>
    <w:rsid w:val="4D3434A8"/>
    <w:rsid w:val="4D3D4B44"/>
    <w:rsid w:val="4D502693"/>
    <w:rsid w:val="4D507E26"/>
    <w:rsid w:val="4D524AEA"/>
    <w:rsid w:val="4D531C26"/>
    <w:rsid w:val="4D86112C"/>
    <w:rsid w:val="4D940DD6"/>
    <w:rsid w:val="4DAB1581"/>
    <w:rsid w:val="4DB05FF5"/>
    <w:rsid w:val="4DB33B67"/>
    <w:rsid w:val="4DB642A0"/>
    <w:rsid w:val="4DC951CD"/>
    <w:rsid w:val="4DCB34AF"/>
    <w:rsid w:val="4DCF521D"/>
    <w:rsid w:val="4DD47237"/>
    <w:rsid w:val="4DD51840"/>
    <w:rsid w:val="4DD75C49"/>
    <w:rsid w:val="4E005F07"/>
    <w:rsid w:val="4E094400"/>
    <w:rsid w:val="4E325683"/>
    <w:rsid w:val="4E354FCA"/>
    <w:rsid w:val="4E566916"/>
    <w:rsid w:val="4E666FA8"/>
    <w:rsid w:val="4E854B4F"/>
    <w:rsid w:val="4E9023A0"/>
    <w:rsid w:val="4EA90BC3"/>
    <w:rsid w:val="4EB45497"/>
    <w:rsid w:val="4EC436C7"/>
    <w:rsid w:val="4ED40570"/>
    <w:rsid w:val="4EE233EB"/>
    <w:rsid w:val="4EFB1639"/>
    <w:rsid w:val="4F06117B"/>
    <w:rsid w:val="4F1128DC"/>
    <w:rsid w:val="4F1713CF"/>
    <w:rsid w:val="4F1D6BF3"/>
    <w:rsid w:val="4F680CD8"/>
    <w:rsid w:val="4F6D6A9E"/>
    <w:rsid w:val="4F76299C"/>
    <w:rsid w:val="4F825446"/>
    <w:rsid w:val="4F874A89"/>
    <w:rsid w:val="4F8B2158"/>
    <w:rsid w:val="4F8F7E83"/>
    <w:rsid w:val="4FA02C8A"/>
    <w:rsid w:val="4FB86578"/>
    <w:rsid w:val="4FBE7162"/>
    <w:rsid w:val="4FCE5046"/>
    <w:rsid w:val="50082222"/>
    <w:rsid w:val="50244E2C"/>
    <w:rsid w:val="502E6587"/>
    <w:rsid w:val="5054095A"/>
    <w:rsid w:val="50804CA1"/>
    <w:rsid w:val="50897706"/>
    <w:rsid w:val="50911080"/>
    <w:rsid w:val="50C2570B"/>
    <w:rsid w:val="50CE0291"/>
    <w:rsid w:val="50CF5AB8"/>
    <w:rsid w:val="50DA7D6E"/>
    <w:rsid w:val="50FD4BCB"/>
    <w:rsid w:val="51265A76"/>
    <w:rsid w:val="512A4A61"/>
    <w:rsid w:val="513A37CD"/>
    <w:rsid w:val="515074C9"/>
    <w:rsid w:val="51754C84"/>
    <w:rsid w:val="517E7CF4"/>
    <w:rsid w:val="519B5AE6"/>
    <w:rsid w:val="51AE0571"/>
    <w:rsid w:val="51B65975"/>
    <w:rsid w:val="51C67537"/>
    <w:rsid w:val="51C75117"/>
    <w:rsid w:val="51C96600"/>
    <w:rsid w:val="51E74E16"/>
    <w:rsid w:val="5205156D"/>
    <w:rsid w:val="52077FA0"/>
    <w:rsid w:val="52121BB5"/>
    <w:rsid w:val="521B011D"/>
    <w:rsid w:val="521C7F46"/>
    <w:rsid w:val="52241681"/>
    <w:rsid w:val="52270879"/>
    <w:rsid w:val="52517639"/>
    <w:rsid w:val="52610D48"/>
    <w:rsid w:val="527149ED"/>
    <w:rsid w:val="527505D4"/>
    <w:rsid w:val="527F1DAE"/>
    <w:rsid w:val="52821A19"/>
    <w:rsid w:val="528A4CF6"/>
    <w:rsid w:val="52977272"/>
    <w:rsid w:val="52AA302D"/>
    <w:rsid w:val="52AF77B7"/>
    <w:rsid w:val="52B34868"/>
    <w:rsid w:val="52CD707D"/>
    <w:rsid w:val="52DA470A"/>
    <w:rsid w:val="52E15705"/>
    <w:rsid w:val="52E95AC7"/>
    <w:rsid w:val="52EC7319"/>
    <w:rsid w:val="52F36CB3"/>
    <w:rsid w:val="52F817D5"/>
    <w:rsid w:val="530C7791"/>
    <w:rsid w:val="5314684C"/>
    <w:rsid w:val="532219F2"/>
    <w:rsid w:val="533656C0"/>
    <w:rsid w:val="533E0CDF"/>
    <w:rsid w:val="53427D28"/>
    <w:rsid w:val="5345748B"/>
    <w:rsid w:val="53480B13"/>
    <w:rsid w:val="5350776A"/>
    <w:rsid w:val="535940CA"/>
    <w:rsid w:val="535F285F"/>
    <w:rsid w:val="537E2A30"/>
    <w:rsid w:val="53B04AD9"/>
    <w:rsid w:val="53C40086"/>
    <w:rsid w:val="53C40BE9"/>
    <w:rsid w:val="53C67706"/>
    <w:rsid w:val="53FD5062"/>
    <w:rsid w:val="540D674C"/>
    <w:rsid w:val="540E3629"/>
    <w:rsid w:val="541C1C0A"/>
    <w:rsid w:val="54222B89"/>
    <w:rsid w:val="5427381E"/>
    <w:rsid w:val="542F1FA5"/>
    <w:rsid w:val="54311BAF"/>
    <w:rsid w:val="54471B54"/>
    <w:rsid w:val="544E5CE1"/>
    <w:rsid w:val="54556068"/>
    <w:rsid w:val="54664607"/>
    <w:rsid w:val="54670019"/>
    <w:rsid w:val="54760D02"/>
    <w:rsid w:val="548B3F8A"/>
    <w:rsid w:val="54A9672C"/>
    <w:rsid w:val="54B0394A"/>
    <w:rsid w:val="54B26C85"/>
    <w:rsid w:val="54CF3ACF"/>
    <w:rsid w:val="54D45CF6"/>
    <w:rsid w:val="54DA2571"/>
    <w:rsid w:val="54E939B8"/>
    <w:rsid w:val="551C7F56"/>
    <w:rsid w:val="551F66B3"/>
    <w:rsid w:val="55222C4C"/>
    <w:rsid w:val="552234FE"/>
    <w:rsid w:val="554169E7"/>
    <w:rsid w:val="55507163"/>
    <w:rsid w:val="555D52C3"/>
    <w:rsid w:val="55627D22"/>
    <w:rsid w:val="55AB752E"/>
    <w:rsid w:val="55BA75A1"/>
    <w:rsid w:val="55CA0B19"/>
    <w:rsid w:val="55E5795B"/>
    <w:rsid w:val="55F46D6A"/>
    <w:rsid w:val="55F873F7"/>
    <w:rsid w:val="560C2E61"/>
    <w:rsid w:val="564F1F29"/>
    <w:rsid w:val="56514A47"/>
    <w:rsid w:val="56661B4F"/>
    <w:rsid w:val="56781054"/>
    <w:rsid w:val="567B6271"/>
    <w:rsid w:val="568F4A6A"/>
    <w:rsid w:val="56C815A3"/>
    <w:rsid w:val="56E83021"/>
    <w:rsid w:val="56F428FC"/>
    <w:rsid w:val="57105E84"/>
    <w:rsid w:val="571E233A"/>
    <w:rsid w:val="571E5A7A"/>
    <w:rsid w:val="57311B99"/>
    <w:rsid w:val="573E2511"/>
    <w:rsid w:val="57580D11"/>
    <w:rsid w:val="57751D0C"/>
    <w:rsid w:val="57851FA6"/>
    <w:rsid w:val="579C5833"/>
    <w:rsid w:val="57C00B06"/>
    <w:rsid w:val="57E54124"/>
    <w:rsid w:val="57F9316E"/>
    <w:rsid w:val="58093202"/>
    <w:rsid w:val="582C5C37"/>
    <w:rsid w:val="58323F8B"/>
    <w:rsid w:val="58420048"/>
    <w:rsid w:val="584E7762"/>
    <w:rsid w:val="584F1682"/>
    <w:rsid w:val="58591F7E"/>
    <w:rsid w:val="58634B3E"/>
    <w:rsid w:val="58874885"/>
    <w:rsid w:val="58945563"/>
    <w:rsid w:val="58A545FC"/>
    <w:rsid w:val="58C12437"/>
    <w:rsid w:val="58C52932"/>
    <w:rsid w:val="58D06216"/>
    <w:rsid w:val="58D40EDF"/>
    <w:rsid w:val="58DB6CD4"/>
    <w:rsid w:val="58E45904"/>
    <w:rsid w:val="59043981"/>
    <w:rsid w:val="592616D2"/>
    <w:rsid w:val="59286011"/>
    <w:rsid w:val="595B778C"/>
    <w:rsid w:val="597422C7"/>
    <w:rsid w:val="597D20E1"/>
    <w:rsid w:val="59835FB5"/>
    <w:rsid w:val="598E596D"/>
    <w:rsid w:val="59EC2F06"/>
    <w:rsid w:val="5A06494D"/>
    <w:rsid w:val="5A103665"/>
    <w:rsid w:val="5A21156A"/>
    <w:rsid w:val="5A4C048E"/>
    <w:rsid w:val="5A7A64AF"/>
    <w:rsid w:val="5AA10FC9"/>
    <w:rsid w:val="5AB0130A"/>
    <w:rsid w:val="5AC4140A"/>
    <w:rsid w:val="5ACA7384"/>
    <w:rsid w:val="5AD5445F"/>
    <w:rsid w:val="5AE96CA5"/>
    <w:rsid w:val="5AF21C93"/>
    <w:rsid w:val="5AFD6987"/>
    <w:rsid w:val="5B0214A0"/>
    <w:rsid w:val="5B0F6FF4"/>
    <w:rsid w:val="5B313343"/>
    <w:rsid w:val="5B397143"/>
    <w:rsid w:val="5B4516CD"/>
    <w:rsid w:val="5B5B5E2B"/>
    <w:rsid w:val="5B771807"/>
    <w:rsid w:val="5B9E26DC"/>
    <w:rsid w:val="5BA45292"/>
    <w:rsid w:val="5BA7046C"/>
    <w:rsid w:val="5BAE1917"/>
    <w:rsid w:val="5BB640A9"/>
    <w:rsid w:val="5BCC2DC2"/>
    <w:rsid w:val="5BEE6153"/>
    <w:rsid w:val="5C0900D8"/>
    <w:rsid w:val="5C235FD7"/>
    <w:rsid w:val="5C3E49F4"/>
    <w:rsid w:val="5C4A17F0"/>
    <w:rsid w:val="5C583918"/>
    <w:rsid w:val="5C5B3413"/>
    <w:rsid w:val="5C765BE0"/>
    <w:rsid w:val="5C805BD1"/>
    <w:rsid w:val="5C8A4DAF"/>
    <w:rsid w:val="5CB702A9"/>
    <w:rsid w:val="5CBA1762"/>
    <w:rsid w:val="5CBA23E5"/>
    <w:rsid w:val="5CC2663A"/>
    <w:rsid w:val="5CC73EDE"/>
    <w:rsid w:val="5CCC49CC"/>
    <w:rsid w:val="5CD4603B"/>
    <w:rsid w:val="5CD83772"/>
    <w:rsid w:val="5CE02023"/>
    <w:rsid w:val="5CE345F1"/>
    <w:rsid w:val="5CE53E09"/>
    <w:rsid w:val="5CEE43EC"/>
    <w:rsid w:val="5CFE5235"/>
    <w:rsid w:val="5CFE649F"/>
    <w:rsid w:val="5D267935"/>
    <w:rsid w:val="5D294D9C"/>
    <w:rsid w:val="5D2E6FEF"/>
    <w:rsid w:val="5D607BD7"/>
    <w:rsid w:val="5D681D40"/>
    <w:rsid w:val="5D6C0079"/>
    <w:rsid w:val="5D6C5F01"/>
    <w:rsid w:val="5D7A5DE9"/>
    <w:rsid w:val="5D857987"/>
    <w:rsid w:val="5D8F5D8E"/>
    <w:rsid w:val="5D9D0686"/>
    <w:rsid w:val="5DA40FD2"/>
    <w:rsid w:val="5DA65828"/>
    <w:rsid w:val="5DB15659"/>
    <w:rsid w:val="5DB43502"/>
    <w:rsid w:val="5DBB6775"/>
    <w:rsid w:val="5DCE706C"/>
    <w:rsid w:val="5DEB596B"/>
    <w:rsid w:val="5DF47840"/>
    <w:rsid w:val="5E0C61F8"/>
    <w:rsid w:val="5E30760E"/>
    <w:rsid w:val="5E9029B5"/>
    <w:rsid w:val="5E9F5BCB"/>
    <w:rsid w:val="5EA372B8"/>
    <w:rsid w:val="5EB522EE"/>
    <w:rsid w:val="5EE7053E"/>
    <w:rsid w:val="5EFF5081"/>
    <w:rsid w:val="5F164911"/>
    <w:rsid w:val="5F275FA3"/>
    <w:rsid w:val="5F29625E"/>
    <w:rsid w:val="5F58537A"/>
    <w:rsid w:val="5F6D19D3"/>
    <w:rsid w:val="5F746719"/>
    <w:rsid w:val="5F827E5A"/>
    <w:rsid w:val="5F981DF4"/>
    <w:rsid w:val="5FDA20D0"/>
    <w:rsid w:val="5FDC6941"/>
    <w:rsid w:val="5FEA448D"/>
    <w:rsid w:val="60056797"/>
    <w:rsid w:val="600A6214"/>
    <w:rsid w:val="60126415"/>
    <w:rsid w:val="603C28EA"/>
    <w:rsid w:val="6046030E"/>
    <w:rsid w:val="604804AD"/>
    <w:rsid w:val="604B1FA2"/>
    <w:rsid w:val="6059223B"/>
    <w:rsid w:val="607D71EA"/>
    <w:rsid w:val="608834ED"/>
    <w:rsid w:val="60B8216B"/>
    <w:rsid w:val="60C05DA8"/>
    <w:rsid w:val="60C10F29"/>
    <w:rsid w:val="60C27120"/>
    <w:rsid w:val="60D857E0"/>
    <w:rsid w:val="60E9228D"/>
    <w:rsid w:val="6136251D"/>
    <w:rsid w:val="61493C82"/>
    <w:rsid w:val="61845367"/>
    <w:rsid w:val="6196003D"/>
    <w:rsid w:val="619829DE"/>
    <w:rsid w:val="61D131F7"/>
    <w:rsid w:val="61D82721"/>
    <w:rsid w:val="61F53F20"/>
    <w:rsid w:val="62062E42"/>
    <w:rsid w:val="62081AAC"/>
    <w:rsid w:val="62194B7D"/>
    <w:rsid w:val="622575E2"/>
    <w:rsid w:val="62270C1D"/>
    <w:rsid w:val="62444AC8"/>
    <w:rsid w:val="625D4439"/>
    <w:rsid w:val="626B50DB"/>
    <w:rsid w:val="627A59BB"/>
    <w:rsid w:val="627E2FE8"/>
    <w:rsid w:val="627F5A6F"/>
    <w:rsid w:val="62847AEC"/>
    <w:rsid w:val="62865532"/>
    <w:rsid w:val="62965D93"/>
    <w:rsid w:val="629914E9"/>
    <w:rsid w:val="630A7107"/>
    <w:rsid w:val="63194E6C"/>
    <w:rsid w:val="63341EE8"/>
    <w:rsid w:val="63501D8E"/>
    <w:rsid w:val="635A5E0E"/>
    <w:rsid w:val="635F2C96"/>
    <w:rsid w:val="635F46EC"/>
    <w:rsid w:val="6380451F"/>
    <w:rsid w:val="638A735E"/>
    <w:rsid w:val="63A743AE"/>
    <w:rsid w:val="63AA0E2C"/>
    <w:rsid w:val="63AD52BC"/>
    <w:rsid w:val="63B710E4"/>
    <w:rsid w:val="63BB5E42"/>
    <w:rsid w:val="63BF1CA4"/>
    <w:rsid w:val="63C93E60"/>
    <w:rsid w:val="63E0164F"/>
    <w:rsid w:val="63F344DC"/>
    <w:rsid w:val="64172445"/>
    <w:rsid w:val="6418295A"/>
    <w:rsid w:val="641E2176"/>
    <w:rsid w:val="642623FC"/>
    <w:rsid w:val="643F3DB5"/>
    <w:rsid w:val="64411A8D"/>
    <w:rsid w:val="644473C8"/>
    <w:rsid w:val="6463123F"/>
    <w:rsid w:val="64912118"/>
    <w:rsid w:val="64BA0A97"/>
    <w:rsid w:val="64C02D4C"/>
    <w:rsid w:val="64C36887"/>
    <w:rsid w:val="64C47FDF"/>
    <w:rsid w:val="64CF1BF3"/>
    <w:rsid w:val="64D33CD5"/>
    <w:rsid w:val="64E52619"/>
    <w:rsid w:val="64EF0D25"/>
    <w:rsid w:val="64FF0215"/>
    <w:rsid w:val="65007188"/>
    <w:rsid w:val="65352F77"/>
    <w:rsid w:val="65474D35"/>
    <w:rsid w:val="65874F14"/>
    <w:rsid w:val="65A21467"/>
    <w:rsid w:val="65B21702"/>
    <w:rsid w:val="65B31C49"/>
    <w:rsid w:val="65BE4C83"/>
    <w:rsid w:val="65C712BE"/>
    <w:rsid w:val="65DE1DB1"/>
    <w:rsid w:val="660528E6"/>
    <w:rsid w:val="66170406"/>
    <w:rsid w:val="66204411"/>
    <w:rsid w:val="663C063C"/>
    <w:rsid w:val="664F7C82"/>
    <w:rsid w:val="665E619A"/>
    <w:rsid w:val="66715F81"/>
    <w:rsid w:val="66782EA9"/>
    <w:rsid w:val="66797BE1"/>
    <w:rsid w:val="66A32DF3"/>
    <w:rsid w:val="66A84DE3"/>
    <w:rsid w:val="66B71277"/>
    <w:rsid w:val="66CA2B82"/>
    <w:rsid w:val="66E932E2"/>
    <w:rsid w:val="66EF112E"/>
    <w:rsid w:val="66EF1BEE"/>
    <w:rsid w:val="66FD19A2"/>
    <w:rsid w:val="66FE2132"/>
    <w:rsid w:val="67267C17"/>
    <w:rsid w:val="672D4CD6"/>
    <w:rsid w:val="673463AA"/>
    <w:rsid w:val="67405E5D"/>
    <w:rsid w:val="67426295"/>
    <w:rsid w:val="67451490"/>
    <w:rsid w:val="6747478F"/>
    <w:rsid w:val="675704F4"/>
    <w:rsid w:val="67601221"/>
    <w:rsid w:val="67646498"/>
    <w:rsid w:val="676A0703"/>
    <w:rsid w:val="676A1D6D"/>
    <w:rsid w:val="67820376"/>
    <w:rsid w:val="67873066"/>
    <w:rsid w:val="67C74BB1"/>
    <w:rsid w:val="67E81E06"/>
    <w:rsid w:val="67F30197"/>
    <w:rsid w:val="67F33A1A"/>
    <w:rsid w:val="67F64550"/>
    <w:rsid w:val="680A7DBC"/>
    <w:rsid w:val="681F7D61"/>
    <w:rsid w:val="682211AF"/>
    <w:rsid w:val="682718FF"/>
    <w:rsid w:val="68274DB3"/>
    <w:rsid w:val="68303C6D"/>
    <w:rsid w:val="684A0A40"/>
    <w:rsid w:val="688265B5"/>
    <w:rsid w:val="688B3E3A"/>
    <w:rsid w:val="68916481"/>
    <w:rsid w:val="68AB31C8"/>
    <w:rsid w:val="68BC1FD5"/>
    <w:rsid w:val="68CC58FB"/>
    <w:rsid w:val="69231B8D"/>
    <w:rsid w:val="6923630A"/>
    <w:rsid w:val="69260C47"/>
    <w:rsid w:val="693E7497"/>
    <w:rsid w:val="694F2176"/>
    <w:rsid w:val="694F4519"/>
    <w:rsid w:val="696403F8"/>
    <w:rsid w:val="6966291C"/>
    <w:rsid w:val="6985092D"/>
    <w:rsid w:val="698557F3"/>
    <w:rsid w:val="69A433E0"/>
    <w:rsid w:val="69A9219E"/>
    <w:rsid w:val="69CC6F1F"/>
    <w:rsid w:val="69EC6920"/>
    <w:rsid w:val="69F11CD2"/>
    <w:rsid w:val="6A0466A9"/>
    <w:rsid w:val="6A071E00"/>
    <w:rsid w:val="6A1F67DF"/>
    <w:rsid w:val="6A3D00DC"/>
    <w:rsid w:val="6A680BA0"/>
    <w:rsid w:val="6A690BC6"/>
    <w:rsid w:val="6A7709F8"/>
    <w:rsid w:val="6A7F7204"/>
    <w:rsid w:val="6AA5638F"/>
    <w:rsid w:val="6AAA4E8C"/>
    <w:rsid w:val="6AAB27F6"/>
    <w:rsid w:val="6ABE4B17"/>
    <w:rsid w:val="6ABE53A3"/>
    <w:rsid w:val="6ABF15AE"/>
    <w:rsid w:val="6ACB2FE9"/>
    <w:rsid w:val="6AE2107A"/>
    <w:rsid w:val="6B1712E5"/>
    <w:rsid w:val="6B213BD1"/>
    <w:rsid w:val="6B300BBA"/>
    <w:rsid w:val="6B3A5CDE"/>
    <w:rsid w:val="6B4E416D"/>
    <w:rsid w:val="6B593049"/>
    <w:rsid w:val="6B62243D"/>
    <w:rsid w:val="6B777A74"/>
    <w:rsid w:val="6B934551"/>
    <w:rsid w:val="6B9648A9"/>
    <w:rsid w:val="6B996C6A"/>
    <w:rsid w:val="6BAA508F"/>
    <w:rsid w:val="6BBF311D"/>
    <w:rsid w:val="6BE26017"/>
    <w:rsid w:val="6BFA10DE"/>
    <w:rsid w:val="6BFA5AB3"/>
    <w:rsid w:val="6C092AB9"/>
    <w:rsid w:val="6C1D72EA"/>
    <w:rsid w:val="6C25452A"/>
    <w:rsid w:val="6C431749"/>
    <w:rsid w:val="6C734478"/>
    <w:rsid w:val="6C79118E"/>
    <w:rsid w:val="6C850498"/>
    <w:rsid w:val="6C925DE3"/>
    <w:rsid w:val="6CA318F3"/>
    <w:rsid w:val="6CBA0BA4"/>
    <w:rsid w:val="6CC85207"/>
    <w:rsid w:val="6CE175F9"/>
    <w:rsid w:val="6CEC1C8B"/>
    <w:rsid w:val="6CF21787"/>
    <w:rsid w:val="6CF47509"/>
    <w:rsid w:val="6CF87FB9"/>
    <w:rsid w:val="6D0914F3"/>
    <w:rsid w:val="6D337043"/>
    <w:rsid w:val="6D400349"/>
    <w:rsid w:val="6D48752D"/>
    <w:rsid w:val="6D4B1F5D"/>
    <w:rsid w:val="6D6727B8"/>
    <w:rsid w:val="6D7F007B"/>
    <w:rsid w:val="6D8113DE"/>
    <w:rsid w:val="6DC45A26"/>
    <w:rsid w:val="6DDE5DCB"/>
    <w:rsid w:val="6DEE71E8"/>
    <w:rsid w:val="6DF30E92"/>
    <w:rsid w:val="6E03170B"/>
    <w:rsid w:val="6E23314D"/>
    <w:rsid w:val="6E54606A"/>
    <w:rsid w:val="6E5900A7"/>
    <w:rsid w:val="6E5E349E"/>
    <w:rsid w:val="6E742FC1"/>
    <w:rsid w:val="6E9068FF"/>
    <w:rsid w:val="6E93650C"/>
    <w:rsid w:val="6EB02B29"/>
    <w:rsid w:val="6EC775B5"/>
    <w:rsid w:val="6ED22382"/>
    <w:rsid w:val="6F34021E"/>
    <w:rsid w:val="6F517094"/>
    <w:rsid w:val="6F682259"/>
    <w:rsid w:val="6F6F564F"/>
    <w:rsid w:val="6F7820BD"/>
    <w:rsid w:val="6F7F1EFD"/>
    <w:rsid w:val="6F9248CD"/>
    <w:rsid w:val="6F941D77"/>
    <w:rsid w:val="6FA74562"/>
    <w:rsid w:val="6FAB29C1"/>
    <w:rsid w:val="6FD07862"/>
    <w:rsid w:val="6FE11759"/>
    <w:rsid w:val="6FFA7FF4"/>
    <w:rsid w:val="70141BF4"/>
    <w:rsid w:val="7034110D"/>
    <w:rsid w:val="7055034C"/>
    <w:rsid w:val="7060575D"/>
    <w:rsid w:val="70761442"/>
    <w:rsid w:val="7080690D"/>
    <w:rsid w:val="708D352F"/>
    <w:rsid w:val="70A46274"/>
    <w:rsid w:val="70D76374"/>
    <w:rsid w:val="70DA0EB4"/>
    <w:rsid w:val="70DA1911"/>
    <w:rsid w:val="70F71D76"/>
    <w:rsid w:val="711C51A1"/>
    <w:rsid w:val="71266481"/>
    <w:rsid w:val="712C306B"/>
    <w:rsid w:val="713B7C54"/>
    <w:rsid w:val="71465B69"/>
    <w:rsid w:val="715E631A"/>
    <w:rsid w:val="71677F7B"/>
    <w:rsid w:val="71726CF7"/>
    <w:rsid w:val="71884559"/>
    <w:rsid w:val="719E6674"/>
    <w:rsid w:val="71BC7A1A"/>
    <w:rsid w:val="71BE49AA"/>
    <w:rsid w:val="71E91071"/>
    <w:rsid w:val="71F1080A"/>
    <w:rsid w:val="71F13A1E"/>
    <w:rsid w:val="720D270F"/>
    <w:rsid w:val="722A6CD4"/>
    <w:rsid w:val="723050FF"/>
    <w:rsid w:val="72431384"/>
    <w:rsid w:val="726C5DC7"/>
    <w:rsid w:val="728779DD"/>
    <w:rsid w:val="72A30197"/>
    <w:rsid w:val="72A675D6"/>
    <w:rsid w:val="72AD3FEB"/>
    <w:rsid w:val="72C267D6"/>
    <w:rsid w:val="72C31C45"/>
    <w:rsid w:val="72CD4B67"/>
    <w:rsid w:val="72CF3765"/>
    <w:rsid w:val="730E55D1"/>
    <w:rsid w:val="731971E5"/>
    <w:rsid w:val="731B2B3C"/>
    <w:rsid w:val="731C27C7"/>
    <w:rsid w:val="732E3907"/>
    <w:rsid w:val="7330668E"/>
    <w:rsid w:val="733B1918"/>
    <w:rsid w:val="733B2D8D"/>
    <w:rsid w:val="736D101B"/>
    <w:rsid w:val="73700720"/>
    <w:rsid w:val="73AF71B6"/>
    <w:rsid w:val="73BA55C4"/>
    <w:rsid w:val="73D079C7"/>
    <w:rsid w:val="73D26FE9"/>
    <w:rsid w:val="73E40F99"/>
    <w:rsid w:val="740B0E07"/>
    <w:rsid w:val="742F54FD"/>
    <w:rsid w:val="743F3744"/>
    <w:rsid w:val="746B679F"/>
    <w:rsid w:val="746B7A8B"/>
    <w:rsid w:val="746E792E"/>
    <w:rsid w:val="74885D80"/>
    <w:rsid w:val="748C1ED5"/>
    <w:rsid w:val="74A95EB2"/>
    <w:rsid w:val="74D473CC"/>
    <w:rsid w:val="750818D9"/>
    <w:rsid w:val="752200CB"/>
    <w:rsid w:val="75342986"/>
    <w:rsid w:val="7538395C"/>
    <w:rsid w:val="754A2DA4"/>
    <w:rsid w:val="757A7C49"/>
    <w:rsid w:val="75845FDA"/>
    <w:rsid w:val="75871F81"/>
    <w:rsid w:val="7591576B"/>
    <w:rsid w:val="759F6ED6"/>
    <w:rsid w:val="75A53765"/>
    <w:rsid w:val="75DB69E8"/>
    <w:rsid w:val="75F1698E"/>
    <w:rsid w:val="76110DEA"/>
    <w:rsid w:val="76416F04"/>
    <w:rsid w:val="765D7970"/>
    <w:rsid w:val="7663095C"/>
    <w:rsid w:val="76A52D30"/>
    <w:rsid w:val="76AC3A40"/>
    <w:rsid w:val="76C8731C"/>
    <w:rsid w:val="770F6BEB"/>
    <w:rsid w:val="77116A65"/>
    <w:rsid w:val="771519A3"/>
    <w:rsid w:val="778D25C3"/>
    <w:rsid w:val="77977FC3"/>
    <w:rsid w:val="77A0627E"/>
    <w:rsid w:val="77CA263A"/>
    <w:rsid w:val="77CD5124"/>
    <w:rsid w:val="77EE09D2"/>
    <w:rsid w:val="77FF0B8F"/>
    <w:rsid w:val="780E4365"/>
    <w:rsid w:val="78106988"/>
    <w:rsid w:val="78267589"/>
    <w:rsid w:val="782C55F0"/>
    <w:rsid w:val="78316C8F"/>
    <w:rsid w:val="784751B8"/>
    <w:rsid w:val="785C1006"/>
    <w:rsid w:val="7875619A"/>
    <w:rsid w:val="788571A8"/>
    <w:rsid w:val="78861E4A"/>
    <w:rsid w:val="789B1BFE"/>
    <w:rsid w:val="78A02574"/>
    <w:rsid w:val="78A60180"/>
    <w:rsid w:val="78B26191"/>
    <w:rsid w:val="78B31A15"/>
    <w:rsid w:val="78B50F83"/>
    <w:rsid w:val="78D93AAF"/>
    <w:rsid w:val="78E1101F"/>
    <w:rsid w:val="78E35705"/>
    <w:rsid w:val="78F73EA0"/>
    <w:rsid w:val="78FC03D5"/>
    <w:rsid w:val="78FF080F"/>
    <w:rsid w:val="791F5861"/>
    <w:rsid w:val="794F6716"/>
    <w:rsid w:val="797F35E5"/>
    <w:rsid w:val="79815565"/>
    <w:rsid w:val="79A3716D"/>
    <w:rsid w:val="79BE63F0"/>
    <w:rsid w:val="79CB0C0E"/>
    <w:rsid w:val="79EE7D03"/>
    <w:rsid w:val="7A013BDF"/>
    <w:rsid w:val="7A2A224A"/>
    <w:rsid w:val="7A3A4D14"/>
    <w:rsid w:val="7A5769D3"/>
    <w:rsid w:val="7A6A5F7D"/>
    <w:rsid w:val="7A7F4F02"/>
    <w:rsid w:val="7A832642"/>
    <w:rsid w:val="7A9175F2"/>
    <w:rsid w:val="7AA54794"/>
    <w:rsid w:val="7AC5017B"/>
    <w:rsid w:val="7AC50F9C"/>
    <w:rsid w:val="7AC77DFB"/>
    <w:rsid w:val="7ACA169C"/>
    <w:rsid w:val="7ACB3302"/>
    <w:rsid w:val="7AD23AC0"/>
    <w:rsid w:val="7AEF353D"/>
    <w:rsid w:val="7AF14ABA"/>
    <w:rsid w:val="7AFB463C"/>
    <w:rsid w:val="7AFC2853"/>
    <w:rsid w:val="7AFC5A7C"/>
    <w:rsid w:val="7B307789"/>
    <w:rsid w:val="7B4D7BE7"/>
    <w:rsid w:val="7B5519D4"/>
    <w:rsid w:val="7B56595F"/>
    <w:rsid w:val="7B5C32A2"/>
    <w:rsid w:val="7B6649E4"/>
    <w:rsid w:val="7B683207"/>
    <w:rsid w:val="7B6B290D"/>
    <w:rsid w:val="7B8014F7"/>
    <w:rsid w:val="7B9C1601"/>
    <w:rsid w:val="7BA15F67"/>
    <w:rsid w:val="7BB42002"/>
    <w:rsid w:val="7BBB5A97"/>
    <w:rsid w:val="7BC05809"/>
    <w:rsid w:val="7C2554C2"/>
    <w:rsid w:val="7C277FE5"/>
    <w:rsid w:val="7C4B3616"/>
    <w:rsid w:val="7C4B3E77"/>
    <w:rsid w:val="7C744D24"/>
    <w:rsid w:val="7C7F609F"/>
    <w:rsid w:val="7C8E2FEA"/>
    <w:rsid w:val="7C920C97"/>
    <w:rsid w:val="7C9C2334"/>
    <w:rsid w:val="7CA60195"/>
    <w:rsid w:val="7CBA3AAE"/>
    <w:rsid w:val="7CC43114"/>
    <w:rsid w:val="7CCF01D0"/>
    <w:rsid w:val="7CCF3A53"/>
    <w:rsid w:val="7CF9571E"/>
    <w:rsid w:val="7D1B7141"/>
    <w:rsid w:val="7D3015D2"/>
    <w:rsid w:val="7D337CFF"/>
    <w:rsid w:val="7D5545F9"/>
    <w:rsid w:val="7D6A15B0"/>
    <w:rsid w:val="7D883202"/>
    <w:rsid w:val="7D887F56"/>
    <w:rsid w:val="7D9505DA"/>
    <w:rsid w:val="7D9628BA"/>
    <w:rsid w:val="7D983AA0"/>
    <w:rsid w:val="7D9D55CB"/>
    <w:rsid w:val="7DBD5C5A"/>
    <w:rsid w:val="7E00724E"/>
    <w:rsid w:val="7E017608"/>
    <w:rsid w:val="7E143A76"/>
    <w:rsid w:val="7E2D4D52"/>
    <w:rsid w:val="7E3A380F"/>
    <w:rsid w:val="7E487BF0"/>
    <w:rsid w:val="7E55402A"/>
    <w:rsid w:val="7E5B632D"/>
    <w:rsid w:val="7E6150E3"/>
    <w:rsid w:val="7E66415D"/>
    <w:rsid w:val="7E6959AC"/>
    <w:rsid w:val="7E6A3007"/>
    <w:rsid w:val="7E6F7782"/>
    <w:rsid w:val="7E76390F"/>
    <w:rsid w:val="7E992ACB"/>
    <w:rsid w:val="7E9D7B6E"/>
    <w:rsid w:val="7EBF1E56"/>
    <w:rsid w:val="7EC37706"/>
    <w:rsid w:val="7EF45957"/>
    <w:rsid w:val="7F0E0451"/>
    <w:rsid w:val="7F262C65"/>
    <w:rsid w:val="7F2E4837"/>
    <w:rsid w:val="7F4E0360"/>
    <w:rsid w:val="7F7B6EB5"/>
    <w:rsid w:val="7F8D3BC1"/>
    <w:rsid w:val="7F9A6A6A"/>
    <w:rsid w:val="7F9C15E8"/>
    <w:rsid w:val="7FA85EBE"/>
    <w:rsid w:val="7FAB30F1"/>
    <w:rsid w:val="7FB84E9C"/>
    <w:rsid w:val="7FD14040"/>
    <w:rsid w:val="7FE27CF9"/>
    <w:rsid w:val="7FE90F80"/>
    <w:rsid w:val="7FEF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99"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7"/>
    <w:qFormat/>
    <w:uiPriority w:val="9"/>
    <w:pPr>
      <w:keepNext/>
      <w:jc w:val="left"/>
      <w:outlineLvl w:val="0"/>
    </w:pPr>
    <w:rPr>
      <w:b/>
      <w:sz w:val="28"/>
    </w:rPr>
  </w:style>
  <w:style w:type="paragraph" w:styleId="5">
    <w:name w:val="heading 2"/>
    <w:basedOn w:val="1"/>
    <w:next w:val="1"/>
    <w:link w:val="48"/>
    <w:qFormat/>
    <w:uiPriority w:val="9"/>
    <w:pPr>
      <w:keepNext/>
      <w:outlineLvl w:val="1"/>
    </w:pPr>
    <w:rPr>
      <w:szCs w:val="20"/>
    </w:rPr>
  </w:style>
  <w:style w:type="paragraph" w:styleId="6">
    <w:name w:val="heading 3"/>
    <w:basedOn w:val="1"/>
    <w:next w:val="1"/>
    <w:link w:val="136"/>
    <w:qFormat/>
    <w:uiPriority w:val="9"/>
    <w:pPr>
      <w:keepNext/>
      <w:keepLines/>
      <w:spacing w:before="260" w:after="260" w:line="413" w:lineRule="auto"/>
      <w:outlineLvl w:val="2"/>
    </w:pPr>
    <w:rPr>
      <w:b/>
      <w:sz w:val="32"/>
      <w:szCs w:val="20"/>
    </w:rPr>
  </w:style>
  <w:style w:type="paragraph" w:styleId="7">
    <w:name w:val="heading 4"/>
    <w:basedOn w:val="1"/>
    <w:next w:val="1"/>
    <w:link w:val="125"/>
    <w:qFormat/>
    <w:uiPriority w:val="9"/>
    <w:pPr>
      <w:keepNext/>
      <w:keepLines/>
      <w:spacing w:before="280" w:after="290" w:line="372" w:lineRule="auto"/>
      <w:outlineLvl w:val="3"/>
    </w:pPr>
    <w:rPr>
      <w:rFonts w:ascii="Arial" w:hAnsi="Arial" w:eastAsia="黑体"/>
      <w:b/>
      <w:sz w:val="28"/>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97"/>
    <w:qFormat/>
    <w:uiPriority w:val="0"/>
    <w:pPr>
      <w:ind w:firstLine="420"/>
    </w:pPr>
    <w:rPr>
      <w:szCs w:val="20"/>
    </w:rPr>
  </w:style>
  <w:style w:type="paragraph" w:styleId="3">
    <w:name w:val="macro"/>
    <w:link w:val="57"/>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8">
    <w:name w:val="caption"/>
    <w:basedOn w:val="1"/>
    <w:next w:val="1"/>
    <w:qFormat/>
    <w:uiPriority w:val="35"/>
    <w:rPr>
      <w:rFonts w:ascii="Cambria" w:hAnsi="Cambria" w:eastAsia="黑体"/>
      <w:sz w:val="20"/>
      <w:szCs w:val="20"/>
    </w:rPr>
  </w:style>
  <w:style w:type="paragraph" w:styleId="9">
    <w:name w:val="Document Map"/>
    <w:basedOn w:val="1"/>
    <w:link w:val="56"/>
    <w:qFormat/>
    <w:uiPriority w:val="0"/>
    <w:pPr>
      <w:shd w:val="clear" w:color="auto" w:fill="000080"/>
    </w:pPr>
    <w:rPr>
      <w:szCs w:val="20"/>
    </w:rPr>
  </w:style>
  <w:style w:type="paragraph" w:styleId="10">
    <w:name w:val="annotation text"/>
    <w:basedOn w:val="1"/>
    <w:link w:val="107"/>
    <w:qFormat/>
    <w:uiPriority w:val="0"/>
    <w:pPr>
      <w:jc w:val="left"/>
    </w:pPr>
    <w:rPr>
      <w:sz w:val="21"/>
      <w:szCs w:val="20"/>
    </w:rPr>
  </w:style>
  <w:style w:type="paragraph" w:styleId="11">
    <w:name w:val="Body Text 3"/>
    <w:basedOn w:val="1"/>
    <w:link w:val="117"/>
    <w:qFormat/>
    <w:uiPriority w:val="0"/>
    <w:pPr>
      <w:spacing w:after="120"/>
    </w:pPr>
    <w:rPr>
      <w:sz w:val="16"/>
      <w:szCs w:val="20"/>
    </w:rPr>
  </w:style>
  <w:style w:type="paragraph" w:styleId="12">
    <w:name w:val="Body Text"/>
    <w:basedOn w:val="1"/>
    <w:link w:val="94"/>
    <w:qFormat/>
    <w:uiPriority w:val="0"/>
    <w:pPr>
      <w:spacing w:after="120"/>
    </w:pPr>
    <w:rPr>
      <w:szCs w:val="20"/>
    </w:rPr>
  </w:style>
  <w:style w:type="paragraph" w:styleId="13">
    <w:name w:val="Body Text Indent"/>
    <w:basedOn w:val="1"/>
    <w:link w:val="140"/>
    <w:qFormat/>
    <w:uiPriority w:val="0"/>
    <w:pPr>
      <w:spacing w:before="240"/>
      <w:ind w:firstLine="570"/>
    </w:pPr>
    <w:rPr>
      <w:szCs w:val="20"/>
    </w:rPr>
  </w:style>
  <w:style w:type="paragraph" w:styleId="14">
    <w:name w:val="Block Text"/>
    <w:basedOn w:val="1"/>
    <w:qFormat/>
    <w:uiPriority w:val="99"/>
    <w:pPr>
      <w:autoSpaceDE w:val="0"/>
      <w:autoSpaceDN w:val="0"/>
      <w:adjustRightInd w:val="0"/>
      <w:spacing w:line="480" w:lineRule="auto"/>
      <w:ind w:left="57" w:right="57" w:firstLine="570"/>
    </w:pPr>
    <w:rPr>
      <w:rFonts w:ascii="仿宋_GB2312" w:hAnsi="宋体" w:eastAsia="仿宋_GB2312"/>
      <w:b/>
      <w:color w:val="000000"/>
      <w:kern w:val="0"/>
      <w:sz w:val="28"/>
      <w:szCs w:val="20"/>
    </w:rPr>
  </w:style>
  <w:style w:type="paragraph" w:styleId="15">
    <w:name w:val="Plain Text"/>
    <w:basedOn w:val="1"/>
    <w:link w:val="131"/>
    <w:qFormat/>
    <w:uiPriority w:val="0"/>
    <w:pPr>
      <w:spacing w:line="240" w:lineRule="atLeast"/>
    </w:pPr>
    <w:rPr>
      <w:rFonts w:ascii="宋体" w:hAnsi="Courier New"/>
      <w:sz w:val="21"/>
      <w:szCs w:val="20"/>
    </w:rPr>
  </w:style>
  <w:style w:type="paragraph" w:styleId="16">
    <w:name w:val="Date"/>
    <w:basedOn w:val="1"/>
    <w:next w:val="1"/>
    <w:link w:val="128"/>
    <w:qFormat/>
    <w:uiPriority w:val="0"/>
    <w:rPr>
      <w:szCs w:val="20"/>
    </w:rPr>
  </w:style>
  <w:style w:type="paragraph" w:styleId="17">
    <w:name w:val="Body Text Indent 2"/>
    <w:basedOn w:val="1"/>
    <w:link w:val="135"/>
    <w:qFormat/>
    <w:uiPriority w:val="0"/>
    <w:pPr>
      <w:ind w:firstLine="560"/>
    </w:pPr>
    <w:rPr>
      <w:szCs w:val="20"/>
    </w:rPr>
  </w:style>
  <w:style w:type="paragraph" w:styleId="18">
    <w:name w:val="Balloon Text"/>
    <w:basedOn w:val="1"/>
    <w:link w:val="72"/>
    <w:qFormat/>
    <w:uiPriority w:val="0"/>
    <w:rPr>
      <w:sz w:val="18"/>
      <w:szCs w:val="20"/>
    </w:rPr>
  </w:style>
  <w:style w:type="paragraph" w:styleId="19">
    <w:name w:val="footer"/>
    <w:basedOn w:val="1"/>
    <w:link w:val="103"/>
    <w:qFormat/>
    <w:uiPriority w:val="99"/>
    <w:pPr>
      <w:tabs>
        <w:tab w:val="center" w:pos="4153"/>
        <w:tab w:val="right" w:pos="8306"/>
      </w:tabs>
      <w:snapToGrid w:val="0"/>
      <w:jc w:val="left"/>
    </w:pPr>
    <w:rPr>
      <w:sz w:val="18"/>
      <w:szCs w:val="20"/>
    </w:rPr>
  </w:style>
  <w:style w:type="paragraph" w:styleId="20">
    <w:name w:val="header"/>
    <w:basedOn w:val="1"/>
    <w:link w:val="105"/>
    <w:qFormat/>
    <w:uiPriority w:val="99"/>
    <w:pPr>
      <w:pBdr>
        <w:bottom w:val="single" w:color="auto" w:sz="6" w:space="1"/>
      </w:pBdr>
      <w:tabs>
        <w:tab w:val="center" w:pos="4153"/>
        <w:tab w:val="right" w:pos="8306"/>
      </w:tabs>
      <w:snapToGrid w:val="0"/>
      <w:jc w:val="center"/>
    </w:pPr>
    <w:rPr>
      <w:sz w:val="18"/>
      <w:szCs w:val="20"/>
    </w:rPr>
  </w:style>
  <w:style w:type="paragraph" w:styleId="21">
    <w:name w:val="toc 1"/>
    <w:basedOn w:val="1"/>
    <w:next w:val="1"/>
    <w:qFormat/>
    <w:uiPriority w:val="39"/>
  </w:style>
  <w:style w:type="paragraph" w:styleId="22">
    <w:name w:val="List"/>
    <w:basedOn w:val="1"/>
    <w:qFormat/>
    <w:uiPriority w:val="99"/>
    <w:pPr>
      <w:spacing w:before="20" w:after="20"/>
      <w:jc w:val="center"/>
    </w:pPr>
    <w:rPr>
      <w:szCs w:val="20"/>
    </w:rPr>
  </w:style>
  <w:style w:type="paragraph" w:styleId="23">
    <w:name w:val="Body Text Indent 3"/>
    <w:basedOn w:val="1"/>
    <w:link w:val="139"/>
    <w:qFormat/>
    <w:uiPriority w:val="0"/>
    <w:pPr>
      <w:ind w:firstLine="480"/>
    </w:pPr>
    <w:rPr>
      <w:szCs w:val="20"/>
    </w:rPr>
  </w:style>
  <w:style w:type="paragraph" w:styleId="24">
    <w:name w:val="table of figures"/>
    <w:basedOn w:val="1"/>
    <w:next w:val="1"/>
    <w:qFormat/>
    <w:uiPriority w:val="0"/>
    <w:pPr>
      <w:ind w:leftChars="200" w:hanging="200" w:hangingChars="200"/>
    </w:pPr>
  </w:style>
  <w:style w:type="paragraph" w:styleId="25">
    <w:name w:val="toc 2"/>
    <w:basedOn w:val="1"/>
    <w:next w:val="1"/>
    <w:semiHidden/>
    <w:qFormat/>
    <w:uiPriority w:val="39"/>
    <w:pPr>
      <w:tabs>
        <w:tab w:val="right" w:leader="dot" w:pos="8720"/>
      </w:tabs>
      <w:adjustRightInd w:val="0"/>
      <w:snapToGrid w:val="0"/>
      <w:jc w:val="center"/>
    </w:pPr>
    <w:rPr>
      <w:rFonts w:ascii="宋体" w:hAnsi="宋体"/>
      <w:szCs w:val="21"/>
    </w:rPr>
  </w:style>
  <w:style w:type="paragraph" w:styleId="26">
    <w:name w:val="Body Text 2"/>
    <w:basedOn w:val="1"/>
    <w:link w:val="112"/>
    <w:qFormat/>
    <w:uiPriority w:val="0"/>
    <w:pPr>
      <w:spacing w:after="120" w:line="480" w:lineRule="auto"/>
    </w:pPr>
    <w:rPr>
      <w:szCs w:val="20"/>
    </w:rPr>
  </w:style>
  <w:style w:type="paragraph" w:styleId="27">
    <w:name w:val="HTML Preformatted"/>
    <w:basedOn w:val="1"/>
    <w:link w:val="10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28">
    <w:name w:val="Normal (Web)"/>
    <w:basedOn w:val="1"/>
    <w:qFormat/>
    <w:uiPriority w:val="99"/>
    <w:pPr>
      <w:widowControl/>
      <w:spacing w:before="100" w:beforeAutospacing="1" w:after="100" w:afterAutospacing="1"/>
      <w:jc w:val="left"/>
    </w:pPr>
    <w:rPr>
      <w:rFonts w:ascii="Arial Unicode MS" w:hAnsi="Arial Unicode MS" w:eastAsia="Arial Unicode MS" w:cs="Arial Unicode MS"/>
      <w:color w:val="000000"/>
      <w:kern w:val="0"/>
    </w:rPr>
  </w:style>
  <w:style w:type="paragraph" w:styleId="29">
    <w:name w:val="Title"/>
    <w:basedOn w:val="1"/>
    <w:next w:val="1"/>
    <w:link w:val="75"/>
    <w:qFormat/>
    <w:uiPriority w:val="0"/>
    <w:pPr>
      <w:spacing w:before="240" w:after="60"/>
      <w:jc w:val="center"/>
      <w:outlineLvl w:val="0"/>
    </w:pPr>
    <w:rPr>
      <w:rFonts w:ascii="Cambria" w:hAnsi="Cambria"/>
      <w:b/>
      <w:bCs/>
      <w:sz w:val="32"/>
      <w:szCs w:val="32"/>
    </w:rPr>
  </w:style>
  <w:style w:type="paragraph" w:styleId="30">
    <w:name w:val="annotation subject"/>
    <w:basedOn w:val="10"/>
    <w:next w:val="10"/>
    <w:link w:val="115"/>
    <w:qFormat/>
    <w:uiPriority w:val="0"/>
    <w:rPr>
      <w:b/>
      <w:sz w:val="24"/>
    </w:rPr>
  </w:style>
  <w:style w:type="paragraph" w:styleId="31">
    <w:name w:val="Body Text First Indent"/>
    <w:basedOn w:val="12"/>
    <w:link w:val="62"/>
    <w:qFormat/>
    <w:uiPriority w:val="0"/>
    <w:pPr>
      <w:ind w:firstLine="420" w:firstLineChars="100"/>
    </w:pPr>
  </w:style>
  <w:style w:type="paragraph" w:styleId="32">
    <w:name w:val="Body Text First Indent 2"/>
    <w:basedOn w:val="13"/>
    <w:next w:val="31"/>
    <w:link w:val="122"/>
    <w:qFormat/>
    <w:uiPriority w:val="0"/>
    <w:pPr>
      <w:spacing w:after="120"/>
      <w:ind w:left="420" w:leftChars="200" w:firstLine="420"/>
    </w:pPr>
  </w:style>
  <w:style w:type="table" w:styleId="34">
    <w:name w:val="Table Grid"/>
    <w:basedOn w:val="3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22"/>
    <w:rPr>
      <w:b/>
    </w:rPr>
  </w:style>
  <w:style w:type="character" w:styleId="37">
    <w:name w:val="page number"/>
    <w:qFormat/>
    <w:uiPriority w:val="99"/>
    <w:rPr>
      <w:rFonts w:cs="Times New Roman"/>
    </w:rPr>
  </w:style>
  <w:style w:type="character" w:styleId="38">
    <w:name w:val="FollowedHyperlink"/>
    <w:qFormat/>
    <w:uiPriority w:val="0"/>
    <w:rPr>
      <w:color w:val="333333"/>
      <w:u w:val="none"/>
    </w:rPr>
  </w:style>
  <w:style w:type="character" w:styleId="39">
    <w:name w:val="Emphasis"/>
    <w:qFormat/>
    <w:uiPriority w:val="20"/>
  </w:style>
  <w:style w:type="character" w:styleId="40">
    <w:name w:val="HTML Definition"/>
    <w:qFormat/>
    <w:uiPriority w:val="0"/>
  </w:style>
  <w:style w:type="character" w:styleId="41">
    <w:name w:val="HTML Acronym"/>
    <w:basedOn w:val="35"/>
    <w:qFormat/>
    <w:uiPriority w:val="0"/>
  </w:style>
  <w:style w:type="character" w:styleId="42">
    <w:name w:val="HTML Variable"/>
    <w:qFormat/>
    <w:uiPriority w:val="0"/>
  </w:style>
  <w:style w:type="character" w:styleId="43">
    <w:name w:val="Hyperlink"/>
    <w:qFormat/>
    <w:uiPriority w:val="99"/>
    <w:rPr>
      <w:rFonts w:cs="Times New Roman"/>
      <w:color w:val="136EC2"/>
      <w:u w:val="single"/>
    </w:rPr>
  </w:style>
  <w:style w:type="character" w:styleId="44">
    <w:name w:val="HTML Code"/>
    <w:qFormat/>
    <w:uiPriority w:val="0"/>
    <w:rPr>
      <w:rFonts w:ascii="Courier New" w:hAnsi="Courier New"/>
      <w:sz w:val="20"/>
    </w:rPr>
  </w:style>
  <w:style w:type="character" w:styleId="45">
    <w:name w:val="annotation reference"/>
    <w:qFormat/>
    <w:uiPriority w:val="0"/>
    <w:rPr>
      <w:sz w:val="21"/>
    </w:rPr>
  </w:style>
  <w:style w:type="character" w:styleId="46">
    <w:name w:val="HTML Cite"/>
    <w:qFormat/>
    <w:uiPriority w:val="0"/>
  </w:style>
  <w:style w:type="character" w:customStyle="1" w:styleId="47">
    <w:name w:val="标题 1 Char"/>
    <w:link w:val="4"/>
    <w:qFormat/>
    <w:uiPriority w:val="9"/>
    <w:rPr>
      <w:b/>
      <w:kern w:val="2"/>
      <w:sz w:val="28"/>
      <w:szCs w:val="24"/>
    </w:rPr>
  </w:style>
  <w:style w:type="character" w:customStyle="1" w:styleId="48">
    <w:name w:val="标题 2 Char"/>
    <w:link w:val="5"/>
    <w:qFormat/>
    <w:uiPriority w:val="9"/>
    <w:rPr>
      <w:rFonts w:eastAsia="宋体"/>
      <w:kern w:val="2"/>
      <w:sz w:val="24"/>
      <w:lang w:val="en-US" w:eastAsia="zh-CN"/>
    </w:rPr>
  </w:style>
  <w:style w:type="paragraph" w:customStyle="1" w:styleId="4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50">
    <w:name w:val="文章正文样式 Char Char"/>
    <w:link w:val="51"/>
    <w:qFormat/>
    <w:uiPriority w:val="0"/>
    <w:rPr>
      <w:rFonts w:ascii="宋体" w:hAnsi="宋体" w:eastAsia="宋体"/>
      <w:kern w:val="2"/>
      <w:sz w:val="24"/>
      <w:lang w:val="en-US" w:eastAsia="zh-CN"/>
    </w:rPr>
  </w:style>
  <w:style w:type="paragraph" w:customStyle="1" w:styleId="51">
    <w:name w:val="文章正文样式"/>
    <w:basedOn w:val="1"/>
    <w:link w:val="50"/>
    <w:qFormat/>
    <w:uiPriority w:val="0"/>
    <w:pPr>
      <w:ind w:firstLine="480"/>
      <w:jc w:val="left"/>
    </w:pPr>
    <w:rPr>
      <w:rFonts w:ascii="宋体" w:hAnsi="宋体"/>
      <w:szCs w:val="20"/>
    </w:rPr>
  </w:style>
  <w:style w:type="character" w:customStyle="1" w:styleId="52">
    <w:name w:val="君邦正文 Char2"/>
    <w:qFormat/>
    <w:uiPriority w:val="0"/>
    <w:rPr>
      <w:rFonts w:ascii="宋体" w:hAnsi="宋体" w:eastAsia="宋体"/>
      <w:kern w:val="2"/>
      <w:sz w:val="24"/>
      <w:lang w:val="en-US" w:eastAsia="zh-CN"/>
    </w:rPr>
  </w:style>
  <w:style w:type="character" w:customStyle="1" w:styleId="53">
    <w:name w:val="content"/>
    <w:qFormat/>
    <w:uiPriority w:val="0"/>
    <w:rPr>
      <w:rFonts w:cs="Times New Roman"/>
    </w:rPr>
  </w:style>
  <w:style w:type="character" w:customStyle="1" w:styleId="54">
    <w:name w:val="页眉 Char1"/>
    <w:qFormat/>
    <w:uiPriority w:val="0"/>
    <w:rPr>
      <w:rFonts w:eastAsia="宋体"/>
      <w:kern w:val="2"/>
      <w:sz w:val="18"/>
      <w:lang w:val="en-US" w:eastAsia="zh-CN"/>
    </w:rPr>
  </w:style>
  <w:style w:type="character" w:customStyle="1" w:styleId="55">
    <w:name w:val="Document Map Char1"/>
    <w:semiHidden/>
    <w:qFormat/>
    <w:uiPriority w:val="99"/>
    <w:rPr>
      <w:kern w:val="2"/>
      <w:sz w:val="16"/>
      <w:szCs w:val="0"/>
    </w:rPr>
  </w:style>
  <w:style w:type="character" w:customStyle="1" w:styleId="56">
    <w:name w:val="文档结构图 Char"/>
    <w:link w:val="9"/>
    <w:qFormat/>
    <w:uiPriority w:val="0"/>
    <w:rPr>
      <w:rFonts w:eastAsia="宋体"/>
      <w:kern w:val="2"/>
      <w:sz w:val="24"/>
      <w:lang w:val="en-US" w:eastAsia="zh-CN"/>
    </w:rPr>
  </w:style>
  <w:style w:type="character" w:customStyle="1" w:styleId="57">
    <w:name w:val="宏文本 Char"/>
    <w:link w:val="3"/>
    <w:qFormat/>
    <w:uiPriority w:val="99"/>
    <w:rPr>
      <w:rFonts w:ascii="Courier New" w:hAnsi="Courier New" w:cs="Courier New"/>
      <w:kern w:val="2"/>
      <w:sz w:val="24"/>
      <w:szCs w:val="24"/>
      <w:lang w:val="en-US" w:eastAsia="zh-CN" w:bidi="ar-SA"/>
    </w:rPr>
  </w:style>
  <w:style w:type="character" w:customStyle="1" w:styleId="58">
    <w:name w:val="Char Char15"/>
    <w:qFormat/>
    <w:uiPriority w:val="0"/>
    <w:rPr>
      <w:rFonts w:ascii="Arial" w:hAnsi="Arial" w:eastAsia="黑体"/>
      <w:b/>
      <w:sz w:val="28"/>
    </w:rPr>
  </w:style>
  <w:style w:type="character" w:customStyle="1" w:styleId="59">
    <w:name w:val="font1"/>
    <w:basedOn w:val="35"/>
    <w:qFormat/>
    <w:uiPriority w:val="0"/>
  </w:style>
  <w:style w:type="character" w:customStyle="1" w:styleId="60">
    <w:name w:val="文本 Char"/>
    <w:qFormat/>
    <w:uiPriority w:val="0"/>
    <w:rPr>
      <w:rFonts w:eastAsia="宋体"/>
      <w:kern w:val="2"/>
      <w:sz w:val="28"/>
      <w:lang w:val="en-US" w:eastAsia="zh-CN"/>
    </w:rPr>
  </w:style>
  <w:style w:type="character" w:customStyle="1" w:styleId="61">
    <w:name w:val="Body Text First Indent Char1"/>
    <w:semiHidden/>
    <w:qFormat/>
    <w:uiPriority w:val="99"/>
    <w:rPr>
      <w:rFonts w:eastAsia="宋体"/>
      <w:kern w:val="2"/>
      <w:sz w:val="21"/>
      <w:szCs w:val="24"/>
      <w:lang w:val="en-US" w:eastAsia="zh-CN"/>
    </w:rPr>
  </w:style>
  <w:style w:type="character" w:customStyle="1" w:styleId="62">
    <w:name w:val="正文首行缩进 Char"/>
    <w:link w:val="31"/>
    <w:qFormat/>
    <w:uiPriority w:val="0"/>
    <w:rPr>
      <w:rFonts w:eastAsia="宋体"/>
      <w:kern w:val="2"/>
      <w:sz w:val="24"/>
      <w:lang w:val="en-US" w:eastAsia="zh-CN"/>
    </w:rPr>
  </w:style>
  <w:style w:type="character" w:customStyle="1" w:styleId="63">
    <w:name w:val="正文缩进 Char1"/>
    <w:link w:val="64"/>
    <w:qFormat/>
    <w:uiPriority w:val="0"/>
    <w:rPr>
      <w:kern w:val="2"/>
      <w:sz w:val="21"/>
    </w:rPr>
  </w:style>
  <w:style w:type="paragraph" w:customStyle="1" w:styleId="64">
    <w:name w:val="正文缩进1"/>
    <w:basedOn w:val="1"/>
    <w:link w:val="63"/>
    <w:qFormat/>
    <w:uiPriority w:val="0"/>
    <w:pPr>
      <w:ind w:firstLine="420"/>
    </w:pPr>
    <w:rPr>
      <w:sz w:val="21"/>
      <w:szCs w:val="20"/>
    </w:rPr>
  </w:style>
  <w:style w:type="character" w:customStyle="1" w:styleId="65">
    <w:name w:val="样式 样式 样式 样式 首行缩进:  1 字符 + 首行缩进:  2 字符1 + 首行缩进:  2 字符 + Arial Char"/>
    <w:link w:val="66"/>
    <w:autoRedefine/>
    <w:qFormat/>
    <w:uiPriority w:val="0"/>
    <w:rPr>
      <w:rFonts w:ascii="Arial" w:hAnsi="Arial" w:cs="宋体"/>
      <w:sz w:val="24"/>
    </w:rPr>
  </w:style>
  <w:style w:type="paragraph" w:customStyle="1" w:styleId="66">
    <w:name w:val="样式 样式 样式 样式 首行缩进:  1 字符 + 首行缩进:  2 字符1 + 首行缩进:  2 字符 + Arial"/>
    <w:basedOn w:val="1"/>
    <w:link w:val="65"/>
    <w:qFormat/>
    <w:uiPriority w:val="0"/>
    <w:pPr>
      <w:ind w:firstLine="480"/>
    </w:pPr>
    <w:rPr>
      <w:rFonts w:ascii="Arial" w:hAnsi="Arial" w:cs="宋体"/>
      <w:kern w:val="0"/>
      <w:szCs w:val="20"/>
    </w:rPr>
  </w:style>
  <w:style w:type="character" w:customStyle="1" w:styleId="67">
    <w:name w:val="Balloon Text Char1"/>
    <w:semiHidden/>
    <w:qFormat/>
    <w:uiPriority w:val="99"/>
    <w:rPr>
      <w:kern w:val="2"/>
      <w:sz w:val="16"/>
      <w:szCs w:val="0"/>
    </w:rPr>
  </w:style>
  <w:style w:type="character" w:customStyle="1" w:styleId="68">
    <w:name w:val="正文首行缩进 Char1 Char Char"/>
    <w:qFormat/>
    <w:uiPriority w:val="0"/>
    <w:rPr>
      <w:rFonts w:ascii="Times New Roman" w:hAnsi="Times New Roman"/>
      <w:kern w:val="2"/>
      <w:sz w:val="24"/>
    </w:rPr>
  </w:style>
  <w:style w:type="character" w:customStyle="1" w:styleId="69">
    <w:name w:val="121zhengwen111"/>
    <w:qFormat/>
    <w:uiPriority w:val="0"/>
    <w:rPr>
      <w:sz w:val="20"/>
    </w:rPr>
  </w:style>
  <w:style w:type="character" w:customStyle="1" w:styleId="70">
    <w:name w:val="Body Text Indent 2 Char1"/>
    <w:semiHidden/>
    <w:qFormat/>
    <w:uiPriority w:val="99"/>
    <w:rPr>
      <w:kern w:val="2"/>
      <w:sz w:val="21"/>
      <w:szCs w:val="24"/>
    </w:rPr>
  </w:style>
  <w:style w:type="character" w:customStyle="1" w:styleId="71">
    <w:name w:val="apple-style-span"/>
    <w:qFormat/>
    <w:uiPriority w:val="0"/>
    <w:rPr>
      <w:rFonts w:cs="Times New Roman"/>
    </w:rPr>
  </w:style>
  <w:style w:type="character" w:customStyle="1" w:styleId="72">
    <w:name w:val="批注框文本 Char"/>
    <w:link w:val="18"/>
    <w:qFormat/>
    <w:uiPriority w:val="0"/>
    <w:rPr>
      <w:rFonts w:eastAsia="宋体"/>
      <w:kern w:val="2"/>
      <w:sz w:val="18"/>
      <w:lang w:val="en-US" w:eastAsia="zh-CN"/>
    </w:rPr>
  </w:style>
  <w:style w:type="character" w:customStyle="1" w:styleId="73">
    <w:name w:val="Plain Text Char1"/>
    <w:semiHidden/>
    <w:qFormat/>
    <w:uiPriority w:val="99"/>
    <w:rPr>
      <w:rFonts w:ascii="宋体" w:hAnsi="Courier New" w:cs="Courier New"/>
      <w:kern w:val="2"/>
      <w:sz w:val="21"/>
      <w:szCs w:val="21"/>
    </w:rPr>
  </w:style>
  <w:style w:type="character" w:customStyle="1" w:styleId="74">
    <w:name w:val="Comment Subject Char1"/>
    <w:semiHidden/>
    <w:qFormat/>
    <w:uiPriority w:val="99"/>
    <w:rPr>
      <w:rFonts w:eastAsia="宋体"/>
      <w:b/>
      <w:bCs/>
      <w:kern w:val="2"/>
      <w:sz w:val="21"/>
      <w:szCs w:val="24"/>
      <w:lang w:val="en-US" w:eastAsia="zh-CN"/>
    </w:rPr>
  </w:style>
  <w:style w:type="character" w:customStyle="1" w:styleId="75">
    <w:name w:val="标题 Char"/>
    <w:link w:val="29"/>
    <w:qFormat/>
    <w:uiPriority w:val="0"/>
    <w:rPr>
      <w:rFonts w:ascii="Cambria" w:hAnsi="Cambria" w:cs="Times New Roman"/>
      <w:b/>
      <w:bCs/>
      <w:kern w:val="2"/>
      <w:sz w:val="32"/>
      <w:szCs w:val="32"/>
    </w:rPr>
  </w:style>
  <w:style w:type="character" w:customStyle="1" w:styleId="76">
    <w:name w:val="font11"/>
    <w:qFormat/>
    <w:uiPriority w:val="0"/>
    <w:rPr>
      <w:rFonts w:hint="default" w:ascii="Times New Roman" w:hAnsi="Times New Roman" w:cs="Times New Roman"/>
      <w:color w:val="000000"/>
      <w:sz w:val="21"/>
      <w:szCs w:val="21"/>
      <w:u w:val="none"/>
    </w:rPr>
  </w:style>
  <w:style w:type="character" w:customStyle="1" w:styleId="77">
    <w:name w:val="样式 红色"/>
    <w:qFormat/>
    <w:uiPriority w:val="0"/>
    <w:rPr>
      <w:color w:val="FF0000"/>
      <w:spacing w:val="8"/>
      <w:w w:val="100"/>
      <w:position w:val="0"/>
    </w:rPr>
  </w:style>
  <w:style w:type="character" w:customStyle="1" w:styleId="78">
    <w:name w:val="Body Text Indent 3 Char1"/>
    <w:autoRedefine/>
    <w:semiHidden/>
    <w:qFormat/>
    <w:uiPriority w:val="99"/>
    <w:rPr>
      <w:kern w:val="2"/>
      <w:sz w:val="16"/>
      <w:szCs w:val="16"/>
    </w:rPr>
  </w:style>
  <w:style w:type="character" w:customStyle="1" w:styleId="79">
    <w:name w:val="报告书正文 Char Char"/>
    <w:link w:val="80"/>
    <w:autoRedefine/>
    <w:qFormat/>
    <w:uiPriority w:val="0"/>
    <w:rPr>
      <w:rFonts w:ascii="宋体" w:hAnsi="宋体" w:eastAsia="宋体"/>
      <w:snapToGrid w:val="0"/>
      <w:sz w:val="24"/>
      <w:lang w:val="en-US" w:eastAsia="zh-CN"/>
    </w:rPr>
  </w:style>
  <w:style w:type="paragraph" w:customStyle="1" w:styleId="80">
    <w:name w:val="报告书正文"/>
    <w:basedOn w:val="17"/>
    <w:link w:val="79"/>
    <w:autoRedefine/>
    <w:qFormat/>
    <w:uiPriority w:val="0"/>
    <w:pPr>
      <w:tabs>
        <w:tab w:val="left" w:pos="6300"/>
      </w:tabs>
      <w:adjustRightInd w:val="0"/>
      <w:snapToGrid w:val="0"/>
      <w:spacing w:line="480" w:lineRule="exact"/>
      <w:ind w:firstLine="480"/>
    </w:pPr>
    <w:rPr>
      <w:rFonts w:ascii="宋体" w:hAnsi="宋体"/>
      <w:snapToGrid w:val="0"/>
      <w:kern w:val="0"/>
    </w:rPr>
  </w:style>
  <w:style w:type="character" w:customStyle="1" w:styleId="81">
    <w:name w:val="bggrey"/>
    <w:autoRedefine/>
    <w:qFormat/>
    <w:uiPriority w:val="0"/>
    <w:rPr>
      <w:shd w:val="clear" w:color="auto" w:fill="E7E7E7"/>
    </w:rPr>
  </w:style>
  <w:style w:type="character" w:customStyle="1" w:styleId="82">
    <w:name w:val="样式 正文缩进表正文正文非缩进 + Char Char"/>
    <w:link w:val="83"/>
    <w:autoRedefine/>
    <w:qFormat/>
    <w:uiPriority w:val="0"/>
    <w:rPr>
      <w:rFonts w:ascii="宋体" w:hAnsi="宋体" w:eastAsia="宋体"/>
      <w:sz w:val="24"/>
      <w:lang w:val="en-US" w:eastAsia="zh-CN"/>
    </w:rPr>
  </w:style>
  <w:style w:type="paragraph" w:customStyle="1" w:styleId="83">
    <w:name w:val="样式 正文缩进表正文正文非缩进 +"/>
    <w:basedOn w:val="2"/>
    <w:link w:val="82"/>
    <w:autoRedefine/>
    <w:qFormat/>
    <w:uiPriority w:val="0"/>
    <w:pPr>
      <w:ind w:firstLine="200"/>
    </w:pPr>
    <w:rPr>
      <w:rFonts w:ascii="宋体" w:hAnsi="宋体"/>
      <w:kern w:val="0"/>
    </w:rPr>
  </w:style>
  <w:style w:type="character" w:customStyle="1" w:styleId="84">
    <w:name w:val="正文（首行缩进两字） Char Char"/>
    <w:autoRedefine/>
    <w:qFormat/>
    <w:uiPriority w:val="0"/>
    <w:rPr>
      <w:rFonts w:eastAsia="宋体"/>
      <w:kern w:val="2"/>
      <w:sz w:val="24"/>
      <w:lang w:val="en-US" w:eastAsia="zh-CN"/>
    </w:rPr>
  </w:style>
  <w:style w:type="character" w:customStyle="1" w:styleId="85">
    <w:name w:val="Char Char10"/>
    <w:autoRedefine/>
    <w:qFormat/>
    <w:uiPriority w:val="0"/>
    <w:rPr>
      <w:kern w:val="2"/>
      <w:sz w:val="21"/>
    </w:rPr>
  </w:style>
  <w:style w:type="character" w:customStyle="1" w:styleId="86">
    <w:name w:val="Body Text 2 Char1"/>
    <w:autoRedefine/>
    <w:semiHidden/>
    <w:qFormat/>
    <w:uiPriority w:val="99"/>
    <w:rPr>
      <w:kern w:val="2"/>
      <w:sz w:val="21"/>
      <w:szCs w:val="24"/>
    </w:rPr>
  </w:style>
  <w:style w:type="character" w:customStyle="1" w:styleId="87">
    <w:name w:val="font"/>
    <w:basedOn w:val="35"/>
    <w:qFormat/>
    <w:uiPriority w:val="0"/>
  </w:style>
  <w:style w:type="character" w:customStyle="1" w:styleId="88">
    <w:name w:val="disabled"/>
    <w:qFormat/>
    <w:uiPriority w:val="0"/>
    <w:rPr>
      <w:color w:val="999999"/>
      <w:bdr w:val="single" w:color="C5C5C5" w:sz="6" w:space="0"/>
    </w:rPr>
  </w:style>
  <w:style w:type="character" w:customStyle="1" w:styleId="89">
    <w:name w:val="Body Text First Indent 2 Char1"/>
    <w:basedOn w:val="90"/>
    <w:autoRedefine/>
    <w:semiHidden/>
    <w:qFormat/>
    <w:uiPriority w:val="99"/>
    <w:rPr>
      <w:kern w:val="2"/>
      <w:sz w:val="21"/>
      <w:szCs w:val="24"/>
    </w:rPr>
  </w:style>
  <w:style w:type="character" w:customStyle="1" w:styleId="90">
    <w:name w:val="Body Text Indent Char1"/>
    <w:semiHidden/>
    <w:qFormat/>
    <w:uiPriority w:val="99"/>
    <w:rPr>
      <w:kern w:val="2"/>
      <w:sz w:val="21"/>
      <w:szCs w:val="24"/>
    </w:rPr>
  </w:style>
  <w:style w:type="character" w:customStyle="1" w:styleId="91">
    <w:name w:val="Header Char1"/>
    <w:autoRedefine/>
    <w:semiHidden/>
    <w:qFormat/>
    <w:uiPriority w:val="99"/>
    <w:rPr>
      <w:kern w:val="2"/>
      <w:sz w:val="18"/>
      <w:szCs w:val="18"/>
    </w:rPr>
  </w:style>
  <w:style w:type="character" w:customStyle="1" w:styleId="92">
    <w:name w:val="Body Text Char1"/>
    <w:semiHidden/>
    <w:qFormat/>
    <w:uiPriority w:val="99"/>
    <w:rPr>
      <w:kern w:val="2"/>
      <w:sz w:val="21"/>
      <w:szCs w:val="24"/>
    </w:rPr>
  </w:style>
  <w:style w:type="character" w:customStyle="1" w:styleId="93">
    <w:name w:val="正文文字缩进 2 Char Char"/>
    <w:autoRedefine/>
    <w:qFormat/>
    <w:uiPriority w:val="0"/>
    <w:rPr>
      <w:rFonts w:ascii="Times New Roman" w:hAnsi="Times New Roman" w:eastAsia="宋体"/>
      <w:sz w:val="24"/>
    </w:rPr>
  </w:style>
  <w:style w:type="character" w:customStyle="1" w:styleId="94">
    <w:name w:val="正文文本 Char"/>
    <w:link w:val="12"/>
    <w:autoRedefine/>
    <w:qFormat/>
    <w:uiPriority w:val="0"/>
    <w:rPr>
      <w:rFonts w:eastAsia="宋体"/>
      <w:kern w:val="2"/>
      <w:sz w:val="24"/>
      <w:lang w:val="en-US" w:eastAsia="zh-CN"/>
    </w:rPr>
  </w:style>
  <w:style w:type="character" w:customStyle="1" w:styleId="95">
    <w:name w:val="hj style2"/>
    <w:autoRedefine/>
    <w:qFormat/>
    <w:uiPriority w:val="0"/>
    <w:rPr>
      <w:rFonts w:cs="Times New Roman"/>
    </w:rPr>
  </w:style>
  <w:style w:type="character" w:customStyle="1" w:styleId="96">
    <w:name w:val="font51"/>
    <w:autoRedefine/>
    <w:qFormat/>
    <w:uiPriority w:val="0"/>
    <w:rPr>
      <w:rFonts w:hint="default" w:ascii="Times New Roman" w:hAnsi="Times New Roman" w:cs="Times New Roman"/>
      <w:b/>
      <w:color w:val="000000"/>
      <w:sz w:val="21"/>
      <w:szCs w:val="21"/>
      <w:u w:val="none"/>
    </w:rPr>
  </w:style>
  <w:style w:type="character" w:customStyle="1" w:styleId="97">
    <w:name w:val="正文缩进 Char"/>
    <w:link w:val="2"/>
    <w:autoRedefine/>
    <w:qFormat/>
    <w:uiPriority w:val="0"/>
    <w:rPr>
      <w:rFonts w:eastAsia="宋体"/>
      <w:kern w:val="2"/>
      <w:sz w:val="24"/>
      <w:lang w:val="en-US" w:eastAsia="zh-CN"/>
    </w:rPr>
  </w:style>
  <w:style w:type="character" w:customStyle="1" w:styleId="98">
    <w:name w:val="h31"/>
    <w:autoRedefine/>
    <w:qFormat/>
    <w:uiPriority w:val="0"/>
    <w:rPr>
      <w:sz w:val="21"/>
    </w:rPr>
  </w:style>
  <w:style w:type="character" w:customStyle="1" w:styleId="99">
    <w:name w:val="表内容1 Char Char"/>
    <w:link w:val="100"/>
    <w:qFormat/>
    <w:uiPriority w:val="0"/>
    <w:rPr>
      <w:rFonts w:eastAsia="宋体"/>
      <w:kern w:val="2"/>
      <w:sz w:val="24"/>
      <w:lang w:val="en-US" w:eastAsia="zh-CN"/>
    </w:rPr>
  </w:style>
  <w:style w:type="paragraph" w:customStyle="1" w:styleId="100">
    <w:name w:val="表内容1"/>
    <w:basedOn w:val="1"/>
    <w:link w:val="99"/>
    <w:qFormat/>
    <w:uiPriority w:val="0"/>
    <w:pPr>
      <w:snapToGrid w:val="0"/>
      <w:jc w:val="center"/>
    </w:pPr>
    <w:rPr>
      <w:szCs w:val="20"/>
    </w:rPr>
  </w:style>
  <w:style w:type="character" w:customStyle="1" w:styleId="101">
    <w:name w:val="Char Char6"/>
    <w:autoRedefine/>
    <w:qFormat/>
    <w:uiPriority w:val="0"/>
    <w:rPr>
      <w:rFonts w:ascii="Times New Roman" w:hAnsi="Times New Roman" w:eastAsia="宋体"/>
      <w:sz w:val="24"/>
    </w:rPr>
  </w:style>
  <w:style w:type="character" w:customStyle="1" w:styleId="102">
    <w:name w:val="font21"/>
    <w:autoRedefine/>
    <w:qFormat/>
    <w:uiPriority w:val="0"/>
    <w:rPr>
      <w:rFonts w:hint="default" w:ascii="Times New Roman" w:hAnsi="Times New Roman" w:cs="Times New Roman"/>
      <w:b/>
      <w:color w:val="000000"/>
      <w:sz w:val="21"/>
      <w:szCs w:val="21"/>
      <w:u w:val="none"/>
      <w:vertAlign w:val="subscript"/>
    </w:rPr>
  </w:style>
  <w:style w:type="character" w:customStyle="1" w:styleId="103">
    <w:name w:val="页脚 Char"/>
    <w:link w:val="19"/>
    <w:autoRedefine/>
    <w:qFormat/>
    <w:uiPriority w:val="99"/>
    <w:rPr>
      <w:rFonts w:eastAsia="宋体"/>
      <w:kern w:val="2"/>
      <w:sz w:val="18"/>
      <w:lang w:val="en-US" w:eastAsia="zh-CN"/>
    </w:rPr>
  </w:style>
  <w:style w:type="character" w:customStyle="1" w:styleId="104">
    <w:name w:val="Date Char1"/>
    <w:semiHidden/>
    <w:qFormat/>
    <w:uiPriority w:val="99"/>
    <w:rPr>
      <w:kern w:val="2"/>
      <w:sz w:val="21"/>
      <w:szCs w:val="24"/>
    </w:rPr>
  </w:style>
  <w:style w:type="character" w:customStyle="1" w:styleId="105">
    <w:name w:val="页眉 Char"/>
    <w:link w:val="20"/>
    <w:qFormat/>
    <w:uiPriority w:val="99"/>
    <w:rPr>
      <w:rFonts w:eastAsia="宋体"/>
      <w:kern w:val="2"/>
      <w:sz w:val="18"/>
      <w:lang w:val="en-US" w:eastAsia="zh-CN"/>
    </w:rPr>
  </w:style>
  <w:style w:type="character" w:customStyle="1" w:styleId="106">
    <w:name w:val="报告 Char Char"/>
    <w:autoRedefine/>
    <w:qFormat/>
    <w:uiPriority w:val="0"/>
    <w:rPr>
      <w:rFonts w:eastAsia="宋体"/>
      <w:sz w:val="24"/>
      <w:lang w:val="en-US" w:eastAsia="zh-CN"/>
    </w:rPr>
  </w:style>
  <w:style w:type="character" w:customStyle="1" w:styleId="107">
    <w:name w:val="批注文字 Char"/>
    <w:link w:val="10"/>
    <w:autoRedefine/>
    <w:qFormat/>
    <w:uiPriority w:val="0"/>
    <w:rPr>
      <w:rFonts w:eastAsia="宋体"/>
      <w:kern w:val="2"/>
      <w:sz w:val="21"/>
      <w:lang w:val="en-US" w:eastAsia="zh-CN"/>
    </w:rPr>
  </w:style>
  <w:style w:type="character" w:customStyle="1" w:styleId="108">
    <w:name w:val="正文（首行缩进两字）m Char Char"/>
    <w:autoRedefine/>
    <w:qFormat/>
    <w:uiPriority w:val="0"/>
    <w:rPr>
      <w:rFonts w:ascii="宋体" w:hAnsi="宋体" w:eastAsia="宋体"/>
      <w:kern w:val="2"/>
      <w:sz w:val="24"/>
      <w:lang w:val="en-US" w:eastAsia="zh-CN"/>
    </w:rPr>
  </w:style>
  <w:style w:type="character" w:customStyle="1" w:styleId="109">
    <w:name w:val="HTML 预设格式 Char"/>
    <w:link w:val="27"/>
    <w:autoRedefine/>
    <w:semiHidden/>
    <w:qFormat/>
    <w:uiPriority w:val="99"/>
    <w:rPr>
      <w:rFonts w:ascii="Courier New" w:hAnsi="Courier New" w:cs="Courier New"/>
      <w:kern w:val="2"/>
    </w:rPr>
  </w:style>
  <w:style w:type="character" w:customStyle="1" w:styleId="110">
    <w:name w:val="列出段落 Char"/>
    <w:link w:val="111"/>
    <w:qFormat/>
    <w:uiPriority w:val="0"/>
    <w:rPr>
      <w:rFonts w:ascii="Calibri" w:hAnsi="Calibri"/>
      <w:kern w:val="2"/>
      <w:sz w:val="21"/>
      <w:szCs w:val="22"/>
    </w:rPr>
  </w:style>
  <w:style w:type="paragraph" w:styleId="111">
    <w:name w:val="List Paragraph"/>
    <w:basedOn w:val="1"/>
    <w:link w:val="110"/>
    <w:autoRedefine/>
    <w:qFormat/>
    <w:uiPriority w:val="0"/>
    <w:pPr>
      <w:spacing w:line="240" w:lineRule="auto"/>
      <w:ind w:firstLine="420"/>
    </w:pPr>
    <w:rPr>
      <w:rFonts w:ascii="Calibri" w:hAnsi="Calibri"/>
      <w:sz w:val="21"/>
      <w:szCs w:val="22"/>
    </w:rPr>
  </w:style>
  <w:style w:type="character" w:customStyle="1" w:styleId="112">
    <w:name w:val="正文文本 2 Char"/>
    <w:link w:val="26"/>
    <w:autoRedefine/>
    <w:qFormat/>
    <w:uiPriority w:val="0"/>
    <w:rPr>
      <w:rFonts w:eastAsia="宋体"/>
      <w:kern w:val="2"/>
      <w:sz w:val="24"/>
      <w:lang w:val="en-US" w:eastAsia="zh-CN"/>
    </w:rPr>
  </w:style>
  <w:style w:type="character" w:customStyle="1" w:styleId="113">
    <w:name w:val="Comment Text Char1"/>
    <w:autoRedefine/>
    <w:semiHidden/>
    <w:qFormat/>
    <w:uiPriority w:val="99"/>
    <w:rPr>
      <w:kern w:val="2"/>
      <w:sz w:val="21"/>
      <w:szCs w:val="24"/>
    </w:rPr>
  </w:style>
  <w:style w:type="character" w:customStyle="1" w:styleId="114">
    <w:name w:val="Body Text 3 Char1"/>
    <w:autoRedefine/>
    <w:semiHidden/>
    <w:qFormat/>
    <w:uiPriority w:val="99"/>
    <w:rPr>
      <w:kern w:val="2"/>
      <w:sz w:val="16"/>
      <w:szCs w:val="16"/>
    </w:rPr>
  </w:style>
  <w:style w:type="character" w:customStyle="1" w:styleId="115">
    <w:name w:val="批注主题 Char"/>
    <w:link w:val="30"/>
    <w:autoRedefine/>
    <w:qFormat/>
    <w:uiPriority w:val="0"/>
    <w:rPr>
      <w:rFonts w:eastAsia="宋体"/>
      <w:b/>
      <w:kern w:val="2"/>
      <w:sz w:val="24"/>
      <w:lang w:val="en-US" w:eastAsia="zh-CN"/>
    </w:rPr>
  </w:style>
  <w:style w:type="character" w:customStyle="1" w:styleId="116">
    <w:name w:val="正文缩进 Char Char"/>
    <w:qFormat/>
    <w:uiPriority w:val="0"/>
    <w:rPr>
      <w:rFonts w:eastAsia="宋体"/>
      <w:kern w:val="2"/>
      <w:sz w:val="24"/>
      <w:lang w:val="en-US" w:eastAsia="zh-CN"/>
    </w:rPr>
  </w:style>
  <w:style w:type="character" w:customStyle="1" w:styleId="117">
    <w:name w:val="正文文本 3 Char"/>
    <w:link w:val="11"/>
    <w:qFormat/>
    <w:uiPriority w:val="0"/>
    <w:rPr>
      <w:rFonts w:eastAsia="宋体"/>
      <w:kern w:val="2"/>
      <w:sz w:val="16"/>
      <w:lang w:val="en-US" w:eastAsia="zh-CN"/>
    </w:rPr>
  </w:style>
  <w:style w:type="character" w:customStyle="1" w:styleId="118">
    <w:name w:val="表格文字 Char Char"/>
    <w:link w:val="119"/>
    <w:autoRedefine/>
    <w:qFormat/>
    <w:uiPriority w:val="0"/>
    <w:rPr>
      <w:rFonts w:ascii="仿宋_GB2312" w:hAnsi="Arial Black" w:eastAsia="仿宋_GB2312"/>
      <w:kern w:val="44"/>
      <w:sz w:val="24"/>
      <w:lang w:val="en-US" w:eastAsia="zh-CN"/>
    </w:rPr>
  </w:style>
  <w:style w:type="paragraph" w:customStyle="1" w:styleId="119">
    <w:name w:val="表格文字"/>
    <w:basedOn w:val="1"/>
    <w:link w:val="118"/>
    <w:autoRedefine/>
    <w:qFormat/>
    <w:uiPriority w:val="0"/>
    <w:pPr>
      <w:jc w:val="center"/>
    </w:pPr>
    <w:rPr>
      <w:rFonts w:ascii="仿宋_GB2312" w:hAnsi="Arial Black" w:eastAsia="仿宋_GB2312"/>
      <w:kern w:val="44"/>
      <w:szCs w:val="20"/>
    </w:rPr>
  </w:style>
  <w:style w:type="character" w:customStyle="1" w:styleId="120">
    <w:name w:val="报告表  段 Char Char"/>
    <w:autoRedefine/>
    <w:qFormat/>
    <w:uiPriority w:val="0"/>
    <w:rPr>
      <w:rFonts w:ascii="宋体" w:eastAsia="宋体"/>
      <w:sz w:val="24"/>
      <w:lang w:val="en-US" w:eastAsia="zh-CN"/>
    </w:rPr>
  </w:style>
  <w:style w:type="character" w:customStyle="1" w:styleId="121">
    <w:name w:val="正文（首行缩进两字） Char"/>
    <w:autoRedefine/>
    <w:qFormat/>
    <w:uiPriority w:val="0"/>
    <w:rPr>
      <w:rFonts w:eastAsia="宋体"/>
      <w:kern w:val="2"/>
      <w:sz w:val="24"/>
      <w:lang w:val="en-US" w:eastAsia="zh-CN"/>
    </w:rPr>
  </w:style>
  <w:style w:type="character" w:customStyle="1" w:styleId="122">
    <w:name w:val="正文首行缩进 2 Char"/>
    <w:link w:val="32"/>
    <w:autoRedefine/>
    <w:qFormat/>
    <w:uiPriority w:val="0"/>
    <w:rPr>
      <w:rFonts w:eastAsia="宋体"/>
      <w:kern w:val="2"/>
      <w:sz w:val="24"/>
      <w:lang w:val="en-US" w:eastAsia="zh-CN"/>
    </w:rPr>
  </w:style>
  <w:style w:type="character" w:customStyle="1" w:styleId="123">
    <w:name w:val="keyword"/>
    <w:autoRedefine/>
    <w:qFormat/>
    <w:uiPriority w:val="0"/>
    <w:rPr>
      <w:rFonts w:cs="Times New Roman"/>
    </w:rPr>
  </w:style>
  <w:style w:type="character" w:customStyle="1" w:styleId="124">
    <w:name w:val="description"/>
    <w:autoRedefine/>
    <w:qFormat/>
    <w:uiPriority w:val="0"/>
  </w:style>
  <w:style w:type="character" w:customStyle="1" w:styleId="125">
    <w:name w:val="标题 4 Char"/>
    <w:link w:val="7"/>
    <w:autoRedefine/>
    <w:qFormat/>
    <w:uiPriority w:val="9"/>
    <w:rPr>
      <w:rFonts w:ascii="Arial" w:hAnsi="Arial" w:eastAsia="黑体"/>
      <w:b/>
      <w:kern w:val="2"/>
      <w:sz w:val="28"/>
      <w:lang w:val="en-US" w:eastAsia="zh-CN"/>
    </w:rPr>
  </w:style>
  <w:style w:type="character" w:customStyle="1" w:styleId="126">
    <w:name w:val="font41"/>
    <w:autoRedefine/>
    <w:qFormat/>
    <w:uiPriority w:val="0"/>
    <w:rPr>
      <w:rFonts w:hint="default" w:ascii="Times New Roman" w:hAnsi="Times New Roman" w:cs="Times New Roman"/>
      <w:color w:val="000000"/>
      <w:sz w:val="24"/>
      <w:szCs w:val="24"/>
      <w:u w:val="none"/>
    </w:rPr>
  </w:style>
  <w:style w:type="character" w:customStyle="1" w:styleId="127">
    <w:name w:val="btna_s"/>
    <w:autoRedefine/>
    <w:qFormat/>
    <w:uiPriority w:val="0"/>
    <w:rPr>
      <w:color w:val="FFFFFF"/>
    </w:rPr>
  </w:style>
  <w:style w:type="character" w:customStyle="1" w:styleId="128">
    <w:name w:val="日期 Char"/>
    <w:link w:val="16"/>
    <w:qFormat/>
    <w:uiPriority w:val="0"/>
    <w:rPr>
      <w:rFonts w:eastAsia="宋体"/>
      <w:kern w:val="2"/>
      <w:sz w:val="24"/>
      <w:lang w:val="en-US" w:eastAsia="zh-CN"/>
    </w:rPr>
  </w:style>
  <w:style w:type="character" w:customStyle="1" w:styleId="129">
    <w:name w:val="正文文字 Char Char"/>
    <w:link w:val="130"/>
    <w:qFormat/>
    <w:uiPriority w:val="0"/>
    <w:rPr>
      <w:rFonts w:hAnsi="宋体" w:eastAsia="宋体"/>
      <w:color w:val="FF0000"/>
      <w:sz w:val="24"/>
      <w:lang w:val="en-US" w:eastAsia="zh-CN"/>
    </w:rPr>
  </w:style>
  <w:style w:type="paragraph" w:customStyle="1" w:styleId="130">
    <w:name w:val="正文文字"/>
    <w:basedOn w:val="1"/>
    <w:next w:val="1"/>
    <w:link w:val="129"/>
    <w:qFormat/>
    <w:uiPriority w:val="0"/>
    <w:pPr>
      <w:adjustRightInd w:val="0"/>
      <w:snapToGrid w:val="0"/>
      <w:ind w:firstLine="480"/>
    </w:pPr>
    <w:rPr>
      <w:rFonts w:hAnsi="宋体"/>
      <w:color w:val="FF0000"/>
      <w:kern w:val="0"/>
      <w:szCs w:val="20"/>
    </w:rPr>
  </w:style>
  <w:style w:type="character" w:customStyle="1" w:styleId="131">
    <w:name w:val="纯文本 Char"/>
    <w:link w:val="15"/>
    <w:autoRedefine/>
    <w:qFormat/>
    <w:uiPriority w:val="0"/>
    <w:rPr>
      <w:rFonts w:ascii="宋体" w:hAnsi="Courier New" w:eastAsia="宋体"/>
      <w:kern w:val="2"/>
      <w:sz w:val="21"/>
      <w:lang w:val="en-US" w:eastAsia="zh-CN"/>
    </w:rPr>
  </w:style>
  <w:style w:type="character" w:customStyle="1" w:styleId="132">
    <w:name w:val="Re Char"/>
    <w:qFormat/>
    <w:uiPriority w:val="0"/>
    <w:rPr>
      <w:rFonts w:ascii="Times New Roman" w:hAnsi="Times New Roman" w:eastAsia="宋体"/>
      <w:b/>
      <w:sz w:val="32"/>
    </w:rPr>
  </w:style>
  <w:style w:type="character" w:customStyle="1" w:styleId="133">
    <w:name w:val="表格居中 Char"/>
    <w:link w:val="134"/>
    <w:autoRedefine/>
    <w:qFormat/>
    <w:uiPriority w:val="0"/>
    <w:rPr>
      <w:rFonts w:ascii="宋体"/>
      <w:snapToGrid/>
      <w:sz w:val="24"/>
      <w:szCs w:val="24"/>
    </w:rPr>
  </w:style>
  <w:style w:type="paragraph" w:customStyle="1" w:styleId="134">
    <w:name w:val="表格居中"/>
    <w:basedOn w:val="1"/>
    <w:link w:val="133"/>
    <w:qFormat/>
    <w:uiPriority w:val="0"/>
    <w:pPr>
      <w:adjustRightInd w:val="0"/>
      <w:snapToGrid w:val="0"/>
      <w:spacing w:line="400" w:lineRule="exact"/>
      <w:ind w:firstLine="0" w:firstLineChars="0"/>
      <w:jc w:val="center"/>
    </w:pPr>
    <w:rPr>
      <w:rFonts w:ascii="宋体"/>
      <w:snapToGrid w:val="0"/>
      <w:kern w:val="0"/>
    </w:rPr>
  </w:style>
  <w:style w:type="character" w:customStyle="1" w:styleId="135">
    <w:name w:val="正文文本缩进 2 Char"/>
    <w:link w:val="17"/>
    <w:autoRedefine/>
    <w:qFormat/>
    <w:uiPriority w:val="0"/>
    <w:rPr>
      <w:rFonts w:eastAsia="宋体"/>
      <w:kern w:val="2"/>
      <w:sz w:val="24"/>
      <w:lang w:val="en-US" w:eastAsia="zh-CN"/>
    </w:rPr>
  </w:style>
  <w:style w:type="character" w:customStyle="1" w:styleId="136">
    <w:name w:val="标题 3 Char"/>
    <w:link w:val="6"/>
    <w:qFormat/>
    <w:uiPriority w:val="9"/>
    <w:rPr>
      <w:rFonts w:eastAsia="宋体"/>
      <w:b/>
      <w:kern w:val="2"/>
      <w:sz w:val="32"/>
      <w:lang w:val="en-US" w:eastAsia="zh-CN"/>
    </w:rPr>
  </w:style>
  <w:style w:type="character" w:customStyle="1" w:styleId="137">
    <w:name w:val="current"/>
    <w:autoRedefine/>
    <w:qFormat/>
    <w:uiPriority w:val="0"/>
    <w:rPr>
      <w:b/>
      <w:color w:val="FFFFFF"/>
      <w:bdr w:val="single" w:color="1E72B4" w:sz="6" w:space="0"/>
      <w:shd w:val="clear" w:color="auto" w:fill="278100"/>
    </w:rPr>
  </w:style>
  <w:style w:type="character" w:customStyle="1" w:styleId="138">
    <w:name w:val="Footer Char1"/>
    <w:autoRedefine/>
    <w:semiHidden/>
    <w:qFormat/>
    <w:uiPriority w:val="99"/>
    <w:rPr>
      <w:kern w:val="2"/>
      <w:sz w:val="18"/>
      <w:szCs w:val="18"/>
    </w:rPr>
  </w:style>
  <w:style w:type="character" w:customStyle="1" w:styleId="139">
    <w:name w:val="正文文本缩进 3 Char"/>
    <w:link w:val="23"/>
    <w:qFormat/>
    <w:uiPriority w:val="0"/>
    <w:rPr>
      <w:rFonts w:eastAsia="宋体"/>
      <w:kern w:val="2"/>
      <w:sz w:val="24"/>
      <w:lang w:val="en-US" w:eastAsia="zh-CN"/>
    </w:rPr>
  </w:style>
  <w:style w:type="character" w:customStyle="1" w:styleId="140">
    <w:name w:val="正文文本缩进 Char"/>
    <w:link w:val="13"/>
    <w:autoRedefine/>
    <w:qFormat/>
    <w:uiPriority w:val="0"/>
    <w:rPr>
      <w:rFonts w:eastAsia="宋体"/>
      <w:kern w:val="2"/>
      <w:sz w:val="24"/>
      <w:lang w:val="en-US" w:eastAsia="zh-CN"/>
    </w:rPr>
  </w:style>
  <w:style w:type="character" w:customStyle="1" w:styleId="141">
    <w:name w:val="表头 Char Char"/>
    <w:link w:val="142"/>
    <w:autoRedefine/>
    <w:qFormat/>
    <w:uiPriority w:val="0"/>
    <w:rPr>
      <w:rFonts w:ascii="宋体" w:hAnsi="宋体" w:eastAsia="宋体"/>
      <w:b/>
      <w:snapToGrid w:val="0"/>
      <w:sz w:val="24"/>
      <w:lang w:val="zh-CN" w:eastAsia="zh-CN"/>
    </w:rPr>
  </w:style>
  <w:style w:type="paragraph" w:customStyle="1" w:styleId="142">
    <w:name w:val="表头"/>
    <w:basedOn w:val="12"/>
    <w:link w:val="141"/>
    <w:autoRedefine/>
    <w:qFormat/>
    <w:uiPriority w:val="0"/>
    <w:pPr>
      <w:adjustRightInd w:val="0"/>
      <w:snapToGrid w:val="0"/>
      <w:spacing w:after="0" w:line="440" w:lineRule="exact"/>
      <w:jc w:val="center"/>
    </w:pPr>
    <w:rPr>
      <w:rFonts w:ascii="宋体" w:hAnsi="宋体"/>
      <w:b/>
      <w:snapToGrid w:val="0"/>
      <w:kern w:val="0"/>
      <w:lang w:val="zh-CN"/>
    </w:rPr>
  </w:style>
  <w:style w:type="character" w:customStyle="1" w:styleId="143">
    <w:name w:val="Char Char11"/>
    <w:autoRedefine/>
    <w:qFormat/>
    <w:uiPriority w:val="0"/>
    <w:rPr>
      <w:rFonts w:eastAsia="宋体"/>
      <w:kern w:val="2"/>
      <w:sz w:val="24"/>
      <w:lang w:val="en-US" w:eastAsia="zh-CN"/>
    </w:rPr>
  </w:style>
  <w:style w:type="character" w:customStyle="1" w:styleId="144">
    <w:name w:val="font31"/>
    <w:autoRedefine/>
    <w:qFormat/>
    <w:uiPriority w:val="0"/>
    <w:rPr>
      <w:rFonts w:hint="eastAsia" w:ascii="宋体" w:hAnsi="宋体" w:eastAsia="宋体" w:cs="宋体"/>
      <w:b/>
      <w:color w:val="000000"/>
      <w:sz w:val="21"/>
      <w:szCs w:val="21"/>
      <w:u w:val="none"/>
    </w:rPr>
  </w:style>
  <w:style w:type="paragraph" w:customStyle="1" w:styleId="145">
    <w:name w:val="样式1"/>
    <w:basedOn w:val="1"/>
    <w:autoRedefine/>
    <w:qFormat/>
    <w:uiPriority w:val="0"/>
    <w:pPr>
      <w:spacing w:after="40" w:line="300" w:lineRule="atLeast"/>
      <w:jc w:val="center"/>
      <w:outlineLvl w:val="2"/>
    </w:pPr>
    <w:rPr>
      <w:rFonts w:eastAsia="楷体_GB2312"/>
      <w:szCs w:val="20"/>
    </w:rPr>
  </w:style>
  <w:style w:type="paragraph" w:customStyle="1" w:styleId="146">
    <w:name w:val="默认段落字体 Para Char Char Char Char"/>
    <w:basedOn w:val="1"/>
    <w:autoRedefine/>
    <w:qFormat/>
    <w:uiPriority w:val="0"/>
    <w:rPr>
      <w:szCs w:val="20"/>
    </w:rPr>
  </w:style>
  <w:style w:type="paragraph" w:customStyle="1" w:styleId="147">
    <w:name w:val="应填表格"/>
    <w:basedOn w:val="1"/>
    <w:autoRedefine/>
    <w:qFormat/>
    <w:uiPriority w:val="0"/>
    <w:pPr>
      <w:adjustRightInd w:val="0"/>
      <w:spacing w:before="40" w:after="40"/>
      <w:jc w:val="left"/>
      <w:textAlignment w:val="baseline"/>
    </w:pPr>
    <w:rPr>
      <w:kern w:val="0"/>
      <w:szCs w:val="20"/>
    </w:rPr>
  </w:style>
  <w:style w:type="paragraph" w:customStyle="1" w:styleId="148">
    <w:name w:val="正文001"/>
    <w:basedOn w:val="1"/>
    <w:autoRedefine/>
    <w:qFormat/>
    <w:uiPriority w:val="0"/>
    <w:pPr>
      <w:spacing w:before="60" w:line="420" w:lineRule="exact"/>
      <w:ind w:firstLine="482"/>
    </w:pPr>
    <w:rPr>
      <w:szCs w:val="20"/>
    </w:rPr>
  </w:style>
  <w:style w:type="paragraph" w:customStyle="1" w:styleId="149">
    <w:name w:val="正文标准样式"/>
    <w:basedOn w:val="1"/>
    <w:autoRedefine/>
    <w:qFormat/>
    <w:uiPriority w:val="0"/>
    <w:pPr>
      <w:adjustRightInd w:val="0"/>
      <w:ind w:firstLine="360" w:firstLineChars="150"/>
      <w:textAlignment w:val="baseline"/>
    </w:pPr>
    <w:rPr>
      <w:color w:val="0000FF"/>
      <w:kern w:val="0"/>
      <w:szCs w:val="20"/>
    </w:rPr>
  </w:style>
  <w:style w:type="paragraph" w:customStyle="1" w:styleId="150">
    <w:name w:val="表标题1"/>
    <w:basedOn w:val="1"/>
    <w:autoRedefine/>
    <w:qFormat/>
    <w:uiPriority w:val="0"/>
    <w:pPr>
      <w:tabs>
        <w:tab w:val="left" w:pos="1848"/>
        <w:tab w:val="left" w:pos="6061"/>
        <w:tab w:val="left" w:pos="8665"/>
      </w:tabs>
      <w:snapToGrid w:val="0"/>
      <w:spacing w:beforeLines="50" w:line="460" w:lineRule="exact"/>
      <w:ind w:firstLine="480"/>
      <w:jc w:val="center"/>
    </w:pPr>
    <w:rPr>
      <w:rFonts w:ascii="宋体" w:hAnsi="宋体"/>
      <w:szCs w:val="20"/>
    </w:rPr>
  </w:style>
  <w:style w:type="paragraph" w:customStyle="1" w:styleId="151">
    <w:name w:val="xl37"/>
    <w:basedOn w:val="1"/>
    <w:autoRedefine/>
    <w:qFormat/>
    <w:uiPriority w:val="0"/>
    <w:pPr>
      <w:widowControl/>
      <w:spacing w:before="100" w:beforeAutospacing="1" w:after="100" w:afterAutospacing="1"/>
      <w:jc w:val="center"/>
    </w:pPr>
    <w:rPr>
      <w:rFonts w:ascii="宋体" w:hAnsi="宋体"/>
      <w:kern w:val="0"/>
    </w:rPr>
  </w:style>
  <w:style w:type="paragraph" w:customStyle="1" w:styleId="152">
    <w:name w:val="段落"/>
    <w:basedOn w:val="1"/>
    <w:autoRedefine/>
    <w:qFormat/>
    <w:uiPriority w:val="0"/>
    <w:pPr>
      <w:spacing w:line="500" w:lineRule="exact"/>
    </w:pPr>
    <w:rPr>
      <w:spacing w:val="10"/>
      <w:sz w:val="28"/>
      <w:szCs w:val="20"/>
    </w:rPr>
  </w:style>
  <w:style w:type="paragraph" w:customStyle="1" w:styleId="153">
    <w:name w:val="居中正文"/>
    <w:basedOn w:val="31"/>
    <w:autoRedefine/>
    <w:qFormat/>
    <w:uiPriority w:val="0"/>
    <w:pPr>
      <w:adjustRightInd w:val="0"/>
      <w:spacing w:before="120" w:after="0"/>
      <w:ind w:firstLine="0" w:firstLineChars="0"/>
      <w:jc w:val="center"/>
      <w:textAlignment w:val="baseline"/>
    </w:pPr>
    <w:rPr>
      <w:rFonts w:ascii="宋体"/>
      <w:kern w:val="28"/>
    </w:rPr>
  </w:style>
  <w:style w:type="paragraph" w:customStyle="1" w:styleId="154">
    <w:name w:val="五级条标题"/>
    <w:basedOn w:val="1"/>
    <w:next w:val="1"/>
    <w:autoRedefine/>
    <w:qFormat/>
    <w:uiPriority w:val="0"/>
    <w:pPr>
      <w:widowControl/>
      <w:tabs>
        <w:tab w:val="left" w:pos="360"/>
        <w:tab w:val="left" w:pos="2130"/>
        <w:tab w:val="left" w:pos="2670"/>
        <w:tab w:val="left" w:pos="2790"/>
        <w:tab w:val="left" w:pos="3090"/>
        <w:tab w:val="left" w:pos="3510"/>
      </w:tabs>
      <w:ind w:left="3510" w:hanging="420"/>
      <w:outlineLvl w:val="6"/>
    </w:pPr>
    <w:rPr>
      <w:rFonts w:ascii="黑体" w:eastAsia="黑体"/>
      <w:kern w:val="0"/>
      <w:szCs w:val="20"/>
    </w:rPr>
  </w:style>
  <w:style w:type="paragraph" w:customStyle="1" w:styleId="155">
    <w:name w:val="l13"/>
    <w:basedOn w:val="1"/>
    <w:autoRedefine/>
    <w:qFormat/>
    <w:uiPriority w:val="0"/>
    <w:pPr>
      <w:widowControl/>
      <w:spacing w:before="100" w:beforeAutospacing="1" w:after="100" w:afterAutospacing="1" w:line="312" w:lineRule="auto"/>
      <w:jc w:val="left"/>
    </w:pPr>
    <w:rPr>
      <w:rFonts w:ascii="宋体" w:hAnsi="宋体"/>
      <w:color w:val="000000"/>
      <w:kern w:val="0"/>
    </w:rPr>
  </w:style>
  <w:style w:type="paragraph" w:customStyle="1" w:styleId="156">
    <w:name w:val="报告表正文"/>
    <w:basedOn w:val="1"/>
    <w:autoRedefine/>
    <w:qFormat/>
    <w:uiPriority w:val="0"/>
    <w:pPr>
      <w:adjustRightInd w:val="0"/>
      <w:spacing w:line="312" w:lineRule="auto"/>
      <w:ind w:left="113" w:right="113" w:firstLine="482" w:firstLineChars="0"/>
      <w:jc w:val="left"/>
      <w:textAlignment w:val="baseline"/>
    </w:pPr>
    <w:rPr>
      <w:kern w:val="0"/>
      <w:szCs w:val="20"/>
    </w:rPr>
  </w:style>
  <w:style w:type="paragraph" w:customStyle="1" w:styleId="157">
    <w:name w:val="样式4"/>
    <w:basedOn w:val="1"/>
    <w:autoRedefine/>
    <w:qFormat/>
    <w:uiPriority w:val="0"/>
    <w:pPr>
      <w:adjustRightInd w:val="0"/>
      <w:snapToGrid w:val="0"/>
      <w:spacing w:line="460" w:lineRule="exact"/>
      <w:ind w:firstLine="472" w:firstLineChars="196"/>
      <w:outlineLvl w:val="2"/>
    </w:pPr>
    <w:rPr>
      <w:rFonts w:ascii="黑体" w:eastAsia="黑体"/>
      <w:b/>
      <w:kern w:val="0"/>
    </w:rPr>
  </w:style>
  <w:style w:type="paragraph" w:customStyle="1" w:styleId="158">
    <w:name w:val="表标题"/>
    <w:basedOn w:val="1"/>
    <w:next w:val="1"/>
    <w:autoRedefine/>
    <w:qFormat/>
    <w:uiPriority w:val="0"/>
    <w:pPr>
      <w:tabs>
        <w:tab w:val="left" w:pos="1215"/>
      </w:tabs>
      <w:spacing w:line="380" w:lineRule="exact"/>
      <w:jc w:val="center"/>
    </w:pPr>
  </w:style>
  <w:style w:type="paragraph" w:customStyle="1" w:styleId="159">
    <w:name w:val="报告"/>
    <w:basedOn w:val="1"/>
    <w:autoRedefine/>
    <w:qFormat/>
    <w:uiPriority w:val="0"/>
    <w:pPr>
      <w:overflowPunct w:val="0"/>
      <w:autoSpaceDE w:val="0"/>
      <w:autoSpaceDN w:val="0"/>
      <w:adjustRightInd w:val="0"/>
      <w:spacing w:beforeLines="30" w:afterLines="30" w:line="400" w:lineRule="atLeast"/>
      <w:ind w:left="200" w:leftChars="200"/>
      <w:textAlignment w:val="baseline"/>
    </w:pPr>
    <w:rPr>
      <w:kern w:val="0"/>
      <w:szCs w:val="20"/>
    </w:rPr>
  </w:style>
  <w:style w:type="paragraph" w:customStyle="1" w:styleId="160">
    <w:name w:val="样式 样式 样式 样式 样式 样式 首行缩进:  1 字符 + 首行缩进:  2 字符2 + 首行缩进:  2 字符 行距: 固..."/>
    <w:basedOn w:val="1"/>
    <w:autoRedefine/>
    <w:qFormat/>
    <w:uiPriority w:val="0"/>
    <w:pPr>
      <w:adjustRightInd w:val="0"/>
      <w:snapToGrid w:val="0"/>
      <w:ind w:firstLine="480"/>
    </w:pPr>
    <w:rPr>
      <w:rFonts w:ascii="宋体" w:hAnsi="宋体" w:cs="宋体"/>
      <w:kern w:val="0"/>
      <w:szCs w:val="20"/>
    </w:rPr>
  </w:style>
  <w:style w:type="paragraph" w:customStyle="1" w:styleId="161">
    <w:name w:val="正文1"/>
    <w:next w:val="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162">
    <w:name w:val="p0"/>
    <w:basedOn w:val="1"/>
    <w:autoRedefine/>
    <w:qFormat/>
    <w:uiPriority w:val="0"/>
    <w:pPr>
      <w:widowControl/>
    </w:pPr>
    <w:rPr>
      <w:kern w:val="0"/>
      <w:szCs w:val="21"/>
    </w:rPr>
  </w:style>
  <w:style w:type="paragraph" w:customStyle="1" w:styleId="163">
    <w:name w:val="正文11"/>
    <w:basedOn w:val="1"/>
    <w:autoRedefine/>
    <w:qFormat/>
    <w:uiPriority w:val="0"/>
    <w:pPr>
      <w:adjustRightInd w:val="0"/>
      <w:snapToGrid w:val="0"/>
      <w:spacing w:line="500" w:lineRule="atLeast"/>
      <w:ind w:firstLine="567"/>
    </w:pPr>
    <w:rPr>
      <w:sz w:val="28"/>
      <w:szCs w:val="20"/>
    </w:rPr>
  </w:style>
  <w:style w:type="paragraph" w:customStyle="1" w:styleId="164">
    <w:name w:val="表内格式"/>
    <w:basedOn w:val="1"/>
    <w:autoRedefine/>
    <w:qFormat/>
    <w:uiPriority w:val="0"/>
    <w:pPr>
      <w:spacing w:line="280" w:lineRule="exact"/>
      <w:jc w:val="center"/>
    </w:pPr>
    <w:rPr>
      <w:rFonts w:ascii="宋体"/>
      <w:sz w:val="18"/>
      <w:szCs w:val="20"/>
    </w:rPr>
  </w:style>
  <w:style w:type="paragraph" w:customStyle="1" w:styleId="165">
    <w:name w:val="样式 小四 行距: 1.5 倍行距"/>
    <w:basedOn w:val="1"/>
    <w:autoRedefine/>
    <w:qFormat/>
    <w:uiPriority w:val="0"/>
    <w:pPr>
      <w:adjustRightInd w:val="0"/>
      <w:snapToGrid w:val="0"/>
    </w:pPr>
    <w:rPr>
      <w:rFonts w:ascii="宋体" w:hAnsi="宋体" w:cs="宋体"/>
    </w:rPr>
  </w:style>
  <w:style w:type="paragraph" w:customStyle="1" w:styleId="166">
    <w:name w:val="正文3"/>
    <w:basedOn w:val="1"/>
    <w:autoRedefine/>
    <w:qFormat/>
    <w:uiPriority w:val="0"/>
    <w:pPr>
      <w:keepNext/>
      <w:adjustRightInd w:val="0"/>
      <w:jc w:val="center"/>
      <w:textAlignment w:val="baseline"/>
    </w:pPr>
    <w:rPr>
      <w:kern w:val="0"/>
      <w:sz w:val="28"/>
      <w:szCs w:val="20"/>
    </w:rPr>
  </w:style>
  <w:style w:type="paragraph" w:customStyle="1" w:styleId="167">
    <w:name w:val="正文（首行缩进两字）m"/>
    <w:basedOn w:val="2"/>
    <w:autoRedefine/>
    <w:qFormat/>
    <w:uiPriority w:val="0"/>
    <w:pPr>
      <w:tabs>
        <w:tab w:val="left" w:pos="1848"/>
        <w:tab w:val="left" w:pos="6061"/>
        <w:tab w:val="left" w:pos="8665"/>
      </w:tabs>
      <w:snapToGrid w:val="0"/>
      <w:spacing w:beforeLines="50" w:line="460" w:lineRule="exact"/>
      <w:ind w:firstLine="480"/>
    </w:pPr>
    <w:rPr>
      <w:rFonts w:ascii="宋体" w:hAnsi="宋体"/>
    </w:rPr>
  </w:style>
  <w:style w:type="paragraph" w:customStyle="1" w:styleId="168">
    <w:name w:val="表"/>
    <w:basedOn w:val="1"/>
    <w:autoRedefine/>
    <w:qFormat/>
    <w:uiPriority w:val="0"/>
    <w:pPr>
      <w:spacing w:line="340" w:lineRule="exact"/>
      <w:jc w:val="center"/>
    </w:pPr>
    <w:rPr>
      <w:rFonts w:ascii="宋体" w:hAnsi="宋体"/>
      <w:szCs w:val="20"/>
    </w:rPr>
  </w:style>
  <w:style w:type="paragraph" w:customStyle="1" w:styleId="169">
    <w:name w:val="默认段落字体 Para Char Char Char Char Char Char Char"/>
    <w:basedOn w:val="1"/>
    <w:qFormat/>
    <w:uiPriority w:val="0"/>
    <w:pPr>
      <w:tabs>
        <w:tab w:val="left" w:pos="4665"/>
        <w:tab w:val="left" w:pos="8970"/>
      </w:tabs>
      <w:ind w:firstLine="400"/>
    </w:pPr>
    <w:rPr>
      <w:rFonts w:ascii="Tahoma" w:hAnsi="Tahoma"/>
      <w:szCs w:val="20"/>
    </w:rPr>
  </w:style>
  <w:style w:type="paragraph" w:customStyle="1" w:styleId="170">
    <w:name w:val="Char Char Char Char"/>
    <w:basedOn w:val="1"/>
    <w:autoRedefine/>
    <w:qFormat/>
    <w:uiPriority w:val="0"/>
  </w:style>
  <w:style w:type="paragraph" w:customStyle="1" w:styleId="171">
    <w:name w:val="列出段落1"/>
    <w:basedOn w:val="1"/>
    <w:autoRedefine/>
    <w:qFormat/>
    <w:uiPriority w:val="0"/>
    <w:pPr>
      <w:ind w:firstLine="420"/>
    </w:pPr>
  </w:style>
  <w:style w:type="paragraph" w:customStyle="1" w:styleId="172">
    <w:name w:val="Char1 Char Char Char"/>
    <w:basedOn w:val="1"/>
    <w:autoRedefine/>
    <w:qFormat/>
    <w:uiPriority w:val="0"/>
    <w:rPr>
      <w:rFonts w:ascii="宋体" w:hAnsi="宋体" w:cs="宋体"/>
    </w:rPr>
  </w:style>
  <w:style w:type="paragraph" w:customStyle="1" w:styleId="173">
    <w:name w:val="正文文本 (2)"/>
    <w:basedOn w:val="1"/>
    <w:autoRedefine/>
    <w:qFormat/>
    <w:uiPriority w:val="0"/>
    <w:pPr>
      <w:shd w:val="clear" w:color="auto" w:fill="FFFFFF"/>
      <w:spacing w:after="120" w:line="240" w:lineRule="atLeast"/>
    </w:pPr>
    <w:rPr>
      <w:b/>
      <w:bCs/>
      <w:sz w:val="17"/>
      <w:szCs w:val="17"/>
    </w:rPr>
  </w:style>
  <w:style w:type="paragraph" w:customStyle="1" w:styleId="174">
    <w:name w:val="xl43"/>
    <w:basedOn w:val="1"/>
    <w:autoRedefine/>
    <w:qFormat/>
    <w:uiPriority w:val="0"/>
    <w:pPr>
      <w:widowControl/>
      <w:pBdr>
        <w:right w:val="single" w:color="auto" w:sz="4" w:space="0"/>
      </w:pBdr>
      <w:spacing w:before="100" w:beforeAutospacing="1" w:after="100" w:afterAutospacing="1"/>
      <w:textAlignment w:val="center"/>
    </w:pPr>
    <w:rPr>
      <w:rFonts w:ascii="仿宋_GB2312" w:hAnsi="Arial Unicode MS" w:eastAsia="仿宋_GB2312" w:cs="Arial Unicode MS"/>
      <w:kern w:val="0"/>
      <w:sz w:val="18"/>
      <w:szCs w:val="18"/>
    </w:rPr>
  </w:style>
  <w:style w:type="paragraph" w:customStyle="1" w:styleId="175">
    <w:name w:val="z-窗体顶端1"/>
    <w:basedOn w:val="1"/>
    <w:next w:val="1"/>
    <w:autoRedefine/>
    <w:qFormat/>
    <w:uiPriority w:val="0"/>
    <w:pPr>
      <w:pBdr>
        <w:bottom w:val="single" w:color="auto" w:sz="6" w:space="1"/>
      </w:pBdr>
      <w:jc w:val="center"/>
    </w:pPr>
    <w:rPr>
      <w:rFonts w:ascii="Arial"/>
      <w:vanish/>
      <w:sz w:val="16"/>
    </w:rPr>
  </w:style>
  <w:style w:type="paragraph" w:customStyle="1" w:styleId="176">
    <w:name w:val="2006表格"/>
    <w:basedOn w:val="1"/>
    <w:autoRedefine/>
    <w:qFormat/>
    <w:uiPriority w:val="0"/>
    <w:pPr>
      <w:spacing w:line="240" w:lineRule="atLeast"/>
      <w:jc w:val="center"/>
    </w:pPr>
  </w:style>
  <w:style w:type="paragraph" w:customStyle="1" w:styleId="177">
    <w:name w:val="简单回函地址"/>
    <w:basedOn w:val="1"/>
    <w:autoRedefine/>
    <w:qFormat/>
    <w:uiPriority w:val="0"/>
    <w:pPr>
      <w:adjustRightInd w:val="0"/>
      <w:spacing w:line="312" w:lineRule="atLeast"/>
      <w:textAlignment w:val="baseline"/>
    </w:pPr>
    <w:rPr>
      <w:kern w:val="0"/>
      <w:szCs w:val="20"/>
    </w:rPr>
  </w:style>
  <w:style w:type="paragraph" w:customStyle="1" w:styleId="178">
    <w:name w:val="Char"/>
    <w:basedOn w:val="1"/>
    <w:autoRedefine/>
    <w:qFormat/>
    <w:uiPriority w:val="0"/>
    <w:rPr>
      <w:rFonts w:ascii="宋体" w:hAnsi="宋体" w:cs="宋体"/>
    </w:rPr>
  </w:style>
  <w:style w:type="paragraph" w:customStyle="1" w:styleId="179">
    <w:name w:val="4正文"/>
    <w:basedOn w:val="1"/>
    <w:autoRedefine/>
    <w:qFormat/>
    <w:uiPriority w:val="0"/>
    <w:pPr>
      <w:spacing w:line="240" w:lineRule="auto"/>
      <w:ind w:firstLine="480" w:firstLineChars="0"/>
    </w:pPr>
    <w:rPr>
      <w:sz w:val="21"/>
      <w:szCs w:val="20"/>
    </w:rPr>
  </w:style>
  <w:style w:type="paragraph" w:customStyle="1" w:styleId="180">
    <w:name w:val="报告表  段"/>
    <w:basedOn w:val="1"/>
    <w:autoRedefine/>
    <w:qFormat/>
    <w:uiPriority w:val="0"/>
    <w:pPr>
      <w:adjustRightInd w:val="0"/>
      <w:ind w:firstLine="505"/>
      <w:textAlignment w:val="baseline"/>
    </w:pPr>
    <w:rPr>
      <w:rFonts w:ascii="宋体"/>
      <w:kern w:val="0"/>
      <w:szCs w:val="20"/>
    </w:rPr>
  </w:style>
  <w:style w:type="paragraph" w:customStyle="1" w:styleId="181">
    <w:name w:val="新表项"/>
    <w:basedOn w:val="1"/>
    <w:autoRedefine/>
    <w:qFormat/>
    <w:uiPriority w:val="0"/>
    <w:pPr>
      <w:adjustRightInd w:val="0"/>
      <w:spacing w:before="60" w:line="336" w:lineRule="auto"/>
      <w:ind w:firstLine="505"/>
      <w:textAlignment w:val="baseline"/>
    </w:pPr>
    <w:rPr>
      <w:rFonts w:ascii="宋体"/>
      <w:kern w:val="0"/>
      <w:szCs w:val="20"/>
    </w:rPr>
  </w:style>
  <w:style w:type="paragraph" w:customStyle="1" w:styleId="182">
    <w:name w:val="引言"/>
    <w:basedOn w:val="1"/>
    <w:next w:val="1"/>
    <w:autoRedefine/>
    <w:qFormat/>
    <w:uiPriority w:val="0"/>
    <w:pPr>
      <w:ind w:firstLine="472"/>
      <w:jc w:val="center"/>
    </w:pPr>
    <w:rPr>
      <w:color w:val="000000"/>
      <w:spacing w:val="-2"/>
      <w:szCs w:val="20"/>
    </w:rPr>
  </w:style>
  <w:style w:type="paragraph" w:customStyle="1" w:styleId="183">
    <w:name w:val="二级条标题"/>
    <w:basedOn w:val="1"/>
    <w:next w:val="1"/>
    <w:autoRedefine/>
    <w:qFormat/>
    <w:uiPriority w:val="0"/>
    <w:pPr>
      <w:widowControl/>
      <w:tabs>
        <w:tab w:val="left" w:pos="360"/>
        <w:tab w:val="left" w:pos="1740"/>
        <w:tab w:val="left" w:pos="2130"/>
        <w:tab w:val="left" w:pos="2160"/>
        <w:tab w:val="left" w:pos="2790"/>
      </w:tabs>
      <w:ind w:left="2790" w:hanging="960"/>
      <w:outlineLvl w:val="3"/>
    </w:pPr>
    <w:rPr>
      <w:rFonts w:ascii="黑体" w:eastAsia="黑体"/>
      <w:kern w:val="0"/>
      <w:szCs w:val="20"/>
    </w:rPr>
  </w:style>
  <w:style w:type="paragraph" w:customStyle="1" w:styleId="184">
    <w:name w:val="z-窗体底端1"/>
    <w:basedOn w:val="1"/>
    <w:next w:val="1"/>
    <w:autoRedefine/>
    <w:qFormat/>
    <w:uiPriority w:val="0"/>
    <w:pPr>
      <w:pBdr>
        <w:top w:val="single" w:color="auto" w:sz="6" w:space="1"/>
      </w:pBdr>
      <w:jc w:val="center"/>
    </w:pPr>
    <w:rPr>
      <w:rFonts w:ascii="Arial"/>
      <w:vanish/>
      <w:sz w:val="16"/>
    </w:rPr>
  </w:style>
  <w:style w:type="paragraph" w:customStyle="1" w:styleId="185">
    <w:name w:val="样式 标题 2 + 小三 两端对齐"/>
    <w:basedOn w:val="5"/>
    <w:autoRedefine/>
    <w:qFormat/>
    <w:uiPriority w:val="0"/>
    <w:pPr>
      <w:spacing w:line="720" w:lineRule="auto"/>
    </w:pPr>
    <w:rPr>
      <w:rFonts w:cs="宋体"/>
      <w:b/>
      <w:bCs/>
      <w:sz w:val="30"/>
    </w:rPr>
  </w:style>
  <w:style w:type="paragraph" w:customStyle="1" w:styleId="186">
    <w:name w:val="表头样式1"/>
    <w:basedOn w:val="1"/>
    <w:autoRedefine/>
    <w:qFormat/>
    <w:uiPriority w:val="0"/>
    <w:pPr>
      <w:spacing w:after="80" w:line="480" w:lineRule="atLeast"/>
      <w:jc w:val="center"/>
    </w:pPr>
    <w:rPr>
      <w:rFonts w:eastAsia="黑体"/>
      <w:b/>
      <w:szCs w:val="20"/>
    </w:rPr>
  </w:style>
  <w:style w:type="paragraph" w:customStyle="1" w:styleId="187">
    <w:name w:val="Char Char Char Char Char Char1 Char Char Char Char Char Char Char Char Char Char Char Char Char"/>
    <w:basedOn w:val="1"/>
    <w:autoRedefine/>
    <w:qFormat/>
    <w:uiPriority w:val="0"/>
  </w:style>
  <w:style w:type="paragraph" w:customStyle="1" w:styleId="188">
    <w:name w:val="表内文字123"/>
    <w:autoRedefine/>
    <w:qFormat/>
    <w:uiPriority w:val="99"/>
    <w:pPr>
      <w:widowControl w:val="0"/>
      <w:jc w:val="center"/>
      <w:textAlignment w:val="center"/>
    </w:pPr>
    <w:rPr>
      <w:rFonts w:ascii="Times New Roman" w:hAnsi="Times New Roman" w:eastAsia="宋体" w:cs="Times New Roman"/>
      <w:kern w:val="2"/>
      <w:sz w:val="21"/>
      <w:szCs w:val="21"/>
      <w:lang w:val="en-US" w:eastAsia="zh-CN" w:bidi="ar-SA"/>
    </w:rPr>
  </w:style>
  <w:style w:type="paragraph" w:customStyle="1" w:styleId="189">
    <w:name w:val="样式 标题 3ReHead 3 WSAh3H3level_3PIM 3Level 3 HeadHeading 3...1"/>
    <w:basedOn w:val="6"/>
    <w:next w:val="1"/>
    <w:autoRedefine/>
    <w:qFormat/>
    <w:uiPriority w:val="0"/>
    <w:pPr>
      <w:spacing w:before="0" w:after="0" w:line="560" w:lineRule="exact"/>
    </w:pPr>
    <w:rPr>
      <w:rFonts w:cs="宋体"/>
      <w:iCs/>
      <w:color w:val="000000"/>
      <w:sz w:val="24"/>
      <w:szCs w:val="24"/>
    </w:rPr>
  </w:style>
  <w:style w:type="paragraph" w:customStyle="1" w:styleId="190">
    <w:name w:val="Char Char Char1 Char Char Char Char"/>
    <w:basedOn w:val="1"/>
    <w:next w:val="1"/>
    <w:autoRedefine/>
    <w:qFormat/>
    <w:uiPriority w:val="0"/>
    <w:rPr>
      <w:rFonts w:ascii="宋体" w:hAnsi="宋体" w:eastAsia="汉鼎简书宋" w:cs="宋体"/>
    </w:rPr>
  </w:style>
  <w:style w:type="paragraph" w:customStyle="1" w:styleId="191">
    <w:name w:val="默认段落字体 Para Char"/>
    <w:basedOn w:val="1"/>
    <w:autoRedefine/>
    <w:qFormat/>
    <w:uiPriority w:val="0"/>
    <w:pPr>
      <w:autoSpaceDE w:val="0"/>
      <w:autoSpaceDN w:val="0"/>
      <w:adjustRightInd w:val="0"/>
      <w:jc w:val="left"/>
      <w:outlineLvl w:val="1"/>
    </w:pPr>
    <w:rPr>
      <w:rFonts w:ascii="楷体_GB2312" w:hAnsi="宋体" w:eastAsia="楷体_GB2312" w:cs="宋体"/>
      <w:kern w:val="0"/>
    </w:rPr>
  </w:style>
  <w:style w:type="paragraph" w:customStyle="1" w:styleId="192">
    <w:name w:val="Char Char Char Char Char Char Char Char Char"/>
    <w:basedOn w:val="1"/>
    <w:autoRedefine/>
    <w:qFormat/>
    <w:uiPriority w:val="0"/>
    <w:pPr>
      <w:adjustRightInd w:val="0"/>
      <w:spacing w:beforeLines="150" w:afterLines="100"/>
      <w:textAlignment w:val="baseline"/>
    </w:pPr>
    <w:rPr>
      <w:sz w:val="32"/>
    </w:rPr>
  </w:style>
  <w:style w:type="paragraph" w:customStyle="1" w:styleId="193">
    <w:name w:val="二级无标题条"/>
    <w:basedOn w:val="1"/>
    <w:autoRedefine/>
    <w:qFormat/>
    <w:uiPriority w:val="0"/>
  </w:style>
  <w:style w:type="paragraph" w:customStyle="1" w:styleId="194">
    <w:name w:val="1"/>
    <w:basedOn w:val="1"/>
    <w:next w:val="28"/>
    <w:autoRedefine/>
    <w:qFormat/>
    <w:uiPriority w:val="0"/>
    <w:pPr>
      <w:widowControl/>
      <w:spacing w:before="100" w:beforeAutospacing="1" w:after="100" w:afterAutospacing="1"/>
      <w:jc w:val="left"/>
    </w:pPr>
    <w:rPr>
      <w:rFonts w:ascii="宋体" w:hAnsi="宋体" w:cs="宋体"/>
      <w:kern w:val="0"/>
    </w:rPr>
  </w:style>
  <w:style w:type="paragraph" w:customStyle="1" w:styleId="195">
    <w:name w:val="表内容"/>
    <w:basedOn w:val="1"/>
    <w:autoRedefine/>
    <w:qFormat/>
    <w:uiPriority w:val="0"/>
    <w:rPr>
      <w:szCs w:val="21"/>
    </w:rPr>
  </w:style>
  <w:style w:type="paragraph" w:customStyle="1" w:styleId="196">
    <w:name w:val="Char Char Char1 Char Char Char Char1"/>
    <w:basedOn w:val="1"/>
    <w:next w:val="1"/>
    <w:autoRedefine/>
    <w:qFormat/>
    <w:uiPriority w:val="0"/>
    <w:rPr>
      <w:rFonts w:ascii="宋体" w:hAnsi="宋体" w:eastAsia="汉鼎简书宋" w:cs="宋体"/>
      <w:szCs w:val="20"/>
    </w:rPr>
  </w:style>
  <w:style w:type="paragraph" w:customStyle="1" w:styleId="197">
    <w:name w:val="样式 标题 1 + 段前: 0 磅 段后: 0 磅"/>
    <w:basedOn w:val="4"/>
    <w:autoRedefine/>
    <w:qFormat/>
    <w:uiPriority w:val="0"/>
    <w:pPr>
      <w:keepLines/>
      <w:adjustRightInd w:val="0"/>
      <w:snapToGrid w:val="0"/>
      <w:spacing w:before="100" w:beforeAutospacing="1" w:after="100" w:afterAutospacing="1" w:line="240" w:lineRule="auto"/>
      <w:ind w:firstLine="0" w:firstLineChars="0"/>
      <w:jc w:val="both"/>
    </w:pPr>
    <w:rPr>
      <w:rFonts w:ascii="仿宋_GB2312" w:eastAsia="黑体"/>
      <w:kern w:val="44"/>
      <w:sz w:val="44"/>
      <w:szCs w:val="20"/>
    </w:rPr>
  </w:style>
  <w:style w:type="paragraph" w:customStyle="1" w:styleId="198">
    <w:name w:val="列出段落2"/>
    <w:basedOn w:val="1"/>
    <w:autoRedefine/>
    <w:qFormat/>
    <w:uiPriority w:val="34"/>
    <w:pPr>
      <w:spacing w:line="240" w:lineRule="auto"/>
      <w:ind w:firstLine="420"/>
    </w:pPr>
    <w:rPr>
      <w:sz w:val="21"/>
      <w:szCs w:val="20"/>
    </w:rPr>
  </w:style>
  <w:style w:type="paragraph" w:customStyle="1" w:styleId="199">
    <w:name w:val="Char Char Char Char Char Char Char Char Char Char Char Char Char Char Char Char"/>
    <w:basedOn w:val="9"/>
    <w:autoRedefine/>
    <w:qFormat/>
    <w:uiPriority w:val="0"/>
    <w:pPr>
      <w:widowControl/>
      <w:spacing w:line="240" w:lineRule="auto"/>
      <w:ind w:firstLine="0" w:firstLineChars="0"/>
      <w:jc w:val="left"/>
    </w:pPr>
    <w:rPr>
      <w:rFonts w:ascii="Tahoma" w:hAnsi="Tahoma"/>
      <w:kern w:val="0"/>
    </w:rPr>
  </w:style>
  <w:style w:type="paragraph" w:customStyle="1" w:styleId="200">
    <w:name w:val="1.1.1"/>
    <w:basedOn w:val="1"/>
    <w:autoRedefine/>
    <w:qFormat/>
    <w:uiPriority w:val="0"/>
    <w:pPr>
      <w:spacing w:line="240" w:lineRule="auto"/>
      <w:ind w:firstLine="0" w:firstLineChars="0"/>
    </w:pPr>
    <w:rPr>
      <w:rFonts w:ascii="黑体"/>
    </w:rPr>
  </w:style>
  <w:style w:type="paragraph" w:customStyle="1" w:styleId="201">
    <w:name w:val="Char Char Char Char Char Char Char"/>
    <w:basedOn w:val="1"/>
    <w:autoRedefine/>
    <w:qFormat/>
    <w:uiPriority w:val="0"/>
    <w:pPr>
      <w:widowControl/>
      <w:spacing w:after="160" w:line="240" w:lineRule="exact"/>
      <w:ind w:firstLine="881"/>
      <w:jc w:val="left"/>
    </w:pPr>
    <w:rPr>
      <w:rFonts w:ascii="Verdana" w:hAnsi="Verdana" w:eastAsia="仿宋_GB2312"/>
      <w:kern w:val="0"/>
      <w:szCs w:val="20"/>
      <w:lang w:eastAsia="en-US"/>
    </w:rPr>
  </w:style>
  <w:style w:type="character" w:styleId="202">
    <w:name w:val="Placeholder Text"/>
    <w:basedOn w:val="35"/>
    <w:autoRedefine/>
    <w:unhideWhenUsed/>
    <w:qFormat/>
    <w:uiPriority w:val="99"/>
    <w:rPr>
      <w:color w:val="808080"/>
    </w:rPr>
  </w:style>
  <w:style w:type="character" w:customStyle="1" w:styleId="203">
    <w:name w:val="样式 小四"/>
    <w:autoRedefine/>
    <w:qFormat/>
    <w:uiPriority w:val="0"/>
    <w:rPr>
      <w:sz w:val="24"/>
      <w:szCs w:val="24"/>
    </w:rPr>
  </w:style>
  <w:style w:type="paragraph" w:customStyle="1" w:styleId="204">
    <w:name w:val="无间隔1"/>
    <w:basedOn w:val="12"/>
    <w:next w:val="12"/>
    <w:autoRedefine/>
    <w:qFormat/>
    <w:uiPriority w:val="1"/>
    <w:pPr>
      <w:spacing w:after="0" w:line="360" w:lineRule="exact"/>
      <w:ind w:firstLine="0" w:firstLineChars="0"/>
      <w:jc w:val="center"/>
    </w:pPr>
    <w:rPr>
      <w:rFonts w:eastAsia="黑体"/>
      <w:sz w:val="21"/>
    </w:rPr>
  </w:style>
  <w:style w:type="paragraph" w:customStyle="1" w:styleId="205">
    <w:name w:val="纯文本1"/>
    <w:basedOn w:val="1"/>
    <w:autoRedefine/>
    <w:qFormat/>
    <w:uiPriority w:val="0"/>
    <w:rPr>
      <w:rFonts w:hint="eastAsia" w:ascii="宋体" w:hAnsi="Courier New" w:cs="Courier New"/>
      <w:szCs w:val="21"/>
    </w:rPr>
  </w:style>
  <w:style w:type="character" w:customStyle="1" w:styleId="206">
    <w:name w:val="l171"/>
    <w:autoRedefine/>
    <w:qFormat/>
    <w:uiPriority w:val="0"/>
  </w:style>
  <w:style w:type="paragraph" w:customStyle="1" w:styleId="207">
    <w:name w:val="表头-陈"/>
    <w:basedOn w:val="1"/>
    <w:link w:val="209"/>
    <w:autoRedefine/>
    <w:qFormat/>
    <w:uiPriority w:val="0"/>
    <w:pPr>
      <w:ind w:firstLine="0" w:firstLineChars="0"/>
      <w:jc w:val="center"/>
    </w:pPr>
    <w:rPr>
      <w:b/>
      <w:bCs/>
    </w:rPr>
  </w:style>
  <w:style w:type="paragraph" w:customStyle="1" w:styleId="208">
    <w:name w:val="表格-陈"/>
    <w:basedOn w:val="1"/>
    <w:autoRedefine/>
    <w:qFormat/>
    <w:uiPriority w:val="0"/>
    <w:pPr>
      <w:spacing w:line="320" w:lineRule="exact"/>
      <w:ind w:firstLine="0" w:firstLineChars="0"/>
      <w:jc w:val="center"/>
    </w:pPr>
    <w:rPr>
      <w:sz w:val="21"/>
    </w:rPr>
  </w:style>
  <w:style w:type="character" w:customStyle="1" w:styleId="209">
    <w:name w:val="表头-陈 Char"/>
    <w:link w:val="207"/>
    <w:autoRedefine/>
    <w:qFormat/>
    <w:uiPriority w:val="0"/>
    <w:rPr>
      <w:b/>
      <w:bCs/>
    </w:rPr>
  </w:style>
  <w:style w:type="paragraph" w:customStyle="1" w:styleId="210">
    <w:name w:val="正文4号"/>
    <w:autoRedefine/>
    <w:qFormat/>
    <w:uiPriority w:val="0"/>
    <w:pPr>
      <w:widowControl w:val="0"/>
      <w:adjustRightInd w:val="0"/>
      <w:snapToGrid w:val="0"/>
      <w:spacing w:line="360" w:lineRule="auto"/>
      <w:ind w:firstLine="200" w:firstLineChars="200"/>
      <w:jc w:val="both"/>
    </w:pPr>
    <w:rPr>
      <w:rFonts w:asciiTheme="minorHAnsi" w:hAnsiTheme="minorHAnsi" w:eastAsiaTheme="minorEastAsia" w:cstheme="minorBidi"/>
      <w:kern w:val="24"/>
      <w:sz w:val="24"/>
      <w:szCs w:val="24"/>
      <w:lang w:val="en-US" w:eastAsia="zh-CN" w:bidi="ar-SA"/>
    </w:rPr>
  </w:style>
  <w:style w:type="paragraph" w:customStyle="1" w:styleId="211">
    <w:name w:val="妇幼正文"/>
    <w:basedOn w:val="1"/>
    <w:autoRedefine/>
    <w:qFormat/>
    <w:uiPriority w:val="0"/>
    <w:pPr>
      <w:adjustRightInd w:val="0"/>
      <w:ind w:firstLine="480"/>
    </w:pPr>
    <w:rPr>
      <w:color w:val="000000"/>
      <w:kern w:val="0"/>
    </w:rPr>
  </w:style>
  <w:style w:type="paragraph" w:customStyle="1" w:styleId="212">
    <w:name w:val="正文2"/>
    <w:basedOn w:val="1"/>
    <w:next w:val="161"/>
    <w:autoRedefine/>
    <w:qFormat/>
    <w:uiPriority w:val="0"/>
    <w:pPr>
      <w:adjustRightInd w:val="0"/>
      <w:snapToGrid w:val="0"/>
      <w:spacing w:line="440" w:lineRule="atLeast"/>
      <w:ind w:firstLine="567"/>
    </w:pPr>
    <w:rPr>
      <w:szCs w:val="20"/>
    </w:rPr>
  </w:style>
  <w:style w:type="paragraph" w:customStyle="1" w:styleId="213">
    <w:name w:val="我的正文"/>
    <w:basedOn w:val="1"/>
    <w:autoRedefine/>
    <w:qFormat/>
    <w:uiPriority w:val="0"/>
    <w:pPr>
      <w:ind w:firstLine="560"/>
    </w:pPr>
    <w:rPr>
      <w:rFonts w:ascii="宋体" w:hAnsi="宋体" w:cs="宋体"/>
      <w:sz w:val="28"/>
      <w:szCs w:val="22"/>
    </w:rPr>
  </w:style>
  <w:style w:type="table" w:customStyle="1" w:styleId="214">
    <w:name w:val="网格型1"/>
    <w:basedOn w:val="33"/>
    <w:autoRedefine/>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5">
    <w:name w:val="表格"/>
    <w:basedOn w:val="1"/>
    <w:next w:val="1"/>
    <w:autoRedefine/>
    <w:qFormat/>
    <w:uiPriority w:val="0"/>
    <w:pPr>
      <w:adjustRightInd w:val="0"/>
      <w:spacing w:line="440" w:lineRule="exact"/>
      <w:jc w:val="center"/>
      <w:textAlignment w:val="baseline"/>
    </w:pPr>
    <w:rPr>
      <w:kern w:val="0"/>
      <w:szCs w:val="20"/>
    </w:rPr>
  </w:style>
  <w:style w:type="paragraph" w:customStyle="1" w:styleId="216">
    <w:name w:val="报告书表格"/>
    <w:basedOn w:val="1"/>
    <w:autoRedefine/>
    <w:qFormat/>
    <w:uiPriority w:val="0"/>
    <w:pPr>
      <w:widowControl/>
      <w:adjustRightInd w:val="0"/>
      <w:spacing w:before="60" w:after="60" w:line="240" w:lineRule="atLeast"/>
      <w:jc w:val="center"/>
      <w:textAlignment w:val="baseline"/>
    </w:pPr>
    <w:rPr>
      <w:rFonts w:ascii="宋体" w:hAnsi="宋体" w:cs="宋体"/>
      <w:kern w:val="0"/>
      <w:szCs w:val="20"/>
    </w:rPr>
  </w:style>
  <w:style w:type="paragraph" w:customStyle="1" w:styleId="217">
    <w:name w:val="君邦正文"/>
    <w:autoRedefine/>
    <w:qFormat/>
    <w:uiPriority w:val="0"/>
    <w:pPr>
      <w:spacing w:line="360" w:lineRule="auto"/>
      <w:ind w:left="-4" w:leftChars="-2" w:firstLine="480" w:firstLineChars="200"/>
      <w:jc w:val="both"/>
    </w:pPr>
    <w:rPr>
      <w:rFonts w:ascii="宋体" w:hAnsi="宋体" w:eastAsia="宋体" w:cs="Times New Roman"/>
      <w:kern w:val="2"/>
      <w:sz w:val="24"/>
      <w:lang w:val="en-US" w:eastAsia="zh-CN" w:bidi="ar-SA"/>
    </w:rPr>
  </w:style>
  <w:style w:type="paragraph" w:customStyle="1" w:styleId="218">
    <w:name w:val="已有表格"/>
    <w:basedOn w:val="1"/>
    <w:autoRedefine/>
    <w:qFormat/>
    <w:uiPriority w:val="0"/>
    <w:pPr>
      <w:adjustRightInd w:val="0"/>
      <w:spacing w:before="40" w:after="40"/>
      <w:jc w:val="center"/>
      <w:textAlignment w:val="baseline"/>
    </w:pPr>
    <w:rPr>
      <w:b/>
      <w:kern w:val="0"/>
    </w:rPr>
  </w:style>
  <w:style w:type="paragraph" w:customStyle="1" w:styleId="219">
    <w:name w:val="图表标题"/>
    <w:basedOn w:val="1"/>
    <w:next w:val="220"/>
    <w:autoRedefine/>
    <w:qFormat/>
    <w:uiPriority w:val="0"/>
    <w:pPr>
      <w:autoSpaceDE w:val="0"/>
      <w:autoSpaceDN w:val="0"/>
      <w:adjustRightInd w:val="0"/>
      <w:snapToGrid w:val="0"/>
      <w:ind w:firstLine="2733" w:firstLineChars="1300"/>
    </w:pPr>
    <w:rPr>
      <w:b/>
      <w:kern w:val="0"/>
    </w:rPr>
  </w:style>
  <w:style w:type="paragraph" w:customStyle="1" w:styleId="220">
    <w:name w:val="报告表格"/>
    <w:basedOn w:val="1"/>
    <w:autoRedefine/>
    <w:qFormat/>
    <w:uiPriority w:val="0"/>
    <w:pPr>
      <w:autoSpaceDE w:val="0"/>
      <w:autoSpaceDN w:val="0"/>
      <w:adjustRightInd w:val="0"/>
      <w:spacing w:before="40" w:after="40"/>
      <w:jc w:val="center"/>
      <w:textAlignment w:val="baseline"/>
    </w:pPr>
    <w:rPr>
      <w:kern w:val="0"/>
      <w:szCs w:val="20"/>
    </w:rPr>
  </w:style>
  <w:style w:type="paragraph" w:customStyle="1" w:styleId="221">
    <w:name w:val="表头1"/>
    <w:basedOn w:val="1"/>
    <w:autoRedefine/>
    <w:qFormat/>
    <w:uiPriority w:val="0"/>
    <w:pPr>
      <w:spacing w:beforeLines="50"/>
      <w:jc w:val="center"/>
    </w:pPr>
    <w:rPr>
      <w:rFonts w:ascii="宋体" w:hAnsi="宋体"/>
      <w:b/>
    </w:rPr>
  </w:style>
  <w:style w:type="paragraph" w:customStyle="1" w:styleId="222">
    <w:name w:val="图表"/>
    <w:basedOn w:val="1"/>
    <w:link w:val="230"/>
    <w:autoRedefine/>
    <w:qFormat/>
    <w:uiPriority w:val="0"/>
    <w:pPr>
      <w:autoSpaceDE w:val="0"/>
      <w:autoSpaceDN w:val="0"/>
      <w:adjustRightInd w:val="0"/>
      <w:snapToGrid w:val="0"/>
      <w:jc w:val="center"/>
    </w:pPr>
    <w:rPr>
      <w:kern w:val="0"/>
      <w:sz w:val="20"/>
    </w:rPr>
  </w:style>
  <w:style w:type="paragraph" w:customStyle="1" w:styleId="223">
    <w:name w:val="Table Paragraph"/>
    <w:basedOn w:val="1"/>
    <w:autoRedefine/>
    <w:qFormat/>
    <w:uiPriority w:val="1"/>
    <w:pPr>
      <w:jc w:val="center"/>
    </w:pPr>
    <w:rPr>
      <w:rFonts w:ascii="宋体" w:hAnsi="宋体" w:cs="宋体"/>
      <w:lang w:val="zh-CN" w:bidi="zh-CN"/>
    </w:rPr>
  </w:style>
  <w:style w:type="character" w:customStyle="1" w:styleId="224">
    <w:name w:val="fontstyle01"/>
    <w:basedOn w:val="35"/>
    <w:autoRedefine/>
    <w:qFormat/>
    <w:uiPriority w:val="0"/>
    <w:rPr>
      <w:rFonts w:hint="eastAsia" w:ascii="宋体" w:hAnsi="宋体" w:eastAsia="宋体"/>
      <w:color w:val="000000"/>
      <w:sz w:val="24"/>
      <w:szCs w:val="24"/>
    </w:rPr>
  </w:style>
  <w:style w:type="character" w:customStyle="1" w:styleId="225">
    <w:name w:val="fontstyle21"/>
    <w:autoRedefine/>
    <w:qFormat/>
    <w:uiPriority w:val="0"/>
    <w:rPr>
      <w:rFonts w:hint="default" w:ascii="Times New Roman" w:hAnsi="Times New Roman" w:cs="Times New Roman"/>
      <w:color w:val="000000"/>
      <w:sz w:val="24"/>
      <w:szCs w:val="24"/>
    </w:rPr>
  </w:style>
  <w:style w:type="character" w:customStyle="1" w:styleId="226">
    <w:name w:val="open"/>
    <w:basedOn w:val="35"/>
    <w:autoRedefine/>
    <w:qFormat/>
    <w:uiPriority w:val="0"/>
  </w:style>
  <w:style w:type="paragraph" w:customStyle="1" w:styleId="227">
    <w:name w:val="Char Char Char"/>
    <w:basedOn w:val="1"/>
    <w:autoRedefine/>
    <w:qFormat/>
    <w:uiPriority w:val="0"/>
    <w:pPr>
      <w:spacing w:line="240" w:lineRule="auto"/>
      <w:ind w:firstLine="0" w:firstLineChars="0"/>
    </w:pPr>
    <w:rPr>
      <w:sz w:val="21"/>
    </w:rPr>
  </w:style>
  <w:style w:type="paragraph" w:customStyle="1" w:styleId="228">
    <w:name w:val="项目正文，无格式"/>
    <w:basedOn w:val="1"/>
    <w:autoRedefine/>
    <w:qFormat/>
    <w:uiPriority w:val="0"/>
    <w:pPr>
      <w:spacing w:line="520" w:lineRule="exact"/>
      <w:ind w:firstLine="644"/>
      <w:jc w:val="center"/>
    </w:pPr>
    <w:rPr>
      <w:kern w:val="0"/>
      <w:sz w:val="20"/>
      <w:szCs w:val="18"/>
    </w:rPr>
  </w:style>
  <w:style w:type="paragraph" w:customStyle="1" w:styleId="229">
    <w:name w:val="Char Char Char1"/>
    <w:basedOn w:val="1"/>
    <w:autoRedefine/>
    <w:qFormat/>
    <w:uiPriority w:val="0"/>
    <w:pPr>
      <w:spacing w:line="240" w:lineRule="auto"/>
      <w:ind w:firstLine="0" w:firstLineChars="0"/>
    </w:pPr>
    <w:rPr>
      <w:sz w:val="21"/>
    </w:rPr>
  </w:style>
  <w:style w:type="character" w:customStyle="1" w:styleId="230">
    <w:name w:val="图表 Char Char"/>
    <w:link w:val="222"/>
    <w:autoRedefine/>
    <w:qFormat/>
    <w:uiPriority w:val="0"/>
    <w:rPr>
      <w:szCs w:val="24"/>
    </w:rPr>
  </w:style>
  <w:style w:type="character" w:customStyle="1" w:styleId="231">
    <w:name w:val="showhidemsg1"/>
    <w:basedOn w:val="35"/>
    <w:autoRedefine/>
    <w:qFormat/>
    <w:uiPriority w:val="0"/>
  </w:style>
  <w:style w:type="character" w:customStyle="1" w:styleId="232">
    <w:name w:val="15"/>
    <w:basedOn w:val="35"/>
    <w:autoRedefine/>
    <w:qFormat/>
    <w:uiPriority w:val="0"/>
    <w:rPr>
      <w:rFonts w:hint="default" w:ascii="Times New Roman" w:hAnsi="Times New Roman" w:cs="Times New Roman"/>
      <w:i/>
      <w:iCs/>
    </w:rPr>
  </w:style>
  <w:style w:type="paragraph" w:customStyle="1" w:styleId="233">
    <w:name w:val="正文宋体 四号 行距: 固定值 32 磅"/>
    <w:basedOn w:val="1"/>
    <w:next w:val="1"/>
    <w:autoRedefine/>
    <w:qFormat/>
    <w:uiPriority w:val="0"/>
    <w:pPr>
      <w:spacing w:line="640" w:lineRule="exact"/>
      <w:ind w:firstLine="1040" w:firstLineChars="200"/>
    </w:pPr>
    <w:rPr>
      <w:rFonts w:ascii="宋体" w:hAnsi="宋体" w:cs="宋体"/>
      <w:sz w:val="24"/>
    </w:rPr>
  </w:style>
  <w:style w:type="paragraph" w:customStyle="1" w:styleId="234">
    <w:name w:val="内表头"/>
    <w:basedOn w:val="1"/>
    <w:autoRedefine/>
    <w:qFormat/>
    <w:uiPriority w:val="0"/>
    <w:pPr>
      <w:adjustRightInd w:val="0"/>
      <w:snapToGrid w:val="0"/>
      <w:jc w:val="center"/>
    </w:pPr>
    <w:rPr>
      <w:rFonts w:eastAsia="黑体" w:cs="Arial"/>
      <w:sz w:val="20"/>
      <w:lang w:bidi="ar-SA"/>
    </w:rPr>
  </w:style>
  <w:style w:type="paragraph" w:customStyle="1" w:styleId="235">
    <w:name w:val="表格内容"/>
    <w:basedOn w:val="1"/>
    <w:autoRedefine/>
    <w:qFormat/>
    <w:uiPriority w:val="0"/>
    <w:pPr>
      <w:ind w:left="-7" w:leftChars="-7" w:right="-36" w:rightChars="-36"/>
      <w:jc w:val="left"/>
    </w:pPr>
    <w:rPr>
      <w:bCs/>
      <w:szCs w:val="21"/>
    </w:rPr>
  </w:style>
  <w:style w:type="paragraph" w:customStyle="1" w:styleId="236">
    <w:name w:val="正文表标题"/>
    <w:next w:val="237"/>
    <w:autoRedefine/>
    <w:qFormat/>
    <w:uiPriority w:val="0"/>
    <w:pPr>
      <w:spacing w:beforeLines="50" w:afterLines="50"/>
      <w:jc w:val="center"/>
    </w:pPr>
    <w:rPr>
      <w:rFonts w:ascii="Times New Roman" w:hAnsi="Times New Roman" w:eastAsia="黑体" w:cs="Times New Roman"/>
      <w:sz w:val="21"/>
      <w:lang w:val="en-US" w:eastAsia="zh-CN" w:bidi="ar-SA"/>
    </w:rPr>
  </w:style>
  <w:style w:type="paragraph" w:customStyle="1" w:styleId="2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8">
    <w:name w:val="3级（次）标题"/>
    <w:basedOn w:val="1"/>
    <w:autoRedefine/>
    <w:qFormat/>
    <w:uiPriority w:val="0"/>
    <w:pPr>
      <w:spacing w:line="360" w:lineRule="auto"/>
      <w:ind w:firstLine="100" w:firstLineChars="100"/>
      <w:outlineLvl w:val="2"/>
    </w:pPr>
    <w:rPr>
      <w:b/>
      <w:bCs/>
      <w:sz w:val="24"/>
    </w:rPr>
  </w:style>
  <w:style w:type="paragraph" w:customStyle="1" w:styleId="239">
    <w:name w:val="reader-word-layer"/>
    <w:basedOn w:val="1"/>
    <w:autoRedefine/>
    <w:qFormat/>
    <w:uiPriority w:val="0"/>
    <w:pPr>
      <w:widowControl/>
      <w:spacing w:before="100" w:beforeAutospacing="1" w:after="100" w:afterAutospacing="1"/>
      <w:jc w:val="left"/>
    </w:pPr>
    <w:rPr>
      <w:rFonts w:ascii="宋体" w:cs="宋体"/>
      <w:kern w:val="0"/>
      <w:sz w:val="24"/>
      <w:lang w:bidi="ar-SA"/>
    </w:rPr>
  </w:style>
  <w:style w:type="paragraph" w:customStyle="1" w:styleId="240">
    <w:name w:val="样式5"/>
    <w:basedOn w:val="1"/>
    <w:autoRedefine/>
    <w:qFormat/>
    <w:uiPriority w:val="0"/>
    <w:pPr>
      <w:jc w:val="left"/>
    </w:pPr>
    <w:rPr>
      <w:rFonts w:ascii="Times New Roman" w:hAnsi="Times New Roman"/>
    </w:rPr>
  </w:style>
  <w:style w:type="paragraph" w:customStyle="1" w:styleId="241">
    <w:name w:val="图表题"/>
    <w:basedOn w:val="1"/>
    <w:next w:val="1"/>
    <w:autoRedefine/>
    <w:qFormat/>
    <w:uiPriority w:val="0"/>
    <w:pPr>
      <w:adjustRightInd w:val="0"/>
      <w:snapToGrid w:val="0"/>
      <w:spacing w:line="360" w:lineRule="auto"/>
      <w:jc w:val="center"/>
    </w:pPr>
    <w:rPr>
      <w:rFonts w:eastAsia="黑体"/>
      <w:sz w:val="24"/>
    </w:rPr>
  </w:style>
  <w:style w:type="paragraph" w:customStyle="1" w:styleId="242">
    <w:name w:val="正文-ls"/>
    <w:basedOn w:val="1"/>
    <w:autoRedefine/>
    <w:qFormat/>
    <w:uiPriority w:val="0"/>
    <w:pPr>
      <w:spacing w:line="360" w:lineRule="auto"/>
      <w:ind w:firstLine="200" w:firstLineChars="200"/>
    </w:pPr>
    <w:rPr>
      <w:sz w:val="24"/>
      <w:szCs w:val="20"/>
    </w:rPr>
  </w:style>
  <w:style w:type="paragraph" w:customStyle="1" w:styleId="243">
    <w:name w:val="新格式表"/>
    <w:basedOn w:val="1"/>
    <w:autoRedefine/>
    <w:qFormat/>
    <w:uiPriority w:val="0"/>
    <w:pPr>
      <w:adjustRightInd w:val="0"/>
      <w:snapToGrid w:val="0"/>
      <w:spacing w:line="0" w:lineRule="atLeast"/>
      <w:jc w:val="center"/>
    </w:pPr>
    <w:rPr>
      <w:color w:val="000000"/>
      <w:kern w:val="0"/>
      <w:szCs w:val="21"/>
    </w:rPr>
  </w:style>
  <w:style w:type="paragraph" w:customStyle="1" w:styleId="244">
    <w:name w:val="Normal"/>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45">
    <w:name w:val="表格111"/>
    <w:basedOn w:val="1"/>
    <w:autoRedefine/>
    <w:qFormat/>
    <w:uiPriority w:val="0"/>
    <w:pPr>
      <w:widowControl/>
      <w:spacing w:line="320" w:lineRule="exact"/>
      <w:jc w:val="center"/>
      <w:textAlignment w:val="center"/>
    </w:pPr>
    <w:rPr>
      <w:rFonts w:ascii="宋体" w:hAnsi="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4.wmf"/><Relationship Id="rId22" Type="http://schemas.openxmlformats.org/officeDocument/2006/relationships/oleObject" Target="embeddings/oleObject4.bin"/><Relationship Id="rId21" Type="http://schemas.openxmlformats.org/officeDocument/2006/relationships/image" Target="media/image3.e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2.bin"/><Relationship Id="rId17" Type="http://schemas.openxmlformats.org/officeDocument/2006/relationships/image" Target="media/image1.e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ADC67-230B-43A6-8B66-FB33D25FFC2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5636</Words>
  <Characters>32127</Characters>
  <Lines>267</Lines>
  <Paragraphs>75</Paragraphs>
  <TotalTime>4</TotalTime>
  <ScaleCrop>false</ScaleCrop>
  <LinksUpToDate>false</LinksUpToDate>
  <CharactersWithSpaces>37688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2019-08-14T14:05:00Z</dcterms:created>
  <dc:creator>研发中心</dc:creator>
  <cp:lastModifiedBy>❣阳 ❁҉҉҉҉҉҉҉҉</cp:lastModifiedBy>
  <cp:lastPrinted>2019-03-25T06:24:00Z</cp:lastPrinted>
  <dcterms:modified xsi:type="dcterms:W3CDTF">2024-03-19T06:33:10Z</dcterms:modified>
  <dc:title>建设项目环境影响报告表</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7CD84B47DDBD44C1BF3657541130587C_13</vt:lpwstr>
  </property>
</Properties>
</file>