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color w:val="auto"/>
          <w:sz w:val="24"/>
          <w:szCs w:val="20"/>
          <w:highlight w:val="none"/>
        </w:rPr>
      </w:pPr>
      <w:r>
        <w:rPr>
          <w:rFonts w:eastAsia="黑体"/>
          <w:color w:val="auto"/>
          <w:sz w:val="24"/>
          <w:szCs w:val="20"/>
          <w:highlight w:val="none"/>
        </w:rPr>
        <w:t>陕西企科环境技术有限公司　　　　　　　　  　　  评价证书类别：乙     级</w:t>
      </w:r>
    </w:p>
    <w:p>
      <w:pPr>
        <w:rPr>
          <w:rFonts w:eastAsia="黑体"/>
          <w:color w:val="auto"/>
          <w:sz w:val="24"/>
          <w:szCs w:val="20"/>
          <w:highlight w:val="none"/>
        </w:rPr>
      </w:pPr>
      <w:r>
        <w:rPr>
          <w:rFonts w:eastAsia="黑体"/>
          <w:color w:val="auto"/>
          <w:sz w:val="24"/>
          <w:szCs w:val="20"/>
          <w:highlight w:val="none"/>
        </w:rPr>
        <w:t>环评报告－20</w:t>
      </w:r>
      <w:r>
        <w:rPr>
          <w:rFonts w:hint="eastAsia" w:eastAsia="黑体"/>
          <w:color w:val="auto"/>
          <w:sz w:val="24"/>
          <w:szCs w:val="20"/>
          <w:highlight w:val="none"/>
          <w:lang w:val="en-US" w:eastAsia="zh-CN"/>
        </w:rPr>
        <w:t>20</w:t>
      </w:r>
      <w:r>
        <w:rPr>
          <w:rFonts w:eastAsia="黑体"/>
          <w:color w:val="auto"/>
          <w:sz w:val="24"/>
          <w:szCs w:val="20"/>
          <w:highlight w:val="none"/>
        </w:rPr>
        <w:t>　　　　　　　　　　　　        　评价证书编号：第3604号</w:t>
      </w:r>
    </w:p>
    <w:p>
      <w:pPr>
        <w:rPr>
          <w:rFonts w:eastAsia="黑体"/>
          <w:color w:val="auto"/>
          <w:szCs w:val="20"/>
          <w:highlight w:val="none"/>
        </w:rPr>
      </w:pPr>
      <w:r>
        <w:rPr>
          <w:rFonts w:eastAsia="黑体"/>
          <w:color w:val="auto"/>
          <w:sz w:val="20"/>
          <w:szCs w:val="20"/>
          <w:highlight w:val="none"/>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41910</wp:posOffset>
                </wp:positionV>
                <wp:extent cx="5419725" cy="0"/>
                <wp:effectExtent l="0" t="9525" r="3175" b="9525"/>
                <wp:wrapNone/>
                <wp:docPr id="2" name="Line 864"/>
                <wp:cNvGraphicFramePr/>
                <a:graphic xmlns:a="http://schemas.openxmlformats.org/drawingml/2006/main">
                  <a:graphicData uri="http://schemas.microsoft.com/office/word/2010/wordprocessingShape">
                    <wps:wsp>
                      <wps:cNvSpPr/>
                      <wps:spPr>
                        <a:xfrm>
                          <a:off x="0" y="0"/>
                          <a:ext cx="541972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 864" o:spid="_x0000_s1026" o:spt="20" style="position:absolute;left:0pt;margin-left:-3.75pt;margin-top:3.3pt;height:0pt;width:426.75pt;z-index:251659264;mso-width-relative:page;mso-height-relative:page;" filled="f" stroked="t" coordsize="21600,21600" o:gfxdata="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sAoyu0wAAAAYBAAAPAAAAAAAA&#10;AAEAIAAAACIAAABkcnMvZG93bnJldi54bWxQSwECFAAUAAAACACHTuJAXg/Ltd4BAADcAwAADgAA&#10;AAAAAAABACAAAAAiAQAAZHJzL2Uyb0RvYy54bWxQSwUGAAAAAAYABgBZAQAAcgUAAAAA&#10;">
                <v:fill on="f" focussize="0,0"/>
                <v:stroke weight="1.5pt" color="#000000" joinstyle="round"/>
                <v:imagedata o:title=""/>
                <o:lock v:ext="edit" aspectratio="f"/>
              </v:line>
            </w:pict>
          </mc:Fallback>
        </mc:AlternateContent>
      </w:r>
      <w:r>
        <w:rPr>
          <w:rFonts w:eastAsia="黑体"/>
          <w:color w:val="auto"/>
          <w:szCs w:val="20"/>
          <w:highlight w:val="none"/>
        </w:rPr>
        <w:t>　　　　　　　　　　　</w:t>
      </w:r>
    </w:p>
    <w:p>
      <w:pPr>
        <w:adjustRightInd w:val="0"/>
        <w:snapToGrid w:val="0"/>
        <w:spacing w:line="360" w:lineRule="auto"/>
        <w:rPr>
          <w:snapToGrid w:val="0"/>
          <w:color w:val="auto"/>
          <w:w w:val="95"/>
          <w:kern w:val="0"/>
          <w:sz w:val="48"/>
          <w:szCs w:val="48"/>
          <w:highlight w:val="none"/>
        </w:rPr>
      </w:pPr>
    </w:p>
    <w:p>
      <w:pPr>
        <w:adjustRightInd w:val="0"/>
        <w:snapToGrid w:val="0"/>
        <w:spacing w:line="360" w:lineRule="auto"/>
        <w:rPr>
          <w:snapToGrid w:val="0"/>
          <w:color w:val="auto"/>
          <w:w w:val="95"/>
          <w:kern w:val="0"/>
          <w:sz w:val="48"/>
          <w:szCs w:val="48"/>
          <w:highlight w:val="none"/>
        </w:rPr>
      </w:pPr>
    </w:p>
    <w:p>
      <w:pPr>
        <w:jc w:val="center"/>
        <w:rPr>
          <w:b/>
          <w:color w:val="auto"/>
          <w:spacing w:val="20"/>
          <w:w w:val="66"/>
          <w:sz w:val="52"/>
          <w:szCs w:val="48"/>
          <w:highlight w:val="none"/>
        </w:rPr>
      </w:pPr>
      <w:r>
        <w:rPr>
          <w:b/>
          <w:color w:val="auto"/>
          <w:spacing w:val="20"/>
          <w:w w:val="66"/>
          <w:sz w:val="52"/>
          <w:szCs w:val="48"/>
          <w:highlight w:val="none"/>
        </w:rPr>
        <w:t>西安艺盟印务有限责任公司</w:t>
      </w:r>
      <w:r>
        <w:rPr>
          <w:rFonts w:hint="eastAsia"/>
          <w:b/>
          <w:color w:val="auto"/>
          <w:spacing w:val="20"/>
          <w:w w:val="66"/>
          <w:sz w:val="52"/>
          <w:szCs w:val="48"/>
          <w:highlight w:val="none"/>
        </w:rPr>
        <w:t>项目</w:t>
      </w:r>
    </w:p>
    <w:p>
      <w:pPr>
        <w:spacing w:beforeLines="50"/>
        <w:jc w:val="center"/>
        <w:rPr>
          <w:rFonts w:eastAsia="楷体_GB2312"/>
          <w:b/>
          <w:color w:val="auto"/>
          <w:sz w:val="72"/>
          <w:szCs w:val="90"/>
          <w:highlight w:val="none"/>
        </w:rPr>
      </w:pPr>
      <w:r>
        <w:rPr>
          <w:rFonts w:eastAsia="楷体_GB2312"/>
          <w:b/>
          <w:color w:val="auto"/>
          <w:spacing w:val="2"/>
          <w:kern w:val="0"/>
          <w:sz w:val="72"/>
          <w:szCs w:val="90"/>
          <w:highlight w:val="none"/>
        </w:rPr>
        <w:t>环境影响报告表</w:t>
      </w:r>
    </w:p>
    <w:p>
      <w:pPr>
        <w:jc w:val="center"/>
        <w:outlineLvl w:val="0"/>
        <w:rPr>
          <w:rFonts w:eastAsia="楷体_GB2312"/>
          <w:color w:val="auto"/>
          <w:spacing w:val="40"/>
          <w:sz w:val="40"/>
          <w:szCs w:val="40"/>
          <w:highlight w:val="none"/>
        </w:rPr>
      </w:pPr>
      <w:r>
        <w:rPr>
          <w:rFonts w:eastAsia="楷体_GB2312"/>
          <w:color w:val="auto"/>
          <w:spacing w:val="40"/>
          <w:sz w:val="40"/>
          <w:szCs w:val="40"/>
          <w:highlight w:val="none"/>
        </w:rPr>
        <w:t>(</w:t>
      </w:r>
      <w:r>
        <w:rPr>
          <w:rFonts w:hint="eastAsia" w:eastAsia="楷体_GB2312"/>
          <w:color w:val="auto"/>
          <w:spacing w:val="40"/>
          <w:sz w:val="40"/>
          <w:szCs w:val="40"/>
          <w:highlight w:val="none"/>
        </w:rPr>
        <w:t>报批</w:t>
      </w:r>
      <w:r>
        <w:rPr>
          <w:rFonts w:eastAsia="楷体_GB2312"/>
          <w:color w:val="auto"/>
          <w:spacing w:val="40"/>
          <w:sz w:val="40"/>
          <w:szCs w:val="40"/>
          <w:highlight w:val="none"/>
        </w:rPr>
        <w:t>稿)</w:t>
      </w:r>
    </w:p>
    <w:p>
      <w:pPr>
        <w:rPr>
          <w:color w:val="auto"/>
          <w:szCs w:val="20"/>
          <w:highlight w:val="none"/>
        </w:rPr>
      </w:pPr>
    </w:p>
    <w:p>
      <w:pPr>
        <w:rPr>
          <w:color w:val="auto"/>
          <w:szCs w:val="20"/>
          <w:highlight w:val="none"/>
        </w:rPr>
      </w:pPr>
    </w:p>
    <w:p>
      <w:pPr>
        <w:rPr>
          <w:color w:val="auto"/>
          <w:szCs w:val="20"/>
          <w:highlight w:val="none"/>
        </w:rPr>
      </w:pPr>
    </w:p>
    <w:p>
      <w:pPr>
        <w:rPr>
          <w:color w:val="auto"/>
          <w:szCs w:val="20"/>
          <w:highlight w:val="none"/>
        </w:rPr>
      </w:pPr>
    </w:p>
    <w:p>
      <w:pPr>
        <w:rPr>
          <w:color w:val="auto"/>
          <w:szCs w:val="20"/>
          <w:highlight w:val="none"/>
        </w:rPr>
      </w:pPr>
    </w:p>
    <w:p>
      <w:pPr>
        <w:rPr>
          <w:color w:val="auto"/>
          <w:szCs w:val="20"/>
          <w:highlight w:val="none"/>
        </w:rPr>
      </w:pPr>
    </w:p>
    <w:p>
      <w:pPr>
        <w:rPr>
          <w:color w:val="auto"/>
          <w:szCs w:val="20"/>
          <w:highlight w:val="none"/>
        </w:rPr>
      </w:pPr>
    </w:p>
    <w:p>
      <w:pPr>
        <w:rPr>
          <w:color w:val="auto"/>
          <w:szCs w:val="20"/>
          <w:highlight w:val="none"/>
        </w:rPr>
      </w:pPr>
    </w:p>
    <w:p>
      <w:pPr>
        <w:rPr>
          <w:color w:val="auto"/>
          <w:szCs w:val="20"/>
          <w:highlight w:val="none"/>
        </w:rPr>
      </w:pPr>
    </w:p>
    <w:p>
      <w:pPr>
        <w:rPr>
          <w:color w:val="auto"/>
          <w:szCs w:val="20"/>
          <w:highlight w:val="none"/>
        </w:rPr>
      </w:pPr>
    </w:p>
    <w:p>
      <w:pPr>
        <w:rPr>
          <w:color w:val="auto"/>
          <w:szCs w:val="20"/>
          <w:highlight w:val="none"/>
        </w:rPr>
      </w:pPr>
    </w:p>
    <w:p>
      <w:pPr>
        <w:rPr>
          <w:color w:val="auto"/>
          <w:szCs w:val="20"/>
          <w:highlight w:val="none"/>
        </w:rPr>
      </w:pPr>
    </w:p>
    <w:p>
      <w:pPr>
        <w:spacing w:line="440" w:lineRule="exact"/>
        <w:jc w:val="center"/>
        <w:rPr>
          <w:b/>
          <w:color w:val="auto"/>
          <w:spacing w:val="20"/>
          <w:sz w:val="36"/>
          <w:szCs w:val="20"/>
          <w:highlight w:val="none"/>
        </w:rPr>
      </w:pPr>
      <w:r>
        <w:rPr>
          <w:b/>
          <w:color w:val="auto"/>
          <w:spacing w:val="20"/>
          <w:sz w:val="36"/>
          <w:szCs w:val="20"/>
          <w:highlight w:val="none"/>
        </w:rPr>
        <w:t>陕西企科环境技术有限公司</w:t>
      </w:r>
    </w:p>
    <w:p>
      <w:pPr>
        <w:jc w:val="center"/>
        <w:rPr>
          <w:rFonts w:hint="eastAsia" w:eastAsia="宋体"/>
          <w:color w:val="auto"/>
          <w:szCs w:val="20"/>
          <w:highlight w:val="none"/>
          <w:lang w:eastAsia="zh-CN"/>
        </w:rPr>
      </w:pPr>
      <w:r>
        <w:rPr>
          <w:b/>
          <w:color w:val="auto"/>
          <w:spacing w:val="10"/>
          <w:sz w:val="36"/>
          <w:szCs w:val="20"/>
          <w:highlight w:val="none"/>
        </w:rPr>
        <w:t>二</w:t>
      </w:r>
      <w:r>
        <w:rPr>
          <w:rFonts w:hint="eastAsia"/>
          <w:b/>
          <w:color w:val="auto"/>
          <w:spacing w:val="10"/>
          <w:sz w:val="36"/>
          <w:szCs w:val="20"/>
          <w:highlight w:val="none"/>
        </w:rPr>
        <w:t>〇</w:t>
      </w:r>
      <w:r>
        <w:rPr>
          <w:rFonts w:hint="eastAsia"/>
          <w:b/>
          <w:color w:val="auto"/>
          <w:spacing w:val="10"/>
          <w:sz w:val="36"/>
          <w:szCs w:val="20"/>
          <w:highlight w:val="none"/>
          <w:lang w:eastAsia="zh-CN"/>
        </w:rPr>
        <w:t>二</w:t>
      </w:r>
      <w:r>
        <w:rPr>
          <w:rFonts w:hint="eastAsia"/>
          <w:b/>
          <w:color w:val="auto"/>
          <w:spacing w:val="10"/>
          <w:sz w:val="36"/>
          <w:szCs w:val="20"/>
          <w:highlight w:val="none"/>
        </w:rPr>
        <w:t>〇</w:t>
      </w:r>
      <w:r>
        <w:rPr>
          <w:b/>
          <w:color w:val="auto"/>
          <w:spacing w:val="10"/>
          <w:sz w:val="36"/>
          <w:szCs w:val="20"/>
          <w:highlight w:val="none"/>
        </w:rPr>
        <w:t>年</w:t>
      </w:r>
      <w:r>
        <w:rPr>
          <w:rFonts w:hint="eastAsia"/>
          <w:b/>
          <w:color w:val="auto"/>
          <w:spacing w:val="10"/>
          <w:sz w:val="36"/>
          <w:szCs w:val="20"/>
          <w:highlight w:val="none"/>
          <w:lang w:eastAsia="zh-CN"/>
        </w:rPr>
        <w:t>一</w:t>
      </w:r>
      <w:r>
        <w:rPr>
          <w:b/>
          <w:color w:val="auto"/>
          <w:spacing w:val="10"/>
          <w:sz w:val="36"/>
          <w:szCs w:val="20"/>
          <w:highlight w:val="none"/>
        </w:rPr>
        <w:t>月</w:t>
      </w:r>
    </w:p>
    <w:p>
      <w:pPr>
        <w:jc w:val="center"/>
        <w:rPr>
          <w:color w:val="auto"/>
          <w:sz w:val="70"/>
          <w:szCs w:val="20"/>
          <w:highlight w:val="none"/>
        </w:rPr>
      </w:pPr>
    </w:p>
    <w:p>
      <w:pPr>
        <w:jc w:val="center"/>
        <w:rPr>
          <w:color w:val="auto"/>
          <w:sz w:val="32"/>
          <w:szCs w:val="20"/>
          <w:highlight w:val="none"/>
        </w:rPr>
        <w:sectPr>
          <w:footerReference r:id="rId3" w:type="default"/>
          <w:footerReference r:id="rId4" w:type="even"/>
          <w:pgSz w:w="11906" w:h="16838"/>
          <w:pgMar w:top="1701" w:right="1701" w:bottom="1134" w:left="1701" w:header="851" w:footer="1021" w:gutter="0"/>
          <w:cols w:space="720" w:num="1"/>
          <w:docGrid w:type="lines" w:linePitch="380" w:charSpace="0"/>
        </w:sectPr>
      </w:pPr>
    </w:p>
    <w:p>
      <w:pPr>
        <w:jc w:val="center"/>
        <w:rPr>
          <w:rFonts w:hint="eastAsia"/>
          <w:color w:val="auto"/>
          <w:sz w:val="70"/>
          <w:highlight w:val="none"/>
        </w:rPr>
      </w:pPr>
    </w:p>
    <w:p>
      <w:pPr>
        <w:jc w:val="center"/>
        <w:rPr>
          <w:rFonts w:hint="eastAsia"/>
          <w:color w:val="auto"/>
          <w:sz w:val="70"/>
          <w:highlight w:val="none"/>
        </w:rPr>
      </w:pPr>
      <w:r>
        <w:rPr>
          <w:rFonts w:hint="eastAsia"/>
          <w:color w:val="auto"/>
          <w:sz w:val="70"/>
          <w:highlight w:val="none"/>
        </w:rPr>
        <w:t>建设项目环境影响报告表</w:t>
      </w:r>
    </w:p>
    <w:p>
      <w:pPr>
        <w:rPr>
          <w:rFonts w:hint="eastAsia"/>
          <w:color w:val="auto"/>
          <w:highlight w:val="none"/>
        </w:rPr>
      </w:pPr>
    </w:p>
    <w:p>
      <w:pPr>
        <w:jc w:val="center"/>
        <w:rPr>
          <w:rFonts w:hint="eastAsia"/>
          <w:color w:val="auto"/>
          <w:sz w:val="36"/>
          <w:highlight w:val="none"/>
        </w:rPr>
      </w:pPr>
      <w:r>
        <w:rPr>
          <w:rFonts w:hint="eastAsia"/>
          <w:color w:val="auto"/>
          <w:sz w:val="36"/>
          <w:highlight w:val="none"/>
        </w:rPr>
        <w:t>（试  行）</w:t>
      </w: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adjustRightInd w:val="0"/>
        <w:snapToGrid w:val="0"/>
        <w:spacing w:line="480" w:lineRule="auto"/>
        <w:rPr>
          <w:rFonts w:hint="eastAsia"/>
          <w:color w:val="auto"/>
          <w:highlight w:val="none"/>
        </w:rPr>
      </w:pPr>
    </w:p>
    <w:p>
      <w:pPr>
        <w:adjustRightInd w:val="0"/>
        <w:snapToGrid w:val="0"/>
        <w:spacing w:line="480" w:lineRule="auto"/>
        <w:ind w:left="2880" w:hanging="2880" w:hangingChars="900"/>
        <w:rPr>
          <w:rFonts w:hint="eastAsia" w:ascii="楷体_GB2312" w:eastAsia="楷体_GB2312"/>
          <w:bCs/>
          <w:snapToGrid w:val="0"/>
          <w:color w:val="auto"/>
          <w:w w:val="95"/>
          <w:kern w:val="10"/>
          <w:sz w:val="32"/>
          <w:szCs w:val="32"/>
          <w:highlight w:val="none"/>
          <w:u w:val="single"/>
        </w:rPr>
      </w:pPr>
      <w:r>
        <w:rPr>
          <w:rFonts w:hint="eastAsia"/>
          <w:color w:val="auto"/>
          <w:sz w:val="32"/>
          <w:highlight w:val="none"/>
        </w:rPr>
        <w:t xml:space="preserve">   </w:t>
      </w:r>
      <w:r>
        <w:rPr>
          <w:rFonts w:hint="eastAsia"/>
          <w:color w:val="auto"/>
          <w:sz w:val="32"/>
          <w:szCs w:val="32"/>
          <w:highlight w:val="none"/>
        </w:rPr>
        <w:t>项 目 名 称</w:t>
      </w:r>
      <w:r>
        <w:rPr>
          <w:rFonts w:hint="eastAsia"/>
          <w:color w:val="auto"/>
          <w:spacing w:val="-40"/>
          <w:sz w:val="32"/>
          <w:szCs w:val="32"/>
          <w:highlight w:val="none"/>
        </w:rPr>
        <w:t>：</w:t>
      </w:r>
      <w:r>
        <w:rPr>
          <w:rFonts w:hint="eastAsia"/>
          <w:color w:val="auto"/>
          <w:spacing w:val="-20"/>
          <w:sz w:val="32"/>
          <w:szCs w:val="32"/>
          <w:highlight w:val="none"/>
          <w:u w:val="single"/>
        </w:rPr>
        <w:t>西安艺盟印务有限责任公司项目</w:t>
      </w:r>
      <w:r>
        <w:rPr>
          <w:rFonts w:hint="eastAsia" w:ascii="楷体_GB2312" w:eastAsia="楷体_GB2312"/>
          <w:bCs/>
          <w:snapToGrid w:val="0"/>
          <w:color w:val="auto"/>
          <w:w w:val="95"/>
          <w:kern w:val="10"/>
          <w:sz w:val="32"/>
          <w:szCs w:val="32"/>
          <w:highlight w:val="none"/>
          <w:u w:val="single"/>
        </w:rPr>
        <w:t xml:space="preserve">    </w:t>
      </w:r>
    </w:p>
    <w:p>
      <w:pPr>
        <w:adjustRightInd w:val="0"/>
        <w:snapToGrid w:val="0"/>
        <w:spacing w:line="480" w:lineRule="auto"/>
        <w:ind w:firstLine="480" w:firstLineChars="150"/>
        <w:rPr>
          <w:rFonts w:hint="eastAsia" w:ascii="楷体_GB2312" w:eastAsia="楷体_GB2312"/>
          <w:b/>
          <w:bCs/>
          <w:snapToGrid w:val="0"/>
          <w:color w:val="auto"/>
          <w:kern w:val="0"/>
          <w:sz w:val="32"/>
          <w:szCs w:val="32"/>
          <w:highlight w:val="none"/>
          <w:u w:val="single"/>
        </w:rPr>
      </w:pPr>
      <w:r>
        <w:rPr>
          <w:rFonts w:hint="eastAsia"/>
          <w:color w:val="auto"/>
          <w:sz w:val="32"/>
          <w:szCs w:val="32"/>
          <w:highlight w:val="none"/>
        </w:rPr>
        <w:t>建设单位(盖章)：</w:t>
      </w:r>
      <w:r>
        <w:rPr>
          <w:rFonts w:hint="eastAsia" w:ascii="Times New Roman" w:hAnsi="Times New Roman"/>
          <w:color w:val="auto"/>
          <w:sz w:val="32"/>
          <w:szCs w:val="32"/>
          <w:highlight w:val="none"/>
          <w:u w:val="single"/>
        </w:rPr>
        <w:t xml:space="preserve"> 西安艺盟印务有限责任公司     </w:t>
      </w:r>
    </w:p>
    <w:p>
      <w:pPr>
        <w:adjustRightInd w:val="0"/>
        <w:snapToGrid w:val="0"/>
        <w:spacing w:line="480" w:lineRule="auto"/>
        <w:ind w:firstLine="800" w:firstLineChars="200"/>
        <w:rPr>
          <w:rFonts w:hint="eastAsia" w:ascii="幼圆" w:hAnsi="宋体" w:eastAsia="幼圆" w:cs="宋体"/>
          <w:bCs/>
          <w:snapToGrid w:val="0"/>
          <w:color w:val="auto"/>
          <w:spacing w:val="40"/>
          <w:kern w:val="0"/>
          <w:sz w:val="32"/>
          <w:szCs w:val="32"/>
          <w:highlight w:val="none"/>
        </w:rPr>
      </w:pPr>
    </w:p>
    <w:p>
      <w:pPr>
        <w:adjustRightInd w:val="0"/>
        <w:snapToGrid w:val="0"/>
        <w:spacing w:line="480" w:lineRule="auto"/>
        <w:ind w:firstLine="422" w:firstLineChars="100"/>
        <w:rPr>
          <w:rFonts w:hint="eastAsia" w:ascii="楷体_GB2312" w:hAnsi="宋体" w:eastAsia="楷体_GB2312"/>
          <w:snapToGrid w:val="0"/>
          <w:color w:val="auto"/>
          <w:spacing w:val="40"/>
          <w:w w:val="95"/>
          <w:kern w:val="0"/>
          <w:sz w:val="36"/>
          <w:szCs w:val="36"/>
          <w:highlight w:val="none"/>
          <w:u w:val="single"/>
        </w:rPr>
      </w:pPr>
    </w:p>
    <w:p>
      <w:pPr>
        <w:adjustRightInd w:val="0"/>
        <w:snapToGrid w:val="0"/>
        <w:spacing w:line="480" w:lineRule="auto"/>
        <w:ind w:firstLine="422" w:firstLineChars="100"/>
        <w:rPr>
          <w:rFonts w:hint="eastAsia" w:ascii="楷体_GB2312" w:hAnsi="宋体" w:eastAsia="楷体_GB2312"/>
          <w:snapToGrid w:val="0"/>
          <w:color w:val="auto"/>
          <w:spacing w:val="40"/>
          <w:w w:val="95"/>
          <w:kern w:val="0"/>
          <w:sz w:val="36"/>
          <w:szCs w:val="36"/>
          <w:highlight w:val="none"/>
          <w:u w:val="single"/>
        </w:rPr>
      </w:pPr>
    </w:p>
    <w:p>
      <w:pPr>
        <w:spacing w:before="156" w:beforeLines="50"/>
        <w:jc w:val="center"/>
        <w:rPr>
          <w:rFonts w:hint="eastAsia"/>
          <w:color w:val="auto"/>
          <w:sz w:val="32"/>
          <w:highlight w:val="none"/>
        </w:rPr>
      </w:pPr>
    </w:p>
    <w:p>
      <w:pPr>
        <w:spacing w:before="156" w:beforeLines="50"/>
        <w:jc w:val="center"/>
        <w:rPr>
          <w:rFonts w:hint="default" w:ascii="Times New Roman" w:hAnsi="Times New Roman" w:eastAsia="宋体"/>
          <w:color w:val="auto"/>
          <w:sz w:val="32"/>
          <w:highlight w:val="none"/>
          <w:lang w:val="en-US" w:eastAsia="zh-CN"/>
        </w:rPr>
      </w:pPr>
      <w:r>
        <w:rPr>
          <w:rFonts w:ascii="Times New Roman" w:hAnsi="宋体"/>
          <w:color w:val="auto"/>
          <w:sz w:val="32"/>
          <w:highlight w:val="none"/>
        </w:rPr>
        <w:t>编制日期：</w:t>
      </w:r>
      <w:r>
        <w:rPr>
          <w:rFonts w:ascii="Times New Roman" w:hAnsi="Times New Roman"/>
          <w:color w:val="auto"/>
          <w:sz w:val="32"/>
          <w:highlight w:val="none"/>
        </w:rPr>
        <w:t>20</w:t>
      </w:r>
      <w:r>
        <w:rPr>
          <w:rFonts w:hint="eastAsia"/>
          <w:color w:val="auto"/>
          <w:sz w:val="32"/>
          <w:highlight w:val="none"/>
          <w:lang w:val="en-US" w:eastAsia="zh-CN"/>
        </w:rPr>
        <w:t>20</w:t>
      </w:r>
      <w:r>
        <w:rPr>
          <w:rFonts w:ascii="Times New Roman" w:hAnsi="宋体"/>
          <w:color w:val="auto"/>
          <w:sz w:val="32"/>
          <w:highlight w:val="none"/>
        </w:rPr>
        <w:t>年</w:t>
      </w:r>
      <w:r>
        <w:rPr>
          <w:rFonts w:hint="eastAsia" w:hAnsi="宋体"/>
          <w:color w:val="auto"/>
          <w:sz w:val="32"/>
          <w:highlight w:val="none"/>
          <w:lang w:val="en-US" w:eastAsia="zh-CN"/>
        </w:rPr>
        <w:t>1</w:t>
      </w:r>
      <w:r>
        <w:rPr>
          <w:rFonts w:ascii="Times New Roman" w:hAnsi="宋体"/>
          <w:color w:val="auto"/>
          <w:sz w:val="32"/>
          <w:highlight w:val="none"/>
        </w:rPr>
        <w:t>月</w:t>
      </w:r>
    </w:p>
    <w:p>
      <w:pPr>
        <w:jc w:val="center"/>
        <w:rPr>
          <w:rFonts w:hint="eastAsia" w:ascii="Times New Roman" w:hAnsi="Times New Roman"/>
          <w:color w:val="auto"/>
          <w:sz w:val="32"/>
          <w:highlight w:val="none"/>
        </w:rPr>
      </w:pPr>
      <w:r>
        <w:rPr>
          <w:rFonts w:ascii="Times New Roman" w:hAnsi="宋体"/>
          <w:color w:val="auto"/>
          <w:sz w:val="32"/>
          <w:highlight w:val="none"/>
        </w:rPr>
        <w:t>国家环境保护</w:t>
      </w:r>
      <w:r>
        <w:rPr>
          <w:rFonts w:hint="eastAsia" w:ascii="Times New Roman" w:hAnsi="宋体"/>
          <w:color w:val="auto"/>
          <w:sz w:val="32"/>
          <w:highlight w:val="none"/>
        </w:rPr>
        <w:t>总局</w:t>
      </w:r>
    </w:p>
    <w:p>
      <w:pPr>
        <w:rPr>
          <w:color w:val="auto"/>
          <w:highlight w:val="none"/>
        </w:rPr>
      </w:pPr>
    </w:p>
    <w:p>
      <w:pPr>
        <w:pStyle w:val="2"/>
        <w:rPr>
          <w:color w:val="auto"/>
          <w:highlight w:val="none"/>
        </w:rPr>
        <w:sectPr>
          <w:pgSz w:w="11906" w:h="16838"/>
          <w:pgMar w:top="1701" w:right="1701" w:bottom="1134" w:left="1701" w:header="851" w:footer="1021" w:gutter="0"/>
          <w:cols w:space="720" w:num="1"/>
          <w:docGrid w:type="lines" w:linePitch="380" w:charSpace="0"/>
        </w:sectPr>
      </w:pPr>
    </w:p>
    <w:p>
      <w:pPr>
        <w:rPr>
          <w:color w:val="auto"/>
          <w:sz w:val="32"/>
          <w:szCs w:val="20"/>
          <w:highlight w:val="none"/>
        </w:rPr>
      </w:pPr>
    </w:p>
    <w:p>
      <w:pPr>
        <w:spacing w:beforeLines="100" w:afterLines="100" w:line="360" w:lineRule="auto"/>
        <w:jc w:val="center"/>
        <w:rPr>
          <w:rFonts w:eastAsia="黑体"/>
          <w:color w:val="auto"/>
          <w:sz w:val="32"/>
          <w:szCs w:val="20"/>
          <w:highlight w:val="none"/>
        </w:rPr>
      </w:pPr>
      <w:r>
        <w:rPr>
          <w:rFonts w:eastAsia="黑体"/>
          <w:color w:val="auto"/>
          <w:sz w:val="32"/>
          <w:szCs w:val="20"/>
          <w:highlight w:val="none"/>
        </w:rPr>
        <w:t>《建设项目环境影响报告表》编制说明</w:t>
      </w:r>
    </w:p>
    <w:p>
      <w:pPr>
        <w:spacing w:line="360" w:lineRule="auto"/>
        <w:ind w:firstLine="520" w:firstLineChars="200"/>
        <w:rPr>
          <w:color w:val="auto"/>
          <w:sz w:val="26"/>
          <w:szCs w:val="20"/>
          <w:highlight w:val="none"/>
        </w:rPr>
      </w:pPr>
      <w:r>
        <w:rPr>
          <w:color w:val="auto"/>
          <w:sz w:val="26"/>
          <w:szCs w:val="20"/>
          <w:highlight w:val="none"/>
        </w:rPr>
        <w:t>《建设项目环境影响报告表》由具有从事环境影响评价工作资质的单位编制。</w:t>
      </w:r>
    </w:p>
    <w:p>
      <w:pPr>
        <w:spacing w:line="360" w:lineRule="auto"/>
        <w:ind w:firstLine="520" w:firstLineChars="200"/>
        <w:rPr>
          <w:color w:val="auto"/>
          <w:sz w:val="26"/>
          <w:szCs w:val="20"/>
          <w:highlight w:val="none"/>
        </w:rPr>
      </w:pPr>
      <w:r>
        <w:rPr>
          <w:color w:val="auto"/>
          <w:sz w:val="26"/>
          <w:szCs w:val="20"/>
          <w:highlight w:val="none"/>
        </w:rPr>
        <w:t>1、项目名称——指项目立项批复时的名称，应不超过30个字（两个英文字段作一个汉字）。</w:t>
      </w:r>
    </w:p>
    <w:p>
      <w:pPr>
        <w:spacing w:line="360" w:lineRule="auto"/>
        <w:ind w:firstLine="520" w:firstLineChars="200"/>
        <w:rPr>
          <w:color w:val="auto"/>
          <w:sz w:val="26"/>
          <w:szCs w:val="20"/>
          <w:highlight w:val="none"/>
        </w:rPr>
      </w:pPr>
      <w:r>
        <w:rPr>
          <w:color w:val="auto"/>
          <w:sz w:val="26"/>
          <w:szCs w:val="20"/>
          <w:highlight w:val="none"/>
        </w:rPr>
        <w:t>2、建设地点——指项目所在地详细地址，公路、铁路应填写起止地点。</w:t>
      </w:r>
    </w:p>
    <w:p>
      <w:pPr>
        <w:spacing w:line="360" w:lineRule="auto"/>
        <w:ind w:firstLine="520" w:firstLineChars="200"/>
        <w:rPr>
          <w:color w:val="auto"/>
          <w:sz w:val="26"/>
          <w:szCs w:val="20"/>
          <w:highlight w:val="none"/>
        </w:rPr>
      </w:pPr>
      <w:r>
        <w:rPr>
          <w:color w:val="auto"/>
          <w:sz w:val="26"/>
          <w:szCs w:val="20"/>
          <w:highlight w:val="none"/>
        </w:rPr>
        <w:t>3、行业类别——按国标填写。</w:t>
      </w:r>
    </w:p>
    <w:p>
      <w:pPr>
        <w:spacing w:line="360" w:lineRule="auto"/>
        <w:ind w:firstLine="520" w:firstLineChars="200"/>
        <w:rPr>
          <w:color w:val="auto"/>
          <w:sz w:val="26"/>
          <w:szCs w:val="20"/>
          <w:highlight w:val="none"/>
        </w:rPr>
      </w:pPr>
      <w:r>
        <w:rPr>
          <w:color w:val="auto"/>
          <w:sz w:val="26"/>
          <w:szCs w:val="20"/>
          <w:highlight w:val="none"/>
        </w:rPr>
        <w:t>4、总投资——指项目投资总额。</w:t>
      </w:r>
    </w:p>
    <w:p>
      <w:pPr>
        <w:spacing w:line="360" w:lineRule="auto"/>
        <w:ind w:firstLine="520" w:firstLineChars="200"/>
        <w:rPr>
          <w:color w:val="auto"/>
          <w:sz w:val="26"/>
          <w:szCs w:val="20"/>
          <w:highlight w:val="none"/>
        </w:rPr>
      </w:pPr>
      <w:r>
        <w:rPr>
          <w:color w:val="auto"/>
          <w:sz w:val="26"/>
          <w:szCs w:val="20"/>
          <w:highlight w:val="none"/>
        </w:rPr>
        <w:t>5、主要环境保护目标——指项目区周围一定范围内集中居民住宅区、学校、医院、保护文物、风景名胜区、水源地和生态敏感点等，应尽可能给出保护目标、性质、规模和距厂界距离等。</w:t>
      </w:r>
    </w:p>
    <w:p>
      <w:pPr>
        <w:spacing w:line="360" w:lineRule="auto"/>
        <w:ind w:firstLine="520" w:firstLineChars="200"/>
        <w:rPr>
          <w:color w:val="auto"/>
          <w:sz w:val="26"/>
          <w:szCs w:val="20"/>
          <w:highlight w:val="none"/>
        </w:rPr>
      </w:pPr>
      <w:r>
        <w:rPr>
          <w:color w:val="auto"/>
          <w:sz w:val="26"/>
          <w:szCs w:val="20"/>
          <w:highlight w:val="none"/>
        </w:rPr>
        <w:t>6、结论与建议——给出本项目清洁生产、达标排放和总量控制的分析结论，确定污染防治措施的有效性，说明本项目对环境造成的影响，给出建设项目环境可行性的明确结论。同时提出减少环境影响的其他建议。</w:t>
      </w:r>
    </w:p>
    <w:p>
      <w:pPr>
        <w:spacing w:line="360" w:lineRule="auto"/>
        <w:ind w:firstLine="520" w:firstLineChars="200"/>
        <w:rPr>
          <w:color w:val="auto"/>
          <w:sz w:val="26"/>
          <w:szCs w:val="20"/>
          <w:highlight w:val="none"/>
        </w:rPr>
      </w:pPr>
      <w:r>
        <w:rPr>
          <w:color w:val="auto"/>
          <w:sz w:val="26"/>
          <w:szCs w:val="20"/>
          <w:highlight w:val="none"/>
        </w:rPr>
        <w:t>7、预审意见——由行业主管部门填写答复意见，无主管部门项目，可不填。</w:t>
      </w:r>
    </w:p>
    <w:p>
      <w:pPr>
        <w:spacing w:line="360" w:lineRule="auto"/>
        <w:ind w:firstLine="520" w:firstLineChars="200"/>
        <w:rPr>
          <w:color w:val="auto"/>
          <w:sz w:val="26"/>
          <w:szCs w:val="20"/>
          <w:highlight w:val="none"/>
        </w:rPr>
      </w:pPr>
      <w:r>
        <w:rPr>
          <w:color w:val="auto"/>
          <w:sz w:val="26"/>
          <w:szCs w:val="20"/>
          <w:highlight w:val="none"/>
        </w:rPr>
        <w:t>8、审批意见——由负责审批该项目的环境保护行政主管部门批复。</w:t>
      </w:r>
    </w:p>
    <w:p>
      <w:pPr>
        <w:spacing w:line="360" w:lineRule="auto"/>
        <w:ind w:firstLine="520" w:firstLineChars="200"/>
        <w:rPr>
          <w:color w:val="auto"/>
          <w:sz w:val="26"/>
          <w:szCs w:val="20"/>
          <w:highlight w:val="none"/>
        </w:rPr>
      </w:pPr>
    </w:p>
    <w:p>
      <w:pPr>
        <w:rPr>
          <w:b/>
          <w:color w:val="auto"/>
          <w:highlight w:val="none"/>
        </w:rPr>
        <w:sectPr>
          <w:headerReference r:id="rId5" w:type="default"/>
          <w:footerReference r:id="rId6" w:type="default"/>
          <w:footerReference r:id="rId7" w:type="even"/>
          <w:pgSz w:w="11906" w:h="16838"/>
          <w:pgMar w:top="1440" w:right="1418" w:bottom="873" w:left="1797" w:header="851" w:footer="992" w:gutter="0"/>
          <w:cols w:space="720" w:num="1"/>
          <w:docGrid w:linePitch="381" w:charSpace="0"/>
        </w:sectPr>
      </w:pPr>
    </w:p>
    <w:p>
      <w:pPr>
        <w:rPr>
          <w:rFonts w:eastAsia="黑体"/>
          <w:color w:val="auto"/>
          <w:highlight w:val="none"/>
        </w:rPr>
      </w:pPr>
      <w:r>
        <w:rPr>
          <w:rFonts w:eastAsia="黑体"/>
          <w:color w:val="auto"/>
          <w:highlight w:val="none"/>
        </w:rPr>
        <w:t>1 建设项目基本情况</w:t>
      </w:r>
    </w:p>
    <w:tbl>
      <w:tblPr>
        <w:tblStyle w:val="27"/>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384"/>
        <w:gridCol w:w="2283"/>
        <w:gridCol w:w="1022"/>
        <w:gridCol w:w="225"/>
        <w:gridCol w:w="491"/>
        <w:gridCol w:w="1342"/>
        <w:gridCol w:w="154"/>
        <w:gridCol w:w="280"/>
        <w:gridCol w:w="826"/>
        <w:gridCol w:w="126"/>
        <w:gridCol w:w="118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23" w:hRule="atLeast"/>
        </w:trPr>
        <w:tc>
          <w:tcPr>
            <w:tcW w:w="1384" w:type="dxa"/>
            <w:vAlign w:val="center"/>
          </w:tcPr>
          <w:p>
            <w:pPr>
              <w:spacing w:line="420" w:lineRule="exact"/>
              <w:jc w:val="center"/>
              <w:rPr>
                <w:color w:val="auto"/>
                <w:sz w:val="24"/>
                <w:highlight w:val="none"/>
              </w:rPr>
            </w:pPr>
            <w:r>
              <w:rPr>
                <w:color w:val="auto"/>
                <w:sz w:val="24"/>
                <w:highlight w:val="none"/>
              </w:rPr>
              <w:t>项目名称</w:t>
            </w:r>
          </w:p>
        </w:tc>
        <w:tc>
          <w:tcPr>
            <w:tcW w:w="7938" w:type="dxa"/>
            <w:gridSpan w:val="10"/>
            <w:vAlign w:val="center"/>
          </w:tcPr>
          <w:p>
            <w:pPr>
              <w:jc w:val="center"/>
              <w:rPr>
                <w:color w:val="auto"/>
                <w:sz w:val="24"/>
                <w:highlight w:val="none"/>
              </w:rPr>
            </w:pPr>
            <w:r>
              <w:rPr>
                <w:color w:val="auto"/>
                <w:sz w:val="24"/>
                <w:highlight w:val="none"/>
              </w:rPr>
              <w:t>西安艺盟印务有限责任公司</w:t>
            </w:r>
            <w:r>
              <w:rPr>
                <w:rFonts w:hint="eastAsia"/>
                <w:color w:val="auto"/>
                <w:sz w:val="24"/>
                <w:highlight w:val="none"/>
              </w:rPr>
              <w:t>项目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23" w:hRule="atLeast"/>
        </w:trPr>
        <w:tc>
          <w:tcPr>
            <w:tcW w:w="1384" w:type="dxa"/>
          </w:tcPr>
          <w:p>
            <w:pPr>
              <w:spacing w:line="420" w:lineRule="exact"/>
              <w:jc w:val="center"/>
              <w:rPr>
                <w:color w:val="auto"/>
                <w:sz w:val="24"/>
                <w:highlight w:val="none"/>
              </w:rPr>
            </w:pPr>
            <w:r>
              <w:rPr>
                <w:color w:val="auto"/>
                <w:sz w:val="24"/>
                <w:highlight w:val="none"/>
              </w:rPr>
              <w:t>建设单位</w:t>
            </w:r>
          </w:p>
        </w:tc>
        <w:tc>
          <w:tcPr>
            <w:tcW w:w="7938" w:type="dxa"/>
            <w:gridSpan w:val="10"/>
          </w:tcPr>
          <w:p>
            <w:pPr>
              <w:spacing w:line="420" w:lineRule="exact"/>
              <w:jc w:val="center"/>
              <w:rPr>
                <w:color w:val="auto"/>
                <w:sz w:val="24"/>
                <w:highlight w:val="none"/>
              </w:rPr>
            </w:pPr>
            <w:r>
              <w:rPr>
                <w:color w:val="auto"/>
                <w:sz w:val="24"/>
                <w:highlight w:val="none"/>
              </w:rPr>
              <w:t>西安艺盟印务有限责任公司</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2" w:hRule="atLeast"/>
        </w:trPr>
        <w:tc>
          <w:tcPr>
            <w:tcW w:w="1384" w:type="dxa"/>
          </w:tcPr>
          <w:p>
            <w:pPr>
              <w:spacing w:line="420" w:lineRule="exact"/>
              <w:jc w:val="center"/>
              <w:rPr>
                <w:color w:val="auto"/>
                <w:sz w:val="24"/>
                <w:highlight w:val="none"/>
              </w:rPr>
            </w:pPr>
            <w:r>
              <w:rPr>
                <w:color w:val="auto"/>
                <w:sz w:val="24"/>
                <w:highlight w:val="none"/>
              </w:rPr>
              <w:t>法人代表</w:t>
            </w:r>
          </w:p>
        </w:tc>
        <w:tc>
          <w:tcPr>
            <w:tcW w:w="3530" w:type="dxa"/>
            <w:gridSpan w:val="3"/>
          </w:tcPr>
          <w:p>
            <w:pPr>
              <w:spacing w:line="420" w:lineRule="exact"/>
              <w:jc w:val="center"/>
              <w:rPr>
                <w:color w:val="auto"/>
                <w:sz w:val="24"/>
                <w:highlight w:val="none"/>
              </w:rPr>
            </w:pPr>
            <w:r>
              <w:rPr>
                <w:rFonts w:hint="eastAsia"/>
                <w:color w:val="auto"/>
                <w:sz w:val="24"/>
                <w:highlight w:val="none"/>
              </w:rPr>
              <w:t>赵莉</w:t>
            </w:r>
          </w:p>
        </w:tc>
        <w:tc>
          <w:tcPr>
            <w:tcW w:w="2267" w:type="dxa"/>
            <w:gridSpan w:val="4"/>
          </w:tcPr>
          <w:p>
            <w:pPr>
              <w:spacing w:line="420" w:lineRule="exact"/>
              <w:jc w:val="center"/>
              <w:rPr>
                <w:color w:val="auto"/>
                <w:sz w:val="24"/>
                <w:highlight w:val="none"/>
              </w:rPr>
            </w:pPr>
            <w:r>
              <w:rPr>
                <w:color w:val="auto"/>
                <w:sz w:val="24"/>
                <w:highlight w:val="none"/>
              </w:rPr>
              <w:t>联系人</w:t>
            </w:r>
          </w:p>
        </w:tc>
        <w:tc>
          <w:tcPr>
            <w:tcW w:w="2141" w:type="dxa"/>
            <w:gridSpan w:val="3"/>
          </w:tcPr>
          <w:p>
            <w:pPr>
              <w:spacing w:line="420" w:lineRule="exact"/>
              <w:jc w:val="center"/>
              <w:rPr>
                <w:color w:val="auto"/>
                <w:sz w:val="24"/>
                <w:highlight w:val="none"/>
              </w:rPr>
            </w:pPr>
            <w:r>
              <w:rPr>
                <w:rFonts w:hint="eastAsia"/>
                <w:color w:val="auto"/>
                <w:sz w:val="24"/>
                <w:highlight w:val="none"/>
              </w:rPr>
              <w:t>王艺京</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23" w:hRule="atLeast"/>
        </w:trPr>
        <w:tc>
          <w:tcPr>
            <w:tcW w:w="1384" w:type="dxa"/>
          </w:tcPr>
          <w:p>
            <w:pPr>
              <w:spacing w:line="420" w:lineRule="exact"/>
              <w:jc w:val="center"/>
              <w:rPr>
                <w:color w:val="auto"/>
                <w:sz w:val="24"/>
                <w:highlight w:val="none"/>
              </w:rPr>
            </w:pPr>
            <w:r>
              <w:rPr>
                <w:color w:val="auto"/>
                <w:sz w:val="24"/>
                <w:highlight w:val="none"/>
              </w:rPr>
              <w:t>通讯地址</w:t>
            </w:r>
          </w:p>
        </w:tc>
        <w:tc>
          <w:tcPr>
            <w:tcW w:w="7938" w:type="dxa"/>
            <w:gridSpan w:val="10"/>
          </w:tcPr>
          <w:p>
            <w:pPr>
              <w:spacing w:line="420" w:lineRule="exact"/>
              <w:jc w:val="center"/>
              <w:rPr>
                <w:color w:val="auto"/>
                <w:sz w:val="24"/>
                <w:highlight w:val="none"/>
              </w:rPr>
            </w:pPr>
            <w:r>
              <w:rPr>
                <w:rFonts w:hint="eastAsia"/>
                <w:color w:val="auto"/>
                <w:sz w:val="24"/>
                <w:highlight w:val="none"/>
              </w:rPr>
              <w:t>西安市灞桥区水安路8号院</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23" w:hRule="atLeast"/>
        </w:trPr>
        <w:tc>
          <w:tcPr>
            <w:tcW w:w="1384" w:type="dxa"/>
          </w:tcPr>
          <w:p>
            <w:pPr>
              <w:spacing w:line="420" w:lineRule="exact"/>
              <w:jc w:val="center"/>
              <w:rPr>
                <w:color w:val="auto"/>
                <w:sz w:val="24"/>
                <w:highlight w:val="none"/>
              </w:rPr>
            </w:pPr>
            <w:r>
              <w:rPr>
                <w:color w:val="auto"/>
                <w:sz w:val="24"/>
                <w:highlight w:val="none"/>
              </w:rPr>
              <w:t>联系电话</w:t>
            </w:r>
          </w:p>
        </w:tc>
        <w:tc>
          <w:tcPr>
            <w:tcW w:w="2283" w:type="dxa"/>
          </w:tcPr>
          <w:p>
            <w:pPr>
              <w:spacing w:line="420" w:lineRule="exact"/>
              <w:jc w:val="center"/>
              <w:rPr>
                <w:color w:val="auto"/>
                <w:sz w:val="24"/>
                <w:szCs w:val="28"/>
                <w:highlight w:val="none"/>
              </w:rPr>
            </w:pPr>
            <w:r>
              <w:rPr>
                <w:rFonts w:hint="eastAsia"/>
                <w:color w:val="auto"/>
                <w:sz w:val="24"/>
                <w:szCs w:val="28"/>
                <w:highlight w:val="none"/>
              </w:rPr>
              <w:t>158</w:t>
            </w:r>
            <w:r>
              <w:rPr>
                <w:rFonts w:hint="eastAsia"/>
                <w:color w:val="auto"/>
                <w:sz w:val="24"/>
                <w:szCs w:val="28"/>
                <w:highlight w:val="none"/>
                <w:lang w:val="en-US" w:eastAsia="zh-CN"/>
              </w:rPr>
              <w:t>xxxx</w:t>
            </w:r>
            <w:bookmarkStart w:id="1" w:name="_GoBack"/>
            <w:bookmarkEnd w:id="1"/>
            <w:r>
              <w:rPr>
                <w:rFonts w:hint="eastAsia"/>
                <w:color w:val="auto"/>
                <w:sz w:val="24"/>
                <w:szCs w:val="28"/>
                <w:highlight w:val="none"/>
              </w:rPr>
              <w:t>1203</w:t>
            </w:r>
          </w:p>
        </w:tc>
        <w:tc>
          <w:tcPr>
            <w:tcW w:w="1022" w:type="dxa"/>
          </w:tcPr>
          <w:p>
            <w:pPr>
              <w:spacing w:line="420" w:lineRule="exact"/>
              <w:jc w:val="center"/>
              <w:rPr>
                <w:color w:val="auto"/>
                <w:sz w:val="24"/>
                <w:highlight w:val="none"/>
              </w:rPr>
            </w:pPr>
            <w:r>
              <w:rPr>
                <w:color w:val="auto"/>
                <w:sz w:val="24"/>
                <w:highlight w:val="none"/>
              </w:rPr>
              <w:t>传  真</w:t>
            </w:r>
          </w:p>
        </w:tc>
        <w:tc>
          <w:tcPr>
            <w:tcW w:w="2058" w:type="dxa"/>
            <w:gridSpan w:val="3"/>
          </w:tcPr>
          <w:p>
            <w:pPr>
              <w:spacing w:line="420" w:lineRule="exact"/>
              <w:jc w:val="center"/>
              <w:rPr>
                <w:color w:val="auto"/>
                <w:sz w:val="24"/>
                <w:szCs w:val="28"/>
                <w:highlight w:val="none"/>
              </w:rPr>
            </w:pPr>
            <w:r>
              <w:rPr>
                <w:rFonts w:hint="eastAsia"/>
                <w:color w:val="auto"/>
                <w:sz w:val="24"/>
                <w:szCs w:val="28"/>
                <w:highlight w:val="none"/>
              </w:rPr>
              <w:t>/</w:t>
            </w:r>
          </w:p>
        </w:tc>
        <w:tc>
          <w:tcPr>
            <w:tcW w:w="1260" w:type="dxa"/>
            <w:gridSpan w:val="3"/>
          </w:tcPr>
          <w:p>
            <w:pPr>
              <w:spacing w:line="420" w:lineRule="exact"/>
              <w:jc w:val="center"/>
              <w:rPr>
                <w:color w:val="auto"/>
                <w:sz w:val="24"/>
                <w:highlight w:val="none"/>
              </w:rPr>
            </w:pPr>
            <w:r>
              <w:rPr>
                <w:color w:val="auto"/>
                <w:sz w:val="24"/>
                <w:highlight w:val="none"/>
              </w:rPr>
              <w:t>邮政编码</w:t>
            </w:r>
          </w:p>
        </w:tc>
        <w:tc>
          <w:tcPr>
            <w:tcW w:w="1315" w:type="dxa"/>
            <w:gridSpan w:val="2"/>
          </w:tcPr>
          <w:p>
            <w:pPr>
              <w:spacing w:line="420" w:lineRule="exact"/>
              <w:jc w:val="center"/>
              <w:rPr>
                <w:color w:val="auto"/>
                <w:sz w:val="24"/>
                <w:highlight w:val="none"/>
              </w:rPr>
            </w:pPr>
            <w:r>
              <w:rPr>
                <w:color w:val="auto"/>
                <w:sz w:val="24"/>
                <w:highlight w:val="none"/>
              </w:rPr>
              <w:t>710</w:t>
            </w:r>
            <w:r>
              <w:rPr>
                <w:rFonts w:hint="eastAsia"/>
                <w:color w:val="auto"/>
                <w:sz w:val="24"/>
                <w:highlight w:val="none"/>
              </w:rPr>
              <w:t>038</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23" w:hRule="atLeast"/>
        </w:trPr>
        <w:tc>
          <w:tcPr>
            <w:tcW w:w="1384" w:type="dxa"/>
          </w:tcPr>
          <w:p>
            <w:pPr>
              <w:spacing w:line="420" w:lineRule="exact"/>
              <w:jc w:val="center"/>
              <w:rPr>
                <w:color w:val="auto"/>
                <w:sz w:val="24"/>
                <w:highlight w:val="none"/>
              </w:rPr>
            </w:pPr>
            <w:r>
              <w:rPr>
                <w:color w:val="auto"/>
                <w:sz w:val="24"/>
                <w:highlight w:val="none"/>
              </w:rPr>
              <w:t>建设地点</w:t>
            </w:r>
          </w:p>
        </w:tc>
        <w:tc>
          <w:tcPr>
            <w:tcW w:w="7938" w:type="dxa"/>
            <w:gridSpan w:val="10"/>
          </w:tcPr>
          <w:p>
            <w:pPr>
              <w:spacing w:line="360" w:lineRule="exact"/>
              <w:jc w:val="center"/>
              <w:rPr>
                <w:color w:val="auto"/>
                <w:sz w:val="24"/>
                <w:highlight w:val="none"/>
              </w:rPr>
            </w:pPr>
            <w:r>
              <w:rPr>
                <w:rFonts w:hint="eastAsia"/>
                <w:color w:val="auto"/>
                <w:sz w:val="24"/>
                <w:highlight w:val="none"/>
              </w:rPr>
              <w:t>西安市灞桥区陕西澳利森木业集团有限公司厂区内</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23" w:hRule="atLeast"/>
        </w:trPr>
        <w:tc>
          <w:tcPr>
            <w:tcW w:w="1384" w:type="dxa"/>
          </w:tcPr>
          <w:p>
            <w:pPr>
              <w:spacing w:line="280" w:lineRule="exact"/>
              <w:jc w:val="center"/>
              <w:rPr>
                <w:color w:val="auto"/>
                <w:sz w:val="24"/>
                <w:highlight w:val="none"/>
              </w:rPr>
            </w:pPr>
            <w:r>
              <w:rPr>
                <w:color w:val="auto"/>
                <w:sz w:val="24"/>
                <w:highlight w:val="none"/>
              </w:rPr>
              <w:t>立项审批部门</w:t>
            </w:r>
          </w:p>
        </w:tc>
        <w:tc>
          <w:tcPr>
            <w:tcW w:w="4021" w:type="dxa"/>
            <w:gridSpan w:val="4"/>
            <w:vAlign w:val="center"/>
          </w:tcPr>
          <w:p>
            <w:pPr>
              <w:spacing w:line="280" w:lineRule="exact"/>
              <w:jc w:val="center"/>
              <w:rPr>
                <w:color w:val="auto"/>
                <w:sz w:val="24"/>
                <w:highlight w:val="none"/>
              </w:rPr>
            </w:pPr>
            <w:r>
              <w:rPr>
                <w:rFonts w:hint="eastAsia"/>
                <w:color w:val="auto"/>
                <w:sz w:val="24"/>
                <w:highlight w:val="none"/>
              </w:rPr>
              <w:t>/</w:t>
            </w:r>
          </w:p>
        </w:tc>
        <w:tc>
          <w:tcPr>
            <w:tcW w:w="1496" w:type="dxa"/>
            <w:gridSpan w:val="2"/>
            <w:vAlign w:val="center"/>
          </w:tcPr>
          <w:p>
            <w:pPr>
              <w:spacing w:line="280" w:lineRule="exact"/>
              <w:jc w:val="center"/>
              <w:rPr>
                <w:color w:val="auto"/>
                <w:sz w:val="24"/>
                <w:highlight w:val="none"/>
              </w:rPr>
            </w:pPr>
            <w:r>
              <w:rPr>
                <w:color w:val="auto"/>
                <w:sz w:val="24"/>
                <w:highlight w:val="none"/>
              </w:rPr>
              <w:t>批准文号</w:t>
            </w:r>
          </w:p>
        </w:tc>
        <w:tc>
          <w:tcPr>
            <w:tcW w:w="2421" w:type="dxa"/>
            <w:gridSpan w:val="4"/>
            <w:vAlign w:val="center"/>
          </w:tcPr>
          <w:p>
            <w:pPr>
              <w:spacing w:line="280" w:lineRule="exact"/>
              <w:jc w:val="center"/>
              <w:rPr>
                <w:color w:val="auto"/>
                <w:sz w:val="24"/>
                <w:highlight w:val="none"/>
              </w:rPr>
            </w:pPr>
            <w:r>
              <w:rPr>
                <w:rFonts w:hint="eastAsia"/>
                <w:color w:val="auto"/>
                <w:sz w:val="24"/>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23" w:hRule="atLeast"/>
        </w:trPr>
        <w:tc>
          <w:tcPr>
            <w:tcW w:w="1384" w:type="dxa"/>
            <w:vAlign w:val="center"/>
          </w:tcPr>
          <w:p>
            <w:pPr>
              <w:spacing w:line="280" w:lineRule="exact"/>
              <w:jc w:val="center"/>
              <w:rPr>
                <w:color w:val="auto"/>
                <w:sz w:val="24"/>
                <w:highlight w:val="none"/>
              </w:rPr>
            </w:pPr>
            <w:r>
              <w:rPr>
                <w:color w:val="auto"/>
                <w:sz w:val="24"/>
                <w:highlight w:val="none"/>
              </w:rPr>
              <w:t>建设性质</w:t>
            </w:r>
          </w:p>
        </w:tc>
        <w:tc>
          <w:tcPr>
            <w:tcW w:w="4021" w:type="dxa"/>
            <w:gridSpan w:val="4"/>
            <w:vAlign w:val="center"/>
          </w:tcPr>
          <w:p>
            <w:pPr>
              <w:spacing w:line="280" w:lineRule="exact"/>
              <w:ind w:firstLine="120" w:firstLineChars="50"/>
              <w:rPr>
                <w:color w:val="auto"/>
                <w:sz w:val="24"/>
                <w:highlight w:val="none"/>
              </w:rPr>
            </w:pPr>
            <w:r>
              <w:rPr>
                <w:color w:val="auto"/>
                <w:sz w:val="24"/>
                <w:highlight w:val="none"/>
              </w:rPr>
              <w:t>新建</w:t>
            </w:r>
            <w:r>
              <w:rPr>
                <w:color w:val="auto"/>
                <w:spacing w:val="-40"/>
                <w:sz w:val="24"/>
                <w:highlight w:val="none"/>
              </w:rPr>
              <w:t xml:space="preserve">   </w:t>
            </w:r>
            <w:r>
              <w:rPr>
                <w:color w:val="auto"/>
                <w:sz w:val="24"/>
                <w:highlight w:val="none"/>
              </w:rPr>
              <w:t xml:space="preserve">√ </w:t>
            </w:r>
            <w:r>
              <w:rPr>
                <w:color w:val="auto"/>
                <w:spacing w:val="-40"/>
                <w:sz w:val="24"/>
                <w:highlight w:val="none"/>
              </w:rPr>
              <w:t xml:space="preserve">   </w:t>
            </w:r>
            <w:r>
              <w:rPr>
                <w:color w:val="auto"/>
                <w:sz w:val="24"/>
                <w:highlight w:val="none"/>
              </w:rPr>
              <w:t>改扩建</w:t>
            </w:r>
            <w:r>
              <w:rPr>
                <w:color w:val="auto"/>
                <w:spacing w:val="-40"/>
                <w:sz w:val="24"/>
                <w:highlight w:val="none"/>
              </w:rPr>
              <w:t xml:space="preserve">□    </w:t>
            </w:r>
            <w:r>
              <w:rPr>
                <w:color w:val="auto"/>
                <w:sz w:val="24"/>
                <w:highlight w:val="none"/>
              </w:rPr>
              <w:t>技改</w:t>
            </w:r>
            <w:r>
              <w:rPr>
                <w:color w:val="auto"/>
                <w:spacing w:val="-40"/>
                <w:sz w:val="24"/>
                <w:highlight w:val="none"/>
              </w:rPr>
              <w:t xml:space="preserve">□  </w:t>
            </w:r>
          </w:p>
        </w:tc>
        <w:tc>
          <w:tcPr>
            <w:tcW w:w="1496" w:type="dxa"/>
            <w:gridSpan w:val="2"/>
            <w:vAlign w:val="center"/>
          </w:tcPr>
          <w:p>
            <w:pPr>
              <w:spacing w:line="280" w:lineRule="exact"/>
              <w:jc w:val="center"/>
              <w:rPr>
                <w:color w:val="auto"/>
                <w:sz w:val="24"/>
                <w:highlight w:val="none"/>
              </w:rPr>
            </w:pPr>
            <w:r>
              <w:rPr>
                <w:color w:val="auto"/>
                <w:sz w:val="24"/>
                <w:highlight w:val="none"/>
              </w:rPr>
              <w:t>行业类别及代码</w:t>
            </w:r>
          </w:p>
        </w:tc>
        <w:tc>
          <w:tcPr>
            <w:tcW w:w="2421" w:type="dxa"/>
            <w:gridSpan w:val="4"/>
            <w:vAlign w:val="center"/>
          </w:tcPr>
          <w:p>
            <w:pPr>
              <w:jc w:val="center"/>
              <w:rPr>
                <w:color w:val="auto"/>
                <w:sz w:val="24"/>
                <w:highlight w:val="none"/>
              </w:rPr>
            </w:pPr>
            <w:r>
              <w:rPr>
                <w:rFonts w:hint="eastAsia"/>
                <w:color w:val="auto"/>
                <w:sz w:val="24"/>
                <w:highlight w:val="none"/>
              </w:rPr>
              <w:t>C2320</w:t>
            </w:r>
            <w:r>
              <w:rPr>
                <w:color w:val="auto"/>
                <w:sz w:val="24"/>
                <w:highlight w:val="none"/>
              </w:rPr>
              <w:t xml:space="preserve"> </w:t>
            </w:r>
            <w:r>
              <w:rPr>
                <w:rFonts w:hint="eastAsia"/>
                <w:color w:val="auto"/>
                <w:sz w:val="24"/>
                <w:highlight w:val="none"/>
              </w:rPr>
              <w:t>装订及其他印刷服务活动</w:t>
            </w:r>
            <w:r>
              <w:rPr>
                <w:color w:val="auto"/>
                <w:sz w:val="24"/>
                <w:highlight w:val="none"/>
              </w:rPr>
              <w:tab/>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23" w:hRule="atLeast"/>
        </w:trPr>
        <w:tc>
          <w:tcPr>
            <w:tcW w:w="1384" w:type="dxa"/>
            <w:vAlign w:val="center"/>
          </w:tcPr>
          <w:p>
            <w:pPr>
              <w:spacing w:line="280" w:lineRule="exact"/>
              <w:jc w:val="center"/>
              <w:rPr>
                <w:color w:val="auto"/>
                <w:sz w:val="24"/>
                <w:highlight w:val="none"/>
              </w:rPr>
            </w:pPr>
            <w:r>
              <w:rPr>
                <w:color w:val="auto"/>
                <w:sz w:val="24"/>
                <w:highlight w:val="none"/>
              </w:rPr>
              <w:t>占地面积</w:t>
            </w:r>
          </w:p>
          <w:p>
            <w:pPr>
              <w:spacing w:line="280" w:lineRule="exact"/>
              <w:jc w:val="center"/>
              <w:rPr>
                <w:color w:val="auto"/>
                <w:sz w:val="24"/>
                <w:highlight w:val="none"/>
              </w:rPr>
            </w:pPr>
            <w:r>
              <w:rPr>
                <w:color w:val="auto"/>
                <w:sz w:val="24"/>
                <w:highlight w:val="none"/>
              </w:rPr>
              <w:t>(平方米)</w:t>
            </w:r>
          </w:p>
        </w:tc>
        <w:tc>
          <w:tcPr>
            <w:tcW w:w="4021" w:type="dxa"/>
            <w:gridSpan w:val="4"/>
            <w:vAlign w:val="center"/>
          </w:tcPr>
          <w:p>
            <w:pPr>
              <w:spacing w:line="280" w:lineRule="exact"/>
              <w:jc w:val="center"/>
              <w:rPr>
                <w:color w:val="auto"/>
                <w:sz w:val="24"/>
                <w:highlight w:val="none"/>
              </w:rPr>
            </w:pPr>
            <w:r>
              <w:rPr>
                <w:rFonts w:hint="eastAsia"/>
                <w:color w:val="auto"/>
                <w:sz w:val="24"/>
                <w:highlight w:val="none"/>
              </w:rPr>
              <w:t>670</w:t>
            </w:r>
          </w:p>
        </w:tc>
        <w:tc>
          <w:tcPr>
            <w:tcW w:w="1496" w:type="dxa"/>
            <w:gridSpan w:val="2"/>
            <w:vAlign w:val="center"/>
          </w:tcPr>
          <w:p>
            <w:pPr>
              <w:widowControl/>
              <w:spacing w:line="280" w:lineRule="exact"/>
              <w:jc w:val="center"/>
              <w:rPr>
                <w:color w:val="auto"/>
                <w:sz w:val="24"/>
                <w:highlight w:val="none"/>
              </w:rPr>
            </w:pPr>
            <w:r>
              <w:rPr>
                <w:color w:val="auto"/>
                <w:sz w:val="24"/>
                <w:highlight w:val="none"/>
              </w:rPr>
              <w:t>绿化面积</w:t>
            </w:r>
          </w:p>
          <w:p>
            <w:pPr>
              <w:widowControl/>
              <w:spacing w:line="280" w:lineRule="exact"/>
              <w:jc w:val="center"/>
              <w:rPr>
                <w:color w:val="auto"/>
                <w:sz w:val="24"/>
                <w:highlight w:val="none"/>
              </w:rPr>
            </w:pPr>
            <w:r>
              <w:rPr>
                <w:color w:val="auto"/>
                <w:sz w:val="24"/>
                <w:highlight w:val="none"/>
              </w:rPr>
              <w:t>(平方米)</w:t>
            </w:r>
          </w:p>
        </w:tc>
        <w:tc>
          <w:tcPr>
            <w:tcW w:w="2421" w:type="dxa"/>
            <w:gridSpan w:val="4"/>
            <w:vAlign w:val="center"/>
          </w:tcPr>
          <w:p>
            <w:pPr>
              <w:spacing w:line="280" w:lineRule="exact"/>
              <w:jc w:val="center"/>
              <w:rPr>
                <w:color w:val="auto"/>
                <w:sz w:val="24"/>
                <w:highlight w:val="none"/>
              </w:rPr>
            </w:pPr>
            <w:r>
              <w:rPr>
                <w:rFonts w:hint="eastAsia"/>
                <w:color w:val="auto"/>
                <w:sz w:val="24"/>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23" w:hRule="atLeast"/>
        </w:trPr>
        <w:tc>
          <w:tcPr>
            <w:tcW w:w="1384" w:type="dxa"/>
            <w:vAlign w:val="center"/>
          </w:tcPr>
          <w:p>
            <w:pPr>
              <w:spacing w:line="280" w:lineRule="exact"/>
              <w:jc w:val="center"/>
              <w:rPr>
                <w:color w:val="auto"/>
                <w:sz w:val="24"/>
                <w:highlight w:val="none"/>
              </w:rPr>
            </w:pPr>
            <w:r>
              <w:rPr>
                <w:color w:val="auto"/>
                <w:sz w:val="24"/>
                <w:highlight w:val="none"/>
              </w:rPr>
              <w:t>总投资</w:t>
            </w:r>
          </w:p>
          <w:p>
            <w:pPr>
              <w:spacing w:line="280" w:lineRule="exact"/>
              <w:jc w:val="center"/>
              <w:rPr>
                <w:color w:val="auto"/>
                <w:sz w:val="24"/>
                <w:highlight w:val="none"/>
              </w:rPr>
            </w:pPr>
            <w:r>
              <w:rPr>
                <w:color w:val="auto"/>
                <w:sz w:val="24"/>
                <w:highlight w:val="none"/>
              </w:rPr>
              <w:t>（万元）</w:t>
            </w:r>
          </w:p>
        </w:tc>
        <w:tc>
          <w:tcPr>
            <w:tcW w:w="2283" w:type="dxa"/>
            <w:vAlign w:val="center"/>
          </w:tcPr>
          <w:p>
            <w:pPr>
              <w:widowControl/>
              <w:spacing w:line="280" w:lineRule="exact"/>
              <w:jc w:val="center"/>
              <w:rPr>
                <w:color w:val="auto"/>
                <w:sz w:val="24"/>
                <w:highlight w:val="none"/>
              </w:rPr>
            </w:pPr>
            <w:r>
              <w:rPr>
                <w:rFonts w:hint="eastAsia"/>
                <w:color w:val="auto"/>
                <w:sz w:val="24"/>
                <w:highlight w:val="none"/>
              </w:rPr>
              <w:t>200</w:t>
            </w:r>
          </w:p>
        </w:tc>
        <w:tc>
          <w:tcPr>
            <w:tcW w:w="1738" w:type="dxa"/>
            <w:gridSpan w:val="3"/>
            <w:vAlign w:val="center"/>
          </w:tcPr>
          <w:p>
            <w:pPr>
              <w:widowControl/>
              <w:spacing w:line="280" w:lineRule="exact"/>
              <w:ind w:left="240" w:hanging="240" w:hangingChars="100"/>
              <w:jc w:val="center"/>
              <w:rPr>
                <w:color w:val="auto"/>
                <w:sz w:val="24"/>
                <w:highlight w:val="none"/>
              </w:rPr>
            </w:pPr>
            <w:r>
              <w:rPr>
                <w:color w:val="auto"/>
                <w:sz w:val="24"/>
                <w:highlight w:val="none"/>
              </w:rPr>
              <w:t>其中：环保投资（万元）</w:t>
            </w:r>
          </w:p>
        </w:tc>
        <w:tc>
          <w:tcPr>
            <w:tcW w:w="1496" w:type="dxa"/>
            <w:gridSpan w:val="2"/>
            <w:vAlign w:val="center"/>
          </w:tcPr>
          <w:p>
            <w:pPr>
              <w:spacing w:line="280" w:lineRule="exact"/>
              <w:jc w:val="center"/>
              <w:rPr>
                <w:color w:val="auto"/>
                <w:sz w:val="32"/>
                <w:highlight w:val="none"/>
              </w:rPr>
            </w:pPr>
            <w:r>
              <w:rPr>
                <w:rFonts w:hint="eastAsia"/>
                <w:color w:val="auto"/>
                <w:sz w:val="24"/>
                <w:highlight w:val="none"/>
              </w:rPr>
              <w:t>19.02</w:t>
            </w:r>
          </w:p>
        </w:tc>
        <w:tc>
          <w:tcPr>
            <w:tcW w:w="1232" w:type="dxa"/>
            <w:gridSpan w:val="3"/>
            <w:vAlign w:val="center"/>
          </w:tcPr>
          <w:p>
            <w:pPr>
              <w:widowControl/>
              <w:spacing w:line="280" w:lineRule="exact"/>
              <w:jc w:val="center"/>
              <w:rPr>
                <w:color w:val="auto"/>
                <w:sz w:val="24"/>
                <w:highlight w:val="none"/>
              </w:rPr>
            </w:pPr>
            <w:r>
              <w:rPr>
                <w:color w:val="auto"/>
                <w:sz w:val="24"/>
                <w:highlight w:val="none"/>
              </w:rPr>
              <w:t>环保投资占总投资比例</w:t>
            </w:r>
          </w:p>
        </w:tc>
        <w:tc>
          <w:tcPr>
            <w:tcW w:w="1189" w:type="dxa"/>
            <w:vAlign w:val="center"/>
          </w:tcPr>
          <w:p>
            <w:pPr>
              <w:widowControl/>
              <w:spacing w:line="280" w:lineRule="exact"/>
              <w:jc w:val="center"/>
              <w:rPr>
                <w:color w:val="auto"/>
                <w:sz w:val="24"/>
                <w:highlight w:val="none"/>
              </w:rPr>
            </w:pPr>
            <w:r>
              <w:rPr>
                <w:rFonts w:hint="eastAsia"/>
                <w:color w:val="auto"/>
                <w:sz w:val="24"/>
                <w:szCs w:val="28"/>
                <w:highlight w:val="none"/>
              </w:rPr>
              <w:t>9.51</w:t>
            </w:r>
            <w:r>
              <w:rPr>
                <w:color w:val="auto"/>
                <w:sz w:val="24"/>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23" w:hRule="atLeast"/>
        </w:trPr>
        <w:tc>
          <w:tcPr>
            <w:tcW w:w="1384" w:type="dxa"/>
            <w:vAlign w:val="center"/>
          </w:tcPr>
          <w:p>
            <w:pPr>
              <w:spacing w:line="280" w:lineRule="exact"/>
              <w:jc w:val="center"/>
              <w:rPr>
                <w:color w:val="auto"/>
                <w:sz w:val="24"/>
                <w:highlight w:val="none"/>
              </w:rPr>
            </w:pPr>
            <w:r>
              <w:rPr>
                <w:color w:val="auto"/>
                <w:sz w:val="24"/>
                <w:highlight w:val="none"/>
              </w:rPr>
              <w:t>评价经费</w:t>
            </w:r>
          </w:p>
          <w:p>
            <w:pPr>
              <w:spacing w:line="280" w:lineRule="exact"/>
              <w:jc w:val="center"/>
              <w:rPr>
                <w:color w:val="auto"/>
                <w:sz w:val="24"/>
                <w:highlight w:val="none"/>
              </w:rPr>
            </w:pPr>
            <w:r>
              <w:rPr>
                <w:color w:val="auto"/>
                <w:sz w:val="24"/>
                <w:highlight w:val="none"/>
              </w:rPr>
              <w:t>（万元）</w:t>
            </w:r>
          </w:p>
        </w:tc>
        <w:tc>
          <w:tcPr>
            <w:tcW w:w="4021" w:type="dxa"/>
            <w:gridSpan w:val="4"/>
            <w:vAlign w:val="center"/>
          </w:tcPr>
          <w:p>
            <w:pPr>
              <w:spacing w:line="280" w:lineRule="exact"/>
              <w:jc w:val="center"/>
              <w:rPr>
                <w:color w:val="auto"/>
                <w:sz w:val="24"/>
                <w:highlight w:val="none"/>
              </w:rPr>
            </w:pPr>
            <w:r>
              <w:rPr>
                <w:color w:val="auto"/>
                <w:sz w:val="24"/>
                <w:highlight w:val="none"/>
              </w:rPr>
              <w:t>/</w:t>
            </w:r>
          </w:p>
        </w:tc>
        <w:tc>
          <w:tcPr>
            <w:tcW w:w="1496" w:type="dxa"/>
            <w:gridSpan w:val="2"/>
            <w:vAlign w:val="center"/>
          </w:tcPr>
          <w:p>
            <w:pPr>
              <w:spacing w:line="280" w:lineRule="exact"/>
              <w:jc w:val="center"/>
              <w:rPr>
                <w:color w:val="auto"/>
                <w:sz w:val="24"/>
                <w:highlight w:val="none"/>
              </w:rPr>
            </w:pPr>
            <w:r>
              <w:rPr>
                <w:color w:val="auto"/>
                <w:sz w:val="24"/>
                <w:highlight w:val="none"/>
              </w:rPr>
              <w:t>预期投产</w:t>
            </w:r>
          </w:p>
          <w:p>
            <w:pPr>
              <w:spacing w:line="280" w:lineRule="exact"/>
              <w:jc w:val="center"/>
              <w:rPr>
                <w:color w:val="auto"/>
                <w:sz w:val="24"/>
                <w:highlight w:val="none"/>
              </w:rPr>
            </w:pPr>
            <w:r>
              <w:rPr>
                <w:color w:val="auto"/>
                <w:sz w:val="24"/>
                <w:highlight w:val="none"/>
              </w:rPr>
              <w:t>日   期</w:t>
            </w:r>
          </w:p>
        </w:tc>
        <w:tc>
          <w:tcPr>
            <w:tcW w:w="2421" w:type="dxa"/>
            <w:gridSpan w:val="4"/>
            <w:vAlign w:val="center"/>
          </w:tcPr>
          <w:p>
            <w:pPr>
              <w:spacing w:line="280" w:lineRule="exact"/>
              <w:jc w:val="center"/>
              <w:rPr>
                <w:color w:val="auto"/>
                <w:sz w:val="24"/>
                <w:highlight w:val="none"/>
              </w:rPr>
            </w:pPr>
            <w:r>
              <w:rPr>
                <w:rFonts w:hint="eastAsia"/>
                <w:color w:val="auto"/>
                <w:sz w:val="24"/>
                <w:highlight w:val="none"/>
              </w:rPr>
              <w:t>已建成投产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9322" w:type="dxa"/>
            <w:gridSpan w:val="11"/>
          </w:tcPr>
          <w:p>
            <w:pPr>
              <w:spacing w:line="360" w:lineRule="auto"/>
              <w:outlineLvl w:val="0"/>
              <w:rPr>
                <w:rFonts w:eastAsia="黑体"/>
                <w:color w:val="auto"/>
                <w:sz w:val="24"/>
                <w:szCs w:val="20"/>
                <w:highlight w:val="none"/>
              </w:rPr>
            </w:pPr>
            <w:r>
              <w:rPr>
                <w:rFonts w:eastAsia="黑体"/>
                <w:color w:val="auto"/>
                <w:sz w:val="24"/>
                <w:szCs w:val="20"/>
                <w:highlight w:val="none"/>
              </w:rPr>
              <w:t>1.1项目由来</w:t>
            </w:r>
          </w:p>
          <w:p>
            <w:pPr>
              <w:spacing w:line="360" w:lineRule="auto"/>
              <w:ind w:firstLine="480" w:firstLineChars="200"/>
              <w:rPr>
                <w:color w:val="auto"/>
                <w:sz w:val="24"/>
                <w:highlight w:val="none"/>
              </w:rPr>
            </w:pPr>
            <w:r>
              <w:rPr>
                <w:color w:val="auto"/>
                <w:sz w:val="24"/>
                <w:highlight w:val="none"/>
              </w:rPr>
              <w:t>西安艺盟印务有限责任公司</w:t>
            </w:r>
            <w:r>
              <w:rPr>
                <w:rFonts w:hint="eastAsia"/>
                <w:color w:val="auto"/>
                <w:sz w:val="24"/>
                <w:highlight w:val="none"/>
              </w:rPr>
              <w:t>成立于2002年，注册资金200万元，出版物印刷品印刷，包装装潢印刷品印刷，其它印刷品印刷。厂房面积</w:t>
            </w:r>
            <w:r>
              <w:rPr>
                <w:color w:val="auto"/>
                <w:sz w:val="24"/>
                <w:highlight w:val="none"/>
              </w:rPr>
              <w:t>670</w:t>
            </w:r>
            <w:r>
              <w:rPr>
                <w:rFonts w:hint="eastAsia"/>
                <w:color w:val="auto"/>
                <w:sz w:val="24"/>
                <w:highlight w:val="none"/>
              </w:rPr>
              <w:t>平方米，职工人数15人，其中高级职称5人，中级职称6人，专业技术工人5人。设备有德国进口对开四色机一台，国产双色机对开2台及切纸一台。业务范围涉及出版社各家单位及社会零件</w:t>
            </w:r>
            <w:r>
              <w:rPr>
                <w:color w:val="auto"/>
                <w:sz w:val="24"/>
                <w:highlight w:val="none"/>
              </w:rPr>
              <w:t>。</w:t>
            </w:r>
            <w:r>
              <w:rPr>
                <w:rFonts w:hint="eastAsia"/>
                <w:color w:val="auto"/>
                <w:sz w:val="24"/>
                <w:highlight w:val="none"/>
              </w:rPr>
              <w:t>2009年被陕西出版集团定为集团产品印制加工企业，在质量和信誉方面被中国市场监督协会评为三A级企业，2013年被国家环保部经认证考查定为绿色环保印刷企业。</w:t>
            </w:r>
            <w:r>
              <w:rPr>
                <w:color w:val="auto"/>
                <w:sz w:val="24"/>
                <w:highlight w:val="none"/>
              </w:rPr>
              <w:t>西安艺盟印务有限责任公司</w:t>
            </w:r>
            <w:r>
              <w:rPr>
                <w:rFonts w:hint="eastAsia"/>
                <w:color w:val="auto"/>
                <w:sz w:val="24"/>
                <w:highlight w:val="none"/>
              </w:rPr>
              <w:t>项目位于西安市灞桥区水安路8号院，租用陕西澳利森木业集团有限公司厂房(详见租赁合同),</w:t>
            </w:r>
            <w:r>
              <w:rPr>
                <w:rFonts w:hint="eastAsia"/>
                <w:color w:val="auto"/>
                <w:highlight w:val="none"/>
              </w:rPr>
              <w:t xml:space="preserve"> </w:t>
            </w:r>
            <w:r>
              <w:rPr>
                <w:rFonts w:hint="eastAsia"/>
                <w:color w:val="auto"/>
                <w:sz w:val="24"/>
                <w:highlight w:val="none"/>
              </w:rPr>
              <w:t>厂房的环评已经西安市环境保护局灞桥分局于 2014 年 9 月 1 日以“灞环审[2014]26 号”文件进行了批复。</w:t>
            </w:r>
          </w:p>
          <w:p>
            <w:pPr>
              <w:autoSpaceDE w:val="0"/>
              <w:autoSpaceDN w:val="0"/>
              <w:adjustRightInd w:val="0"/>
              <w:spacing w:line="360" w:lineRule="auto"/>
              <w:ind w:firstLine="480" w:firstLineChars="200"/>
              <w:rPr>
                <w:color w:val="auto"/>
                <w:sz w:val="24"/>
                <w:highlight w:val="none"/>
              </w:rPr>
            </w:pPr>
            <w:r>
              <w:rPr>
                <w:color w:val="auto"/>
                <w:sz w:val="24"/>
                <w:highlight w:val="none"/>
              </w:rPr>
              <w:t>依据《建设项目环境保护管理条例》和《建设项目环境影响评价分类管理名录》（2017年）及关于修改《建设项目环境影响评价分类管理名录》部分内容的决定（生态环境部1号令）等有关规定，本项目属于“十</w:t>
            </w:r>
            <w:r>
              <w:rPr>
                <w:rFonts w:hint="eastAsia"/>
                <w:color w:val="auto"/>
                <w:sz w:val="24"/>
                <w:highlight w:val="none"/>
              </w:rPr>
              <w:t>二</w:t>
            </w:r>
            <w:r>
              <w:rPr>
                <w:color w:val="auto"/>
                <w:sz w:val="24"/>
                <w:highlight w:val="none"/>
              </w:rPr>
              <w:t>、印刷和记录媒介复制业</w:t>
            </w:r>
            <w:r>
              <w:rPr>
                <w:rFonts w:hint="eastAsia"/>
                <w:color w:val="auto"/>
                <w:sz w:val="24"/>
                <w:highlight w:val="none"/>
              </w:rPr>
              <w:t xml:space="preserve"> 3</w:t>
            </w:r>
            <w:r>
              <w:rPr>
                <w:color w:val="auto"/>
                <w:sz w:val="24"/>
                <w:highlight w:val="none"/>
              </w:rPr>
              <w:t>0印刷厂；磁材料制品”中“全部”，需编制环境影响报告表。为此，西安艺盟印务有限责任公司于201</w:t>
            </w:r>
            <w:r>
              <w:rPr>
                <w:rFonts w:hint="eastAsia"/>
                <w:color w:val="auto"/>
                <w:sz w:val="24"/>
                <w:highlight w:val="none"/>
              </w:rPr>
              <w:t>9</w:t>
            </w:r>
            <w:r>
              <w:rPr>
                <w:color w:val="auto"/>
                <w:sz w:val="24"/>
                <w:highlight w:val="none"/>
              </w:rPr>
              <w:t>年</w:t>
            </w:r>
            <w:r>
              <w:rPr>
                <w:rFonts w:hint="eastAsia"/>
                <w:color w:val="auto"/>
                <w:sz w:val="24"/>
                <w:highlight w:val="none"/>
              </w:rPr>
              <w:t>3</w:t>
            </w:r>
            <w:r>
              <w:rPr>
                <w:color w:val="auto"/>
                <w:sz w:val="24"/>
                <w:highlight w:val="none"/>
              </w:rPr>
              <w:t>月委托陕西企科环境技术有限公司承担该项目的环境影响评价工作并编制《西安艺盟印务有限责任公司项目环境影响报告表》（委托书见附件1）。接受委托后，我单位组织有关技术人员进行了现场踏勘，收集了建设项目所在地区的自然、生态环境资料，在认真分析建设项目和环境现状的基础上，按照</w:t>
            </w:r>
            <w:r>
              <w:rPr>
                <w:rFonts w:hint="eastAsia"/>
                <w:color w:val="auto"/>
                <w:sz w:val="24"/>
                <w:highlight w:val="none"/>
              </w:rPr>
              <w:t>现行环保</w:t>
            </w:r>
            <w:r>
              <w:rPr>
                <w:color w:val="auto"/>
                <w:sz w:val="24"/>
                <w:highlight w:val="none"/>
              </w:rPr>
              <w:t>要求以及环境影响评价技术导则的规定，编制了环境影响报告表。</w:t>
            </w:r>
          </w:p>
          <w:p>
            <w:pPr>
              <w:spacing w:line="360" w:lineRule="auto"/>
              <w:rPr>
                <w:rFonts w:eastAsia="黑体"/>
                <w:color w:val="auto"/>
                <w:sz w:val="24"/>
                <w:highlight w:val="none"/>
              </w:rPr>
            </w:pPr>
            <w:r>
              <w:rPr>
                <w:rFonts w:eastAsia="黑体"/>
                <w:color w:val="auto"/>
                <w:sz w:val="24"/>
                <w:highlight w:val="none"/>
              </w:rPr>
              <w:t>1.2相关情况分析判定</w:t>
            </w:r>
          </w:p>
          <w:p>
            <w:pPr>
              <w:spacing w:line="360" w:lineRule="auto"/>
              <w:rPr>
                <w:rFonts w:eastAsia="黑体"/>
                <w:color w:val="auto"/>
                <w:sz w:val="24"/>
                <w:highlight w:val="none"/>
              </w:rPr>
            </w:pPr>
            <w:r>
              <w:rPr>
                <w:rFonts w:eastAsia="黑体"/>
                <w:color w:val="auto"/>
                <w:sz w:val="24"/>
                <w:highlight w:val="none"/>
              </w:rPr>
              <w:t>1.2.1产业政策的符合性</w:t>
            </w:r>
          </w:p>
          <w:p>
            <w:pPr>
              <w:spacing w:line="360" w:lineRule="auto"/>
              <w:ind w:firstLine="559" w:firstLineChars="233"/>
              <w:outlineLvl w:val="0"/>
              <w:rPr>
                <w:color w:val="auto"/>
                <w:sz w:val="24"/>
                <w:szCs w:val="20"/>
                <w:highlight w:val="none"/>
              </w:rPr>
            </w:pPr>
            <w:r>
              <w:rPr>
                <w:color w:val="auto"/>
                <w:sz w:val="24"/>
                <w:szCs w:val="20"/>
                <w:highlight w:val="none"/>
              </w:rPr>
              <w:t>根据《产业结构调整指导目录</w:t>
            </w:r>
            <w:r>
              <w:rPr>
                <w:rFonts w:hint="eastAsia"/>
                <w:color w:val="auto"/>
                <w:sz w:val="24"/>
                <w:szCs w:val="20"/>
                <w:highlight w:val="none"/>
              </w:rPr>
              <w:t>（</w:t>
            </w:r>
            <w:r>
              <w:rPr>
                <w:color w:val="auto"/>
                <w:sz w:val="24"/>
                <w:szCs w:val="20"/>
                <w:highlight w:val="none"/>
              </w:rPr>
              <w:t>2011年本</w:t>
            </w:r>
            <w:r>
              <w:rPr>
                <w:rFonts w:hint="eastAsia"/>
                <w:color w:val="auto"/>
                <w:sz w:val="24"/>
                <w:szCs w:val="20"/>
                <w:highlight w:val="none"/>
              </w:rPr>
              <w:t>）</w:t>
            </w:r>
            <w:r>
              <w:rPr>
                <w:color w:val="auto"/>
                <w:sz w:val="24"/>
                <w:szCs w:val="20"/>
                <w:highlight w:val="none"/>
              </w:rPr>
              <w:t>》（2013年修正），本项目不属于鼓励类，限制类和淘汰类，符合国家产业政策要求。</w:t>
            </w:r>
          </w:p>
          <w:p>
            <w:pPr>
              <w:spacing w:line="360" w:lineRule="auto"/>
              <w:rPr>
                <w:rFonts w:eastAsia="黑体"/>
                <w:color w:val="auto"/>
                <w:sz w:val="24"/>
                <w:highlight w:val="none"/>
              </w:rPr>
            </w:pPr>
            <w:r>
              <w:rPr>
                <w:rFonts w:eastAsia="黑体"/>
                <w:color w:val="auto"/>
                <w:sz w:val="24"/>
                <w:highlight w:val="none"/>
              </w:rPr>
              <w:t>1.2.1</w:t>
            </w:r>
            <w:r>
              <w:rPr>
                <w:rFonts w:hint="eastAsia" w:eastAsia="黑体"/>
                <w:color w:val="auto"/>
                <w:sz w:val="24"/>
                <w:highlight w:val="none"/>
              </w:rPr>
              <w:t>相关政策的符合性分析</w:t>
            </w:r>
          </w:p>
          <w:p>
            <w:pPr>
              <w:spacing w:line="360" w:lineRule="auto"/>
              <w:ind w:firstLine="465"/>
              <w:jc w:val="center"/>
              <w:rPr>
                <w:rFonts w:ascii="黑体" w:hAnsi="黑体" w:eastAsia="黑体"/>
                <w:b/>
                <w:bCs/>
                <w:color w:val="auto"/>
                <w:sz w:val="24"/>
                <w:highlight w:val="none"/>
              </w:rPr>
            </w:pPr>
            <w:r>
              <w:rPr>
                <w:rFonts w:hint="eastAsia" w:ascii="黑体" w:hAnsi="黑体" w:eastAsia="黑体"/>
                <w:color w:val="auto"/>
                <w:sz w:val="24"/>
                <w:highlight w:val="none"/>
              </w:rPr>
              <w:t>表</w:t>
            </w:r>
            <w:r>
              <w:rPr>
                <w:rFonts w:ascii="黑体" w:hAnsi="黑体" w:eastAsia="黑体"/>
                <w:color w:val="auto"/>
                <w:sz w:val="24"/>
                <w:highlight w:val="none"/>
              </w:rPr>
              <w:t xml:space="preserve">1-1   </w:t>
            </w:r>
            <w:r>
              <w:rPr>
                <w:rFonts w:hint="eastAsia" w:ascii="黑体" w:hAnsi="黑体" w:eastAsia="黑体"/>
                <w:color w:val="auto"/>
                <w:sz w:val="24"/>
                <w:highlight w:val="none"/>
              </w:rPr>
              <w:t>项目与相关</w:t>
            </w:r>
            <w:r>
              <w:rPr>
                <w:rFonts w:ascii="黑体" w:hAnsi="黑体" w:eastAsia="黑体"/>
                <w:color w:val="auto"/>
                <w:sz w:val="24"/>
                <w:highlight w:val="none"/>
              </w:rPr>
              <w:t>政策的符合性判定</w:t>
            </w:r>
            <w:r>
              <w:rPr>
                <w:rFonts w:hint="eastAsia" w:ascii="黑体" w:hAnsi="黑体" w:eastAsia="黑体"/>
                <w:color w:val="auto"/>
                <w:sz w:val="24"/>
                <w:highlight w:val="none"/>
              </w:rPr>
              <w:t>表</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
              <w:gridCol w:w="1075"/>
              <w:gridCol w:w="5162"/>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 w:type="dxa"/>
                </w:tcPr>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r>
                    <w:rPr>
                      <w:rFonts w:hint="eastAsia"/>
                      <w:color w:val="auto"/>
                      <w:sz w:val="21"/>
                      <w:szCs w:val="21"/>
                      <w:highlight w:val="none"/>
                    </w:rPr>
                    <w:t>序号</w:t>
                  </w:r>
                </w:p>
              </w:tc>
              <w:tc>
                <w:tcPr>
                  <w:tcW w:w="1075" w:type="dxa"/>
                </w:tcPr>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r>
                    <w:rPr>
                      <w:rFonts w:hint="eastAsia"/>
                      <w:color w:val="auto"/>
                      <w:sz w:val="21"/>
                      <w:szCs w:val="21"/>
                      <w:highlight w:val="none"/>
                    </w:rPr>
                    <w:t>名称</w:t>
                  </w:r>
                </w:p>
              </w:tc>
              <w:tc>
                <w:tcPr>
                  <w:tcW w:w="5162" w:type="dxa"/>
                </w:tcPr>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r>
                    <w:rPr>
                      <w:rFonts w:hint="eastAsia"/>
                      <w:color w:val="auto"/>
                      <w:sz w:val="21"/>
                      <w:szCs w:val="21"/>
                      <w:highlight w:val="none"/>
                    </w:rPr>
                    <w:t>要求</w:t>
                  </w:r>
                </w:p>
              </w:tc>
              <w:tc>
                <w:tcPr>
                  <w:tcW w:w="2459" w:type="dxa"/>
                </w:tcPr>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r>
                    <w:rPr>
                      <w:rFonts w:hint="eastAsia"/>
                      <w:color w:val="auto"/>
                      <w:sz w:val="21"/>
                      <w:szCs w:val="21"/>
                      <w:highlight w:val="none"/>
                    </w:rPr>
                    <w:t>本项目符合性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 w:type="dxa"/>
                </w:tcPr>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r>
                    <w:rPr>
                      <w:rFonts w:hint="eastAsia"/>
                      <w:color w:val="auto"/>
                      <w:sz w:val="21"/>
                      <w:szCs w:val="21"/>
                      <w:highlight w:val="none"/>
                    </w:rPr>
                    <w:t>1</w:t>
                  </w:r>
                </w:p>
              </w:tc>
              <w:tc>
                <w:tcPr>
                  <w:tcW w:w="1075" w:type="dxa"/>
                </w:tcPr>
                <w:p>
                  <w:pPr>
                    <w:pageBreakBefore w:val="0"/>
                    <w:widowControl w:val="0"/>
                    <w:kinsoku/>
                    <w:wordWrap/>
                    <w:overflowPunct/>
                    <w:topLinePunct w:val="0"/>
                    <w:autoSpaceDE/>
                    <w:autoSpaceDN/>
                    <w:bidi w:val="0"/>
                    <w:adjustRightInd/>
                    <w:snapToGrid w:val="0"/>
                    <w:spacing w:line="240" w:lineRule="auto"/>
                    <w:ind w:firstLine="420" w:firstLineChars="200"/>
                    <w:textAlignment w:val="auto"/>
                    <w:rPr>
                      <w:color w:val="auto"/>
                      <w:sz w:val="21"/>
                      <w:szCs w:val="21"/>
                      <w:highlight w:val="none"/>
                    </w:rPr>
                  </w:pPr>
                  <w:r>
                    <w:rPr>
                      <w:bCs/>
                      <w:color w:val="auto"/>
                      <w:sz w:val="21"/>
                      <w:szCs w:val="21"/>
                      <w:highlight w:val="none"/>
                    </w:rPr>
                    <w:t>《西安市“铁腕治霾·保卫蓝天”三年行动方案（2018—2020年）》（</w:t>
                  </w:r>
                  <w:r>
                    <w:rPr>
                      <w:rFonts w:hint="eastAsia"/>
                      <w:bCs/>
                      <w:color w:val="auto"/>
                      <w:sz w:val="21"/>
                      <w:szCs w:val="21"/>
                      <w:highlight w:val="none"/>
                    </w:rPr>
                    <w:t>修订版</w:t>
                  </w:r>
                  <w:r>
                    <w:rPr>
                      <w:bCs/>
                      <w:color w:val="auto"/>
                      <w:sz w:val="21"/>
                      <w:szCs w:val="21"/>
                      <w:highlight w:val="none"/>
                    </w:rPr>
                    <w:t>）</w:t>
                  </w:r>
                </w:p>
              </w:tc>
              <w:tc>
                <w:tcPr>
                  <w:tcW w:w="5162" w:type="dxa"/>
                </w:tcPr>
                <w:p>
                  <w:pPr>
                    <w:pageBreakBefore w:val="0"/>
                    <w:widowControl w:val="0"/>
                    <w:kinsoku/>
                    <w:wordWrap/>
                    <w:overflowPunct/>
                    <w:topLinePunct w:val="0"/>
                    <w:autoSpaceDE/>
                    <w:autoSpaceDN/>
                    <w:bidi w:val="0"/>
                    <w:adjustRightInd/>
                    <w:snapToGrid w:val="0"/>
                    <w:spacing w:line="240" w:lineRule="auto"/>
                    <w:textAlignment w:val="auto"/>
                    <w:rPr>
                      <w:bCs/>
                      <w:color w:val="auto"/>
                      <w:sz w:val="21"/>
                      <w:szCs w:val="21"/>
                      <w:highlight w:val="none"/>
                    </w:rPr>
                  </w:pPr>
                  <w:r>
                    <w:rPr>
                      <w:rFonts w:hint="eastAsia"/>
                      <w:bCs/>
                      <w:color w:val="auto"/>
                      <w:sz w:val="21"/>
                      <w:szCs w:val="21"/>
                      <w:highlight w:val="none"/>
                    </w:rPr>
                    <w:t>六</w:t>
                  </w:r>
                  <w:r>
                    <w:rPr>
                      <w:bCs/>
                      <w:color w:val="auto"/>
                      <w:sz w:val="21"/>
                      <w:szCs w:val="21"/>
                      <w:highlight w:val="none"/>
                    </w:rPr>
                    <w:t>、</w:t>
                  </w:r>
                  <w:r>
                    <w:rPr>
                      <w:b/>
                      <w:color w:val="auto"/>
                      <w:sz w:val="21"/>
                      <w:szCs w:val="21"/>
                      <w:highlight w:val="none"/>
                    </w:rPr>
                    <w:t>实</w:t>
                  </w:r>
                  <w:r>
                    <w:rPr>
                      <w:bCs/>
                      <w:color w:val="auto"/>
                      <w:sz w:val="21"/>
                      <w:szCs w:val="21"/>
                      <w:highlight w:val="none"/>
                    </w:rPr>
                    <w:t>施重大专项行动，大幅降低污染物排放（</w:t>
                  </w:r>
                  <w:r>
                    <w:rPr>
                      <w:rFonts w:hint="eastAsia"/>
                      <w:bCs/>
                      <w:color w:val="auto"/>
                      <w:sz w:val="21"/>
                      <w:szCs w:val="21"/>
                      <w:highlight w:val="none"/>
                    </w:rPr>
                    <w:t>四十</w:t>
                  </w:r>
                  <w:r>
                    <w:rPr>
                      <w:bCs/>
                      <w:color w:val="auto"/>
                      <w:sz w:val="21"/>
                      <w:szCs w:val="21"/>
                      <w:highlight w:val="none"/>
                    </w:rPr>
                    <w:t>）</w:t>
                  </w:r>
                  <w:r>
                    <w:rPr>
                      <w:rFonts w:hint="eastAsia"/>
                      <w:bCs/>
                      <w:color w:val="auto"/>
                      <w:sz w:val="21"/>
                      <w:szCs w:val="21"/>
                      <w:highlight w:val="none"/>
                    </w:rPr>
                    <w:t>实施VOCs专项整治方案。各市制订石化、化工、工业涂装、包装</w:t>
                  </w:r>
                  <w:r>
                    <w:rPr>
                      <w:rFonts w:hint="eastAsia"/>
                      <w:b/>
                      <w:bCs/>
                      <w:color w:val="auto"/>
                      <w:sz w:val="21"/>
                      <w:szCs w:val="21"/>
                      <w:highlight w:val="none"/>
                    </w:rPr>
                    <w:t>印刷</w:t>
                  </w:r>
                  <w:r>
                    <w:rPr>
                      <w:rFonts w:hint="eastAsia"/>
                      <w:bCs/>
                      <w:color w:val="auto"/>
                      <w:sz w:val="21"/>
                      <w:szCs w:val="21"/>
                      <w:highlight w:val="none"/>
                    </w:rPr>
                    <w:t>、家具、电子制造、工程机械制造等VOCs排放重点行业挥发性有机物整治方案。在煤化工行业开展泄漏检测与修复。关中地区禁止建设生产和使用高VOCs含量的溶剂型涂料、</w:t>
                  </w:r>
                  <w:r>
                    <w:rPr>
                      <w:rFonts w:hint="eastAsia"/>
                      <w:b/>
                      <w:bCs/>
                      <w:color w:val="auto"/>
                      <w:sz w:val="21"/>
                      <w:szCs w:val="21"/>
                      <w:highlight w:val="none"/>
                    </w:rPr>
                    <w:t>油墨</w:t>
                  </w:r>
                  <w:r>
                    <w:rPr>
                      <w:rFonts w:hint="eastAsia"/>
                      <w:bCs/>
                      <w:color w:val="auto"/>
                      <w:sz w:val="21"/>
                      <w:szCs w:val="21"/>
                      <w:highlight w:val="none"/>
                    </w:rPr>
                    <w:t>、胶粘剂等项目，开展VOCs整治专项执法行动，严厉打击违法排污行为，对治理效果差、技术服务能力弱、运营管理水平低的治理单位，公布名单，实行联合惩戒，扶持培育VOCs治理和服务专业化规模化龙头企业。2020年，VOCs排放总量达到国家污染物总量减排任务要求</w:t>
                  </w:r>
                  <w:r>
                    <w:rPr>
                      <w:bCs/>
                      <w:color w:val="auto"/>
                      <w:sz w:val="21"/>
                      <w:szCs w:val="21"/>
                      <w:highlight w:val="none"/>
                    </w:rPr>
                    <w:t>。</w:t>
                  </w:r>
                </w:p>
              </w:tc>
              <w:tc>
                <w:tcPr>
                  <w:tcW w:w="2459" w:type="dxa"/>
                </w:tcPr>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r>
                    <w:rPr>
                      <w:rFonts w:hint="eastAsia"/>
                      <w:color w:val="auto"/>
                      <w:sz w:val="21"/>
                      <w:szCs w:val="21"/>
                      <w:highlight w:val="none"/>
                    </w:rPr>
                    <w:t>本项目属于书本印刷，采用绿色产品认证的环保油墨，且是大豆油墨</w:t>
                  </w:r>
                  <w:r>
                    <w:rPr>
                      <w:color w:val="auto"/>
                      <w:sz w:val="21"/>
                      <w:szCs w:val="21"/>
                      <w:highlight w:val="none"/>
                    </w:rPr>
                    <w:t>,</w:t>
                  </w:r>
                  <w:r>
                    <w:rPr>
                      <w:rFonts w:ascii="Arial" w:hAnsi="Arial" w:cs="Arial"/>
                      <w:color w:val="auto"/>
                      <w:sz w:val="21"/>
                      <w:szCs w:val="21"/>
                      <w:highlight w:val="none"/>
                    </w:rPr>
                    <w:t xml:space="preserve"> </w:t>
                  </w:r>
                  <w:r>
                    <w:rPr>
                      <w:rFonts w:hint="eastAsia"/>
                      <w:color w:val="auto"/>
                      <w:sz w:val="21"/>
                      <w:szCs w:val="21"/>
                      <w:highlight w:val="none"/>
                    </w:rPr>
                    <w:t>无</w:t>
                  </w:r>
                  <w:r>
                    <w:rPr>
                      <w:color w:val="auto"/>
                      <w:sz w:val="21"/>
                      <w:szCs w:val="21"/>
                      <w:highlight w:val="none"/>
                    </w:rPr>
                    <w:t>VOCs</w:t>
                  </w:r>
                  <w:r>
                    <w:rPr>
                      <w:rFonts w:hint="eastAsia"/>
                      <w:color w:val="auto"/>
                      <w:sz w:val="21"/>
                      <w:szCs w:val="21"/>
                      <w:highlight w:val="none"/>
                    </w:rPr>
                    <w:t>挥发性物质。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 w:type="dxa"/>
                </w:tcPr>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r>
                    <w:rPr>
                      <w:rFonts w:hint="eastAsia"/>
                      <w:color w:val="auto"/>
                      <w:sz w:val="21"/>
                      <w:szCs w:val="21"/>
                      <w:highlight w:val="none"/>
                    </w:rPr>
                    <w:t>2</w:t>
                  </w:r>
                </w:p>
              </w:tc>
              <w:tc>
                <w:tcPr>
                  <w:tcW w:w="1075" w:type="dxa"/>
                </w:tcPr>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r>
                    <w:rPr>
                      <w:color w:val="auto"/>
                      <w:sz w:val="21"/>
                      <w:szCs w:val="21"/>
                      <w:highlight w:val="none"/>
                    </w:rPr>
                    <w:t>《印刷业“十三五”时期发展规划》</w:t>
                  </w:r>
                </w:p>
              </w:tc>
              <w:tc>
                <w:tcPr>
                  <w:tcW w:w="5162" w:type="dxa"/>
                </w:tcPr>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r>
                    <w:rPr>
                      <w:color w:val="auto"/>
                      <w:sz w:val="21"/>
                      <w:szCs w:val="21"/>
                      <w:highlight w:val="none"/>
                    </w:rPr>
                    <w:t>将“坚持绿色发展道路，增强</w:t>
                  </w:r>
                  <w:r>
                    <w:rPr>
                      <w:rFonts w:hint="eastAsia"/>
                      <w:b/>
                      <w:color w:val="auto"/>
                      <w:sz w:val="21"/>
                      <w:szCs w:val="21"/>
                      <w:highlight w:val="none"/>
                    </w:rPr>
                    <w:t>绿色印刷</w:t>
                  </w:r>
                  <w:r>
                    <w:rPr>
                      <w:color w:val="auto"/>
                      <w:sz w:val="21"/>
                      <w:szCs w:val="21"/>
                      <w:highlight w:val="none"/>
                    </w:rPr>
                    <w:t>实效”列为重点任务，任务要求：继续大力实施绿色印刷，提升产业绿色发展水平。完善绿色印刷实施机制，积极融入国家绿色产品认证工作，发展市场化检测认证。加快绿色印刷标准体系建设，按照“源头削减和过程控制是重点、兼顾末端治理”的思路推动VOCs(挥发性有机物)治理。实施“绿色印刷推广工程”，推动企业降成本、节能耗、减排放，制定绿色原辅材料产品目录，鼓励使用绿色材料和工艺，推动产业链协同发展。推动印刷与出版等上游环节对接，扩大绿色印刷产品范围和市场，形成市场倒逼机制，提高企业的积极性和主动性。组织绿色印刷宣传周，广泛宣传绿色理念，支持绿色印刷对接交流活动。</w:t>
                  </w:r>
                </w:p>
              </w:tc>
              <w:tc>
                <w:tcPr>
                  <w:tcW w:w="2459" w:type="dxa"/>
                </w:tcPr>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r>
                    <w:rPr>
                      <w:color w:val="auto"/>
                      <w:sz w:val="21"/>
                      <w:szCs w:val="21"/>
                      <w:highlight w:val="none"/>
                    </w:rPr>
                    <w:t>原辅材料选择上均采用具有环境标志产品认证的原材料，并将积极进行绿色产品认证。</w:t>
                  </w:r>
                </w:p>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 w:type="dxa"/>
                </w:tcPr>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r>
                    <w:rPr>
                      <w:rFonts w:hint="eastAsia"/>
                      <w:color w:val="auto"/>
                      <w:sz w:val="21"/>
                      <w:szCs w:val="21"/>
                      <w:highlight w:val="none"/>
                    </w:rPr>
                    <w:t>3</w:t>
                  </w:r>
                </w:p>
              </w:tc>
              <w:tc>
                <w:tcPr>
                  <w:tcW w:w="1075" w:type="dxa"/>
                  <w:vMerge w:val="restart"/>
                </w:tcPr>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r>
                    <w:rPr>
                      <w:rFonts w:hint="eastAsia"/>
                      <w:color w:val="auto"/>
                      <w:sz w:val="21"/>
                      <w:szCs w:val="21"/>
                      <w:highlight w:val="none"/>
                    </w:rPr>
                    <w:t>“十三五”挥发性有机物污染防治工作方案（环大气</w:t>
                  </w:r>
                  <w:r>
                    <w:rPr>
                      <w:color w:val="auto"/>
                      <w:sz w:val="21"/>
                      <w:szCs w:val="21"/>
                      <w:highlight w:val="none"/>
                    </w:rPr>
                    <w:t xml:space="preserve">[2017]121 </w:t>
                  </w:r>
                  <w:r>
                    <w:rPr>
                      <w:rFonts w:hint="eastAsia"/>
                      <w:color w:val="auto"/>
                      <w:sz w:val="21"/>
                      <w:szCs w:val="21"/>
                      <w:highlight w:val="none"/>
                    </w:rPr>
                    <w:t>号）</w:t>
                  </w:r>
                </w:p>
              </w:tc>
              <w:tc>
                <w:tcPr>
                  <w:tcW w:w="5162" w:type="dxa"/>
                </w:tcPr>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r>
                    <w:rPr>
                      <w:rFonts w:hint="eastAsia"/>
                      <w:color w:val="auto"/>
                      <w:sz w:val="21"/>
                      <w:szCs w:val="21"/>
                      <w:highlight w:val="none"/>
                    </w:rPr>
                    <w:t xml:space="preserve">    严格建设项目环境准入。提高</w:t>
                  </w:r>
                  <w:r>
                    <w:rPr>
                      <w:color w:val="auto"/>
                      <w:sz w:val="21"/>
                      <w:szCs w:val="21"/>
                      <w:highlight w:val="none"/>
                    </w:rPr>
                    <w:t xml:space="preserve"> VOCs </w:t>
                  </w:r>
                  <w:r>
                    <w:rPr>
                      <w:rFonts w:hint="eastAsia"/>
                      <w:color w:val="auto"/>
                      <w:sz w:val="21"/>
                      <w:szCs w:val="21"/>
                      <w:highlight w:val="none"/>
                    </w:rPr>
                    <w:t>排放重点行业环保准入门槛，严格控制新增污染物排放量。重点地区要严格限制石化、化工、</w:t>
                  </w:r>
                  <w:r>
                    <w:rPr>
                      <w:rFonts w:hint="eastAsia"/>
                      <w:b/>
                      <w:color w:val="auto"/>
                      <w:sz w:val="21"/>
                      <w:szCs w:val="21"/>
                      <w:highlight w:val="none"/>
                    </w:rPr>
                    <w:t>包装印刷</w:t>
                  </w:r>
                  <w:r>
                    <w:rPr>
                      <w:rFonts w:hint="eastAsia"/>
                      <w:color w:val="auto"/>
                      <w:sz w:val="21"/>
                      <w:szCs w:val="21"/>
                      <w:highlight w:val="none"/>
                    </w:rPr>
                    <w:t>、工业涂装等高</w:t>
                  </w:r>
                  <w:r>
                    <w:rPr>
                      <w:color w:val="auto"/>
                      <w:sz w:val="21"/>
                      <w:szCs w:val="21"/>
                      <w:highlight w:val="none"/>
                    </w:rPr>
                    <w:t xml:space="preserve"> VOCs </w:t>
                  </w:r>
                  <w:r>
                    <w:rPr>
                      <w:rFonts w:hint="eastAsia"/>
                      <w:color w:val="auto"/>
                      <w:sz w:val="21"/>
                      <w:szCs w:val="21"/>
                      <w:highlight w:val="none"/>
                    </w:rPr>
                    <w:t>排放建设项目。新建涉</w:t>
                  </w:r>
                  <w:r>
                    <w:rPr>
                      <w:color w:val="auto"/>
                      <w:sz w:val="21"/>
                      <w:szCs w:val="21"/>
                      <w:highlight w:val="none"/>
                    </w:rPr>
                    <w:t xml:space="preserve"> VOCs </w:t>
                  </w:r>
                  <w:r>
                    <w:rPr>
                      <w:rFonts w:hint="eastAsia"/>
                      <w:color w:val="auto"/>
                      <w:sz w:val="21"/>
                      <w:szCs w:val="21"/>
                      <w:highlight w:val="none"/>
                    </w:rPr>
                    <w:t>排放的工业企业要入园区。</w:t>
                  </w:r>
                </w:p>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r>
                    <w:rPr>
                      <w:rFonts w:hint="eastAsia"/>
                      <w:color w:val="auto"/>
                      <w:sz w:val="21"/>
                      <w:szCs w:val="21"/>
                      <w:highlight w:val="none"/>
                    </w:rPr>
                    <w:t xml:space="preserve">    新、改、扩建涉</w:t>
                  </w:r>
                  <w:r>
                    <w:rPr>
                      <w:color w:val="auto"/>
                      <w:sz w:val="21"/>
                      <w:szCs w:val="21"/>
                      <w:highlight w:val="none"/>
                    </w:rPr>
                    <w:t xml:space="preserve"> VOCs </w:t>
                  </w:r>
                  <w:r>
                    <w:rPr>
                      <w:rFonts w:hint="eastAsia"/>
                      <w:color w:val="auto"/>
                      <w:sz w:val="21"/>
                      <w:szCs w:val="21"/>
                      <w:highlight w:val="none"/>
                    </w:rPr>
                    <w:t>排放项目，应从源头加强控制，使用低</w:t>
                  </w:r>
                  <w:r>
                    <w:rPr>
                      <w:rFonts w:hint="eastAsia"/>
                      <w:b/>
                      <w:color w:val="auto"/>
                      <w:sz w:val="21"/>
                      <w:szCs w:val="21"/>
                      <w:highlight w:val="none"/>
                    </w:rPr>
                    <w:t>（无）</w:t>
                  </w:r>
                  <w:r>
                    <w:rPr>
                      <w:b/>
                      <w:color w:val="auto"/>
                      <w:sz w:val="21"/>
                      <w:szCs w:val="21"/>
                      <w:highlight w:val="none"/>
                    </w:rPr>
                    <w:t xml:space="preserve">VOCs </w:t>
                  </w:r>
                  <w:r>
                    <w:rPr>
                      <w:rFonts w:hint="eastAsia"/>
                      <w:color w:val="auto"/>
                      <w:sz w:val="21"/>
                      <w:szCs w:val="21"/>
                      <w:highlight w:val="none"/>
                    </w:rPr>
                    <w:t>含量的原辅材料，加强废气收集，安装高效治理设施</w:t>
                  </w:r>
                </w:p>
              </w:tc>
              <w:tc>
                <w:tcPr>
                  <w:tcW w:w="2459" w:type="dxa"/>
                </w:tcPr>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r>
                    <w:rPr>
                      <w:color w:val="auto"/>
                      <w:sz w:val="21"/>
                      <w:szCs w:val="21"/>
                      <w:highlight w:val="none"/>
                    </w:rPr>
                    <w:t>1</w:t>
                  </w:r>
                  <w:r>
                    <w:rPr>
                      <w:rFonts w:hint="eastAsia"/>
                      <w:color w:val="auto"/>
                      <w:sz w:val="21"/>
                      <w:szCs w:val="21"/>
                      <w:highlight w:val="none"/>
                    </w:rPr>
                    <w:t>、本项目位于陕西澳利森木业集团有限公司厂区内，该公司厂区内厂房众多，已形成了以印刷、木制品制造、机械加工工业的集聚区。</w:t>
                  </w:r>
                </w:p>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r>
                    <w:rPr>
                      <w:color w:val="auto"/>
                      <w:sz w:val="21"/>
                      <w:szCs w:val="21"/>
                      <w:highlight w:val="none"/>
                    </w:rPr>
                    <w:t>2</w:t>
                  </w:r>
                  <w:r>
                    <w:rPr>
                      <w:rFonts w:hint="eastAsia"/>
                      <w:color w:val="auto"/>
                      <w:sz w:val="21"/>
                      <w:szCs w:val="21"/>
                      <w:highlight w:val="none"/>
                    </w:rPr>
                    <w:t>、项目从源头控制，使用大豆油墨，不含</w:t>
                  </w:r>
                  <w:r>
                    <w:rPr>
                      <w:color w:val="auto"/>
                      <w:sz w:val="21"/>
                      <w:szCs w:val="21"/>
                      <w:highlight w:val="none"/>
                    </w:rPr>
                    <w:t>VOC</w:t>
                  </w:r>
                  <w:r>
                    <w:rPr>
                      <w:color w:val="auto"/>
                      <w:sz w:val="21"/>
                      <w:szCs w:val="21"/>
                      <w:highlight w:val="none"/>
                      <w:vertAlign w:val="subscript"/>
                    </w:rPr>
                    <w:t>S</w:t>
                  </w:r>
                  <w:r>
                    <w:rPr>
                      <w:rFonts w:hint="eastAsia"/>
                      <w:color w:val="auto"/>
                      <w:sz w:val="21"/>
                      <w:szCs w:val="21"/>
                      <w:highlight w:val="none"/>
                    </w:rPr>
                    <w:t>，不再属于高</w:t>
                  </w:r>
                  <w:r>
                    <w:rPr>
                      <w:color w:val="auto"/>
                      <w:sz w:val="21"/>
                      <w:szCs w:val="21"/>
                      <w:highlight w:val="none"/>
                    </w:rPr>
                    <w:t xml:space="preserve"> VOC</w:t>
                  </w:r>
                  <w:r>
                    <w:rPr>
                      <w:color w:val="auto"/>
                      <w:sz w:val="21"/>
                      <w:szCs w:val="21"/>
                      <w:highlight w:val="none"/>
                      <w:vertAlign w:val="subscript"/>
                    </w:rPr>
                    <w:t>S</w:t>
                  </w:r>
                  <w:r>
                    <w:rPr>
                      <w:rFonts w:hint="eastAsia"/>
                      <w:color w:val="auto"/>
                      <w:sz w:val="21"/>
                      <w:szCs w:val="21"/>
                      <w:highlight w:val="none"/>
                    </w:rPr>
                    <w:t>排放建设项目。</w:t>
                  </w:r>
                </w:p>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r>
                    <w:rPr>
                      <w:color w:val="auto"/>
                      <w:sz w:val="21"/>
                      <w:szCs w:val="21"/>
                      <w:highlight w:val="none"/>
                    </w:rPr>
                    <w:t>3</w:t>
                  </w:r>
                  <w:r>
                    <w:rPr>
                      <w:rFonts w:hint="eastAsia"/>
                      <w:color w:val="auto"/>
                      <w:sz w:val="21"/>
                      <w:szCs w:val="21"/>
                      <w:highlight w:val="none"/>
                    </w:rPr>
                    <w:t>、因使用润版液挥发的</w:t>
                  </w:r>
                  <w:r>
                    <w:rPr>
                      <w:color w:val="auto"/>
                      <w:sz w:val="21"/>
                      <w:szCs w:val="21"/>
                      <w:highlight w:val="none"/>
                    </w:rPr>
                    <w:t>VOC</w:t>
                  </w:r>
                  <w:r>
                    <w:rPr>
                      <w:color w:val="auto"/>
                      <w:sz w:val="21"/>
                      <w:szCs w:val="21"/>
                      <w:highlight w:val="none"/>
                      <w:vertAlign w:val="subscript"/>
                    </w:rPr>
                    <w:t>S</w:t>
                  </w:r>
                  <w:r>
                    <w:rPr>
                      <w:rFonts w:hint="eastAsia"/>
                      <w:color w:val="auto"/>
                      <w:sz w:val="21"/>
                      <w:szCs w:val="21"/>
                      <w:highlight w:val="none"/>
                    </w:rPr>
                    <w:t>，项目配备挥发性有机物收集处理设施，处理措施符合《西安市环境保局关于规范</w:t>
                  </w:r>
                  <w:r>
                    <w:rPr>
                      <w:color w:val="auto"/>
                      <w:sz w:val="21"/>
                      <w:szCs w:val="21"/>
                      <w:highlight w:val="none"/>
                    </w:rPr>
                    <w:t xml:space="preserve"> 2017 </w:t>
                  </w:r>
                  <w:r>
                    <w:rPr>
                      <w:rFonts w:hint="eastAsia"/>
                      <w:color w:val="auto"/>
                      <w:sz w:val="21"/>
                      <w:szCs w:val="21"/>
                      <w:highlight w:val="none"/>
                    </w:rPr>
                    <w:t>年西安市工业挥发性有机物治理工程的通知》（市环</w:t>
                  </w:r>
                  <w:r>
                    <w:rPr>
                      <w:color w:val="auto"/>
                      <w:sz w:val="21"/>
                      <w:szCs w:val="21"/>
                      <w:highlight w:val="none"/>
                    </w:rPr>
                    <w:t>[2017]35</w:t>
                  </w:r>
                  <w:r>
                    <w:rPr>
                      <w:rFonts w:hint="eastAsia"/>
                      <w:color w:val="auto"/>
                      <w:sz w:val="21"/>
                      <w:szCs w:val="21"/>
                      <w:highlight w:val="none"/>
                    </w:rPr>
                    <w:t>号文件要求。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 w:type="dxa"/>
                </w:tcPr>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r>
                    <w:rPr>
                      <w:rFonts w:hint="eastAsia"/>
                      <w:color w:val="auto"/>
                      <w:sz w:val="21"/>
                      <w:szCs w:val="21"/>
                      <w:highlight w:val="none"/>
                    </w:rPr>
                    <w:t>4</w:t>
                  </w:r>
                </w:p>
              </w:tc>
              <w:tc>
                <w:tcPr>
                  <w:tcW w:w="1075" w:type="dxa"/>
                  <w:vMerge w:val="continue"/>
                </w:tcPr>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p>
              </w:tc>
              <w:tc>
                <w:tcPr>
                  <w:tcW w:w="5162" w:type="dxa"/>
                </w:tcPr>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r>
                    <w:rPr>
                      <w:rFonts w:hint="eastAsia"/>
                      <w:color w:val="auto"/>
                      <w:sz w:val="21"/>
                      <w:szCs w:val="21"/>
                      <w:highlight w:val="none"/>
                    </w:rPr>
                    <w:t>推广使用低</w:t>
                  </w:r>
                  <w:r>
                    <w:rPr>
                      <w:rFonts w:hint="eastAsia"/>
                      <w:b/>
                      <w:color w:val="auto"/>
                      <w:sz w:val="21"/>
                      <w:szCs w:val="21"/>
                      <w:highlight w:val="none"/>
                    </w:rPr>
                    <w:t>（无）</w:t>
                  </w:r>
                  <w:r>
                    <w:rPr>
                      <w:b/>
                      <w:color w:val="auto"/>
                      <w:sz w:val="21"/>
                      <w:szCs w:val="21"/>
                      <w:highlight w:val="none"/>
                    </w:rPr>
                    <w:t xml:space="preserve">VOCs </w:t>
                  </w:r>
                  <w:r>
                    <w:rPr>
                      <w:rFonts w:hint="eastAsia"/>
                      <w:b/>
                      <w:color w:val="auto"/>
                      <w:sz w:val="21"/>
                      <w:szCs w:val="21"/>
                      <w:highlight w:val="none"/>
                    </w:rPr>
                    <w:t>含量的绿色原辅材料</w:t>
                  </w:r>
                  <w:r>
                    <w:rPr>
                      <w:rFonts w:hint="eastAsia"/>
                      <w:color w:val="auto"/>
                      <w:sz w:val="21"/>
                      <w:szCs w:val="21"/>
                      <w:highlight w:val="none"/>
                    </w:rPr>
                    <w:t>和先进生产工艺、设备，加强无组织废气收集，优化烘干技术，配套建设末端治理措施，实现</w:t>
                  </w:r>
                  <w:r>
                    <w:rPr>
                      <w:rFonts w:hint="eastAsia"/>
                      <w:b/>
                      <w:color w:val="auto"/>
                      <w:sz w:val="21"/>
                      <w:szCs w:val="21"/>
                      <w:highlight w:val="none"/>
                    </w:rPr>
                    <w:t>包装印刷行业</w:t>
                  </w:r>
                  <w:r>
                    <w:rPr>
                      <w:color w:val="auto"/>
                      <w:sz w:val="21"/>
                      <w:szCs w:val="21"/>
                      <w:highlight w:val="none"/>
                    </w:rPr>
                    <w:t xml:space="preserve"> VOCs </w:t>
                  </w:r>
                  <w:r>
                    <w:rPr>
                      <w:rFonts w:hint="eastAsia"/>
                      <w:color w:val="auto"/>
                      <w:sz w:val="21"/>
                      <w:szCs w:val="21"/>
                      <w:highlight w:val="none"/>
                    </w:rPr>
                    <w:t>全过程控制。加强源头控制。大力推广使用水性、</w:t>
                  </w:r>
                  <w:r>
                    <w:rPr>
                      <w:rFonts w:hint="eastAsia"/>
                      <w:b/>
                      <w:color w:val="auto"/>
                      <w:sz w:val="21"/>
                      <w:szCs w:val="21"/>
                      <w:highlight w:val="none"/>
                    </w:rPr>
                    <w:t>大豆基</w:t>
                  </w:r>
                  <w:r>
                    <w:rPr>
                      <w:rFonts w:hint="eastAsia"/>
                      <w:color w:val="auto"/>
                      <w:sz w:val="21"/>
                      <w:szCs w:val="21"/>
                      <w:highlight w:val="none"/>
                    </w:rPr>
                    <w:t>、能量固化等低（无）</w:t>
                  </w:r>
                  <w:r>
                    <w:rPr>
                      <w:color w:val="auto"/>
                      <w:sz w:val="21"/>
                      <w:szCs w:val="21"/>
                      <w:highlight w:val="none"/>
                    </w:rPr>
                    <w:t xml:space="preserve">VOCs </w:t>
                  </w:r>
                  <w:r>
                    <w:rPr>
                      <w:rFonts w:hint="eastAsia"/>
                      <w:color w:val="auto"/>
                      <w:sz w:val="21"/>
                      <w:szCs w:val="21"/>
                      <w:highlight w:val="none"/>
                    </w:rPr>
                    <w:t>含量的油墨和低（无）</w:t>
                  </w:r>
                  <w:r>
                    <w:rPr>
                      <w:color w:val="auto"/>
                      <w:sz w:val="21"/>
                      <w:szCs w:val="21"/>
                      <w:highlight w:val="none"/>
                    </w:rPr>
                    <w:t xml:space="preserve">VOCs </w:t>
                  </w:r>
                  <w:r>
                    <w:rPr>
                      <w:rFonts w:hint="eastAsia"/>
                      <w:color w:val="auto"/>
                      <w:sz w:val="21"/>
                      <w:szCs w:val="21"/>
                      <w:highlight w:val="none"/>
                    </w:rPr>
                    <w:t>含量的胶粘剂、清洗剂、</w:t>
                  </w:r>
                  <w:r>
                    <w:rPr>
                      <w:rFonts w:hint="eastAsia"/>
                      <w:b/>
                      <w:color w:val="auto"/>
                      <w:sz w:val="21"/>
                      <w:szCs w:val="21"/>
                      <w:highlight w:val="none"/>
                    </w:rPr>
                    <w:t>润版液</w:t>
                  </w:r>
                  <w:r>
                    <w:rPr>
                      <w:rFonts w:hint="eastAsia"/>
                      <w:color w:val="auto"/>
                      <w:sz w:val="21"/>
                      <w:szCs w:val="21"/>
                      <w:highlight w:val="none"/>
                    </w:rPr>
                    <w:t>、洗车水、涂布液，到</w:t>
                  </w:r>
                  <w:r>
                    <w:rPr>
                      <w:color w:val="auto"/>
                      <w:sz w:val="21"/>
                      <w:szCs w:val="21"/>
                      <w:highlight w:val="none"/>
                    </w:rPr>
                    <w:t xml:space="preserve"> 2019 </w:t>
                  </w:r>
                  <w:r>
                    <w:rPr>
                      <w:rFonts w:hint="eastAsia"/>
                      <w:color w:val="auto"/>
                      <w:sz w:val="21"/>
                      <w:szCs w:val="21"/>
                      <w:highlight w:val="none"/>
                    </w:rPr>
                    <w:t>年底前，低（无）</w:t>
                  </w:r>
                  <w:r>
                    <w:rPr>
                      <w:color w:val="auto"/>
                      <w:sz w:val="21"/>
                      <w:szCs w:val="21"/>
                      <w:highlight w:val="none"/>
                    </w:rPr>
                    <w:t xml:space="preserve">VOCs </w:t>
                  </w:r>
                  <w:r>
                    <w:rPr>
                      <w:rFonts w:hint="eastAsia"/>
                      <w:color w:val="auto"/>
                      <w:sz w:val="21"/>
                      <w:szCs w:val="21"/>
                      <w:highlight w:val="none"/>
                    </w:rPr>
                    <w:t>含量绿色原辅材料替代比例不低于</w:t>
                  </w:r>
                  <w:r>
                    <w:rPr>
                      <w:color w:val="auto"/>
                      <w:sz w:val="21"/>
                      <w:szCs w:val="21"/>
                      <w:highlight w:val="none"/>
                    </w:rPr>
                    <w:t xml:space="preserve"> 60%</w:t>
                  </w:r>
                  <w:r>
                    <w:rPr>
                      <w:rFonts w:hint="eastAsia"/>
                      <w:color w:val="auto"/>
                      <w:sz w:val="21"/>
                      <w:szCs w:val="21"/>
                      <w:highlight w:val="none"/>
                    </w:rPr>
                    <w:t>。</w:t>
                  </w:r>
                </w:p>
              </w:tc>
              <w:tc>
                <w:tcPr>
                  <w:tcW w:w="2459" w:type="dxa"/>
                </w:tcPr>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r>
                    <w:rPr>
                      <w:rFonts w:hint="eastAsia"/>
                      <w:color w:val="auto"/>
                      <w:sz w:val="21"/>
                      <w:szCs w:val="21"/>
                      <w:highlight w:val="none"/>
                    </w:rPr>
                    <w:t>项目使用大豆油墨，不含</w:t>
                  </w:r>
                  <w:r>
                    <w:rPr>
                      <w:color w:val="auto"/>
                      <w:sz w:val="21"/>
                      <w:szCs w:val="21"/>
                      <w:highlight w:val="none"/>
                    </w:rPr>
                    <w:t>VOC</w:t>
                  </w:r>
                  <w:r>
                    <w:rPr>
                      <w:color w:val="auto"/>
                      <w:sz w:val="21"/>
                      <w:szCs w:val="21"/>
                      <w:highlight w:val="none"/>
                      <w:vertAlign w:val="subscript"/>
                    </w:rPr>
                    <w:t>S</w:t>
                  </w:r>
                  <w:r>
                    <w:rPr>
                      <w:rFonts w:hint="eastAsia"/>
                      <w:color w:val="auto"/>
                      <w:sz w:val="21"/>
                      <w:szCs w:val="21"/>
                      <w:highlight w:val="none"/>
                    </w:rPr>
                    <w:t>；使用环保型的润版液，从源头上减少挥发性有机物的产生。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 w:type="dxa"/>
                </w:tcPr>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r>
                    <w:rPr>
                      <w:rFonts w:hint="eastAsia"/>
                      <w:color w:val="auto"/>
                      <w:sz w:val="21"/>
                      <w:szCs w:val="21"/>
                      <w:highlight w:val="none"/>
                    </w:rPr>
                    <w:t>5</w:t>
                  </w:r>
                </w:p>
              </w:tc>
              <w:tc>
                <w:tcPr>
                  <w:tcW w:w="1075" w:type="dxa"/>
                  <w:vMerge w:val="restart"/>
                </w:tcPr>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r>
                    <w:rPr>
                      <w:rFonts w:hint="eastAsia"/>
                      <w:color w:val="auto"/>
                      <w:sz w:val="21"/>
                      <w:szCs w:val="21"/>
                      <w:highlight w:val="none"/>
                    </w:rPr>
                    <w:t>《挥发性有机物</w:t>
                  </w:r>
                </w:p>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r>
                    <w:rPr>
                      <w:rFonts w:hint="eastAsia"/>
                      <w:color w:val="auto"/>
                      <w:sz w:val="21"/>
                      <w:szCs w:val="21"/>
                      <w:highlight w:val="none"/>
                    </w:rPr>
                    <w:t>（</w:t>
                  </w:r>
                  <w:r>
                    <w:rPr>
                      <w:color w:val="auto"/>
                      <w:sz w:val="21"/>
                      <w:szCs w:val="21"/>
                      <w:highlight w:val="none"/>
                    </w:rPr>
                    <w:t>VOCs</w:t>
                  </w:r>
                  <w:r>
                    <w:rPr>
                      <w:rFonts w:hint="eastAsia"/>
                      <w:color w:val="auto"/>
                      <w:sz w:val="21"/>
                      <w:szCs w:val="21"/>
                      <w:highlight w:val="none"/>
                    </w:rPr>
                    <w:t>）污染防治</w:t>
                  </w:r>
                </w:p>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r>
                    <w:rPr>
                      <w:rFonts w:hint="eastAsia"/>
                      <w:color w:val="auto"/>
                      <w:sz w:val="21"/>
                      <w:szCs w:val="21"/>
                      <w:highlight w:val="none"/>
                    </w:rPr>
                    <w:t>技术政策》</w:t>
                  </w:r>
                </w:p>
              </w:tc>
              <w:tc>
                <w:tcPr>
                  <w:tcW w:w="5162" w:type="dxa"/>
                </w:tcPr>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r>
                    <w:rPr>
                      <w:rFonts w:hint="eastAsia"/>
                      <w:color w:val="auto"/>
                      <w:sz w:val="21"/>
                      <w:szCs w:val="21"/>
                      <w:highlight w:val="none"/>
                    </w:rPr>
                    <w:t xml:space="preserve">    </w:t>
                  </w:r>
                  <w:r>
                    <w:rPr>
                      <w:color w:val="auto"/>
                      <w:sz w:val="21"/>
                      <w:szCs w:val="21"/>
                      <w:highlight w:val="none"/>
                    </w:rPr>
                    <w:t xml:space="preserve">VOCs </w:t>
                  </w:r>
                  <w:r>
                    <w:rPr>
                      <w:rFonts w:hint="eastAsia"/>
                      <w:color w:val="auto"/>
                      <w:sz w:val="21"/>
                      <w:szCs w:val="21"/>
                      <w:highlight w:val="none"/>
                    </w:rPr>
                    <w:t>污染防治应遵循源头和过程控制与末端治理相结合的综合防治原则。在工业生产中采用清洁生产技术，严格控制含</w:t>
                  </w:r>
                  <w:r>
                    <w:rPr>
                      <w:color w:val="auto"/>
                      <w:sz w:val="21"/>
                      <w:szCs w:val="21"/>
                      <w:highlight w:val="none"/>
                    </w:rPr>
                    <w:t xml:space="preserve"> VOCs </w:t>
                  </w:r>
                  <w:r>
                    <w:rPr>
                      <w:rFonts w:hint="eastAsia"/>
                      <w:color w:val="auto"/>
                      <w:sz w:val="21"/>
                      <w:szCs w:val="21"/>
                      <w:highlight w:val="none"/>
                    </w:rPr>
                    <w:t>原料与产品在生产和储运销过程中的</w:t>
                  </w:r>
                  <w:r>
                    <w:rPr>
                      <w:color w:val="auto"/>
                      <w:sz w:val="21"/>
                      <w:szCs w:val="21"/>
                      <w:highlight w:val="none"/>
                    </w:rPr>
                    <w:t xml:space="preserve"> VOCs </w:t>
                  </w:r>
                  <w:r>
                    <w:rPr>
                      <w:rFonts w:hint="eastAsia"/>
                      <w:color w:val="auto"/>
                      <w:sz w:val="21"/>
                      <w:szCs w:val="21"/>
                      <w:highlight w:val="none"/>
                    </w:rPr>
                    <w:t>排放，鼓励对资源和能源的回收利用</w:t>
                  </w:r>
                  <w:r>
                    <w:rPr>
                      <w:color w:val="auto"/>
                      <w:sz w:val="21"/>
                      <w:szCs w:val="21"/>
                      <w:highlight w:val="none"/>
                    </w:rPr>
                    <w:t>;</w:t>
                  </w:r>
                  <w:r>
                    <w:rPr>
                      <w:rFonts w:hint="eastAsia"/>
                      <w:color w:val="auto"/>
                      <w:sz w:val="21"/>
                      <w:szCs w:val="21"/>
                      <w:highlight w:val="none"/>
                    </w:rPr>
                    <w:t>鼓励在生产和生活中使用</w:t>
                  </w:r>
                  <w:r>
                    <w:rPr>
                      <w:rFonts w:hint="eastAsia"/>
                      <w:b/>
                      <w:color w:val="auto"/>
                      <w:sz w:val="21"/>
                      <w:szCs w:val="21"/>
                      <w:highlight w:val="none"/>
                    </w:rPr>
                    <w:t>不含</w:t>
                  </w:r>
                  <w:r>
                    <w:rPr>
                      <w:b/>
                      <w:color w:val="auto"/>
                      <w:sz w:val="21"/>
                      <w:szCs w:val="21"/>
                      <w:highlight w:val="none"/>
                    </w:rPr>
                    <w:t xml:space="preserve"> VOCs </w:t>
                  </w:r>
                  <w:r>
                    <w:rPr>
                      <w:rFonts w:hint="eastAsia"/>
                      <w:color w:val="auto"/>
                      <w:sz w:val="21"/>
                      <w:szCs w:val="21"/>
                      <w:highlight w:val="none"/>
                    </w:rPr>
                    <w:t>的替代产品或低</w:t>
                  </w:r>
                  <w:r>
                    <w:rPr>
                      <w:color w:val="auto"/>
                      <w:sz w:val="21"/>
                      <w:szCs w:val="21"/>
                      <w:highlight w:val="none"/>
                    </w:rPr>
                    <w:t xml:space="preserve"> VOCs </w:t>
                  </w:r>
                  <w:r>
                    <w:rPr>
                      <w:rFonts w:hint="eastAsia"/>
                      <w:color w:val="auto"/>
                      <w:sz w:val="21"/>
                      <w:szCs w:val="21"/>
                      <w:highlight w:val="none"/>
                    </w:rPr>
                    <w:t>含量的产品。</w:t>
                  </w:r>
                </w:p>
              </w:tc>
              <w:tc>
                <w:tcPr>
                  <w:tcW w:w="2459" w:type="dxa"/>
                </w:tcPr>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r>
                    <w:rPr>
                      <w:rFonts w:hint="eastAsia"/>
                      <w:color w:val="auto"/>
                      <w:sz w:val="21"/>
                      <w:szCs w:val="21"/>
                      <w:highlight w:val="none"/>
                    </w:rPr>
                    <w:t>项目全部使用大豆油墨，已经从源头控制</w:t>
                  </w:r>
                  <w:r>
                    <w:rPr>
                      <w:color w:val="auto"/>
                      <w:sz w:val="21"/>
                      <w:szCs w:val="21"/>
                      <w:highlight w:val="none"/>
                    </w:rPr>
                    <w:t xml:space="preserve">VOCs </w:t>
                  </w:r>
                  <w:r>
                    <w:rPr>
                      <w:rFonts w:hint="eastAsia"/>
                      <w:color w:val="auto"/>
                      <w:sz w:val="21"/>
                      <w:szCs w:val="21"/>
                      <w:highlight w:val="none"/>
                    </w:rPr>
                    <w:t>的产生，属于鼓励政策。</w:t>
                  </w:r>
                </w:p>
                <w:p>
                  <w:pPr>
                    <w:keepNext/>
                    <w:keepLines/>
                    <w:pageBreakBefore w:val="0"/>
                    <w:widowControl w:val="0"/>
                    <w:kinsoku/>
                    <w:wordWrap/>
                    <w:overflowPunct/>
                    <w:topLinePunct w:val="0"/>
                    <w:autoSpaceDE/>
                    <w:autoSpaceDN/>
                    <w:bidi w:val="0"/>
                    <w:adjustRightInd/>
                    <w:snapToGrid w:val="0"/>
                    <w:spacing w:before="260" w:after="260" w:line="240" w:lineRule="auto"/>
                    <w:textAlignment w:val="auto"/>
                    <w:outlineLvl w:val="2"/>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 w:type="dxa"/>
                </w:tcPr>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r>
                    <w:rPr>
                      <w:rFonts w:hint="eastAsia"/>
                      <w:color w:val="auto"/>
                      <w:sz w:val="21"/>
                      <w:szCs w:val="21"/>
                      <w:highlight w:val="none"/>
                    </w:rPr>
                    <w:t>6</w:t>
                  </w:r>
                </w:p>
              </w:tc>
              <w:tc>
                <w:tcPr>
                  <w:tcW w:w="1075" w:type="dxa"/>
                  <w:vMerge w:val="continue"/>
                </w:tcPr>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p>
              </w:tc>
              <w:tc>
                <w:tcPr>
                  <w:tcW w:w="5162" w:type="dxa"/>
                </w:tcPr>
                <w:p>
                  <w:pPr>
                    <w:pageBreakBefore w:val="0"/>
                    <w:widowControl w:val="0"/>
                    <w:kinsoku/>
                    <w:wordWrap/>
                    <w:overflowPunct/>
                    <w:topLinePunct w:val="0"/>
                    <w:autoSpaceDE/>
                    <w:autoSpaceDN/>
                    <w:bidi w:val="0"/>
                    <w:adjustRightInd/>
                    <w:snapToGrid w:val="0"/>
                    <w:spacing w:line="240" w:lineRule="auto"/>
                    <w:ind w:firstLine="420" w:firstLineChars="200"/>
                    <w:textAlignment w:val="auto"/>
                    <w:rPr>
                      <w:color w:val="auto"/>
                      <w:sz w:val="21"/>
                      <w:szCs w:val="21"/>
                      <w:highlight w:val="none"/>
                    </w:rPr>
                  </w:pPr>
                  <w:r>
                    <w:rPr>
                      <w:rFonts w:hint="eastAsia"/>
                      <w:color w:val="auto"/>
                      <w:sz w:val="21"/>
                      <w:szCs w:val="21"/>
                      <w:highlight w:val="none"/>
                    </w:rPr>
                    <w:t>鼓励使用通过环境标志产品认证的环保型涂料、油墨、胶粘剂和清洗剂；</w:t>
                  </w:r>
                </w:p>
              </w:tc>
              <w:tc>
                <w:tcPr>
                  <w:tcW w:w="2459" w:type="dxa"/>
                </w:tcPr>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r>
                    <w:rPr>
                      <w:color w:val="auto"/>
                      <w:sz w:val="21"/>
                      <w:szCs w:val="21"/>
                      <w:highlight w:val="none"/>
                    </w:rPr>
                    <w:t>.</w:t>
                  </w:r>
                  <w:r>
                    <w:rPr>
                      <w:rFonts w:hint="eastAsia"/>
                      <w:color w:val="auto"/>
                      <w:sz w:val="21"/>
                      <w:szCs w:val="21"/>
                      <w:highlight w:val="none"/>
                    </w:rPr>
                    <w:t>本项目使用的油墨、润版液、热熔胶均为环境标志产品认证产品；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 w:type="dxa"/>
                </w:tcPr>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r>
                    <w:rPr>
                      <w:rFonts w:hint="eastAsia"/>
                      <w:color w:val="auto"/>
                      <w:sz w:val="21"/>
                      <w:szCs w:val="21"/>
                      <w:highlight w:val="none"/>
                    </w:rPr>
                    <w:t>7</w:t>
                  </w:r>
                </w:p>
              </w:tc>
              <w:tc>
                <w:tcPr>
                  <w:tcW w:w="1075" w:type="dxa"/>
                  <w:vMerge w:val="continue"/>
                </w:tcPr>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p>
              </w:tc>
              <w:tc>
                <w:tcPr>
                  <w:tcW w:w="5162" w:type="dxa"/>
                </w:tcPr>
                <w:p>
                  <w:pPr>
                    <w:pageBreakBefore w:val="0"/>
                    <w:widowControl w:val="0"/>
                    <w:kinsoku/>
                    <w:wordWrap/>
                    <w:overflowPunct/>
                    <w:topLinePunct w:val="0"/>
                    <w:autoSpaceDE/>
                    <w:autoSpaceDN/>
                    <w:bidi w:val="0"/>
                    <w:adjustRightInd/>
                    <w:snapToGrid w:val="0"/>
                    <w:spacing w:line="240" w:lineRule="auto"/>
                    <w:ind w:firstLine="420" w:firstLineChars="200"/>
                    <w:textAlignment w:val="auto"/>
                    <w:rPr>
                      <w:color w:val="auto"/>
                      <w:sz w:val="21"/>
                      <w:szCs w:val="21"/>
                      <w:highlight w:val="none"/>
                    </w:rPr>
                  </w:pPr>
                  <w:r>
                    <w:rPr>
                      <w:rFonts w:hint="eastAsia"/>
                      <w:color w:val="auto"/>
                      <w:sz w:val="21"/>
                      <w:szCs w:val="21"/>
                      <w:highlight w:val="none"/>
                    </w:rPr>
                    <w:t>含</w:t>
                  </w:r>
                  <w:r>
                    <w:rPr>
                      <w:color w:val="auto"/>
                      <w:sz w:val="21"/>
                      <w:szCs w:val="21"/>
                      <w:highlight w:val="none"/>
                    </w:rPr>
                    <w:t xml:space="preserve"> VOCs </w:t>
                  </w:r>
                  <w:r>
                    <w:rPr>
                      <w:rFonts w:hint="eastAsia"/>
                      <w:color w:val="auto"/>
                      <w:sz w:val="21"/>
                      <w:szCs w:val="21"/>
                      <w:highlight w:val="none"/>
                    </w:rPr>
                    <w:t>产品的使用过程中，应采取废气收集措施，提高废气收集效率，减少废气的无组织排放与逸散，并对收集后的废气进行回收或处理后达标排放。</w:t>
                  </w:r>
                </w:p>
              </w:tc>
              <w:tc>
                <w:tcPr>
                  <w:tcW w:w="2459" w:type="dxa"/>
                </w:tcPr>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r>
                    <w:rPr>
                      <w:rFonts w:hint="eastAsia"/>
                      <w:color w:val="auto"/>
                      <w:sz w:val="21"/>
                      <w:szCs w:val="21"/>
                      <w:highlight w:val="none"/>
                    </w:rPr>
                    <w:t>项目采取了有机废气收集、处理措施，可以做到达标排放。</w:t>
                  </w:r>
                </w:p>
                <w:p>
                  <w:pPr>
                    <w:keepNext/>
                    <w:keepLines/>
                    <w:pageBreakBefore w:val="0"/>
                    <w:widowControl w:val="0"/>
                    <w:kinsoku/>
                    <w:wordWrap/>
                    <w:overflowPunct/>
                    <w:topLinePunct w:val="0"/>
                    <w:autoSpaceDE/>
                    <w:autoSpaceDN/>
                    <w:bidi w:val="0"/>
                    <w:adjustRightInd/>
                    <w:snapToGrid w:val="0"/>
                    <w:spacing w:before="260" w:after="260" w:line="240" w:lineRule="auto"/>
                    <w:textAlignment w:val="auto"/>
                    <w:outlineLvl w:val="2"/>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 w:type="dxa"/>
                </w:tcPr>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r>
                    <w:rPr>
                      <w:rFonts w:hint="eastAsia"/>
                      <w:color w:val="auto"/>
                      <w:sz w:val="21"/>
                      <w:szCs w:val="21"/>
                      <w:highlight w:val="none"/>
                    </w:rPr>
                    <w:t>8</w:t>
                  </w:r>
                </w:p>
              </w:tc>
              <w:tc>
                <w:tcPr>
                  <w:tcW w:w="1075" w:type="dxa"/>
                  <w:vMerge w:val="continue"/>
                </w:tcPr>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p>
              </w:tc>
              <w:tc>
                <w:tcPr>
                  <w:tcW w:w="5162" w:type="dxa"/>
                </w:tcPr>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r>
                    <w:rPr>
                      <w:rFonts w:hint="eastAsia"/>
                      <w:color w:val="auto"/>
                      <w:sz w:val="21"/>
                      <w:szCs w:val="21"/>
                      <w:highlight w:val="none"/>
                    </w:rPr>
                    <w:t xml:space="preserve">    对于</w:t>
                  </w:r>
                  <w:r>
                    <w:rPr>
                      <w:rFonts w:hint="eastAsia"/>
                      <w:b/>
                      <w:color w:val="auto"/>
                      <w:sz w:val="21"/>
                      <w:szCs w:val="21"/>
                      <w:highlight w:val="none"/>
                    </w:rPr>
                    <w:t>含低浓度</w:t>
                  </w:r>
                  <w:r>
                    <w:rPr>
                      <w:b/>
                      <w:color w:val="auto"/>
                      <w:sz w:val="21"/>
                      <w:szCs w:val="21"/>
                      <w:highlight w:val="none"/>
                    </w:rPr>
                    <w:t xml:space="preserve"> VOCs </w:t>
                  </w:r>
                  <w:r>
                    <w:rPr>
                      <w:rFonts w:hint="eastAsia"/>
                      <w:b/>
                      <w:color w:val="auto"/>
                      <w:sz w:val="21"/>
                      <w:szCs w:val="21"/>
                      <w:highlight w:val="none"/>
                    </w:rPr>
                    <w:t>的废气</w:t>
                  </w:r>
                  <w:r>
                    <w:rPr>
                      <w:rFonts w:hint="eastAsia"/>
                      <w:color w:val="auto"/>
                      <w:sz w:val="21"/>
                      <w:szCs w:val="21"/>
                      <w:highlight w:val="none"/>
                    </w:rPr>
                    <w:t>，有回收价值时可采用吸附技术、吸收技术对有机溶剂回收后达标排放；不宜回收时，可采用吸附浓缩燃烧技术、生物技术、吸收技术、等离子体技术或</w:t>
                  </w:r>
                  <w:r>
                    <w:rPr>
                      <w:rFonts w:hint="eastAsia"/>
                      <w:b/>
                      <w:color w:val="auto"/>
                      <w:sz w:val="21"/>
                      <w:szCs w:val="21"/>
                      <w:highlight w:val="none"/>
                    </w:rPr>
                    <w:t>紫外光高级氧化技</w:t>
                  </w:r>
                  <w:r>
                    <w:rPr>
                      <w:rFonts w:hint="eastAsia"/>
                      <w:color w:val="auto"/>
                      <w:sz w:val="21"/>
                      <w:szCs w:val="21"/>
                      <w:highlight w:val="none"/>
                    </w:rPr>
                    <w:t>术等净化后达标排放。</w:t>
                  </w:r>
                </w:p>
              </w:tc>
              <w:tc>
                <w:tcPr>
                  <w:tcW w:w="2459" w:type="dxa"/>
                </w:tcPr>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r>
                    <w:rPr>
                      <w:rFonts w:hint="eastAsia"/>
                      <w:color w:val="auto"/>
                      <w:sz w:val="21"/>
                      <w:szCs w:val="21"/>
                      <w:highlight w:val="none"/>
                    </w:rPr>
                    <w:t>项目印刷废气属低浓度</w:t>
                  </w:r>
                  <w:r>
                    <w:rPr>
                      <w:color w:val="auto"/>
                      <w:sz w:val="21"/>
                      <w:szCs w:val="21"/>
                      <w:highlight w:val="none"/>
                    </w:rPr>
                    <w:t xml:space="preserve">VOCs </w:t>
                  </w:r>
                  <w:r>
                    <w:rPr>
                      <w:rFonts w:hint="eastAsia"/>
                      <w:color w:val="auto"/>
                      <w:sz w:val="21"/>
                      <w:szCs w:val="21"/>
                      <w:highlight w:val="none"/>
                    </w:rPr>
                    <w:t>的废气，且排放量极小不具备回收价值，项目拟采用</w:t>
                  </w:r>
                  <w:r>
                    <w:rPr>
                      <w:color w:val="auto"/>
                      <w:sz w:val="21"/>
                      <w:szCs w:val="21"/>
                      <w:highlight w:val="none"/>
                    </w:rPr>
                    <w:t>UV</w:t>
                  </w:r>
                  <w:r>
                    <w:rPr>
                      <w:rFonts w:hint="eastAsia"/>
                      <w:color w:val="auto"/>
                      <w:sz w:val="21"/>
                      <w:szCs w:val="21"/>
                      <w:highlight w:val="none"/>
                    </w:rPr>
                    <w:t>光解</w:t>
                  </w:r>
                  <w:r>
                    <w:rPr>
                      <w:color w:val="auto"/>
                      <w:sz w:val="21"/>
                      <w:szCs w:val="21"/>
                      <w:highlight w:val="none"/>
                    </w:rPr>
                    <w:t>+</w:t>
                  </w:r>
                  <w:r>
                    <w:rPr>
                      <w:rFonts w:hint="eastAsia"/>
                      <w:color w:val="auto"/>
                      <w:sz w:val="21"/>
                      <w:szCs w:val="21"/>
                      <w:highlight w:val="none"/>
                    </w:rPr>
                    <w:t>活性炭吸附技术进行净化，经预测可以达标排放。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 w:type="dxa"/>
                  <w:vMerge w:val="restart"/>
                </w:tcPr>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r>
                    <w:rPr>
                      <w:rFonts w:hint="eastAsia"/>
                      <w:color w:val="auto"/>
                      <w:sz w:val="21"/>
                      <w:szCs w:val="21"/>
                      <w:highlight w:val="none"/>
                    </w:rPr>
                    <w:t>9</w:t>
                  </w:r>
                </w:p>
              </w:tc>
              <w:tc>
                <w:tcPr>
                  <w:tcW w:w="1075" w:type="dxa"/>
                  <w:vMerge w:val="restart"/>
                </w:tcPr>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r>
                    <w:rPr>
                      <w:rFonts w:hint="eastAsia"/>
                      <w:color w:val="auto"/>
                      <w:sz w:val="21"/>
                      <w:szCs w:val="21"/>
                      <w:highlight w:val="none"/>
                    </w:rPr>
                    <w:t>《西安市环境保局</w:t>
                  </w:r>
                </w:p>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r>
                    <w:rPr>
                      <w:rFonts w:hint="eastAsia"/>
                      <w:color w:val="auto"/>
                      <w:sz w:val="21"/>
                      <w:szCs w:val="21"/>
                      <w:highlight w:val="none"/>
                    </w:rPr>
                    <w:t>关于规范</w:t>
                  </w:r>
                  <w:r>
                    <w:rPr>
                      <w:color w:val="auto"/>
                      <w:sz w:val="21"/>
                      <w:szCs w:val="21"/>
                      <w:highlight w:val="none"/>
                    </w:rPr>
                    <w:t xml:space="preserve"> 2017 </w:t>
                  </w:r>
                  <w:r>
                    <w:rPr>
                      <w:rFonts w:hint="eastAsia"/>
                      <w:color w:val="auto"/>
                      <w:sz w:val="21"/>
                      <w:szCs w:val="21"/>
                      <w:highlight w:val="none"/>
                    </w:rPr>
                    <w:t>年西安市工业挥发性</w:t>
                  </w:r>
                </w:p>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r>
                    <w:rPr>
                      <w:rFonts w:hint="eastAsia"/>
                      <w:color w:val="auto"/>
                      <w:sz w:val="21"/>
                      <w:szCs w:val="21"/>
                      <w:highlight w:val="none"/>
                    </w:rPr>
                    <w:t>有机物治理工程的</w:t>
                  </w:r>
                </w:p>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r>
                    <w:rPr>
                      <w:rFonts w:hint="eastAsia"/>
                      <w:color w:val="auto"/>
                      <w:sz w:val="21"/>
                      <w:szCs w:val="21"/>
                      <w:highlight w:val="none"/>
                    </w:rPr>
                    <w:t>通知》（市环</w:t>
                  </w:r>
                </w:p>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r>
                    <w:rPr>
                      <w:color w:val="auto"/>
                      <w:sz w:val="21"/>
                      <w:szCs w:val="21"/>
                      <w:highlight w:val="none"/>
                    </w:rPr>
                    <w:t xml:space="preserve">[2017]35 </w:t>
                  </w:r>
                  <w:r>
                    <w:rPr>
                      <w:rFonts w:hint="eastAsia"/>
                      <w:color w:val="auto"/>
                      <w:sz w:val="21"/>
                      <w:szCs w:val="21"/>
                      <w:highlight w:val="none"/>
                    </w:rPr>
                    <w:t>号</w:t>
                  </w:r>
                </w:p>
              </w:tc>
              <w:tc>
                <w:tcPr>
                  <w:tcW w:w="5162" w:type="dxa"/>
                </w:tcPr>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r>
                    <w:rPr>
                      <w:rFonts w:hint="eastAsia"/>
                      <w:color w:val="auto"/>
                      <w:sz w:val="21"/>
                      <w:szCs w:val="21"/>
                      <w:highlight w:val="none"/>
                    </w:rPr>
                    <w:t xml:space="preserve">    治理工艺应按照环保部《挥发性有机物（</w:t>
                  </w:r>
                  <w:r>
                    <w:rPr>
                      <w:color w:val="auto"/>
                      <w:sz w:val="21"/>
                      <w:szCs w:val="21"/>
                      <w:highlight w:val="none"/>
                    </w:rPr>
                    <w:t xml:space="preserve">VOC S </w:t>
                  </w:r>
                  <w:r>
                    <w:rPr>
                      <w:rFonts w:hint="eastAsia"/>
                      <w:color w:val="auto"/>
                      <w:sz w:val="21"/>
                      <w:szCs w:val="21"/>
                      <w:highlight w:val="none"/>
                    </w:rPr>
                    <w:t>）污染防治技术政策》，对标政策要求，选择科学合理的处理工艺，进行深度处理，确保污染物经处理后实现资源回收或破坏式消解（建议采用“预处理</w:t>
                  </w:r>
                  <w:r>
                    <w:rPr>
                      <w:color w:val="auto"/>
                      <w:sz w:val="21"/>
                      <w:szCs w:val="21"/>
                      <w:highlight w:val="none"/>
                    </w:rPr>
                    <w:t>+</w:t>
                  </w:r>
                  <w:r>
                    <w:rPr>
                      <w:rFonts w:hint="eastAsia"/>
                      <w:color w:val="auto"/>
                      <w:sz w:val="21"/>
                      <w:szCs w:val="21"/>
                      <w:highlight w:val="none"/>
                    </w:rPr>
                    <w:t>深度处理”模式。预处理包括过滤、喷淋等工艺，深度处理工艺包括：高能等离子分解、</w:t>
                  </w:r>
                  <w:r>
                    <w:rPr>
                      <w:b/>
                      <w:color w:val="auto"/>
                      <w:sz w:val="21"/>
                      <w:szCs w:val="21"/>
                      <w:highlight w:val="none"/>
                    </w:rPr>
                    <w:t>UV</w:t>
                  </w:r>
                  <w:r>
                    <w:rPr>
                      <w:rFonts w:hint="eastAsia"/>
                      <w:b/>
                      <w:color w:val="auto"/>
                      <w:sz w:val="21"/>
                      <w:szCs w:val="21"/>
                      <w:highlight w:val="none"/>
                    </w:rPr>
                    <w:t>光解</w:t>
                  </w:r>
                  <w:r>
                    <w:rPr>
                      <w:rFonts w:hint="eastAsia"/>
                      <w:color w:val="auto"/>
                      <w:sz w:val="21"/>
                      <w:szCs w:val="21"/>
                      <w:highlight w:val="none"/>
                    </w:rPr>
                    <w:t>、催化（蓄热）燃烧、冷凝回收等工艺）。</w:t>
                  </w:r>
                </w:p>
              </w:tc>
              <w:tc>
                <w:tcPr>
                  <w:tcW w:w="2459" w:type="dxa"/>
                </w:tcPr>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r>
                    <w:rPr>
                      <w:rFonts w:hint="eastAsia"/>
                      <w:color w:val="auto"/>
                      <w:sz w:val="21"/>
                      <w:szCs w:val="21"/>
                      <w:highlight w:val="none"/>
                    </w:rPr>
                    <w:t>项目按照《挥发性有机</w:t>
                  </w:r>
                </w:p>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r>
                    <w:rPr>
                      <w:rFonts w:hint="eastAsia"/>
                      <w:color w:val="auto"/>
                      <w:sz w:val="21"/>
                      <w:szCs w:val="21"/>
                      <w:highlight w:val="none"/>
                    </w:rPr>
                    <w:t>物（</w:t>
                  </w:r>
                  <w:r>
                    <w:rPr>
                      <w:color w:val="auto"/>
                      <w:sz w:val="21"/>
                      <w:szCs w:val="21"/>
                      <w:highlight w:val="none"/>
                    </w:rPr>
                    <w:t xml:space="preserve">VOC S </w:t>
                  </w:r>
                  <w:r>
                    <w:rPr>
                      <w:rFonts w:hint="eastAsia"/>
                      <w:color w:val="auto"/>
                      <w:sz w:val="21"/>
                      <w:szCs w:val="21"/>
                      <w:highlight w:val="none"/>
                    </w:rPr>
                    <w:t>）污染防治技术政策》选择了合理的治理工艺，即进行深度处理（集气罩+</w:t>
                  </w:r>
                  <w:r>
                    <w:rPr>
                      <w:color w:val="auto"/>
                      <w:sz w:val="21"/>
                      <w:szCs w:val="21"/>
                      <w:highlight w:val="none"/>
                    </w:rPr>
                    <w:t>UV</w:t>
                  </w:r>
                  <w:r>
                    <w:rPr>
                      <w:rFonts w:hint="eastAsia"/>
                      <w:color w:val="auto"/>
                      <w:sz w:val="21"/>
                      <w:szCs w:val="21"/>
                      <w:highlight w:val="none"/>
                    </w:rPr>
                    <w:t>光解</w:t>
                  </w:r>
                  <w:r>
                    <w:rPr>
                      <w:color w:val="auto"/>
                      <w:sz w:val="21"/>
                      <w:szCs w:val="21"/>
                      <w:highlight w:val="none"/>
                    </w:rPr>
                    <w:t>+</w:t>
                  </w:r>
                  <w:r>
                    <w:rPr>
                      <w:rFonts w:hint="eastAsia"/>
                      <w:color w:val="auto"/>
                      <w:sz w:val="21"/>
                      <w:szCs w:val="21"/>
                      <w:highlight w:val="none"/>
                    </w:rPr>
                    <w:t>活性炭吸附+15m高排气筒），确保污染物经处理后实现破坏式消解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 w:type="dxa"/>
                  <w:vMerge w:val="continue"/>
                </w:tcPr>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p>
              </w:tc>
              <w:tc>
                <w:tcPr>
                  <w:tcW w:w="1075" w:type="dxa"/>
                  <w:vMerge w:val="continue"/>
                </w:tcPr>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p>
              </w:tc>
              <w:tc>
                <w:tcPr>
                  <w:tcW w:w="5162" w:type="dxa"/>
                </w:tcPr>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r>
                    <w:rPr>
                      <w:color w:val="auto"/>
                      <w:sz w:val="21"/>
                      <w:szCs w:val="21"/>
                      <w:highlight w:val="none"/>
                    </w:rPr>
                    <w:t xml:space="preserve">    </w:t>
                  </w:r>
                  <w:r>
                    <w:rPr>
                      <w:rFonts w:hint="eastAsia"/>
                      <w:color w:val="auto"/>
                      <w:sz w:val="21"/>
                      <w:szCs w:val="21"/>
                      <w:highlight w:val="none"/>
                    </w:rPr>
                    <w:t>排放控制因子、排放浓度、排放速率，非甲烷总烃（</w:t>
                  </w:r>
                  <w:r>
                    <w:rPr>
                      <w:color w:val="auto"/>
                      <w:sz w:val="21"/>
                      <w:szCs w:val="21"/>
                      <w:highlight w:val="none"/>
                    </w:rPr>
                    <w:t>NMHC</w:t>
                  </w:r>
                  <w:r>
                    <w:rPr>
                      <w:rFonts w:hint="eastAsia"/>
                      <w:color w:val="auto"/>
                      <w:sz w:val="21"/>
                      <w:szCs w:val="21"/>
                      <w:highlight w:val="none"/>
                    </w:rPr>
                    <w:t>）净化效率等限值应满足陕西省《挥发性有机物质排放控制标准》</w:t>
                  </w:r>
                  <w:r>
                    <w:rPr>
                      <w:color w:val="auto"/>
                      <w:sz w:val="21"/>
                      <w:szCs w:val="21"/>
                      <w:highlight w:val="none"/>
                    </w:rPr>
                    <w:t xml:space="preserve"> </w:t>
                  </w:r>
                  <w:r>
                    <w:rPr>
                      <w:rFonts w:hint="eastAsia"/>
                      <w:color w:val="auto"/>
                      <w:sz w:val="21"/>
                      <w:szCs w:val="21"/>
                      <w:highlight w:val="none"/>
                    </w:rPr>
                    <w:t>（</w:t>
                  </w:r>
                  <w:r>
                    <w:rPr>
                      <w:color w:val="auto"/>
                      <w:sz w:val="21"/>
                      <w:szCs w:val="21"/>
                      <w:highlight w:val="none"/>
                    </w:rPr>
                    <w:t>DB61/T1061-2017</w:t>
                  </w:r>
                  <w:r>
                    <w:rPr>
                      <w:rFonts w:hint="eastAsia"/>
                      <w:color w:val="auto"/>
                      <w:sz w:val="21"/>
                      <w:szCs w:val="21"/>
                      <w:highlight w:val="none"/>
                    </w:rPr>
                    <w:t>）</w:t>
                  </w:r>
                </w:p>
              </w:tc>
              <w:tc>
                <w:tcPr>
                  <w:tcW w:w="2459" w:type="dxa"/>
                </w:tcPr>
                <w:p>
                  <w:pPr>
                    <w:pageBreakBefore w:val="0"/>
                    <w:widowControl w:val="0"/>
                    <w:kinsoku/>
                    <w:wordWrap/>
                    <w:overflowPunct/>
                    <w:topLinePunct w:val="0"/>
                    <w:autoSpaceDE/>
                    <w:autoSpaceDN/>
                    <w:bidi w:val="0"/>
                    <w:adjustRightInd/>
                    <w:snapToGrid w:val="0"/>
                    <w:spacing w:line="240" w:lineRule="auto"/>
                    <w:textAlignment w:val="auto"/>
                    <w:rPr>
                      <w:color w:val="auto"/>
                      <w:sz w:val="21"/>
                      <w:szCs w:val="21"/>
                      <w:highlight w:val="none"/>
                    </w:rPr>
                  </w:pPr>
                  <w:r>
                    <w:rPr>
                      <w:rFonts w:hint="eastAsia"/>
                      <w:color w:val="auto"/>
                      <w:sz w:val="21"/>
                      <w:szCs w:val="21"/>
                      <w:highlight w:val="none"/>
                    </w:rPr>
                    <w:t>项目采取了有机废气收集、处理措施，可以满足陕西省《挥发性有机物质排放控制标准》</w:t>
                  </w:r>
                  <w:r>
                    <w:rPr>
                      <w:color w:val="auto"/>
                      <w:sz w:val="21"/>
                      <w:szCs w:val="21"/>
                      <w:highlight w:val="none"/>
                    </w:rPr>
                    <w:t xml:space="preserve"> </w:t>
                  </w:r>
                  <w:r>
                    <w:rPr>
                      <w:rFonts w:hint="eastAsia"/>
                      <w:color w:val="auto"/>
                      <w:sz w:val="21"/>
                      <w:szCs w:val="21"/>
                      <w:highlight w:val="none"/>
                    </w:rPr>
                    <w:t>（</w:t>
                  </w:r>
                  <w:r>
                    <w:rPr>
                      <w:color w:val="auto"/>
                      <w:sz w:val="21"/>
                      <w:szCs w:val="21"/>
                      <w:highlight w:val="none"/>
                    </w:rPr>
                    <w:t>DB61/T1061-2017</w:t>
                  </w:r>
                  <w:r>
                    <w:rPr>
                      <w:rFonts w:hint="eastAsia"/>
                      <w:color w:val="auto"/>
                      <w:sz w:val="21"/>
                      <w:szCs w:val="21"/>
                      <w:highlight w:val="none"/>
                    </w:rPr>
                    <w:t>）</w:t>
                  </w:r>
                </w:p>
              </w:tc>
            </w:tr>
          </w:tbl>
          <w:p>
            <w:pPr>
              <w:adjustRightInd w:val="0"/>
              <w:snapToGrid w:val="0"/>
              <w:spacing w:line="360" w:lineRule="auto"/>
              <w:rPr>
                <w:rFonts w:eastAsia="黑体"/>
                <w:color w:val="auto"/>
                <w:sz w:val="24"/>
                <w:highlight w:val="none"/>
              </w:rPr>
            </w:pPr>
            <w:r>
              <w:rPr>
                <w:rFonts w:eastAsia="黑体"/>
                <w:color w:val="auto"/>
                <w:sz w:val="24"/>
                <w:highlight w:val="none"/>
              </w:rPr>
              <w:t>1.2.6选址合理性分析</w:t>
            </w:r>
          </w:p>
          <w:p>
            <w:pPr>
              <w:spacing w:line="360" w:lineRule="auto"/>
              <w:ind w:firstLine="480" w:firstLineChars="200"/>
              <w:rPr>
                <w:color w:val="auto"/>
                <w:sz w:val="24"/>
                <w:highlight w:val="none"/>
              </w:rPr>
            </w:pPr>
            <w:r>
              <w:rPr>
                <w:rFonts w:hint="eastAsia"/>
                <w:color w:val="auto"/>
                <w:sz w:val="24"/>
                <w:highlight w:val="none"/>
              </w:rPr>
              <w:t>项目租用陕西澳利森木业集团有限公司现有厂房，用地性质建设用地,用途为工业用地，目前陕西澳利森木业集团有限公司厂区内的厂房大量对外出租，项目周边均为工业企业，已经形成了以印刷、木制品制造、机加工工业的集聚区。</w:t>
            </w:r>
            <w:r>
              <w:rPr>
                <w:color w:val="auto"/>
                <w:sz w:val="24"/>
                <w:highlight w:val="none"/>
              </w:rPr>
              <w:t>项目交通运输便利；水、电、气、通讯等基础设施能够满足本项目的需求，</w:t>
            </w:r>
            <w:r>
              <w:rPr>
                <w:bCs/>
                <w:color w:val="auto"/>
                <w:sz w:val="24"/>
                <w:highlight w:val="none"/>
              </w:rPr>
              <w:t>且项目所在区域地势平坦、开阔，有利于项目运营期污染物的扩散。项目运营过程中生活污水</w:t>
            </w:r>
            <w:r>
              <w:rPr>
                <w:rFonts w:hint="eastAsia"/>
                <w:bCs/>
                <w:color w:val="auto"/>
                <w:sz w:val="24"/>
                <w:highlight w:val="none"/>
              </w:rPr>
              <w:t>排入水厕，进一步排入市政污水管网</w:t>
            </w:r>
            <w:r>
              <w:rPr>
                <w:bCs/>
                <w:color w:val="auto"/>
                <w:sz w:val="24"/>
                <w:highlight w:val="none"/>
              </w:rPr>
              <w:t>；</w:t>
            </w:r>
            <w:r>
              <w:rPr>
                <w:rFonts w:hint="eastAsia"/>
                <w:bCs/>
                <w:color w:val="auto"/>
                <w:sz w:val="24"/>
                <w:highlight w:val="none"/>
              </w:rPr>
              <w:t>没有生产废水排放</w:t>
            </w:r>
            <w:r>
              <w:rPr>
                <w:bCs/>
                <w:color w:val="auto"/>
                <w:sz w:val="24"/>
                <w:highlight w:val="none"/>
              </w:rPr>
              <w:t>；产生的</w:t>
            </w:r>
            <w:r>
              <w:rPr>
                <w:rFonts w:hint="eastAsia"/>
                <w:bCs/>
                <w:color w:val="auto"/>
                <w:sz w:val="24"/>
                <w:highlight w:val="none"/>
              </w:rPr>
              <w:t>有机废气经光催化装置</w:t>
            </w:r>
            <w:r>
              <w:rPr>
                <w:bCs/>
                <w:color w:val="auto"/>
                <w:sz w:val="24"/>
                <w:highlight w:val="none"/>
              </w:rPr>
              <w:t>处理达标后，经排气筒高空排放</w:t>
            </w:r>
            <w:r>
              <w:rPr>
                <w:rFonts w:hint="eastAsia"/>
                <w:bCs/>
                <w:color w:val="auto"/>
                <w:sz w:val="24"/>
                <w:highlight w:val="none"/>
              </w:rPr>
              <w:t>,经预测对周边环境敏感点的影响较小</w:t>
            </w:r>
            <w:r>
              <w:rPr>
                <w:bCs/>
                <w:color w:val="auto"/>
                <w:sz w:val="24"/>
                <w:highlight w:val="none"/>
              </w:rPr>
              <w:t>。综上所述，从环保角度分析，本项目选址合理。</w:t>
            </w:r>
          </w:p>
          <w:p>
            <w:pPr>
              <w:adjustRightInd w:val="0"/>
              <w:snapToGrid w:val="0"/>
              <w:spacing w:line="360" w:lineRule="auto"/>
              <w:rPr>
                <w:rFonts w:eastAsia="黑体"/>
                <w:color w:val="auto"/>
                <w:sz w:val="24"/>
                <w:szCs w:val="20"/>
                <w:highlight w:val="none"/>
              </w:rPr>
            </w:pPr>
            <w:r>
              <w:rPr>
                <w:rFonts w:eastAsia="黑体"/>
                <w:color w:val="auto"/>
                <w:sz w:val="24"/>
                <w:szCs w:val="20"/>
                <w:highlight w:val="none"/>
              </w:rPr>
              <w:t>1.3地理位置及交通</w:t>
            </w:r>
          </w:p>
          <w:p>
            <w:pPr>
              <w:adjustRightInd w:val="0"/>
              <w:snapToGrid w:val="0"/>
              <w:spacing w:line="360" w:lineRule="auto"/>
              <w:ind w:firstLine="480" w:firstLineChars="200"/>
              <w:rPr>
                <w:bCs/>
                <w:color w:val="auto"/>
                <w:sz w:val="24"/>
                <w:highlight w:val="none"/>
              </w:rPr>
            </w:pPr>
            <w:r>
              <w:rPr>
                <w:color w:val="auto"/>
                <w:sz w:val="24"/>
                <w:highlight w:val="none"/>
              </w:rPr>
              <w:t>本次项目建设地位于</w:t>
            </w:r>
            <w:r>
              <w:rPr>
                <w:rFonts w:hint="eastAsia"/>
                <w:color w:val="auto"/>
                <w:sz w:val="24"/>
                <w:highlight w:val="none"/>
              </w:rPr>
              <w:t>西安市灞桥区水安路8号院，西邻水安路，南边和东边临神峪寺沟村六组，北邻陕西交通建设集团公司西安绕城分公司,</w:t>
            </w:r>
            <w:r>
              <w:rPr>
                <w:bCs/>
                <w:color w:val="auto"/>
                <w:sz w:val="24"/>
                <w:highlight w:val="none"/>
              </w:rPr>
              <w:t>具体地理坐标为：东经109</w:t>
            </w:r>
            <w:r>
              <w:rPr>
                <w:rFonts w:hint="eastAsia"/>
                <w:bCs/>
                <w:color w:val="auto"/>
                <w:sz w:val="24"/>
                <w:highlight w:val="none"/>
              </w:rPr>
              <w:t>.063430</w:t>
            </w:r>
            <w:r>
              <w:rPr>
                <w:bCs/>
                <w:color w:val="auto"/>
                <w:sz w:val="24"/>
                <w:highlight w:val="none"/>
              </w:rPr>
              <w:t>°、北纬34</w:t>
            </w:r>
            <w:r>
              <w:rPr>
                <w:rFonts w:hint="eastAsia"/>
                <w:bCs/>
                <w:color w:val="auto"/>
                <w:sz w:val="24"/>
                <w:highlight w:val="none"/>
              </w:rPr>
              <w:t>.249510</w:t>
            </w:r>
            <w:r>
              <w:rPr>
                <w:bCs/>
                <w:color w:val="auto"/>
                <w:sz w:val="24"/>
                <w:highlight w:val="none"/>
              </w:rPr>
              <w:t>°，项目地理位置见附图2，四邻关系见附图3。</w:t>
            </w:r>
          </w:p>
          <w:p>
            <w:pPr>
              <w:adjustRightInd w:val="0"/>
              <w:snapToGrid w:val="0"/>
              <w:spacing w:line="360" w:lineRule="auto"/>
              <w:rPr>
                <w:rFonts w:eastAsia="黑体"/>
                <w:bCs/>
                <w:color w:val="auto"/>
                <w:sz w:val="24"/>
                <w:highlight w:val="none"/>
              </w:rPr>
            </w:pPr>
            <w:r>
              <w:rPr>
                <w:rFonts w:eastAsia="黑体"/>
                <w:bCs/>
                <w:color w:val="auto"/>
                <w:sz w:val="24"/>
                <w:highlight w:val="none"/>
              </w:rPr>
              <w:t>1.4建设内容、规模、产品方案</w:t>
            </w:r>
          </w:p>
          <w:p>
            <w:pPr>
              <w:adjustRightInd w:val="0"/>
              <w:snapToGrid w:val="0"/>
              <w:spacing w:line="360" w:lineRule="auto"/>
              <w:ind w:firstLine="480" w:firstLineChars="200"/>
              <w:rPr>
                <w:rFonts w:eastAsia="黑体"/>
                <w:bCs/>
                <w:color w:val="auto"/>
                <w:sz w:val="24"/>
                <w:highlight w:val="none"/>
              </w:rPr>
            </w:pPr>
            <w:r>
              <w:rPr>
                <w:rFonts w:eastAsia="黑体"/>
                <w:bCs/>
                <w:color w:val="auto"/>
                <w:sz w:val="24"/>
                <w:highlight w:val="none"/>
              </w:rPr>
              <w:t>1.4.1项目建设内容及规模</w:t>
            </w:r>
          </w:p>
          <w:p>
            <w:pPr>
              <w:pStyle w:val="2"/>
              <w:spacing w:line="360" w:lineRule="auto"/>
              <w:ind w:firstLine="480" w:firstLineChars="200"/>
              <w:rPr>
                <w:rFonts w:hint="eastAsia" w:ascii="Times New Roman" w:hAnsi="Times New Roman" w:eastAsia="宋体"/>
                <w:b w:val="0"/>
                <w:color w:val="auto"/>
                <w:sz w:val="24"/>
                <w:szCs w:val="24"/>
                <w:highlight w:val="none"/>
              </w:rPr>
            </w:pPr>
            <w:r>
              <w:rPr>
                <w:rFonts w:ascii="Times New Roman" w:hAnsi="Times New Roman" w:eastAsia="宋体"/>
                <w:b w:val="0"/>
                <w:color w:val="auto"/>
                <w:sz w:val="24"/>
                <w:szCs w:val="24"/>
                <w:highlight w:val="none"/>
              </w:rPr>
              <w:t>项目</w:t>
            </w:r>
            <w:r>
              <w:rPr>
                <w:rFonts w:hint="eastAsia" w:ascii="Times New Roman" w:hAnsi="Times New Roman" w:eastAsia="宋体"/>
                <w:b w:val="0"/>
                <w:color w:val="auto"/>
                <w:sz w:val="24"/>
                <w:szCs w:val="24"/>
                <w:highlight w:val="none"/>
              </w:rPr>
              <w:t>总</w:t>
            </w:r>
            <w:r>
              <w:rPr>
                <w:rFonts w:ascii="Times New Roman" w:hAnsi="Times New Roman" w:eastAsia="宋体"/>
                <w:b w:val="0"/>
                <w:color w:val="auto"/>
                <w:sz w:val="24"/>
                <w:szCs w:val="24"/>
                <w:highlight w:val="none"/>
              </w:rPr>
              <w:t>投资</w:t>
            </w:r>
            <w:r>
              <w:rPr>
                <w:rFonts w:hint="eastAsia" w:ascii="Times New Roman" w:hAnsi="Times New Roman" w:eastAsia="宋体"/>
                <w:b w:val="0"/>
                <w:color w:val="auto"/>
                <w:sz w:val="24"/>
                <w:szCs w:val="24"/>
                <w:highlight w:val="none"/>
              </w:rPr>
              <w:t>200</w:t>
            </w:r>
            <w:r>
              <w:rPr>
                <w:rFonts w:ascii="Times New Roman" w:hAnsi="Times New Roman" w:eastAsia="宋体"/>
                <w:b w:val="0"/>
                <w:color w:val="auto"/>
                <w:sz w:val="24"/>
                <w:szCs w:val="24"/>
                <w:highlight w:val="none"/>
              </w:rPr>
              <w:t>万</w:t>
            </w:r>
            <w:r>
              <w:rPr>
                <w:rFonts w:hint="eastAsia" w:ascii="Times New Roman" w:hAnsi="Times New Roman" w:eastAsia="宋体"/>
                <w:b w:val="0"/>
                <w:color w:val="auto"/>
                <w:sz w:val="24"/>
                <w:szCs w:val="24"/>
                <w:highlight w:val="none"/>
              </w:rPr>
              <w:t>元，项目建设规模约</w:t>
            </w:r>
            <w:r>
              <w:rPr>
                <w:rFonts w:ascii="Times New Roman" w:hAnsi="Times New Roman" w:eastAsia="宋体"/>
                <w:b w:val="0"/>
                <w:color w:val="auto"/>
                <w:sz w:val="24"/>
                <w:szCs w:val="24"/>
                <w:highlight w:val="none"/>
              </w:rPr>
              <w:t>670m</w:t>
            </w:r>
            <w:r>
              <w:rPr>
                <w:rFonts w:ascii="Times New Roman" w:hAnsi="Times New Roman" w:eastAsia="宋体"/>
                <w:b w:val="0"/>
                <w:color w:val="auto"/>
                <w:sz w:val="24"/>
                <w:szCs w:val="24"/>
                <w:highlight w:val="none"/>
                <w:vertAlign w:val="superscript"/>
              </w:rPr>
              <w:t>2</w:t>
            </w:r>
            <w:r>
              <w:rPr>
                <w:rFonts w:hint="eastAsia" w:ascii="Times New Roman" w:hAnsi="Times New Roman" w:eastAsia="宋体"/>
                <w:b w:val="0"/>
                <w:color w:val="auto"/>
                <w:sz w:val="24"/>
                <w:szCs w:val="24"/>
                <w:highlight w:val="none"/>
              </w:rPr>
              <w:t>，设备有德国进口对开四色机一台，国产双色机对开2台及程控数显刀一台，主要建设内容为年印刷书本15万册。</w:t>
            </w:r>
            <w:r>
              <w:rPr>
                <w:rFonts w:ascii="Times New Roman" w:hAnsi="Times New Roman" w:eastAsia="宋体"/>
                <w:b w:val="0"/>
                <w:color w:val="auto"/>
                <w:sz w:val="24"/>
                <w:szCs w:val="24"/>
                <w:highlight w:val="none"/>
              </w:rPr>
              <w:t>项目组成表见表1-</w:t>
            </w:r>
            <w:r>
              <w:rPr>
                <w:rFonts w:hint="eastAsia" w:ascii="Times New Roman" w:hAnsi="Times New Roman" w:eastAsia="宋体"/>
                <w:b w:val="0"/>
                <w:color w:val="auto"/>
                <w:sz w:val="24"/>
                <w:szCs w:val="24"/>
                <w:highlight w:val="none"/>
              </w:rPr>
              <w:t>2</w:t>
            </w:r>
            <w:r>
              <w:rPr>
                <w:rFonts w:ascii="Times New Roman" w:hAnsi="Times New Roman" w:eastAsia="宋体"/>
                <w:b w:val="0"/>
                <w:color w:val="auto"/>
                <w:sz w:val="24"/>
                <w:szCs w:val="24"/>
                <w:highlight w:val="none"/>
              </w:rPr>
              <w:t>，厂区总平面布置图见附图4。</w:t>
            </w:r>
          </w:p>
          <w:p>
            <w:pPr>
              <w:rPr>
                <w:color w:val="auto"/>
                <w:highlight w:val="none"/>
              </w:rPr>
            </w:pPr>
          </w:p>
          <w:p>
            <w:pPr>
              <w:snapToGrid w:val="0"/>
              <w:jc w:val="center"/>
              <w:rPr>
                <w:rFonts w:eastAsia="黑体"/>
                <w:color w:val="auto"/>
                <w:sz w:val="24"/>
                <w:highlight w:val="none"/>
              </w:rPr>
            </w:pPr>
            <w:r>
              <w:rPr>
                <w:rFonts w:eastAsia="黑体"/>
                <w:color w:val="auto"/>
                <w:sz w:val="24"/>
                <w:highlight w:val="none"/>
              </w:rPr>
              <w:t>表1-</w:t>
            </w:r>
            <w:r>
              <w:rPr>
                <w:rFonts w:hint="eastAsia" w:eastAsia="黑体"/>
                <w:color w:val="auto"/>
                <w:sz w:val="24"/>
                <w:highlight w:val="none"/>
              </w:rPr>
              <w:t>2</w:t>
            </w:r>
            <w:r>
              <w:rPr>
                <w:rFonts w:eastAsia="黑体"/>
                <w:color w:val="auto"/>
                <w:sz w:val="24"/>
                <w:highlight w:val="none"/>
              </w:rPr>
              <w:t xml:space="preserve">    </w:t>
            </w:r>
            <w:r>
              <w:rPr>
                <w:rFonts w:hint="eastAsia" w:eastAsia="黑体"/>
                <w:color w:val="auto"/>
                <w:sz w:val="24"/>
                <w:highlight w:val="none"/>
              </w:rPr>
              <w:t>本项目组成及主要建设内容一览表</w:t>
            </w:r>
            <w:r>
              <w:rPr>
                <w:rFonts w:eastAsia="黑体"/>
                <w:color w:val="auto"/>
                <w:sz w:val="24"/>
                <w:highlight w:val="none"/>
              </w:rPr>
              <w:t xml:space="preserve">    </w:t>
            </w:r>
          </w:p>
          <w:tbl>
            <w:tblPr>
              <w:tblStyle w:val="2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63"/>
              <w:gridCol w:w="709"/>
              <w:gridCol w:w="567"/>
              <w:gridCol w:w="709"/>
              <w:gridCol w:w="5212"/>
              <w:gridCol w:w="11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63" w:type="dxa"/>
                  <w:vAlign w:val="center"/>
                </w:tcPr>
                <w:p>
                  <w:pPr>
                    <w:snapToGrid w:val="0"/>
                    <w:spacing w:line="240" w:lineRule="exact"/>
                    <w:jc w:val="center"/>
                    <w:rPr>
                      <w:b/>
                      <w:color w:val="auto"/>
                      <w:sz w:val="21"/>
                      <w:szCs w:val="21"/>
                      <w:highlight w:val="none"/>
                    </w:rPr>
                  </w:pPr>
                  <w:r>
                    <w:rPr>
                      <w:rFonts w:hint="eastAsia"/>
                      <w:b/>
                      <w:color w:val="auto"/>
                      <w:sz w:val="21"/>
                      <w:szCs w:val="21"/>
                      <w:highlight w:val="none"/>
                    </w:rPr>
                    <w:t>序号</w:t>
                  </w:r>
                </w:p>
              </w:tc>
              <w:tc>
                <w:tcPr>
                  <w:tcW w:w="1985" w:type="dxa"/>
                  <w:gridSpan w:val="3"/>
                  <w:vAlign w:val="center"/>
                </w:tcPr>
                <w:p>
                  <w:pPr>
                    <w:snapToGrid w:val="0"/>
                    <w:spacing w:line="240" w:lineRule="exact"/>
                    <w:jc w:val="center"/>
                    <w:rPr>
                      <w:b/>
                      <w:color w:val="auto"/>
                      <w:sz w:val="21"/>
                      <w:szCs w:val="21"/>
                      <w:highlight w:val="none"/>
                    </w:rPr>
                  </w:pPr>
                  <w:r>
                    <w:rPr>
                      <w:rFonts w:hint="eastAsia"/>
                      <w:b/>
                      <w:color w:val="auto"/>
                      <w:sz w:val="21"/>
                      <w:szCs w:val="21"/>
                      <w:highlight w:val="none"/>
                    </w:rPr>
                    <w:t>类别</w:t>
                  </w:r>
                </w:p>
              </w:tc>
              <w:tc>
                <w:tcPr>
                  <w:tcW w:w="5212" w:type="dxa"/>
                  <w:vAlign w:val="center"/>
                </w:tcPr>
                <w:p>
                  <w:pPr>
                    <w:snapToGrid w:val="0"/>
                    <w:spacing w:line="240" w:lineRule="exact"/>
                    <w:jc w:val="center"/>
                    <w:rPr>
                      <w:b/>
                      <w:color w:val="auto"/>
                      <w:sz w:val="21"/>
                      <w:szCs w:val="21"/>
                      <w:highlight w:val="none"/>
                    </w:rPr>
                  </w:pPr>
                  <w:r>
                    <w:rPr>
                      <w:rFonts w:hint="eastAsia"/>
                      <w:b/>
                      <w:color w:val="auto"/>
                      <w:sz w:val="21"/>
                      <w:szCs w:val="21"/>
                      <w:highlight w:val="none"/>
                    </w:rPr>
                    <w:t>内容</w:t>
                  </w:r>
                </w:p>
              </w:tc>
              <w:tc>
                <w:tcPr>
                  <w:tcW w:w="1154" w:type="dxa"/>
                  <w:vAlign w:val="center"/>
                </w:tcPr>
                <w:p>
                  <w:pPr>
                    <w:snapToGrid w:val="0"/>
                    <w:spacing w:line="240" w:lineRule="exact"/>
                    <w:jc w:val="center"/>
                    <w:rPr>
                      <w:b/>
                      <w:color w:val="auto"/>
                      <w:sz w:val="21"/>
                      <w:szCs w:val="21"/>
                      <w:highlight w:val="none"/>
                    </w:rPr>
                  </w:pPr>
                  <w:r>
                    <w:rPr>
                      <w:rFonts w:hint="eastAsia"/>
                      <w:b/>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94" w:hRule="atLeast"/>
                <w:jc w:val="center"/>
              </w:trPr>
              <w:tc>
                <w:tcPr>
                  <w:tcW w:w="663" w:type="dxa"/>
                  <w:vAlign w:val="center"/>
                </w:tcPr>
                <w:p>
                  <w:pPr>
                    <w:snapToGrid w:val="0"/>
                    <w:spacing w:line="240" w:lineRule="exact"/>
                    <w:jc w:val="center"/>
                    <w:rPr>
                      <w:color w:val="auto"/>
                      <w:sz w:val="21"/>
                      <w:szCs w:val="21"/>
                      <w:highlight w:val="none"/>
                    </w:rPr>
                  </w:pPr>
                  <w:r>
                    <w:rPr>
                      <w:color w:val="auto"/>
                      <w:sz w:val="21"/>
                      <w:szCs w:val="21"/>
                      <w:highlight w:val="none"/>
                    </w:rPr>
                    <w:t>1</w:t>
                  </w:r>
                </w:p>
              </w:tc>
              <w:tc>
                <w:tcPr>
                  <w:tcW w:w="1985" w:type="dxa"/>
                  <w:gridSpan w:val="3"/>
                  <w:vAlign w:val="center"/>
                </w:tcPr>
                <w:p>
                  <w:pPr>
                    <w:jc w:val="center"/>
                    <w:rPr>
                      <w:color w:val="auto"/>
                      <w:sz w:val="21"/>
                      <w:szCs w:val="21"/>
                      <w:highlight w:val="none"/>
                    </w:rPr>
                  </w:pPr>
                  <w:r>
                    <w:rPr>
                      <w:rFonts w:hint="eastAsia"/>
                      <w:color w:val="auto"/>
                      <w:sz w:val="21"/>
                      <w:szCs w:val="21"/>
                      <w:highlight w:val="none"/>
                    </w:rPr>
                    <w:t>主体工程</w:t>
                  </w:r>
                </w:p>
              </w:tc>
              <w:tc>
                <w:tcPr>
                  <w:tcW w:w="5212" w:type="dxa"/>
                  <w:vAlign w:val="center"/>
                </w:tcPr>
                <w:p>
                  <w:pPr>
                    <w:snapToGrid w:val="0"/>
                    <w:spacing w:line="240" w:lineRule="exact"/>
                    <w:jc w:val="center"/>
                    <w:rPr>
                      <w:color w:val="auto"/>
                      <w:sz w:val="21"/>
                      <w:szCs w:val="21"/>
                      <w:highlight w:val="none"/>
                    </w:rPr>
                  </w:pPr>
                  <w:r>
                    <w:rPr>
                      <w:rFonts w:hint="eastAsia"/>
                      <w:color w:val="auto"/>
                      <w:sz w:val="21"/>
                      <w:szCs w:val="21"/>
                      <w:highlight w:val="none"/>
                    </w:rPr>
                    <w:t>占地面积</w:t>
                  </w:r>
                  <w:r>
                    <w:rPr>
                      <w:color w:val="auto"/>
                      <w:sz w:val="21"/>
                      <w:szCs w:val="21"/>
                      <w:highlight w:val="none"/>
                    </w:rPr>
                    <w:t>432m</w:t>
                  </w:r>
                  <w:r>
                    <w:rPr>
                      <w:color w:val="auto"/>
                      <w:sz w:val="21"/>
                      <w:szCs w:val="21"/>
                      <w:highlight w:val="none"/>
                      <w:vertAlign w:val="superscript"/>
                    </w:rPr>
                    <w:t>2</w:t>
                  </w:r>
                  <w:r>
                    <w:rPr>
                      <w:rFonts w:hint="eastAsia"/>
                      <w:color w:val="auto"/>
                      <w:sz w:val="21"/>
                      <w:szCs w:val="21"/>
                      <w:highlight w:val="none"/>
                    </w:rPr>
                    <w:t>，一层，</w:t>
                  </w:r>
                  <w:r>
                    <w:rPr>
                      <w:rFonts w:hint="eastAsia" w:asciiTheme="minorEastAsia" w:hAnsiTheme="minorEastAsia" w:eastAsiaTheme="minorEastAsia"/>
                      <w:color w:val="auto"/>
                      <w:sz w:val="21"/>
                      <w:szCs w:val="21"/>
                      <w:highlight w:val="none"/>
                    </w:rPr>
                    <w:t>布</w:t>
                  </w:r>
                  <w:r>
                    <w:rPr>
                      <w:rFonts w:hint="eastAsia"/>
                      <w:color w:val="auto"/>
                      <w:sz w:val="21"/>
                      <w:szCs w:val="21"/>
                      <w:highlight w:val="none"/>
                    </w:rPr>
                    <w:t>置</w:t>
                  </w:r>
                  <w:r>
                    <w:rPr>
                      <w:color w:val="auto"/>
                      <w:sz w:val="21"/>
                      <w:szCs w:val="21"/>
                      <w:highlight w:val="none"/>
                    </w:rPr>
                    <w:t>1</w:t>
                  </w:r>
                  <w:r>
                    <w:rPr>
                      <w:rFonts w:hint="eastAsia"/>
                      <w:color w:val="auto"/>
                      <w:sz w:val="21"/>
                      <w:szCs w:val="21"/>
                      <w:highlight w:val="none"/>
                    </w:rPr>
                    <w:t>条印刷生产线，</w:t>
                  </w:r>
                  <w:r>
                    <w:rPr>
                      <w:color w:val="auto"/>
                      <w:sz w:val="21"/>
                      <w:szCs w:val="21"/>
                      <w:highlight w:val="none"/>
                    </w:rPr>
                    <w:t xml:space="preserve"> </w:t>
                  </w:r>
                  <w:r>
                    <w:rPr>
                      <w:rFonts w:hint="eastAsia"/>
                      <w:color w:val="auto"/>
                      <w:sz w:val="21"/>
                      <w:szCs w:val="21"/>
                      <w:highlight w:val="none"/>
                    </w:rPr>
                    <w:t>布置四色机</w:t>
                  </w:r>
                  <w:r>
                    <w:rPr>
                      <w:color w:val="auto"/>
                      <w:sz w:val="21"/>
                      <w:szCs w:val="21"/>
                      <w:highlight w:val="none"/>
                    </w:rPr>
                    <w:t>1</w:t>
                  </w:r>
                  <w:r>
                    <w:rPr>
                      <w:rFonts w:hint="eastAsia"/>
                      <w:color w:val="auto"/>
                      <w:sz w:val="21"/>
                      <w:szCs w:val="21"/>
                      <w:highlight w:val="none"/>
                    </w:rPr>
                    <w:t>台，双色机</w:t>
                  </w:r>
                  <w:r>
                    <w:rPr>
                      <w:color w:val="auto"/>
                      <w:sz w:val="21"/>
                      <w:szCs w:val="21"/>
                      <w:highlight w:val="none"/>
                    </w:rPr>
                    <w:t>2</w:t>
                  </w:r>
                  <w:r>
                    <w:rPr>
                      <w:rFonts w:hint="eastAsia"/>
                      <w:color w:val="auto"/>
                      <w:sz w:val="21"/>
                      <w:szCs w:val="21"/>
                      <w:highlight w:val="none"/>
                    </w:rPr>
                    <w:t>台</w:t>
                  </w:r>
                </w:p>
              </w:tc>
              <w:tc>
                <w:tcPr>
                  <w:tcW w:w="1154" w:type="dxa"/>
                  <w:vMerge w:val="restart"/>
                  <w:vAlign w:val="center"/>
                </w:tcPr>
                <w:p>
                  <w:pPr>
                    <w:snapToGrid w:val="0"/>
                    <w:spacing w:line="240" w:lineRule="exact"/>
                    <w:jc w:val="center"/>
                    <w:rPr>
                      <w:color w:val="auto"/>
                      <w:sz w:val="21"/>
                      <w:szCs w:val="21"/>
                      <w:highlight w:val="none"/>
                    </w:rPr>
                  </w:pPr>
                  <w:r>
                    <w:rPr>
                      <w:rFonts w:hint="eastAsia"/>
                      <w:color w:val="auto"/>
                      <w:sz w:val="21"/>
                      <w:szCs w:val="21"/>
                      <w:highlight w:val="none"/>
                    </w:rPr>
                    <w:t>依托澳利利森公司</w:t>
                  </w:r>
                </w:p>
                <w:p>
                  <w:pPr>
                    <w:snapToGrid w:val="0"/>
                    <w:spacing w:line="240" w:lineRule="exact"/>
                    <w:jc w:val="center"/>
                    <w:rPr>
                      <w:color w:val="auto"/>
                      <w:sz w:val="21"/>
                      <w:szCs w:val="21"/>
                      <w:highlight w:val="none"/>
                    </w:rPr>
                  </w:pPr>
                  <w:r>
                    <w:rPr>
                      <w:rFonts w:hint="eastAsia"/>
                      <w:color w:val="auto"/>
                      <w:sz w:val="21"/>
                      <w:szCs w:val="21"/>
                      <w:highlight w:val="none"/>
                    </w:rPr>
                    <w:t>现有砖结构厂房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7" w:hRule="atLeast"/>
                <w:jc w:val="center"/>
              </w:trPr>
              <w:tc>
                <w:tcPr>
                  <w:tcW w:w="663" w:type="dxa"/>
                  <w:vAlign w:val="center"/>
                </w:tcPr>
                <w:p>
                  <w:pPr>
                    <w:snapToGrid w:val="0"/>
                    <w:spacing w:line="240" w:lineRule="exact"/>
                    <w:jc w:val="center"/>
                    <w:rPr>
                      <w:color w:val="auto"/>
                      <w:sz w:val="21"/>
                      <w:szCs w:val="21"/>
                      <w:highlight w:val="none"/>
                    </w:rPr>
                  </w:pPr>
                  <w:r>
                    <w:rPr>
                      <w:color w:val="auto"/>
                      <w:sz w:val="21"/>
                      <w:szCs w:val="21"/>
                      <w:highlight w:val="none"/>
                    </w:rPr>
                    <w:t>2</w:t>
                  </w:r>
                </w:p>
              </w:tc>
              <w:tc>
                <w:tcPr>
                  <w:tcW w:w="709" w:type="dxa"/>
                  <w:vAlign w:val="center"/>
                </w:tcPr>
                <w:p>
                  <w:pPr>
                    <w:snapToGrid w:val="0"/>
                    <w:spacing w:line="240" w:lineRule="exact"/>
                    <w:jc w:val="center"/>
                    <w:rPr>
                      <w:color w:val="auto"/>
                      <w:sz w:val="21"/>
                      <w:szCs w:val="21"/>
                      <w:highlight w:val="none"/>
                    </w:rPr>
                  </w:pPr>
                  <w:r>
                    <w:rPr>
                      <w:rFonts w:hint="eastAsia"/>
                      <w:color w:val="auto"/>
                      <w:sz w:val="21"/>
                      <w:szCs w:val="21"/>
                      <w:highlight w:val="none"/>
                    </w:rPr>
                    <w:t>储运工程</w:t>
                  </w:r>
                </w:p>
              </w:tc>
              <w:tc>
                <w:tcPr>
                  <w:tcW w:w="1276" w:type="dxa"/>
                  <w:gridSpan w:val="2"/>
                  <w:vAlign w:val="center"/>
                </w:tcPr>
                <w:p>
                  <w:pPr>
                    <w:jc w:val="center"/>
                    <w:rPr>
                      <w:color w:val="auto"/>
                      <w:sz w:val="21"/>
                      <w:szCs w:val="21"/>
                      <w:highlight w:val="none"/>
                    </w:rPr>
                  </w:pPr>
                  <w:r>
                    <w:rPr>
                      <w:rFonts w:hint="eastAsia"/>
                      <w:color w:val="auto"/>
                      <w:sz w:val="21"/>
                      <w:szCs w:val="21"/>
                      <w:highlight w:val="none"/>
                    </w:rPr>
                    <w:t>仓库</w:t>
                  </w:r>
                </w:p>
              </w:tc>
              <w:tc>
                <w:tcPr>
                  <w:tcW w:w="5212" w:type="dxa"/>
                  <w:vAlign w:val="center"/>
                </w:tcPr>
                <w:p>
                  <w:pPr>
                    <w:jc w:val="center"/>
                    <w:rPr>
                      <w:color w:val="auto"/>
                      <w:sz w:val="21"/>
                      <w:szCs w:val="21"/>
                      <w:highlight w:val="none"/>
                    </w:rPr>
                  </w:pPr>
                  <w:r>
                    <w:rPr>
                      <w:rFonts w:hint="eastAsia"/>
                      <w:color w:val="auto"/>
                      <w:sz w:val="21"/>
                      <w:szCs w:val="21"/>
                      <w:highlight w:val="none"/>
                    </w:rPr>
                    <w:t>占地面积</w:t>
                  </w:r>
                  <w:r>
                    <w:rPr>
                      <w:color w:val="auto"/>
                      <w:sz w:val="21"/>
                      <w:szCs w:val="21"/>
                      <w:highlight w:val="none"/>
                    </w:rPr>
                    <w:t>236.78m</w:t>
                  </w:r>
                  <w:r>
                    <w:rPr>
                      <w:color w:val="auto"/>
                      <w:sz w:val="21"/>
                      <w:szCs w:val="21"/>
                      <w:highlight w:val="none"/>
                      <w:vertAlign w:val="superscript"/>
                    </w:rPr>
                    <w:t>2</w:t>
                  </w:r>
                  <w:r>
                    <w:rPr>
                      <w:rFonts w:hint="eastAsia"/>
                      <w:color w:val="auto"/>
                      <w:sz w:val="21"/>
                      <w:szCs w:val="21"/>
                      <w:highlight w:val="none"/>
                    </w:rPr>
                    <w:t>，一层</w:t>
                  </w:r>
                  <w:r>
                    <w:rPr>
                      <w:rFonts w:asciiTheme="minorEastAsia" w:hAnsiTheme="minorEastAsia" w:eastAsiaTheme="minorEastAsia"/>
                      <w:color w:val="auto"/>
                      <w:sz w:val="21"/>
                      <w:szCs w:val="21"/>
                      <w:highlight w:val="none"/>
                    </w:rPr>
                    <w:t>,存放纸</w:t>
                  </w:r>
                  <w:r>
                    <w:rPr>
                      <w:rFonts w:hint="eastAsia" w:asciiTheme="minorEastAsia" w:hAnsiTheme="minorEastAsia" w:eastAsiaTheme="minorEastAsia"/>
                      <w:color w:val="auto"/>
                      <w:sz w:val="21"/>
                      <w:szCs w:val="21"/>
                      <w:highlight w:val="none"/>
                    </w:rPr>
                    <w:t>、油墨、热熔胶，</w:t>
                  </w:r>
                  <w:r>
                    <w:rPr>
                      <w:rFonts w:hint="eastAsia"/>
                      <w:color w:val="auto"/>
                      <w:sz w:val="21"/>
                      <w:szCs w:val="21"/>
                      <w:highlight w:val="none"/>
                    </w:rPr>
                    <w:t>及切纸机</w:t>
                  </w:r>
                  <w:r>
                    <w:rPr>
                      <w:color w:val="auto"/>
                      <w:sz w:val="21"/>
                      <w:szCs w:val="21"/>
                      <w:highlight w:val="none"/>
                    </w:rPr>
                    <w:t>1</w:t>
                  </w:r>
                  <w:r>
                    <w:rPr>
                      <w:rFonts w:hint="eastAsia"/>
                      <w:color w:val="auto"/>
                      <w:sz w:val="21"/>
                      <w:szCs w:val="21"/>
                      <w:highlight w:val="none"/>
                    </w:rPr>
                    <w:t>台</w:t>
                  </w:r>
                </w:p>
              </w:tc>
              <w:tc>
                <w:tcPr>
                  <w:tcW w:w="1154" w:type="dxa"/>
                  <w:vMerge w:val="continue"/>
                  <w:vAlign w:val="center"/>
                </w:tcPr>
                <w:p>
                  <w:pPr>
                    <w:keepNext/>
                    <w:keepLines/>
                    <w:snapToGrid w:val="0"/>
                    <w:spacing w:before="340" w:after="330" w:line="240" w:lineRule="exact"/>
                    <w:jc w:val="center"/>
                    <w:outlineLvl w:val="0"/>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63" w:type="dxa"/>
                  <w:vAlign w:val="center"/>
                </w:tcPr>
                <w:p>
                  <w:pPr>
                    <w:snapToGrid w:val="0"/>
                    <w:spacing w:line="240" w:lineRule="exact"/>
                    <w:jc w:val="center"/>
                    <w:rPr>
                      <w:color w:val="auto"/>
                      <w:sz w:val="21"/>
                      <w:szCs w:val="21"/>
                      <w:highlight w:val="none"/>
                    </w:rPr>
                  </w:pPr>
                  <w:r>
                    <w:rPr>
                      <w:color w:val="auto"/>
                      <w:sz w:val="21"/>
                      <w:szCs w:val="21"/>
                      <w:highlight w:val="none"/>
                    </w:rPr>
                    <w:t>3</w:t>
                  </w:r>
                </w:p>
              </w:tc>
              <w:tc>
                <w:tcPr>
                  <w:tcW w:w="709" w:type="dxa"/>
                  <w:vMerge w:val="restart"/>
                  <w:vAlign w:val="center"/>
                </w:tcPr>
                <w:p>
                  <w:pPr>
                    <w:snapToGrid w:val="0"/>
                    <w:spacing w:line="240" w:lineRule="exact"/>
                    <w:jc w:val="center"/>
                    <w:rPr>
                      <w:color w:val="auto"/>
                      <w:sz w:val="21"/>
                      <w:szCs w:val="21"/>
                      <w:highlight w:val="none"/>
                    </w:rPr>
                  </w:pPr>
                  <w:r>
                    <w:rPr>
                      <w:rFonts w:hint="eastAsia"/>
                      <w:color w:val="auto"/>
                      <w:sz w:val="21"/>
                      <w:szCs w:val="21"/>
                      <w:highlight w:val="none"/>
                    </w:rPr>
                    <w:t>公用工程</w:t>
                  </w:r>
                </w:p>
              </w:tc>
              <w:tc>
                <w:tcPr>
                  <w:tcW w:w="1276" w:type="dxa"/>
                  <w:gridSpan w:val="2"/>
                  <w:vAlign w:val="center"/>
                </w:tcPr>
                <w:p>
                  <w:pPr>
                    <w:snapToGrid w:val="0"/>
                    <w:jc w:val="center"/>
                    <w:rPr>
                      <w:color w:val="auto"/>
                      <w:sz w:val="21"/>
                      <w:szCs w:val="21"/>
                      <w:highlight w:val="none"/>
                    </w:rPr>
                  </w:pPr>
                  <w:r>
                    <w:rPr>
                      <w:rFonts w:hint="eastAsia"/>
                      <w:color w:val="auto"/>
                      <w:sz w:val="21"/>
                      <w:szCs w:val="21"/>
                      <w:highlight w:val="none"/>
                    </w:rPr>
                    <w:t>供电</w:t>
                  </w:r>
                </w:p>
              </w:tc>
              <w:tc>
                <w:tcPr>
                  <w:tcW w:w="5212" w:type="dxa"/>
                  <w:vAlign w:val="center"/>
                </w:tcPr>
                <w:p>
                  <w:pPr>
                    <w:snapToGrid w:val="0"/>
                    <w:jc w:val="center"/>
                    <w:rPr>
                      <w:color w:val="auto"/>
                      <w:sz w:val="21"/>
                      <w:szCs w:val="21"/>
                      <w:highlight w:val="none"/>
                    </w:rPr>
                  </w:pPr>
                  <w:r>
                    <w:rPr>
                      <w:rFonts w:hint="eastAsia"/>
                      <w:color w:val="auto"/>
                      <w:sz w:val="21"/>
                      <w:szCs w:val="21"/>
                      <w:highlight w:val="none"/>
                    </w:rPr>
                    <w:t>采用市政供电</w:t>
                  </w:r>
                </w:p>
              </w:tc>
              <w:tc>
                <w:tcPr>
                  <w:tcW w:w="1154" w:type="dxa"/>
                  <w:vMerge w:val="restart"/>
                  <w:vAlign w:val="center"/>
                </w:tcPr>
                <w:p>
                  <w:pPr>
                    <w:snapToGrid w:val="0"/>
                    <w:spacing w:line="240" w:lineRule="exact"/>
                    <w:jc w:val="center"/>
                    <w:rPr>
                      <w:color w:val="auto"/>
                      <w:sz w:val="21"/>
                      <w:szCs w:val="21"/>
                      <w:highlight w:val="none"/>
                    </w:rPr>
                  </w:pPr>
                  <w:r>
                    <w:rPr>
                      <w:rFonts w:hint="eastAsia"/>
                      <w:color w:val="auto"/>
                      <w:sz w:val="21"/>
                      <w:szCs w:val="21"/>
                      <w:highlight w:val="none"/>
                    </w:rPr>
                    <w:t>依托澳利利森公司</w:t>
                  </w:r>
                </w:p>
                <w:p>
                  <w:pPr>
                    <w:snapToGrid w:val="0"/>
                    <w:jc w:val="center"/>
                    <w:rPr>
                      <w:color w:val="auto"/>
                      <w:sz w:val="21"/>
                      <w:szCs w:val="21"/>
                      <w:highlight w:val="none"/>
                    </w:rPr>
                  </w:pPr>
                  <w:r>
                    <w:rPr>
                      <w:rFonts w:hint="eastAsia"/>
                      <w:color w:val="auto"/>
                      <w:sz w:val="21"/>
                      <w:szCs w:val="21"/>
                      <w:highlight w:val="none"/>
                    </w:rPr>
                    <w:t>现有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63" w:type="dxa"/>
                  <w:vAlign w:val="center"/>
                </w:tcPr>
                <w:p>
                  <w:pPr>
                    <w:snapToGrid w:val="0"/>
                    <w:spacing w:line="240" w:lineRule="exact"/>
                    <w:jc w:val="center"/>
                    <w:rPr>
                      <w:color w:val="auto"/>
                      <w:sz w:val="21"/>
                      <w:szCs w:val="21"/>
                      <w:highlight w:val="none"/>
                    </w:rPr>
                  </w:pPr>
                  <w:r>
                    <w:rPr>
                      <w:color w:val="auto"/>
                      <w:sz w:val="21"/>
                      <w:szCs w:val="21"/>
                      <w:highlight w:val="none"/>
                    </w:rPr>
                    <w:t>4</w:t>
                  </w:r>
                </w:p>
              </w:tc>
              <w:tc>
                <w:tcPr>
                  <w:tcW w:w="709" w:type="dxa"/>
                  <w:vMerge w:val="continue"/>
                  <w:vAlign w:val="center"/>
                </w:tcPr>
                <w:p>
                  <w:pPr>
                    <w:keepNext/>
                    <w:keepLines/>
                    <w:snapToGrid w:val="0"/>
                    <w:spacing w:before="340" w:after="330" w:line="240" w:lineRule="exact"/>
                    <w:jc w:val="center"/>
                    <w:outlineLvl w:val="0"/>
                    <w:rPr>
                      <w:color w:val="auto"/>
                      <w:sz w:val="21"/>
                      <w:szCs w:val="21"/>
                      <w:highlight w:val="none"/>
                    </w:rPr>
                  </w:pPr>
                </w:p>
              </w:tc>
              <w:tc>
                <w:tcPr>
                  <w:tcW w:w="1276" w:type="dxa"/>
                  <w:gridSpan w:val="2"/>
                  <w:vAlign w:val="center"/>
                </w:tcPr>
                <w:p>
                  <w:pPr>
                    <w:snapToGrid w:val="0"/>
                    <w:jc w:val="center"/>
                    <w:rPr>
                      <w:color w:val="auto"/>
                      <w:sz w:val="21"/>
                      <w:szCs w:val="21"/>
                      <w:highlight w:val="none"/>
                    </w:rPr>
                  </w:pPr>
                  <w:r>
                    <w:rPr>
                      <w:rFonts w:hint="eastAsia"/>
                      <w:color w:val="auto"/>
                      <w:sz w:val="21"/>
                      <w:szCs w:val="21"/>
                      <w:highlight w:val="none"/>
                    </w:rPr>
                    <w:t>给水</w:t>
                  </w:r>
                </w:p>
              </w:tc>
              <w:tc>
                <w:tcPr>
                  <w:tcW w:w="5212" w:type="dxa"/>
                  <w:vAlign w:val="center"/>
                </w:tcPr>
                <w:p>
                  <w:pPr>
                    <w:snapToGrid w:val="0"/>
                    <w:jc w:val="center"/>
                    <w:rPr>
                      <w:color w:val="auto"/>
                      <w:sz w:val="21"/>
                      <w:szCs w:val="21"/>
                      <w:highlight w:val="none"/>
                    </w:rPr>
                  </w:pPr>
                  <w:r>
                    <w:rPr>
                      <w:rFonts w:hint="eastAsia"/>
                      <w:color w:val="auto"/>
                      <w:sz w:val="21"/>
                      <w:szCs w:val="21"/>
                      <w:highlight w:val="none"/>
                    </w:rPr>
                    <w:t>由市政给水管网集中供给</w:t>
                  </w:r>
                </w:p>
              </w:tc>
              <w:tc>
                <w:tcPr>
                  <w:tcW w:w="1154" w:type="dxa"/>
                  <w:vMerge w:val="continue"/>
                  <w:vAlign w:val="center"/>
                </w:tcPr>
                <w:p>
                  <w:pPr>
                    <w:keepNext/>
                    <w:keepLines/>
                    <w:snapToGrid w:val="0"/>
                    <w:spacing w:before="340" w:after="330" w:line="576" w:lineRule="auto"/>
                    <w:jc w:val="center"/>
                    <w:outlineLvl w:val="0"/>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63" w:type="dxa"/>
                  <w:vAlign w:val="center"/>
                </w:tcPr>
                <w:p>
                  <w:pPr>
                    <w:snapToGrid w:val="0"/>
                    <w:spacing w:line="240" w:lineRule="exact"/>
                    <w:jc w:val="center"/>
                    <w:rPr>
                      <w:color w:val="auto"/>
                      <w:sz w:val="21"/>
                      <w:szCs w:val="21"/>
                      <w:highlight w:val="none"/>
                    </w:rPr>
                  </w:pPr>
                  <w:r>
                    <w:rPr>
                      <w:color w:val="auto"/>
                      <w:sz w:val="21"/>
                      <w:szCs w:val="21"/>
                      <w:highlight w:val="none"/>
                    </w:rPr>
                    <w:t>5</w:t>
                  </w:r>
                </w:p>
              </w:tc>
              <w:tc>
                <w:tcPr>
                  <w:tcW w:w="709" w:type="dxa"/>
                  <w:vMerge w:val="continue"/>
                  <w:vAlign w:val="center"/>
                </w:tcPr>
                <w:p>
                  <w:pPr>
                    <w:keepNext/>
                    <w:keepLines/>
                    <w:snapToGrid w:val="0"/>
                    <w:spacing w:before="340" w:after="330" w:line="240" w:lineRule="exact"/>
                    <w:jc w:val="center"/>
                    <w:outlineLvl w:val="0"/>
                    <w:rPr>
                      <w:color w:val="auto"/>
                      <w:sz w:val="21"/>
                      <w:szCs w:val="21"/>
                      <w:highlight w:val="none"/>
                    </w:rPr>
                  </w:pPr>
                </w:p>
              </w:tc>
              <w:tc>
                <w:tcPr>
                  <w:tcW w:w="1276" w:type="dxa"/>
                  <w:gridSpan w:val="2"/>
                  <w:vAlign w:val="center"/>
                </w:tcPr>
                <w:p>
                  <w:pPr>
                    <w:snapToGrid w:val="0"/>
                    <w:jc w:val="center"/>
                    <w:rPr>
                      <w:color w:val="auto"/>
                      <w:sz w:val="21"/>
                      <w:szCs w:val="21"/>
                      <w:highlight w:val="none"/>
                    </w:rPr>
                  </w:pPr>
                  <w:r>
                    <w:rPr>
                      <w:rFonts w:hint="eastAsia"/>
                      <w:color w:val="auto"/>
                      <w:sz w:val="21"/>
                      <w:szCs w:val="21"/>
                      <w:highlight w:val="none"/>
                    </w:rPr>
                    <w:t>排水</w:t>
                  </w:r>
                </w:p>
              </w:tc>
              <w:tc>
                <w:tcPr>
                  <w:tcW w:w="5212" w:type="dxa"/>
                  <w:vAlign w:val="center"/>
                </w:tcPr>
                <w:p>
                  <w:pPr>
                    <w:snapToGrid w:val="0"/>
                    <w:jc w:val="center"/>
                    <w:rPr>
                      <w:color w:val="auto"/>
                      <w:sz w:val="21"/>
                      <w:szCs w:val="21"/>
                      <w:highlight w:val="none"/>
                    </w:rPr>
                  </w:pPr>
                  <w:r>
                    <w:rPr>
                      <w:rFonts w:hint="eastAsia"/>
                      <w:color w:val="auto"/>
                      <w:sz w:val="21"/>
                      <w:szCs w:val="21"/>
                      <w:highlight w:val="none"/>
                    </w:rPr>
                    <w:t>生活污水经陕西澳利森木业集团有限公司化粪池处理后排入西安市第三污水处理厂</w:t>
                  </w:r>
                </w:p>
              </w:tc>
              <w:tc>
                <w:tcPr>
                  <w:tcW w:w="1154" w:type="dxa"/>
                  <w:vMerge w:val="continue"/>
                  <w:vAlign w:val="center"/>
                </w:tcPr>
                <w:p>
                  <w:pPr>
                    <w:keepNext/>
                    <w:keepLines/>
                    <w:snapToGrid w:val="0"/>
                    <w:spacing w:before="340" w:after="330" w:line="576" w:lineRule="auto"/>
                    <w:jc w:val="center"/>
                    <w:outlineLvl w:val="0"/>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63" w:type="dxa"/>
                  <w:vAlign w:val="center"/>
                </w:tcPr>
                <w:p>
                  <w:pPr>
                    <w:snapToGrid w:val="0"/>
                    <w:spacing w:line="240" w:lineRule="exact"/>
                    <w:jc w:val="center"/>
                    <w:rPr>
                      <w:color w:val="auto"/>
                      <w:sz w:val="21"/>
                      <w:szCs w:val="21"/>
                      <w:highlight w:val="none"/>
                    </w:rPr>
                  </w:pPr>
                  <w:r>
                    <w:rPr>
                      <w:color w:val="auto"/>
                      <w:sz w:val="21"/>
                      <w:szCs w:val="21"/>
                      <w:highlight w:val="none"/>
                    </w:rPr>
                    <w:t>6</w:t>
                  </w:r>
                </w:p>
              </w:tc>
              <w:tc>
                <w:tcPr>
                  <w:tcW w:w="709" w:type="dxa"/>
                  <w:vMerge w:val="continue"/>
                  <w:vAlign w:val="center"/>
                </w:tcPr>
                <w:p>
                  <w:pPr>
                    <w:keepNext/>
                    <w:keepLines/>
                    <w:snapToGrid w:val="0"/>
                    <w:spacing w:before="340" w:after="330" w:line="240" w:lineRule="exact"/>
                    <w:jc w:val="center"/>
                    <w:outlineLvl w:val="0"/>
                    <w:rPr>
                      <w:color w:val="auto"/>
                      <w:sz w:val="21"/>
                      <w:szCs w:val="21"/>
                      <w:highlight w:val="none"/>
                    </w:rPr>
                  </w:pPr>
                </w:p>
              </w:tc>
              <w:tc>
                <w:tcPr>
                  <w:tcW w:w="1276" w:type="dxa"/>
                  <w:gridSpan w:val="2"/>
                  <w:vAlign w:val="center"/>
                </w:tcPr>
                <w:p>
                  <w:pPr>
                    <w:snapToGrid w:val="0"/>
                    <w:jc w:val="center"/>
                    <w:rPr>
                      <w:color w:val="auto"/>
                      <w:sz w:val="21"/>
                      <w:szCs w:val="21"/>
                      <w:highlight w:val="none"/>
                    </w:rPr>
                  </w:pPr>
                  <w:r>
                    <w:rPr>
                      <w:rFonts w:hint="eastAsia"/>
                      <w:color w:val="auto"/>
                      <w:sz w:val="21"/>
                      <w:szCs w:val="21"/>
                      <w:highlight w:val="none"/>
                    </w:rPr>
                    <w:t>制冷供热</w:t>
                  </w:r>
                </w:p>
              </w:tc>
              <w:tc>
                <w:tcPr>
                  <w:tcW w:w="5212" w:type="dxa"/>
                  <w:vAlign w:val="center"/>
                </w:tcPr>
                <w:p>
                  <w:pPr>
                    <w:snapToGrid w:val="0"/>
                    <w:jc w:val="center"/>
                    <w:rPr>
                      <w:color w:val="auto"/>
                      <w:sz w:val="21"/>
                      <w:szCs w:val="21"/>
                      <w:highlight w:val="none"/>
                    </w:rPr>
                  </w:pPr>
                  <w:r>
                    <w:rPr>
                      <w:rFonts w:hint="eastAsia"/>
                      <w:color w:val="auto"/>
                      <w:sz w:val="21"/>
                      <w:szCs w:val="21"/>
                      <w:highlight w:val="none"/>
                    </w:rPr>
                    <w:t>采用分体空调</w:t>
                  </w:r>
                </w:p>
              </w:tc>
              <w:tc>
                <w:tcPr>
                  <w:tcW w:w="1154" w:type="dxa"/>
                  <w:vAlign w:val="center"/>
                </w:tcPr>
                <w:p>
                  <w:pPr>
                    <w:snapToGrid w:val="0"/>
                    <w:jc w:val="center"/>
                    <w:rPr>
                      <w:color w:val="auto"/>
                      <w:sz w:val="21"/>
                      <w:szCs w:val="21"/>
                      <w:highlight w:val="none"/>
                    </w:rPr>
                  </w:pPr>
                  <w:r>
                    <w:rPr>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63" w:type="dxa"/>
                  <w:vAlign w:val="center"/>
                </w:tcPr>
                <w:p>
                  <w:pPr>
                    <w:snapToGrid w:val="0"/>
                    <w:spacing w:line="240" w:lineRule="exact"/>
                    <w:jc w:val="center"/>
                    <w:rPr>
                      <w:color w:val="auto"/>
                      <w:sz w:val="21"/>
                      <w:szCs w:val="21"/>
                      <w:highlight w:val="none"/>
                    </w:rPr>
                  </w:pPr>
                  <w:r>
                    <w:rPr>
                      <w:color w:val="auto"/>
                      <w:sz w:val="21"/>
                      <w:szCs w:val="21"/>
                      <w:highlight w:val="none"/>
                    </w:rPr>
                    <w:t>7</w:t>
                  </w:r>
                </w:p>
              </w:tc>
              <w:tc>
                <w:tcPr>
                  <w:tcW w:w="709" w:type="dxa"/>
                  <w:vMerge w:val="restart"/>
                  <w:vAlign w:val="center"/>
                </w:tcPr>
                <w:p>
                  <w:pPr>
                    <w:snapToGrid w:val="0"/>
                    <w:spacing w:line="240" w:lineRule="exact"/>
                    <w:jc w:val="center"/>
                    <w:rPr>
                      <w:color w:val="auto"/>
                      <w:sz w:val="21"/>
                      <w:szCs w:val="21"/>
                      <w:highlight w:val="none"/>
                    </w:rPr>
                  </w:pPr>
                  <w:r>
                    <w:rPr>
                      <w:rFonts w:hint="eastAsia"/>
                      <w:color w:val="auto"/>
                      <w:sz w:val="21"/>
                      <w:szCs w:val="21"/>
                      <w:highlight w:val="none"/>
                    </w:rPr>
                    <w:t>环保工程</w:t>
                  </w:r>
                </w:p>
              </w:tc>
              <w:tc>
                <w:tcPr>
                  <w:tcW w:w="1276" w:type="dxa"/>
                  <w:gridSpan w:val="2"/>
                  <w:vAlign w:val="center"/>
                </w:tcPr>
                <w:p>
                  <w:pPr>
                    <w:snapToGrid w:val="0"/>
                    <w:jc w:val="center"/>
                    <w:rPr>
                      <w:color w:val="auto"/>
                      <w:sz w:val="21"/>
                      <w:szCs w:val="21"/>
                      <w:highlight w:val="none"/>
                    </w:rPr>
                  </w:pPr>
                  <w:r>
                    <w:rPr>
                      <w:rFonts w:hint="eastAsia"/>
                      <w:color w:val="auto"/>
                      <w:sz w:val="21"/>
                      <w:szCs w:val="21"/>
                      <w:highlight w:val="none"/>
                    </w:rPr>
                    <w:t>废气</w:t>
                  </w:r>
                </w:p>
              </w:tc>
              <w:tc>
                <w:tcPr>
                  <w:tcW w:w="5212" w:type="dxa"/>
                  <w:vAlign w:val="center"/>
                </w:tcPr>
                <w:p>
                  <w:pPr>
                    <w:snapToGrid w:val="0"/>
                    <w:jc w:val="center"/>
                    <w:rPr>
                      <w:color w:val="auto"/>
                      <w:sz w:val="21"/>
                      <w:szCs w:val="21"/>
                      <w:highlight w:val="none"/>
                    </w:rPr>
                  </w:pPr>
                  <w:r>
                    <w:rPr>
                      <w:rFonts w:hint="eastAsia"/>
                      <w:color w:val="auto"/>
                      <w:sz w:val="21"/>
                      <w:szCs w:val="21"/>
                      <w:highlight w:val="none"/>
                    </w:rPr>
                    <w:t>本项目每台打印机上的有机废气都经集气罩收集，合并经</w:t>
                  </w:r>
                  <w:r>
                    <w:rPr>
                      <w:color w:val="auto"/>
                      <w:sz w:val="21"/>
                      <w:szCs w:val="21"/>
                      <w:highlight w:val="none"/>
                    </w:rPr>
                    <w:t>UV</w:t>
                  </w:r>
                  <w:r>
                    <w:rPr>
                      <w:rFonts w:hint="eastAsia"/>
                      <w:color w:val="auto"/>
                      <w:sz w:val="21"/>
                      <w:szCs w:val="21"/>
                      <w:highlight w:val="none"/>
                    </w:rPr>
                    <w:t>光催化</w:t>
                  </w:r>
                  <w:r>
                    <w:rPr>
                      <w:color w:val="auto"/>
                      <w:sz w:val="21"/>
                      <w:szCs w:val="21"/>
                      <w:highlight w:val="none"/>
                    </w:rPr>
                    <w:t>+</w:t>
                  </w:r>
                  <w:r>
                    <w:rPr>
                      <w:rFonts w:hint="eastAsia"/>
                      <w:color w:val="auto"/>
                      <w:sz w:val="21"/>
                      <w:szCs w:val="21"/>
                      <w:highlight w:val="none"/>
                    </w:rPr>
                    <w:t>活性炭吸附处理后经1根</w:t>
                  </w:r>
                  <w:r>
                    <w:rPr>
                      <w:color w:val="auto"/>
                      <w:sz w:val="21"/>
                      <w:szCs w:val="21"/>
                      <w:highlight w:val="none"/>
                    </w:rPr>
                    <w:t xml:space="preserve"> 15m </w:t>
                  </w:r>
                  <w:r>
                    <w:rPr>
                      <w:rFonts w:hint="eastAsia"/>
                      <w:color w:val="auto"/>
                      <w:sz w:val="21"/>
                      <w:szCs w:val="21"/>
                      <w:highlight w:val="none"/>
                    </w:rPr>
                    <w:t>高排气筒排放</w:t>
                  </w:r>
                </w:p>
              </w:tc>
              <w:tc>
                <w:tcPr>
                  <w:tcW w:w="1154" w:type="dxa"/>
                  <w:vAlign w:val="center"/>
                </w:tcPr>
                <w:p>
                  <w:pPr>
                    <w:snapToGrid w:val="0"/>
                    <w:jc w:val="center"/>
                    <w:rPr>
                      <w:color w:val="auto"/>
                      <w:sz w:val="21"/>
                      <w:szCs w:val="21"/>
                      <w:highlight w:val="none"/>
                    </w:rPr>
                  </w:pPr>
                  <w:r>
                    <w:rPr>
                      <w:rFonts w:hint="eastAsia"/>
                      <w:color w:val="auto"/>
                      <w:sz w:val="21"/>
                      <w:szCs w:val="21"/>
                      <w:highlight w:val="none"/>
                    </w:rPr>
                    <w:t>已安装运行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63" w:type="dxa"/>
                  <w:vAlign w:val="center"/>
                </w:tcPr>
                <w:p>
                  <w:pPr>
                    <w:snapToGrid w:val="0"/>
                    <w:spacing w:line="240" w:lineRule="exact"/>
                    <w:jc w:val="center"/>
                    <w:rPr>
                      <w:color w:val="auto"/>
                      <w:sz w:val="21"/>
                      <w:szCs w:val="21"/>
                      <w:highlight w:val="none"/>
                    </w:rPr>
                  </w:pPr>
                  <w:r>
                    <w:rPr>
                      <w:color w:val="auto"/>
                      <w:sz w:val="21"/>
                      <w:szCs w:val="21"/>
                      <w:highlight w:val="none"/>
                    </w:rPr>
                    <w:t>8</w:t>
                  </w:r>
                </w:p>
              </w:tc>
              <w:tc>
                <w:tcPr>
                  <w:tcW w:w="709" w:type="dxa"/>
                  <w:vMerge w:val="continue"/>
                  <w:vAlign w:val="center"/>
                </w:tcPr>
                <w:p>
                  <w:pPr>
                    <w:keepNext/>
                    <w:keepLines/>
                    <w:snapToGrid w:val="0"/>
                    <w:spacing w:before="340" w:after="330" w:line="240" w:lineRule="exact"/>
                    <w:jc w:val="center"/>
                    <w:outlineLvl w:val="0"/>
                    <w:rPr>
                      <w:color w:val="auto"/>
                      <w:sz w:val="21"/>
                      <w:szCs w:val="21"/>
                      <w:highlight w:val="none"/>
                    </w:rPr>
                  </w:pPr>
                </w:p>
              </w:tc>
              <w:tc>
                <w:tcPr>
                  <w:tcW w:w="1276" w:type="dxa"/>
                  <w:gridSpan w:val="2"/>
                  <w:vAlign w:val="center"/>
                </w:tcPr>
                <w:p>
                  <w:pPr>
                    <w:snapToGrid w:val="0"/>
                    <w:jc w:val="center"/>
                    <w:rPr>
                      <w:color w:val="auto"/>
                      <w:sz w:val="21"/>
                      <w:szCs w:val="21"/>
                      <w:highlight w:val="none"/>
                    </w:rPr>
                  </w:pPr>
                  <w:r>
                    <w:rPr>
                      <w:rFonts w:hint="eastAsia"/>
                      <w:color w:val="auto"/>
                      <w:sz w:val="21"/>
                      <w:szCs w:val="21"/>
                      <w:highlight w:val="none"/>
                    </w:rPr>
                    <w:t>废水</w:t>
                  </w:r>
                </w:p>
              </w:tc>
              <w:tc>
                <w:tcPr>
                  <w:tcW w:w="5212" w:type="dxa"/>
                  <w:vAlign w:val="center"/>
                </w:tcPr>
                <w:p>
                  <w:pPr>
                    <w:snapToGrid w:val="0"/>
                    <w:jc w:val="center"/>
                    <w:rPr>
                      <w:color w:val="auto"/>
                      <w:sz w:val="21"/>
                      <w:szCs w:val="21"/>
                      <w:highlight w:val="none"/>
                    </w:rPr>
                  </w:pPr>
                  <w:r>
                    <w:rPr>
                      <w:rFonts w:hint="eastAsia"/>
                      <w:color w:val="auto"/>
                      <w:sz w:val="21"/>
                      <w:szCs w:val="21"/>
                      <w:highlight w:val="none"/>
                    </w:rPr>
                    <w:t>生产废水</w:t>
                  </w:r>
                  <w:r>
                    <w:rPr>
                      <w:color w:val="auto"/>
                      <w:sz w:val="21"/>
                      <w:szCs w:val="21"/>
                      <w:highlight w:val="none"/>
                    </w:rPr>
                    <w:t>PS</w:t>
                  </w:r>
                  <w:r>
                    <w:rPr>
                      <w:rFonts w:hint="eastAsia"/>
                      <w:color w:val="auto"/>
                      <w:sz w:val="21"/>
                      <w:szCs w:val="21"/>
                      <w:highlight w:val="none"/>
                    </w:rPr>
                    <w:t>冲版废水经过滤后循环利用，最后残液和滤渣作为危险废物交由有资质单位处置</w:t>
                  </w:r>
                  <w:r>
                    <w:rPr>
                      <w:color w:val="auto"/>
                      <w:sz w:val="21"/>
                      <w:szCs w:val="21"/>
                      <w:highlight w:val="none"/>
                    </w:rPr>
                    <w:t>,</w:t>
                  </w:r>
                  <w:r>
                    <w:rPr>
                      <w:rFonts w:hint="eastAsia"/>
                      <w:color w:val="auto"/>
                      <w:sz w:val="21"/>
                      <w:szCs w:val="21"/>
                      <w:highlight w:val="none"/>
                    </w:rPr>
                    <w:t>生活污水经陕西澳利森木业集团有限公司化粪池处理后排入市政污水管网</w:t>
                  </w:r>
                </w:p>
              </w:tc>
              <w:tc>
                <w:tcPr>
                  <w:tcW w:w="1154" w:type="dxa"/>
                  <w:vAlign w:val="center"/>
                </w:tcPr>
                <w:p>
                  <w:pPr>
                    <w:snapToGrid w:val="0"/>
                    <w:jc w:val="center"/>
                    <w:rPr>
                      <w:color w:val="auto"/>
                      <w:sz w:val="21"/>
                      <w:szCs w:val="21"/>
                      <w:highlight w:val="none"/>
                    </w:rPr>
                  </w:pPr>
                  <w:r>
                    <w:rPr>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63" w:type="dxa"/>
                  <w:vAlign w:val="center"/>
                </w:tcPr>
                <w:p>
                  <w:pPr>
                    <w:snapToGrid w:val="0"/>
                    <w:spacing w:line="240" w:lineRule="exact"/>
                    <w:jc w:val="center"/>
                    <w:rPr>
                      <w:color w:val="auto"/>
                      <w:sz w:val="21"/>
                      <w:szCs w:val="21"/>
                      <w:highlight w:val="none"/>
                    </w:rPr>
                  </w:pPr>
                  <w:r>
                    <w:rPr>
                      <w:color w:val="auto"/>
                      <w:sz w:val="21"/>
                      <w:szCs w:val="21"/>
                      <w:highlight w:val="none"/>
                    </w:rPr>
                    <w:t>9</w:t>
                  </w:r>
                </w:p>
              </w:tc>
              <w:tc>
                <w:tcPr>
                  <w:tcW w:w="709" w:type="dxa"/>
                  <w:vMerge w:val="continue"/>
                  <w:vAlign w:val="center"/>
                </w:tcPr>
                <w:p>
                  <w:pPr>
                    <w:keepNext/>
                    <w:keepLines/>
                    <w:snapToGrid w:val="0"/>
                    <w:spacing w:before="340" w:after="330" w:line="240" w:lineRule="exact"/>
                    <w:jc w:val="center"/>
                    <w:outlineLvl w:val="0"/>
                    <w:rPr>
                      <w:color w:val="auto"/>
                      <w:sz w:val="21"/>
                      <w:szCs w:val="21"/>
                      <w:highlight w:val="none"/>
                    </w:rPr>
                  </w:pPr>
                </w:p>
              </w:tc>
              <w:tc>
                <w:tcPr>
                  <w:tcW w:w="1276" w:type="dxa"/>
                  <w:gridSpan w:val="2"/>
                  <w:vAlign w:val="center"/>
                </w:tcPr>
                <w:p>
                  <w:pPr>
                    <w:snapToGrid w:val="0"/>
                    <w:jc w:val="center"/>
                    <w:rPr>
                      <w:color w:val="auto"/>
                      <w:sz w:val="21"/>
                      <w:szCs w:val="21"/>
                      <w:highlight w:val="none"/>
                    </w:rPr>
                  </w:pPr>
                  <w:r>
                    <w:rPr>
                      <w:rFonts w:hint="eastAsia"/>
                      <w:color w:val="auto"/>
                      <w:sz w:val="21"/>
                      <w:szCs w:val="21"/>
                      <w:highlight w:val="none"/>
                    </w:rPr>
                    <w:t>噪声</w:t>
                  </w:r>
                </w:p>
              </w:tc>
              <w:tc>
                <w:tcPr>
                  <w:tcW w:w="5212" w:type="dxa"/>
                  <w:vAlign w:val="center"/>
                </w:tcPr>
                <w:p>
                  <w:pPr>
                    <w:snapToGrid w:val="0"/>
                    <w:jc w:val="center"/>
                    <w:rPr>
                      <w:color w:val="auto"/>
                      <w:sz w:val="21"/>
                      <w:szCs w:val="21"/>
                      <w:highlight w:val="none"/>
                    </w:rPr>
                  </w:pPr>
                  <w:r>
                    <w:rPr>
                      <w:rFonts w:hint="eastAsia"/>
                      <w:color w:val="auto"/>
                      <w:sz w:val="21"/>
                      <w:szCs w:val="21"/>
                      <w:highlight w:val="none"/>
                    </w:rPr>
                    <w:t>选用低噪声设备，合理布局，同时对一些高噪声设备，采用厂房隔声、基础减震措施。</w:t>
                  </w:r>
                </w:p>
              </w:tc>
              <w:tc>
                <w:tcPr>
                  <w:tcW w:w="1154" w:type="dxa"/>
                  <w:vAlign w:val="center"/>
                </w:tcPr>
                <w:p>
                  <w:pPr>
                    <w:snapToGrid w:val="0"/>
                    <w:jc w:val="center"/>
                    <w:rPr>
                      <w:color w:val="auto"/>
                      <w:sz w:val="21"/>
                      <w:szCs w:val="21"/>
                      <w:highlight w:val="none"/>
                    </w:rPr>
                  </w:pPr>
                  <w:r>
                    <w:rPr>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663" w:type="dxa"/>
                  <w:vMerge w:val="restart"/>
                  <w:vAlign w:val="center"/>
                </w:tcPr>
                <w:p>
                  <w:pPr>
                    <w:snapToGrid w:val="0"/>
                    <w:spacing w:line="240" w:lineRule="exact"/>
                    <w:jc w:val="center"/>
                    <w:rPr>
                      <w:color w:val="auto"/>
                      <w:sz w:val="21"/>
                      <w:szCs w:val="21"/>
                      <w:highlight w:val="none"/>
                    </w:rPr>
                  </w:pPr>
                  <w:r>
                    <w:rPr>
                      <w:color w:val="auto"/>
                      <w:sz w:val="21"/>
                      <w:szCs w:val="21"/>
                      <w:highlight w:val="none"/>
                    </w:rPr>
                    <w:t>10</w:t>
                  </w:r>
                </w:p>
              </w:tc>
              <w:tc>
                <w:tcPr>
                  <w:tcW w:w="709" w:type="dxa"/>
                  <w:vMerge w:val="continue"/>
                  <w:vAlign w:val="center"/>
                </w:tcPr>
                <w:p>
                  <w:pPr>
                    <w:keepNext/>
                    <w:keepLines/>
                    <w:snapToGrid w:val="0"/>
                    <w:spacing w:before="340" w:after="330" w:line="240" w:lineRule="exact"/>
                    <w:jc w:val="center"/>
                    <w:outlineLvl w:val="0"/>
                    <w:rPr>
                      <w:color w:val="auto"/>
                      <w:sz w:val="21"/>
                      <w:szCs w:val="21"/>
                      <w:highlight w:val="none"/>
                    </w:rPr>
                  </w:pPr>
                </w:p>
              </w:tc>
              <w:tc>
                <w:tcPr>
                  <w:tcW w:w="567" w:type="dxa"/>
                  <w:vMerge w:val="restart"/>
                  <w:vAlign w:val="center"/>
                </w:tcPr>
                <w:p>
                  <w:pPr>
                    <w:snapToGrid w:val="0"/>
                    <w:jc w:val="center"/>
                    <w:rPr>
                      <w:color w:val="auto"/>
                      <w:sz w:val="21"/>
                      <w:szCs w:val="21"/>
                      <w:highlight w:val="none"/>
                    </w:rPr>
                  </w:pPr>
                  <w:r>
                    <w:rPr>
                      <w:rFonts w:hint="eastAsia"/>
                      <w:color w:val="auto"/>
                      <w:sz w:val="21"/>
                      <w:szCs w:val="21"/>
                      <w:highlight w:val="none"/>
                    </w:rPr>
                    <w:t>固废</w:t>
                  </w:r>
                </w:p>
              </w:tc>
              <w:tc>
                <w:tcPr>
                  <w:tcW w:w="709" w:type="dxa"/>
                  <w:vAlign w:val="center"/>
                </w:tcPr>
                <w:p>
                  <w:pPr>
                    <w:snapToGrid w:val="0"/>
                    <w:jc w:val="center"/>
                    <w:rPr>
                      <w:color w:val="auto"/>
                      <w:sz w:val="21"/>
                      <w:szCs w:val="21"/>
                      <w:highlight w:val="none"/>
                    </w:rPr>
                  </w:pPr>
                  <w:r>
                    <w:rPr>
                      <w:rFonts w:hint="eastAsia"/>
                      <w:color w:val="auto"/>
                      <w:sz w:val="21"/>
                      <w:szCs w:val="21"/>
                      <w:highlight w:val="none"/>
                    </w:rPr>
                    <w:t>危险废物</w:t>
                  </w:r>
                </w:p>
              </w:tc>
              <w:tc>
                <w:tcPr>
                  <w:tcW w:w="5212" w:type="dxa"/>
                  <w:vAlign w:val="center"/>
                </w:tcPr>
                <w:p>
                  <w:pPr>
                    <w:snapToGrid w:val="0"/>
                    <w:jc w:val="center"/>
                    <w:rPr>
                      <w:color w:val="auto"/>
                      <w:sz w:val="21"/>
                      <w:szCs w:val="21"/>
                      <w:highlight w:val="none"/>
                    </w:rPr>
                  </w:pPr>
                  <w:r>
                    <w:rPr>
                      <w:rFonts w:hint="eastAsia"/>
                      <w:color w:val="auto"/>
                      <w:sz w:val="21"/>
                      <w:szCs w:val="21"/>
                      <w:highlight w:val="none"/>
                    </w:rPr>
                    <w:t>废油墨桶、废含油抹布、废活性炭、废洗辊液、废机油等为危险废物，分类集中收集后交由</w:t>
                  </w:r>
                  <w:r>
                    <w:rPr>
                      <w:rFonts w:hint="eastAsia" w:hAnsi="宋体"/>
                      <w:color w:val="auto"/>
                      <w:sz w:val="21"/>
                      <w:szCs w:val="21"/>
                      <w:highlight w:val="none"/>
                    </w:rPr>
                    <w:t>陕西新天地固体废物综合处置有限公司</w:t>
                  </w:r>
                  <w:r>
                    <w:rPr>
                      <w:rFonts w:hint="eastAsia"/>
                      <w:color w:val="auto"/>
                      <w:sz w:val="21"/>
                      <w:szCs w:val="21"/>
                      <w:highlight w:val="none"/>
                    </w:rPr>
                    <w:t>处置</w:t>
                  </w:r>
                  <w:r>
                    <w:rPr>
                      <w:color w:val="auto"/>
                      <w:sz w:val="21"/>
                      <w:szCs w:val="21"/>
                      <w:highlight w:val="none"/>
                    </w:rPr>
                    <w:t xml:space="preserve"> </w:t>
                  </w:r>
                </w:p>
              </w:tc>
              <w:tc>
                <w:tcPr>
                  <w:tcW w:w="1154" w:type="dxa"/>
                  <w:vAlign w:val="center"/>
                </w:tcPr>
                <w:p>
                  <w:pPr>
                    <w:snapToGrid w:val="0"/>
                    <w:jc w:val="center"/>
                    <w:rPr>
                      <w:color w:val="auto"/>
                      <w:sz w:val="21"/>
                      <w:szCs w:val="21"/>
                      <w:highlight w:val="none"/>
                    </w:rPr>
                  </w:pPr>
                  <w:r>
                    <w:rPr>
                      <w:rFonts w:hint="eastAsia"/>
                      <w:color w:val="auto"/>
                      <w:sz w:val="21"/>
                      <w:szCs w:val="21"/>
                      <w:highlight w:val="none"/>
                    </w:rPr>
                    <w:t>依托澳利森公司现有房间改造为危险废物暂存间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663" w:type="dxa"/>
                  <w:vMerge w:val="continue"/>
                  <w:vAlign w:val="center"/>
                </w:tcPr>
                <w:p>
                  <w:pPr>
                    <w:snapToGrid w:val="0"/>
                    <w:spacing w:line="240" w:lineRule="exact"/>
                    <w:jc w:val="center"/>
                    <w:rPr>
                      <w:color w:val="auto"/>
                      <w:sz w:val="21"/>
                      <w:szCs w:val="21"/>
                      <w:highlight w:val="none"/>
                    </w:rPr>
                  </w:pPr>
                </w:p>
              </w:tc>
              <w:tc>
                <w:tcPr>
                  <w:tcW w:w="709" w:type="dxa"/>
                  <w:vMerge w:val="continue"/>
                  <w:vAlign w:val="center"/>
                </w:tcPr>
                <w:p>
                  <w:pPr>
                    <w:keepNext/>
                    <w:keepLines/>
                    <w:snapToGrid w:val="0"/>
                    <w:spacing w:before="340" w:after="330" w:line="240" w:lineRule="exact"/>
                    <w:jc w:val="center"/>
                    <w:outlineLvl w:val="0"/>
                    <w:rPr>
                      <w:color w:val="auto"/>
                      <w:sz w:val="21"/>
                      <w:szCs w:val="21"/>
                      <w:highlight w:val="none"/>
                    </w:rPr>
                  </w:pPr>
                </w:p>
              </w:tc>
              <w:tc>
                <w:tcPr>
                  <w:tcW w:w="567" w:type="dxa"/>
                  <w:vMerge w:val="continue"/>
                  <w:vAlign w:val="center"/>
                </w:tcPr>
                <w:p>
                  <w:pPr>
                    <w:snapToGrid w:val="0"/>
                    <w:jc w:val="center"/>
                    <w:rPr>
                      <w:color w:val="auto"/>
                      <w:sz w:val="21"/>
                      <w:szCs w:val="21"/>
                      <w:highlight w:val="none"/>
                    </w:rPr>
                  </w:pPr>
                </w:p>
              </w:tc>
              <w:tc>
                <w:tcPr>
                  <w:tcW w:w="709" w:type="dxa"/>
                  <w:vAlign w:val="center"/>
                </w:tcPr>
                <w:p>
                  <w:pPr>
                    <w:snapToGrid w:val="0"/>
                    <w:jc w:val="center"/>
                    <w:rPr>
                      <w:color w:val="auto"/>
                      <w:sz w:val="21"/>
                      <w:szCs w:val="21"/>
                      <w:highlight w:val="none"/>
                    </w:rPr>
                  </w:pPr>
                  <w:r>
                    <w:rPr>
                      <w:rFonts w:hint="eastAsia"/>
                      <w:color w:val="auto"/>
                      <w:sz w:val="21"/>
                      <w:szCs w:val="21"/>
                      <w:highlight w:val="none"/>
                    </w:rPr>
                    <w:t>一般固废</w:t>
                  </w:r>
                </w:p>
              </w:tc>
              <w:tc>
                <w:tcPr>
                  <w:tcW w:w="5212" w:type="dxa"/>
                  <w:vAlign w:val="center"/>
                </w:tcPr>
                <w:p>
                  <w:pPr>
                    <w:snapToGrid w:val="0"/>
                    <w:jc w:val="center"/>
                    <w:rPr>
                      <w:color w:val="auto"/>
                      <w:sz w:val="21"/>
                      <w:szCs w:val="21"/>
                      <w:highlight w:val="none"/>
                    </w:rPr>
                  </w:pPr>
                  <w:r>
                    <w:rPr>
                      <w:rFonts w:hint="eastAsia"/>
                      <w:color w:val="auto"/>
                      <w:sz w:val="21"/>
                      <w:szCs w:val="21"/>
                      <w:highlight w:val="none"/>
                    </w:rPr>
                    <w:t>废纸外售废品回收站</w:t>
                  </w:r>
                </w:p>
              </w:tc>
              <w:tc>
                <w:tcPr>
                  <w:tcW w:w="1154" w:type="dxa"/>
                  <w:vAlign w:val="center"/>
                </w:tcPr>
                <w:p>
                  <w:pPr>
                    <w:snapToGrid w:val="0"/>
                    <w:jc w:val="center"/>
                    <w:rPr>
                      <w:color w:val="auto"/>
                      <w:sz w:val="21"/>
                      <w:szCs w:val="21"/>
                      <w:highlight w:val="none"/>
                    </w:rPr>
                  </w:pPr>
                  <w:r>
                    <w:rPr>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663" w:type="dxa"/>
                  <w:vMerge w:val="continue"/>
                  <w:vAlign w:val="center"/>
                </w:tcPr>
                <w:p>
                  <w:pPr>
                    <w:snapToGrid w:val="0"/>
                    <w:spacing w:line="240" w:lineRule="exact"/>
                    <w:jc w:val="center"/>
                    <w:rPr>
                      <w:color w:val="auto"/>
                      <w:sz w:val="21"/>
                      <w:szCs w:val="21"/>
                      <w:highlight w:val="none"/>
                    </w:rPr>
                  </w:pPr>
                </w:p>
              </w:tc>
              <w:tc>
                <w:tcPr>
                  <w:tcW w:w="709" w:type="dxa"/>
                  <w:vMerge w:val="continue"/>
                  <w:vAlign w:val="center"/>
                </w:tcPr>
                <w:p>
                  <w:pPr>
                    <w:keepNext/>
                    <w:keepLines/>
                    <w:snapToGrid w:val="0"/>
                    <w:spacing w:before="340" w:after="330" w:line="240" w:lineRule="exact"/>
                    <w:jc w:val="center"/>
                    <w:outlineLvl w:val="0"/>
                    <w:rPr>
                      <w:color w:val="auto"/>
                      <w:sz w:val="21"/>
                      <w:szCs w:val="21"/>
                      <w:highlight w:val="none"/>
                    </w:rPr>
                  </w:pPr>
                </w:p>
              </w:tc>
              <w:tc>
                <w:tcPr>
                  <w:tcW w:w="567" w:type="dxa"/>
                  <w:vMerge w:val="continue"/>
                  <w:vAlign w:val="center"/>
                </w:tcPr>
                <w:p>
                  <w:pPr>
                    <w:snapToGrid w:val="0"/>
                    <w:jc w:val="center"/>
                    <w:rPr>
                      <w:color w:val="auto"/>
                      <w:sz w:val="21"/>
                      <w:szCs w:val="21"/>
                      <w:highlight w:val="none"/>
                    </w:rPr>
                  </w:pPr>
                </w:p>
              </w:tc>
              <w:tc>
                <w:tcPr>
                  <w:tcW w:w="709" w:type="dxa"/>
                  <w:vAlign w:val="center"/>
                </w:tcPr>
                <w:p>
                  <w:pPr>
                    <w:snapToGrid w:val="0"/>
                    <w:jc w:val="center"/>
                    <w:rPr>
                      <w:color w:val="auto"/>
                      <w:sz w:val="21"/>
                      <w:szCs w:val="21"/>
                      <w:highlight w:val="none"/>
                    </w:rPr>
                  </w:pPr>
                  <w:r>
                    <w:rPr>
                      <w:rFonts w:hint="eastAsia"/>
                      <w:color w:val="auto"/>
                      <w:sz w:val="21"/>
                      <w:szCs w:val="21"/>
                      <w:highlight w:val="none"/>
                    </w:rPr>
                    <w:t>生活垃圾</w:t>
                  </w:r>
                </w:p>
              </w:tc>
              <w:tc>
                <w:tcPr>
                  <w:tcW w:w="5212" w:type="dxa"/>
                  <w:vAlign w:val="center"/>
                </w:tcPr>
                <w:p>
                  <w:pPr>
                    <w:snapToGrid w:val="0"/>
                    <w:jc w:val="center"/>
                    <w:rPr>
                      <w:color w:val="auto"/>
                      <w:sz w:val="21"/>
                      <w:szCs w:val="21"/>
                      <w:highlight w:val="none"/>
                    </w:rPr>
                  </w:pPr>
                  <w:r>
                    <w:rPr>
                      <w:rFonts w:hint="eastAsia"/>
                      <w:color w:val="auto"/>
                      <w:sz w:val="21"/>
                      <w:szCs w:val="21"/>
                      <w:highlight w:val="none"/>
                    </w:rPr>
                    <w:t>生活垃圾由环卫部门定期清运</w:t>
                  </w:r>
                </w:p>
              </w:tc>
              <w:tc>
                <w:tcPr>
                  <w:tcW w:w="1154" w:type="dxa"/>
                  <w:vAlign w:val="center"/>
                </w:tcPr>
                <w:p>
                  <w:pPr>
                    <w:snapToGrid w:val="0"/>
                    <w:jc w:val="center"/>
                    <w:rPr>
                      <w:color w:val="auto"/>
                      <w:sz w:val="21"/>
                      <w:szCs w:val="21"/>
                      <w:highlight w:val="none"/>
                    </w:rPr>
                  </w:pPr>
                  <w:r>
                    <w:rPr>
                      <w:color w:val="auto"/>
                      <w:sz w:val="21"/>
                      <w:szCs w:val="21"/>
                      <w:highlight w:val="none"/>
                    </w:rPr>
                    <w:t>/</w:t>
                  </w:r>
                </w:p>
              </w:tc>
            </w:tr>
          </w:tbl>
          <w:p>
            <w:pPr>
              <w:adjustRightInd w:val="0"/>
              <w:snapToGrid w:val="0"/>
              <w:spacing w:line="360" w:lineRule="auto"/>
              <w:ind w:firstLine="480" w:firstLineChars="200"/>
              <w:rPr>
                <w:rFonts w:eastAsia="黑体"/>
                <w:bCs/>
                <w:color w:val="auto"/>
                <w:sz w:val="24"/>
                <w:highlight w:val="none"/>
              </w:rPr>
            </w:pPr>
            <w:r>
              <w:rPr>
                <w:rFonts w:eastAsia="黑体"/>
                <w:bCs/>
                <w:color w:val="auto"/>
                <w:sz w:val="24"/>
                <w:highlight w:val="none"/>
              </w:rPr>
              <w:t>1.4.2生产规模和产品方案</w:t>
            </w:r>
          </w:p>
          <w:p>
            <w:pPr>
              <w:spacing w:line="360" w:lineRule="auto"/>
              <w:ind w:firstLine="480" w:firstLineChars="200"/>
              <w:rPr>
                <w:b/>
                <w:color w:val="auto"/>
                <w:sz w:val="21"/>
                <w:szCs w:val="21"/>
                <w:highlight w:val="none"/>
              </w:rPr>
            </w:pPr>
            <w:r>
              <w:rPr>
                <w:rFonts w:hint="eastAsia"/>
                <w:color w:val="auto"/>
                <w:sz w:val="24"/>
                <w:highlight w:val="none"/>
              </w:rPr>
              <w:t>根据建设单位提供的资料,本项目生产各种书本，年产量为15万册。</w:t>
            </w:r>
          </w:p>
          <w:p>
            <w:pPr>
              <w:spacing w:line="500" w:lineRule="exact"/>
              <w:ind w:firstLine="480" w:firstLineChars="200"/>
              <w:rPr>
                <w:rFonts w:eastAsia="黑体"/>
                <w:color w:val="auto"/>
                <w:sz w:val="24"/>
                <w:highlight w:val="none"/>
              </w:rPr>
            </w:pPr>
            <w:r>
              <w:rPr>
                <w:rFonts w:eastAsia="黑体"/>
                <w:color w:val="auto"/>
                <w:sz w:val="24"/>
                <w:highlight w:val="none"/>
              </w:rPr>
              <w:t>1.4.3原辅料消耗及性能</w:t>
            </w:r>
          </w:p>
          <w:p>
            <w:pPr>
              <w:spacing w:line="500" w:lineRule="exact"/>
              <w:ind w:firstLine="480" w:firstLineChars="200"/>
              <w:rPr>
                <w:rFonts w:eastAsia="黑体"/>
                <w:color w:val="auto"/>
                <w:sz w:val="24"/>
                <w:szCs w:val="20"/>
                <w:highlight w:val="none"/>
              </w:rPr>
            </w:pPr>
            <w:r>
              <w:rPr>
                <w:color w:val="auto"/>
                <w:sz w:val="24"/>
                <w:highlight w:val="none"/>
              </w:rPr>
              <w:t>项目原</w:t>
            </w:r>
            <w:r>
              <w:rPr>
                <w:rFonts w:hint="eastAsia"/>
                <w:color w:val="auto"/>
                <w:sz w:val="24"/>
                <w:highlight w:val="none"/>
              </w:rPr>
              <w:t>辅</w:t>
            </w:r>
            <w:r>
              <w:rPr>
                <w:color w:val="auto"/>
                <w:sz w:val="24"/>
                <w:highlight w:val="none"/>
              </w:rPr>
              <w:t>材料主要为</w:t>
            </w:r>
            <w:r>
              <w:rPr>
                <w:rFonts w:hint="eastAsia"/>
                <w:color w:val="auto"/>
                <w:sz w:val="24"/>
                <w:highlight w:val="none"/>
              </w:rPr>
              <w:t>广告制作所需要的</w:t>
            </w:r>
            <w:r>
              <w:rPr>
                <w:color w:val="auto"/>
                <w:sz w:val="24"/>
                <w:highlight w:val="none"/>
              </w:rPr>
              <w:t>，项目原材料消耗见表1-3</w:t>
            </w:r>
            <w:r>
              <w:rPr>
                <w:rFonts w:hint="eastAsia"/>
                <w:color w:val="auto"/>
                <w:sz w:val="24"/>
                <w:highlight w:val="none"/>
              </w:rPr>
              <w:t>。</w:t>
            </w:r>
            <w:r>
              <w:rPr>
                <w:rFonts w:eastAsia="黑体"/>
                <w:color w:val="auto"/>
                <w:sz w:val="24"/>
                <w:szCs w:val="20"/>
                <w:highlight w:val="none"/>
              </w:rPr>
              <w:t xml:space="preserve"> </w:t>
            </w:r>
          </w:p>
          <w:p>
            <w:pPr>
              <w:jc w:val="center"/>
              <w:rPr>
                <w:rFonts w:eastAsia="黑体"/>
                <w:color w:val="auto"/>
                <w:sz w:val="24"/>
                <w:szCs w:val="20"/>
                <w:highlight w:val="none"/>
              </w:rPr>
            </w:pPr>
            <w:r>
              <w:rPr>
                <w:rFonts w:eastAsia="黑体"/>
                <w:color w:val="auto"/>
                <w:sz w:val="24"/>
                <w:szCs w:val="20"/>
                <w:highlight w:val="none"/>
              </w:rPr>
              <w:t xml:space="preserve">表1-3      主要原辅材料一览表 </w:t>
            </w:r>
          </w:p>
          <w:tbl>
            <w:tblPr>
              <w:tblStyle w:val="27"/>
              <w:tblW w:w="8606"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601"/>
              <w:gridCol w:w="850"/>
              <w:gridCol w:w="1134"/>
              <w:gridCol w:w="1276"/>
              <w:gridCol w:w="474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2" w:hRule="atLeast"/>
                <w:jc w:val="center"/>
              </w:trPr>
              <w:tc>
                <w:tcPr>
                  <w:tcW w:w="601" w:type="dxa"/>
                  <w:vAlign w:val="center"/>
                </w:tcPr>
                <w:p>
                  <w:pPr>
                    <w:wordWrap w:val="0"/>
                    <w:snapToGrid w:val="0"/>
                    <w:jc w:val="center"/>
                    <w:rPr>
                      <w:color w:val="auto"/>
                      <w:sz w:val="21"/>
                      <w:szCs w:val="21"/>
                      <w:highlight w:val="none"/>
                    </w:rPr>
                  </w:pPr>
                  <w:r>
                    <w:rPr>
                      <w:color w:val="auto"/>
                      <w:sz w:val="21"/>
                      <w:szCs w:val="21"/>
                      <w:highlight w:val="none"/>
                    </w:rPr>
                    <w:t>序号</w:t>
                  </w:r>
                </w:p>
              </w:tc>
              <w:tc>
                <w:tcPr>
                  <w:tcW w:w="850" w:type="dxa"/>
                  <w:vAlign w:val="center"/>
                </w:tcPr>
                <w:p>
                  <w:pPr>
                    <w:wordWrap w:val="0"/>
                    <w:snapToGrid w:val="0"/>
                    <w:jc w:val="center"/>
                    <w:rPr>
                      <w:color w:val="auto"/>
                      <w:sz w:val="21"/>
                      <w:szCs w:val="21"/>
                      <w:highlight w:val="none"/>
                    </w:rPr>
                  </w:pPr>
                  <w:r>
                    <w:rPr>
                      <w:rFonts w:hint="eastAsia"/>
                      <w:color w:val="auto"/>
                      <w:sz w:val="21"/>
                      <w:szCs w:val="21"/>
                      <w:highlight w:val="none"/>
                    </w:rPr>
                    <w:t>名称</w:t>
                  </w:r>
                </w:p>
              </w:tc>
              <w:tc>
                <w:tcPr>
                  <w:tcW w:w="1134" w:type="dxa"/>
                  <w:vAlign w:val="center"/>
                </w:tcPr>
                <w:p>
                  <w:pPr>
                    <w:wordWrap w:val="0"/>
                    <w:snapToGrid w:val="0"/>
                    <w:jc w:val="center"/>
                    <w:rPr>
                      <w:color w:val="auto"/>
                      <w:sz w:val="21"/>
                      <w:szCs w:val="21"/>
                      <w:highlight w:val="none"/>
                    </w:rPr>
                  </w:pPr>
                  <w:r>
                    <w:rPr>
                      <w:color w:val="auto"/>
                      <w:sz w:val="21"/>
                      <w:szCs w:val="21"/>
                      <w:highlight w:val="none"/>
                    </w:rPr>
                    <w:t>年消耗量</w:t>
                  </w:r>
                </w:p>
              </w:tc>
              <w:tc>
                <w:tcPr>
                  <w:tcW w:w="1276" w:type="dxa"/>
                  <w:vAlign w:val="center"/>
                </w:tcPr>
                <w:p>
                  <w:pPr>
                    <w:wordWrap w:val="0"/>
                    <w:snapToGrid w:val="0"/>
                    <w:jc w:val="center"/>
                    <w:rPr>
                      <w:color w:val="auto"/>
                      <w:sz w:val="21"/>
                      <w:szCs w:val="21"/>
                      <w:highlight w:val="none"/>
                    </w:rPr>
                  </w:pPr>
                  <w:r>
                    <w:rPr>
                      <w:rFonts w:hint="eastAsia"/>
                      <w:color w:val="auto"/>
                      <w:sz w:val="21"/>
                      <w:szCs w:val="21"/>
                      <w:highlight w:val="none"/>
                    </w:rPr>
                    <w:t>一次最大厂区储存量</w:t>
                  </w:r>
                </w:p>
              </w:tc>
              <w:tc>
                <w:tcPr>
                  <w:tcW w:w="4745" w:type="dxa"/>
                </w:tcPr>
                <w:p>
                  <w:pPr>
                    <w:wordWrap w:val="0"/>
                    <w:snapToGrid w:val="0"/>
                    <w:jc w:val="center"/>
                    <w:rPr>
                      <w:color w:val="auto"/>
                      <w:sz w:val="21"/>
                      <w:szCs w:val="21"/>
                      <w:highlight w:val="none"/>
                    </w:rPr>
                  </w:pPr>
                  <w:r>
                    <w:rPr>
                      <w:rFonts w:hint="eastAsia"/>
                      <w:color w:val="auto"/>
                      <w:sz w:val="21"/>
                      <w:szCs w:val="21"/>
                      <w:highlight w:val="none"/>
                    </w:rPr>
                    <w:t>主要成分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2" w:hRule="atLeast"/>
                <w:jc w:val="center"/>
              </w:trPr>
              <w:tc>
                <w:tcPr>
                  <w:tcW w:w="601" w:type="dxa"/>
                  <w:vAlign w:val="center"/>
                </w:tcPr>
                <w:p>
                  <w:pPr>
                    <w:wordWrap w:val="0"/>
                    <w:snapToGrid w:val="0"/>
                    <w:jc w:val="center"/>
                    <w:rPr>
                      <w:color w:val="auto"/>
                      <w:sz w:val="21"/>
                      <w:szCs w:val="21"/>
                      <w:highlight w:val="none"/>
                    </w:rPr>
                  </w:pPr>
                  <w:r>
                    <w:rPr>
                      <w:color w:val="auto"/>
                      <w:sz w:val="21"/>
                      <w:szCs w:val="21"/>
                      <w:highlight w:val="none"/>
                    </w:rPr>
                    <w:t>1</w:t>
                  </w:r>
                </w:p>
              </w:tc>
              <w:tc>
                <w:tcPr>
                  <w:tcW w:w="850" w:type="dxa"/>
                  <w:vAlign w:val="center"/>
                </w:tcPr>
                <w:p>
                  <w:pPr>
                    <w:autoSpaceDE w:val="0"/>
                    <w:autoSpaceDN w:val="0"/>
                    <w:jc w:val="center"/>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油墨</w:t>
                  </w:r>
                </w:p>
              </w:tc>
              <w:tc>
                <w:tcPr>
                  <w:tcW w:w="1134" w:type="dxa"/>
                  <w:vAlign w:val="center"/>
                </w:tcPr>
                <w:p>
                  <w:pPr>
                    <w:jc w:val="center"/>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1t</w:t>
                  </w:r>
                </w:p>
              </w:tc>
              <w:tc>
                <w:tcPr>
                  <w:tcW w:w="1276" w:type="dxa"/>
                  <w:vAlign w:val="center"/>
                </w:tcPr>
                <w:p>
                  <w:pPr>
                    <w:jc w:val="center"/>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0.2t</w:t>
                  </w:r>
                </w:p>
              </w:tc>
              <w:tc>
                <w:tcPr>
                  <w:tcW w:w="4745" w:type="dxa"/>
                </w:tcPr>
                <w:p>
                  <w:pPr>
                    <w:rPr>
                      <w:rFonts w:ascii="宋体" w:hAnsi="宋体"/>
                      <w:color w:val="auto"/>
                      <w:sz w:val="21"/>
                      <w:szCs w:val="21"/>
                      <w:highlight w:val="none"/>
                    </w:rPr>
                  </w:pPr>
                  <w:r>
                    <w:rPr>
                      <w:rFonts w:hint="eastAsia" w:asciiTheme="majorEastAsia" w:hAnsiTheme="majorEastAsia" w:eastAsiaTheme="majorEastAsia"/>
                      <w:color w:val="auto"/>
                      <w:sz w:val="21"/>
                      <w:szCs w:val="21"/>
                      <w:highlight w:val="none"/>
                    </w:rPr>
                    <w:t>采用大豆油墨，属环境标志产品认证产品。主要成分为：</w:t>
                  </w:r>
                  <w:r>
                    <w:rPr>
                      <w:rFonts w:hint="eastAsia" w:ascii="宋体" w:hAnsi="宋体"/>
                      <w:color w:val="auto"/>
                      <w:sz w:val="21"/>
                      <w:szCs w:val="21"/>
                      <w:highlight w:val="none"/>
                    </w:rPr>
                    <w:t>颜料</w:t>
                  </w:r>
                  <w:bookmarkStart w:id="0" w:name="OLE_LINK2"/>
                  <w:r>
                    <w:rPr>
                      <w:rFonts w:hint="eastAsia" w:ascii="宋体" w:hAnsi="宋体"/>
                      <w:color w:val="auto"/>
                      <w:sz w:val="21"/>
                      <w:szCs w:val="21"/>
                      <w:highlight w:val="none"/>
                    </w:rPr>
                    <w:t xml:space="preserve"> 15～25％</w:t>
                  </w:r>
                  <w:bookmarkEnd w:id="0"/>
                  <w:r>
                    <w:rPr>
                      <w:rFonts w:hint="eastAsia" w:ascii="宋体" w:hAnsi="宋体"/>
                      <w:color w:val="auto"/>
                      <w:sz w:val="21"/>
                      <w:szCs w:val="21"/>
                      <w:highlight w:val="none"/>
                    </w:rPr>
                    <w:t>、合成树脂20～30％、植物油20～30％、矿物油40～50％、助剂 10％以下。</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2" w:hRule="atLeast"/>
                <w:jc w:val="center"/>
              </w:trPr>
              <w:tc>
                <w:tcPr>
                  <w:tcW w:w="601" w:type="dxa"/>
                  <w:vAlign w:val="center"/>
                </w:tcPr>
                <w:p>
                  <w:pPr>
                    <w:wordWrap w:val="0"/>
                    <w:snapToGrid w:val="0"/>
                    <w:jc w:val="center"/>
                    <w:rPr>
                      <w:color w:val="auto"/>
                      <w:sz w:val="21"/>
                      <w:szCs w:val="21"/>
                      <w:highlight w:val="none"/>
                    </w:rPr>
                  </w:pPr>
                  <w:r>
                    <w:rPr>
                      <w:rFonts w:hint="eastAsia"/>
                      <w:color w:val="auto"/>
                      <w:sz w:val="21"/>
                      <w:szCs w:val="21"/>
                      <w:highlight w:val="none"/>
                    </w:rPr>
                    <w:t>2</w:t>
                  </w:r>
                </w:p>
              </w:tc>
              <w:tc>
                <w:tcPr>
                  <w:tcW w:w="850" w:type="dxa"/>
                  <w:vAlign w:val="center"/>
                </w:tcPr>
                <w:p>
                  <w:pPr>
                    <w:autoSpaceDE w:val="0"/>
                    <w:autoSpaceDN w:val="0"/>
                    <w:jc w:val="center"/>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橡皮布</w:t>
                  </w:r>
                </w:p>
              </w:tc>
              <w:tc>
                <w:tcPr>
                  <w:tcW w:w="1134" w:type="dxa"/>
                  <w:vAlign w:val="center"/>
                </w:tcPr>
                <w:p>
                  <w:pPr>
                    <w:jc w:val="center"/>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100张</w:t>
                  </w:r>
                </w:p>
              </w:tc>
              <w:tc>
                <w:tcPr>
                  <w:tcW w:w="1276" w:type="dxa"/>
                  <w:vAlign w:val="center"/>
                </w:tcPr>
                <w:p>
                  <w:pPr>
                    <w:jc w:val="center"/>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10张</w:t>
                  </w:r>
                </w:p>
              </w:tc>
              <w:tc>
                <w:tcPr>
                  <w:tcW w:w="4745" w:type="dxa"/>
                </w:tcPr>
                <w:p>
                  <w:pPr>
                    <w:jc w:val="center"/>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纤维、橡胶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2" w:hRule="atLeast"/>
                <w:jc w:val="center"/>
              </w:trPr>
              <w:tc>
                <w:tcPr>
                  <w:tcW w:w="601" w:type="dxa"/>
                  <w:vAlign w:val="center"/>
                </w:tcPr>
                <w:p>
                  <w:pPr>
                    <w:wordWrap w:val="0"/>
                    <w:snapToGrid w:val="0"/>
                    <w:jc w:val="center"/>
                    <w:rPr>
                      <w:color w:val="auto"/>
                      <w:sz w:val="21"/>
                      <w:szCs w:val="21"/>
                      <w:highlight w:val="none"/>
                    </w:rPr>
                  </w:pPr>
                  <w:r>
                    <w:rPr>
                      <w:color w:val="auto"/>
                      <w:sz w:val="21"/>
                      <w:szCs w:val="21"/>
                      <w:highlight w:val="none"/>
                    </w:rPr>
                    <w:t>3</w:t>
                  </w:r>
                </w:p>
              </w:tc>
              <w:tc>
                <w:tcPr>
                  <w:tcW w:w="850" w:type="dxa"/>
                  <w:vAlign w:val="center"/>
                </w:tcPr>
                <w:p>
                  <w:pPr>
                    <w:autoSpaceDE w:val="0"/>
                    <w:autoSpaceDN w:val="0"/>
                    <w:jc w:val="center"/>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PS板</w:t>
                  </w:r>
                </w:p>
              </w:tc>
              <w:tc>
                <w:tcPr>
                  <w:tcW w:w="1134" w:type="dxa"/>
                  <w:vAlign w:val="center"/>
                </w:tcPr>
                <w:p>
                  <w:pPr>
                    <w:jc w:val="center"/>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200张</w:t>
                  </w:r>
                </w:p>
              </w:tc>
              <w:tc>
                <w:tcPr>
                  <w:tcW w:w="1276" w:type="dxa"/>
                  <w:vAlign w:val="center"/>
                </w:tcPr>
                <w:p>
                  <w:pPr>
                    <w:jc w:val="center"/>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20张</w:t>
                  </w:r>
                </w:p>
              </w:tc>
              <w:tc>
                <w:tcPr>
                  <w:tcW w:w="4745" w:type="dxa"/>
                </w:tcPr>
                <w:p>
                  <w:pPr>
                    <w:jc w:val="center"/>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铝</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2" w:hRule="atLeast"/>
                <w:jc w:val="center"/>
              </w:trPr>
              <w:tc>
                <w:tcPr>
                  <w:tcW w:w="601" w:type="dxa"/>
                  <w:vAlign w:val="center"/>
                </w:tcPr>
                <w:p>
                  <w:pPr>
                    <w:wordWrap w:val="0"/>
                    <w:snapToGrid w:val="0"/>
                    <w:jc w:val="center"/>
                    <w:rPr>
                      <w:color w:val="auto"/>
                      <w:sz w:val="21"/>
                      <w:szCs w:val="21"/>
                      <w:highlight w:val="none"/>
                    </w:rPr>
                  </w:pPr>
                  <w:r>
                    <w:rPr>
                      <w:rFonts w:hint="eastAsia"/>
                      <w:color w:val="auto"/>
                      <w:sz w:val="21"/>
                      <w:szCs w:val="21"/>
                      <w:highlight w:val="none"/>
                    </w:rPr>
                    <w:t>4</w:t>
                  </w:r>
                </w:p>
              </w:tc>
              <w:tc>
                <w:tcPr>
                  <w:tcW w:w="850" w:type="dxa"/>
                  <w:vAlign w:val="center"/>
                </w:tcPr>
                <w:p>
                  <w:pPr>
                    <w:autoSpaceDE w:val="0"/>
                    <w:autoSpaceDN w:val="0"/>
                    <w:jc w:val="center"/>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铜版纸</w:t>
                  </w:r>
                </w:p>
              </w:tc>
              <w:tc>
                <w:tcPr>
                  <w:tcW w:w="1134" w:type="dxa"/>
                  <w:vAlign w:val="center"/>
                </w:tcPr>
                <w:p>
                  <w:pPr>
                    <w:jc w:val="center"/>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1000令</w:t>
                  </w:r>
                </w:p>
              </w:tc>
              <w:tc>
                <w:tcPr>
                  <w:tcW w:w="1276" w:type="dxa"/>
                  <w:vAlign w:val="center"/>
                </w:tcPr>
                <w:p>
                  <w:pPr>
                    <w:jc w:val="center"/>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100令</w:t>
                  </w:r>
                </w:p>
              </w:tc>
              <w:tc>
                <w:tcPr>
                  <w:tcW w:w="4745" w:type="dxa"/>
                </w:tcPr>
                <w:p>
                  <w:pPr>
                    <w:jc w:val="center"/>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木浆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2" w:hRule="atLeast"/>
                <w:jc w:val="center"/>
              </w:trPr>
              <w:tc>
                <w:tcPr>
                  <w:tcW w:w="601" w:type="dxa"/>
                  <w:vAlign w:val="center"/>
                </w:tcPr>
                <w:p>
                  <w:pPr>
                    <w:wordWrap w:val="0"/>
                    <w:snapToGrid w:val="0"/>
                    <w:jc w:val="center"/>
                    <w:rPr>
                      <w:color w:val="auto"/>
                      <w:sz w:val="21"/>
                      <w:szCs w:val="21"/>
                      <w:highlight w:val="none"/>
                    </w:rPr>
                  </w:pPr>
                  <w:r>
                    <w:rPr>
                      <w:rFonts w:hint="eastAsia"/>
                      <w:color w:val="auto"/>
                      <w:sz w:val="21"/>
                      <w:szCs w:val="21"/>
                      <w:highlight w:val="none"/>
                    </w:rPr>
                    <w:t>5</w:t>
                  </w:r>
                </w:p>
              </w:tc>
              <w:tc>
                <w:tcPr>
                  <w:tcW w:w="850" w:type="dxa"/>
                  <w:vAlign w:val="center"/>
                </w:tcPr>
                <w:p>
                  <w:pPr>
                    <w:autoSpaceDE w:val="0"/>
                    <w:autoSpaceDN w:val="0"/>
                    <w:jc w:val="center"/>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胶版纸</w:t>
                  </w:r>
                </w:p>
              </w:tc>
              <w:tc>
                <w:tcPr>
                  <w:tcW w:w="1134" w:type="dxa"/>
                  <w:vAlign w:val="center"/>
                </w:tcPr>
                <w:p>
                  <w:pPr>
                    <w:jc w:val="center"/>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3000令</w:t>
                  </w:r>
                </w:p>
              </w:tc>
              <w:tc>
                <w:tcPr>
                  <w:tcW w:w="1276" w:type="dxa"/>
                  <w:vAlign w:val="center"/>
                </w:tcPr>
                <w:p>
                  <w:pPr>
                    <w:jc w:val="center"/>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300令</w:t>
                  </w:r>
                </w:p>
              </w:tc>
              <w:tc>
                <w:tcPr>
                  <w:tcW w:w="4745" w:type="dxa"/>
                </w:tcPr>
                <w:p>
                  <w:pPr>
                    <w:jc w:val="center"/>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木浆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2" w:hRule="atLeast"/>
                <w:jc w:val="center"/>
              </w:trPr>
              <w:tc>
                <w:tcPr>
                  <w:tcW w:w="601" w:type="dxa"/>
                  <w:vAlign w:val="center"/>
                </w:tcPr>
                <w:p>
                  <w:pPr>
                    <w:wordWrap w:val="0"/>
                    <w:snapToGrid w:val="0"/>
                    <w:jc w:val="center"/>
                    <w:rPr>
                      <w:color w:val="auto"/>
                      <w:sz w:val="21"/>
                      <w:szCs w:val="21"/>
                      <w:highlight w:val="none"/>
                    </w:rPr>
                  </w:pPr>
                  <w:r>
                    <w:rPr>
                      <w:rFonts w:hint="eastAsia"/>
                      <w:color w:val="auto"/>
                      <w:sz w:val="21"/>
                      <w:szCs w:val="21"/>
                      <w:highlight w:val="none"/>
                    </w:rPr>
                    <w:t>6</w:t>
                  </w:r>
                </w:p>
              </w:tc>
              <w:tc>
                <w:tcPr>
                  <w:tcW w:w="850" w:type="dxa"/>
                  <w:vAlign w:val="center"/>
                </w:tcPr>
                <w:p>
                  <w:pPr>
                    <w:autoSpaceDE w:val="0"/>
                    <w:autoSpaceDN w:val="0"/>
                    <w:jc w:val="center"/>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热熔胶</w:t>
                  </w:r>
                </w:p>
              </w:tc>
              <w:tc>
                <w:tcPr>
                  <w:tcW w:w="1134" w:type="dxa"/>
                  <w:vAlign w:val="center"/>
                </w:tcPr>
                <w:p>
                  <w:pPr>
                    <w:jc w:val="center"/>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800千克</w:t>
                  </w:r>
                </w:p>
              </w:tc>
              <w:tc>
                <w:tcPr>
                  <w:tcW w:w="1276" w:type="dxa"/>
                  <w:vAlign w:val="center"/>
                </w:tcPr>
                <w:p>
                  <w:pPr>
                    <w:jc w:val="center"/>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100千克</w:t>
                  </w:r>
                </w:p>
              </w:tc>
              <w:tc>
                <w:tcPr>
                  <w:tcW w:w="4745" w:type="dxa"/>
                </w:tcPr>
                <w:p>
                  <w:pPr>
                    <w:rPr>
                      <w:rFonts w:ascii="宋体" w:hAnsi="宋体"/>
                      <w:color w:val="auto"/>
                      <w:sz w:val="21"/>
                      <w:szCs w:val="21"/>
                      <w:highlight w:val="none"/>
                    </w:rPr>
                  </w:pPr>
                  <w:r>
                    <w:rPr>
                      <w:rFonts w:hint="eastAsia" w:asciiTheme="majorEastAsia" w:hAnsiTheme="majorEastAsia" w:eastAsiaTheme="majorEastAsia"/>
                      <w:color w:val="auto"/>
                      <w:sz w:val="21"/>
                      <w:szCs w:val="21"/>
                      <w:highlight w:val="none"/>
                    </w:rPr>
                    <w:t>属环境标志产品认证产品。</w:t>
                  </w:r>
                  <w:r>
                    <w:rPr>
                      <w:rFonts w:hint="eastAsia" w:ascii="宋体" w:hAnsi="宋体"/>
                      <w:color w:val="auto"/>
                      <w:sz w:val="21"/>
                      <w:szCs w:val="21"/>
                      <w:highlight w:val="none"/>
                    </w:rPr>
                    <w:t>EVA树脂</w:t>
                  </w:r>
                  <w:r>
                    <w:rPr>
                      <w:rFonts w:ascii="宋体" w:hAnsi="宋体"/>
                      <w:color w:val="auto"/>
                      <w:sz w:val="21"/>
                      <w:szCs w:val="21"/>
                      <w:highlight w:val="none"/>
                    </w:rPr>
                    <w:t>35—50%</w:t>
                  </w:r>
                  <w:r>
                    <w:rPr>
                      <w:rFonts w:hint="eastAsia" w:ascii="宋体" w:hAnsi="宋体"/>
                      <w:color w:val="auto"/>
                      <w:sz w:val="21"/>
                      <w:szCs w:val="21"/>
                      <w:highlight w:val="none"/>
                    </w:rPr>
                    <w:t>;增粘树脂</w:t>
                  </w:r>
                  <w:r>
                    <w:rPr>
                      <w:rFonts w:ascii="宋体" w:hAnsi="宋体"/>
                      <w:color w:val="auto"/>
                      <w:sz w:val="21"/>
                      <w:szCs w:val="21"/>
                      <w:highlight w:val="none"/>
                    </w:rPr>
                    <w:t>30—50%</w:t>
                  </w:r>
                  <w:r>
                    <w:rPr>
                      <w:rFonts w:hint="eastAsia" w:ascii="宋体" w:hAnsi="宋体"/>
                      <w:color w:val="auto"/>
                      <w:sz w:val="21"/>
                      <w:szCs w:val="21"/>
                      <w:highlight w:val="none"/>
                    </w:rPr>
                    <w:t>;蜡及其他</w:t>
                  </w:r>
                  <w:r>
                    <w:rPr>
                      <w:rFonts w:ascii="宋体" w:hAnsi="宋体"/>
                      <w:color w:val="auto"/>
                      <w:sz w:val="21"/>
                      <w:szCs w:val="21"/>
                      <w:highlight w:val="none"/>
                    </w:rPr>
                    <w:t>10—30%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2" w:hRule="atLeast"/>
                <w:jc w:val="center"/>
              </w:trPr>
              <w:tc>
                <w:tcPr>
                  <w:tcW w:w="601" w:type="dxa"/>
                  <w:vAlign w:val="center"/>
                </w:tcPr>
                <w:p>
                  <w:pPr>
                    <w:wordWrap w:val="0"/>
                    <w:snapToGrid w:val="0"/>
                    <w:jc w:val="center"/>
                    <w:rPr>
                      <w:color w:val="auto"/>
                      <w:sz w:val="21"/>
                      <w:szCs w:val="21"/>
                      <w:highlight w:val="none"/>
                    </w:rPr>
                  </w:pPr>
                  <w:r>
                    <w:rPr>
                      <w:rFonts w:hint="eastAsia"/>
                      <w:color w:val="auto"/>
                      <w:sz w:val="21"/>
                      <w:szCs w:val="21"/>
                      <w:highlight w:val="none"/>
                    </w:rPr>
                    <w:t>7</w:t>
                  </w:r>
                </w:p>
              </w:tc>
              <w:tc>
                <w:tcPr>
                  <w:tcW w:w="850" w:type="dxa"/>
                  <w:vAlign w:val="center"/>
                </w:tcPr>
                <w:p>
                  <w:pPr>
                    <w:autoSpaceDE w:val="0"/>
                    <w:autoSpaceDN w:val="0"/>
                    <w:jc w:val="center"/>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润版液</w:t>
                  </w:r>
                </w:p>
              </w:tc>
              <w:tc>
                <w:tcPr>
                  <w:tcW w:w="1134" w:type="dxa"/>
                  <w:vAlign w:val="center"/>
                </w:tcPr>
                <w:p>
                  <w:pPr>
                    <w:jc w:val="center"/>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300千克</w:t>
                  </w:r>
                </w:p>
              </w:tc>
              <w:tc>
                <w:tcPr>
                  <w:tcW w:w="1276" w:type="dxa"/>
                  <w:vAlign w:val="center"/>
                </w:tcPr>
                <w:p>
                  <w:pPr>
                    <w:jc w:val="center"/>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100千克</w:t>
                  </w:r>
                </w:p>
              </w:tc>
              <w:tc>
                <w:tcPr>
                  <w:tcW w:w="4745" w:type="dxa"/>
                </w:tcPr>
                <w:p>
                  <w:pPr>
                    <w:rPr>
                      <w:rFonts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属环境标志产品认证产品。不含甲醇,VOC含量为0.66%</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2" w:hRule="atLeast"/>
                <w:jc w:val="center"/>
              </w:trPr>
              <w:tc>
                <w:tcPr>
                  <w:tcW w:w="601" w:type="dxa"/>
                  <w:vAlign w:val="center"/>
                </w:tcPr>
                <w:p>
                  <w:pPr>
                    <w:wordWrap w:val="0"/>
                    <w:snapToGrid w:val="0"/>
                    <w:jc w:val="center"/>
                    <w:rPr>
                      <w:rFonts w:hint="eastAsia"/>
                      <w:color w:val="auto"/>
                      <w:sz w:val="21"/>
                      <w:szCs w:val="21"/>
                      <w:highlight w:val="none"/>
                    </w:rPr>
                  </w:pPr>
                  <w:r>
                    <w:rPr>
                      <w:rFonts w:hint="eastAsia"/>
                      <w:color w:val="auto"/>
                      <w:sz w:val="21"/>
                      <w:szCs w:val="21"/>
                      <w:highlight w:val="none"/>
                    </w:rPr>
                    <w:t>8</w:t>
                  </w:r>
                </w:p>
              </w:tc>
              <w:tc>
                <w:tcPr>
                  <w:tcW w:w="850" w:type="dxa"/>
                  <w:vAlign w:val="center"/>
                </w:tcPr>
                <w:p>
                  <w:pPr>
                    <w:autoSpaceDE w:val="0"/>
                    <w:autoSpaceDN w:val="0"/>
                    <w:jc w:val="center"/>
                    <w:rPr>
                      <w:rFonts w:hint="eastAsia"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洗辊液</w:t>
                  </w:r>
                </w:p>
              </w:tc>
              <w:tc>
                <w:tcPr>
                  <w:tcW w:w="1134" w:type="dxa"/>
                  <w:vAlign w:val="center"/>
                </w:tcPr>
                <w:p>
                  <w:pPr>
                    <w:jc w:val="center"/>
                    <w:rPr>
                      <w:rFonts w:hint="eastAsia"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50kg</w:t>
                  </w:r>
                </w:p>
              </w:tc>
              <w:tc>
                <w:tcPr>
                  <w:tcW w:w="1276" w:type="dxa"/>
                  <w:vAlign w:val="center"/>
                </w:tcPr>
                <w:p>
                  <w:pPr>
                    <w:jc w:val="center"/>
                    <w:rPr>
                      <w:rFonts w:hint="eastAsia"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50kg</w:t>
                  </w:r>
                </w:p>
              </w:tc>
              <w:tc>
                <w:tcPr>
                  <w:tcW w:w="4745" w:type="dxa"/>
                </w:tcPr>
                <w:p>
                  <w:pPr>
                    <w:rPr>
                      <w:rFonts w:hint="eastAsia" w:asciiTheme="majorEastAsia" w:hAnsiTheme="majorEastAsia" w:eastAsiaTheme="majorEastAsia"/>
                      <w:color w:val="auto"/>
                      <w:sz w:val="21"/>
                      <w:szCs w:val="21"/>
                      <w:highlight w:val="none"/>
                    </w:rPr>
                  </w:pPr>
                  <w:r>
                    <w:rPr>
                      <w:rFonts w:hint="eastAsia" w:asciiTheme="majorEastAsia" w:hAnsiTheme="majorEastAsia" w:eastAsiaTheme="majorEastAsia"/>
                      <w:color w:val="auto"/>
                      <w:sz w:val="21"/>
                      <w:szCs w:val="21"/>
                      <w:highlight w:val="none"/>
                    </w:rPr>
                    <w:t>主要成分为酒精、磷酸、磷酸盐、硝酸盐、树胶等</w:t>
                  </w:r>
                </w:p>
              </w:tc>
            </w:tr>
          </w:tbl>
          <w:p>
            <w:pPr>
              <w:pStyle w:val="2"/>
              <w:spacing w:line="360" w:lineRule="auto"/>
              <w:rPr>
                <w:rFonts w:asciiTheme="majorEastAsia" w:hAnsiTheme="majorEastAsia" w:eastAsiaTheme="majorEastAsia"/>
                <w:b w:val="0"/>
                <w:color w:val="auto"/>
                <w:sz w:val="21"/>
                <w:szCs w:val="21"/>
                <w:highlight w:val="none"/>
              </w:rPr>
            </w:pPr>
            <w:r>
              <w:rPr>
                <w:rFonts w:hint="eastAsia" w:asciiTheme="majorEastAsia" w:hAnsiTheme="majorEastAsia" w:eastAsiaTheme="majorEastAsia"/>
                <w:b w:val="0"/>
                <w:color w:val="auto"/>
                <w:sz w:val="21"/>
                <w:szCs w:val="21"/>
                <w:highlight w:val="none"/>
              </w:rPr>
              <w:t xml:space="preserve">        注:1令=500张</w:t>
            </w:r>
          </w:p>
          <w:p>
            <w:pPr>
              <w:pStyle w:val="2"/>
              <w:spacing w:line="360" w:lineRule="auto"/>
              <w:rPr>
                <w:color w:val="auto"/>
                <w:sz w:val="24"/>
                <w:highlight w:val="none"/>
              </w:rPr>
            </w:pPr>
            <w:r>
              <w:rPr>
                <w:color w:val="auto"/>
                <w:sz w:val="24"/>
                <w:highlight w:val="none"/>
              </w:rPr>
              <w:t>1.4.4  项目主要设备</w:t>
            </w:r>
          </w:p>
          <w:p>
            <w:pPr>
              <w:spacing w:line="360" w:lineRule="auto"/>
              <w:ind w:firstLine="470" w:firstLineChars="196"/>
              <w:rPr>
                <w:color w:val="auto"/>
                <w:sz w:val="24"/>
                <w:highlight w:val="none"/>
              </w:rPr>
            </w:pPr>
            <w:r>
              <w:rPr>
                <w:color w:val="auto"/>
                <w:sz w:val="24"/>
                <w:highlight w:val="none"/>
              </w:rPr>
              <w:t>项目主要生产设备见表1-</w:t>
            </w:r>
            <w:r>
              <w:rPr>
                <w:rFonts w:hint="eastAsia"/>
                <w:color w:val="auto"/>
                <w:sz w:val="24"/>
                <w:highlight w:val="none"/>
              </w:rPr>
              <w:t>4</w:t>
            </w:r>
            <w:r>
              <w:rPr>
                <w:color w:val="auto"/>
                <w:sz w:val="24"/>
                <w:highlight w:val="none"/>
              </w:rPr>
              <w:t>。</w:t>
            </w:r>
          </w:p>
          <w:p>
            <w:pPr>
              <w:spacing w:line="360" w:lineRule="auto"/>
              <w:ind w:firstLine="470" w:firstLineChars="196"/>
              <w:jc w:val="center"/>
              <w:rPr>
                <w:rFonts w:eastAsia="黑体"/>
                <w:color w:val="auto"/>
                <w:sz w:val="24"/>
                <w:highlight w:val="none"/>
              </w:rPr>
            </w:pPr>
            <w:r>
              <w:rPr>
                <w:rFonts w:eastAsia="黑体"/>
                <w:color w:val="auto"/>
                <w:sz w:val="24"/>
                <w:highlight w:val="none"/>
              </w:rPr>
              <w:t>表1 -</w:t>
            </w:r>
            <w:r>
              <w:rPr>
                <w:rFonts w:hint="eastAsia" w:eastAsia="黑体"/>
                <w:color w:val="auto"/>
                <w:sz w:val="24"/>
                <w:highlight w:val="none"/>
              </w:rPr>
              <w:t>4</w:t>
            </w:r>
            <w:r>
              <w:rPr>
                <w:rFonts w:eastAsia="黑体"/>
                <w:color w:val="auto"/>
                <w:sz w:val="24"/>
                <w:highlight w:val="none"/>
              </w:rPr>
              <w:t xml:space="preserve">    项目主要生产设备配置一览表</w:t>
            </w:r>
            <w:r>
              <w:rPr>
                <w:rFonts w:hint="eastAsia" w:eastAsia="黑体"/>
                <w:color w:val="auto"/>
                <w:sz w:val="24"/>
                <w:highlight w:val="none"/>
              </w:rPr>
              <w:t xml:space="preserve"> </w:t>
            </w:r>
          </w:p>
          <w:tbl>
            <w:tblPr>
              <w:tblStyle w:val="27"/>
              <w:tblW w:w="7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586"/>
              <w:gridCol w:w="3288"/>
              <w:gridCol w:w="869"/>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4" w:type="dxa"/>
                  <w:vAlign w:val="center"/>
                </w:tcPr>
                <w:p>
                  <w:pPr>
                    <w:snapToGrid w:val="0"/>
                    <w:jc w:val="center"/>
                    <w:rPr>
                      <w:color w:val="auto"/>
                      <w:sz w:val="21"/>
                      <w:szCs w:val="21"/>
                      <w:highlight w:val="none"/>
                    </w:rPr>
                  </w:pPr>
                  <w:r>
                    <w:rPr>
                      <w:color w:val="auto"/>
                      <w:sz w:val="21"/>
                      <w:szCs w:val="21"/>
                      <w:highlight w:val="none"/>
                    </w:rPr>
                    <w:t>序号</w:t>
                  </w:r>
                </w:p>
              </w:tc>
              <w:tc>
                <w:tcPr>
                  <w:tcW w:w="1586" w:type="dxa"/>
                  <w:vAlign w:val="center"/>
                </w:tcPr>
                <w:p>
                  <w:pPr>
                    <w:snapToGrid w:val="0"/>
                    <w:jc w:val="center"/>
                    <w:rPr>
                      <w:color w:val="auto"/>
                      <w:sz w:val="21"/>
                      <w:szCs w:val="21"/>
                      <w:highlight w:val="none"/>
                    </w:rPr>
                  </w:pPr>
                  <w:r>
                    <w:rPr>
                      <w:color w:val="auto"/>
                      <w:sz w:val="21"/>
                      <w:szCs w:val="21"/>
                      <w:highlight w:val="none"/>
                    </w:rPr>
                    <w:t>设备名称</w:t>
                  </w:r>
                </w:p>
              </w:tc>
              <w:tc>
                <w:tcPr>
                  <w:tcW w:w="3288" w:type="dxa"/>
                  <w:vAlign w:val="center"/>
                </w:tcPr>
                <w:p>
                  <w:pPr>
                    <w:snapToGrid w:val="0"/>
                    <w:jc w:val="center"/>
                    <w:rPr>
                      <w:color w:val="auto"/>
                      <w:sz w:val="21"/>
                      <w:szCs w:val="21"/>
                      <w:highlight w:val="none"/>
                    </w:rPr>
                  </w:pPr>
                  <w:r>
                    <w:rPr>
                      <w:color w:val="auto"/>
                      <w:sz w:val="21"/>
                      <w:szCs w:val="21"/>
                      <w:highlight w:val="none"/>
                    </w:rPr>
                    <w:t>型号及规格</w:t>
                  </w:r>
                </w:p>
              </w:tc>
              <w:tc>
                <w:tcPr>
                  <w:tcW w:w="869" w:type="dxa"/>
                  <w:vAlign w:val="center"/>
                </w:tcPr>
                <w:p>
                  <w:pPr>
                    <w:snapToGrid w:val="0"/>
                    <w:jc w:val="center"/>
                    <w:rPr>
                      <w:color w:val="auto"/>
                      <w:sz w:val="21"/>
                      <w:szCs w:val="21"/>
                      <w:highlight w:val="none"/>
                    </w:rPr>
                  </w:pPr>
                  <w:r>
                    <w:rPr>
                      <w:color w:val="auto"/>
                      <w:sz w:val="21"/>
                      <w:szCs w:val="21"/>
                      <w:highlight w:val="none"/>
                    </w:rPr>
                    <w:t>单位</w:t>
                  </w:r>
                </w:p>
              </w:tc>
              <w:tc>
                <w:tcPr>
                  <w:tcW w:w="974" w:type="dxa"/>
                  <w:vAlign w:val="center"/>
                </w:tcPr>
                <w:p>
                  <w:pPr>
                    <w:snapToGrid w:val="0"/>
                    <w:jc w:val="center"/>
                    <w:rPr>
                      <w:color w:val="auto"/>
                      <w:sz w:val="21"/>
                      <w:szCs w:val="21"/>
                      <w:highlight w:val="none"/>
                    </w:rPr>
                  </w:pPr>
                  <w:r>
                    <w:rPr>
                      <w:color w:val="auto"/>
                      <w:sz w:val="21"/>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4" w:type="dxa"/>
                  <w:vAlign w:val="center"/>
                </w:tcPr>
                <w:p>
                  <w:pPr>
                    <w:snapToGrid w:val="0"/>
                    <w:jc w:val="center"/>
                    <w:rPr>
                      <w:color w:val="auto"/>
                      <w:sz w:val="21"/>
                      <w:szCs w:val="21"/>
                      <w:highlight w:val="none"/>
                    </w:rPr>
                  </w:pPr>
                  <w:r>
                    <w:rPr>
                      <w:color w:val="auto"/>
                      <w:sz w:val="21"/>
                      <w:szCs w:val="21"/>
                      <w:highlight w:val="none"/>
                    </w:rPr>
                    <w:t>1</w:t>
                  </w:r>
                </w:p>
              </w:tc>
              <w:tc>
                <w:tcPr>
                  <w:tcW w:w="1586" w:type="dxa"/>
                  <w:vAlign w:val="center"/>
                </w:tcPr>
                <w:p>
                  <w:pPr>
                    <w:snapToGrid w:val="0"/>
                    <w:jc w:val="center"/>
                    <w:rPr>
                      <w:color w:val="auto"/>
                      <w:sz w:val="21"/>
                      <w:szCs w:val="21"/>
                      <w:highlight w:val="none"/>
                    </w:rPr>
                  </w:pPr>
                  <w:r>
                    <w:rPr>
                      <w:rFonts w:hint="eastAsia"/>
                      <w:color w:val="auto"/>
                      <w:sz w:val="21"/>
                      <w:szCs w:val="21"/>
                      <w:highlight w:val="none"/>
                    </w:rPr>
                    <w:t>四色机</w:t>
                  </w:r>
                </w:p>
              </w:tc>
              <w:tc>
                <w:tcPr>
                  <w:tcW w:w="3288" w:type="dxa"/>
                  <w:vAlign w:val="center"/>
                </w:tcPr>
                <w:p>
                  <w:pPr>
                    <w:snapToGrid w:val="0"/>
                    <w:rPr>
                      <w:color w:val="auto"/>
                      <w:sz w:val="21"/>
                      <w:szCs w:val="21"/>
                      <w:highlight w:val="none"/>
                    </w:rPr>
                  </w:pPr>
                  <w:r>
                    <w:rPr>
                      <w:rFonts w:hint="eastAsia"/>
                      <w:color w:val="auto"/>
                      <w:sz w:val="21"/>
                      <w:szCs w:val="21"/>
                      <w:highlight w:val="none"/>
                    </w:rPr>
                    <w:t>海德堡</w:t>
                  </w:r>
                </w:p>
              </w:tc>
              <w:tc>
                <w:tcPr>
                  <w:tcW w:w="869" w:type="dxa"/>
                  <w:vAlign w:val="center"/>
                </w:tcPr>
                <w:p>
                  <w:pPr>
                    <w:snapToGrid w:val="0"/>
                    <w:jc w:val="center"/>
                    <w:rPr>
                      <w:color w:val="auto"/>
                      <w:sz w:val="21"/>
                      <w:szCs w:val="21"/>
                      <w:highlight w:val="none"/>
                    </w:rPr>
                  </w:pPr>
                  <w:r>
                    <w:rPr>
                      <w:rFonts w:hint="eastAsia"/>
                      <w:color w:val="auto"/>
                      <w:sz w:val="21"/>
                      <w:szCs w:val="21"/>
                      <w:highlight w:val="none"/>
                    </w:rPr>
                    <w:t>台</w:t>
                  </w:r>
                </w:p>
              </w:tc>
              <w:tc>
                <w:tcPr>
                  <w:tcW w:w="974" w:type="dxa"/>
                  <w:vAlign w:val="center"/>
                </w:tcPr>
                <w:p>
                  <w:pPr>
                    <w:snapToGrid w:val="0"/>
                    <w:jc w:val="center"/>
                    <w:rPr>
                      <w:color w:val="auto"/>
                      <w:sz w:val="21"/>
                      <w:szCs w:val="21"/>
                      <w:highlight w:val="none"/>
                    </w:rPr>
                  </w:pPr>
                  <w:r>
                    <w:rPr>
                      <w:rFonts w:hint="eastAsia"/>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4" w:type="dxa"/>
                  <w:vAlign w:val="center"/>
                </w:tcPr>
                <w:p>
                  <w:pPr>
                    <w:snapToGrid w:val="0"/>
                    <w:jc w:val="center"/>
                    <w:rPr>
                      <w:color w:val="auto"/>
                      <w:sz w:val="21"/>
                      <w:szCs w:val="21"/>
                      <w:highlight w:val="none"/>
                    </w:rPr>
                  </w:pPr>
                  <w:r>
                    <w:rPr>
                      <w:color w:val="auto"/>
                      <w:sz w:val="21"/>
                      <w:szCs w:val="21"/>
                      <w:highlight w:val="none"/>
                    </w:rPr>
                    <w:t>2</w:t>
                  </w:r>
                </w:p>
              </w:tc>
              <w:tc>
                <w:tcPr>
                  <w:tcW w:w="1586" w:type="dxa"/>
                  <w:vAlign w:val="center"/>
                </w:tcPr>
                <w:p>
                  <w:pPr>
                    <w:snapToGrid w:val="0"/>
                    <w:jc w:val="center"/>
                    <w:rPr>
                      <w:color w:val="auto"/>
                      <w:sz w:val="21"/>
                      <w:szCs w:val="21"/>
                      <w:highlight w:val="none"/>
                    </w:rPr>
                  </w:pPr>
                  <w:r>
                    <w:rPr>
                      <w:rFonts w:hint="eastAsia"/>
                      <w:color w:val="auto"/>
                      <w:sz w:val="21"/>
                      <w:szCs w:val="21"/>
                      <w:highlight w:val="none"/>
                    </w:rPr>
                    <w:t>双色机</w:t>
                  </w:r>
                </w:p>
              </w:tc>
              <w:tc>
                <w:tcPr>
                  <w:tcW w:w="3288" w:type="dxa"/>
                  <w:vAlign w:val="center"/>
                </w:tcPr>
                <w:p>
                  <w:pPr>
                    <w:snapToGrid w:val="0"/>
                    <w:rPr>
                      <w:color w:val="auto"/>
                      <w:sz w:val="21"/>
                      <w:szCs w:val="21"/>
                      <w:highlight w:val="none"/>
                    </w:rPr>
                  </w:pPr>
                  <w:r>
                    <w:rPr>
                      <w:rFonts w:hint="eastAsia"/>
                      <w:color w:val="auto"/>
                      <w:sz w:val="21"/>
                      <w:szCs w:val="21"/>
                      <w:highlight w:val="none"/>
                    </w:rPr>
                    <w:t>北人05</w:t>
                  </w:r>
                </w:p>
              </w:tc>
              <w:tc>
                <w:tcPr>
                  <w:tcW w:w="869" w:type="dxa"/>
                  <w:vAlign w:val="center"/>
                </w:tcPr>
                <w:p>
                  <w:pPr>
                    <w:snapToGrid w:val="0"/>
                    <w:jc w:val="center"/>
                    <w:rPr>
                      <w:color w:val="auto"/>
                      <w:sz w:val="21"/>
                      <w:szCs w:val="21"/>
                      <w:highlight w:val="none"/>
                    </w:rPr>
                  </w:pPr>
                  <w:r>
                    <w:rPr>
                      <w:rFonts w:hint="eastAsia"/>
                      <w:color w:val="auto"/>
                      <w:sz w:val="21"/>
                      <w:szCs w:val="21"/>
                      <w:highlight w:val="none"/>
                    </w:rPr>
                    <w:t>台</w:t>
                  </w:r>
                </w:p>
              </w:tc>
              <w:tc>
                <w:tcPr>
                  <w:tcW w:w="974" w:type="dxa"/>
                  <w:vAlign w:val="center"/>
                </w:tcPr>
                <w:p>
                  <w:pPr>
                    <w:snapToGrid w:val="0"/>
                    <w:jc w:val="center"/>
                    <w:rPr>
                      <w:color w:val="auto"/>
                      <w:sz w:val="21"/>
                      <w:szCs w:val="21"/>
                      <w:highlight w:val="none"/>
                    </w:rPr>
                  </w:pPr>
                  <w:r>
                    <w:rPr>
                      <w:rFonts w:hint="eastAsia"/>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4" w:type="dxa"/>
                  <w:vAlign w:val="center"/>
                </w:tcPr>
                <w:p>
                  <w:pPr>
                    <w:snapToGrid w:val="0"/>
                    <w:jc w:val="center"/>
                    <w:rPr>
                      <w:color w:val="auto"/>
                      <w:sz w:val="21"/>
                      <w:szCs w:val="21"/>
                      <w:highlight w:val="none"/>
                    </w:rPr>
                  </w:pPr>
                  <w:r>
                    <w:rPr>
                      <w:color w:val="auto"/>
                      <w:sz w:val="21"/>
                      <w:szCs w:val="21"/>
                      <w:highlight w:val="none"/>
                    </w:rPr>
                    <w:t>3</w:t>
                  </w:r>
                </w:p>
              </w:tc>
              <w:tc>
                <w:tcPr>
                  <w:tcW w:w="1586" w:type="dxa"/>
                  <w:vAlign w:val="center"/>
                </w:tcPr>
                <w:p>
                  <w:pPr>
                    <w:snapToGrid w:val="0"/>
                    <w:jc w:val="center"/>
                    <w:rPr>
                      <w:color w:val="auto"/>
                      <w:sz w:val="21"/>
                      <w:szCs w:val="21"/>
                      <w:highlight w:val="none"/>
                    </w:rPr>
                  </w:pPr>
                  <w:r>
                    <w:rPr>
                      <w:rFonts w:hint="eastAsia"/>
                      <w:color w:val="auto"/>
                      <w:sz w:val="21"/>
                      <w:szCs w:val="21"/>
                      <w:highlight w:val="none"/>
                    </w:rPr>
                    <w:t>切纸机</w:t>
                  </w:r>
                </w:p>
              </w:tc>
              <w:tc>
                <w:tcPr>
                  <w:tcW w:w="3288" w:type="dxa"/>
                  <w:vAlign w:val="center"/>
                </w:tcPr>
                <w:p>
                  <w:pPr>
                    <w:snapToGrid w:val="0"/>
                    <w:jc w:val="left"/>
                    <w:rPr>
                      <w:color w:val="auto"/>
                      <w:sz w:val="21"/>
                      <w:szCs w:val="21"/>
                      <w:highlight w:val="none"/>
                    </w:rPr>
                  </w:pPr>
                  <w:r>
                    <w:rPr>
                      <w:rFonts w:hint="eastAsia"/>
                      <w:color w:val="auto"/>
                      <w:sz w:val="21"/>
                      <w:szCs w:val="21"/>
                      <w:highlight w:val="none"/>
                    </w:rPr>
                    <w:t>长春印刷机械有限公QZKZB370B</w:t>
                  </w:r>
                </w:p>
              </w:tc>
              <w:tc>
                <w:tcPr>
                  <w:tcW w:w="869" w:type="dxa"/>
                  <w:vAlign w:val="center"/>
                </w:tcPr>
                <w:p>
                  <w:pPr>
                    <w:snapToGrid w:val="0"/>
                    <w:jc w:val="center"/>
                    <w:rPr>
                      <w:color w:val="auto"/>
                      <w:sz w:val="21"/>
                      <w:szCs w:val="21"/>
                      <w:highlight w:val="none"/>
                    </w:rPr>
                  </w:pPr>
                  <w:r>
                    <w:rPr>
                      <w:rFonts w:hint="eastAsia"/>
                      <w:color w:val="auto"/>
                      <w:sz w:val="21"/>
                      <w:szCs w:val="21"/>
                      <w:highlight w:val="none"/>
                    </w:rPr>
                    <w:t>台</w:t>
                  </w:r>
                </w:p>
              </w:tc>
              <w:tc>
                <w:tcPr>
                  <w:tcW w:w="974" w:type="dxa"/>
                  <w:vAlign w:val="center"/>
                </w:tcPr>
                <w:p>
                  <w:pPr>
                    <w:snapToGrid w:val="0"/>
                    <w:jc w:val="center"/>
                    <w:rPr>
                      <w:color w:val="auto"/>
                      <w:sz w:val="21"/>
                      <w:szCs w:val="21"/>
                      <w:highlight w:val="none"/>
                    </w:rPr>
                  </w:pPr>
                  <w:r>
                    <w:rPr>
                      <w:rFonts w:hint="eastAsia"/>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4" w:type="dxa"/>
                  <w:vAlign w:val="center"/>
                </w:tcPr>
                <w:p>
                  <w:pPr>
                    <w:snapToGrid w:val="0"/>
                    <w:jc w:val="center"/>
                    <w:rPr>
                      <w:color w:val="auto"/>
                      <w:sz w:val="21"/>
                      <w:szCs w:val="21"/>
                      <w:highlight w:val="none"/>
                    </w:rPr>
                  </w:pPr>
                  <w:r>
                    <w:rPr>
                      <w:rFonts w:hint="eastAsia"/>
                      <w:color w:val="auto"/>
                      <w:sz w:val="21"/>
                      <w:szCs w:val="21"/>
                      <w:highlight w:val="none"/>
                    </w:rPr>
                    <w:t>4</w:t>
                  </w:r>
                </w:p>
              </w:tc>
              <w:tc>
                <w:tcPr>
                  <w:tcW w:w="1586" w:type="dxa"/>
                  <w:vAlign w:val="center"/>
                </w:tcPr>
                <w:p>
                  <w:pPr>
                    <w:snapToGrid w:val="0"/>
                    <w:jc w:val="center"/>
                    <w:rPr>
                      <w:color w:val="auto"/>
                      <w:sz w:val="21"/>
                      <w:szCs w:val="21"/>
                      <w:highlight w:val="none"/>
                    </w:rPr>
                  </w:pPr>
                  <w:r>
                    <w:rPr>
                      <w:rFonts w:hint="eastAsia"/>
                      <w:color w:val="auto"/>
                      <w:sz w:val="21"/>
                      <w:szCs w:val="21"/>
                      <w:highlight w:val="none"/>
                    </w:rPr>
                    <w:t xml:space="preserve">平湖胶订线  </w:t>
                  </w:r>
                </w:p>
              </w:tc>
              <w:tc>
                <w:tcPr>
                  <w:tcW w:w="3288" w:type="dxa"/>
                  <w:vAlign w:val="center"/>
                </w:tcPr>
                <w:p>
                  <w:pPr>
                    <w:snapToGrid w:val="0"/>
                    <w:jc w:val="left"/>
                    <w:rPr>
                      <w:color w:val="auto"/>
                      <w:sz w:val="21"/>
                      <w:szCs w:val="21"/>
                      <w:highlight w:val="none"/>
                    </w:rPr>
                  </w:pPr>
                  <w:r>
                    <w:rPr>
                      <w:rFonts w:hint="eastAsia"/>
                      <w:color w:val="auto"/>
                      <w:sz w:val="21"/>
                      <w:szCs w:val="21"/>
                      <w:highlight w:val="none"/>
                    </w:rPr>
                    <w:t>YH5500型号</w:t>
                  </w:r>
                </w:p>
              </w:tc>
              <w:tc>
                <w:tcPr>
                  <w:tcW w:w="869" w:type="dxa"/>
                  <w:vAlign w:val="center"/>
                </w:tcPr>
                <w:p>
                  <w:pPr>
                    <w:snapToGrid w:val="0"/>
                    <w:jc w:val="center"/>
                    <w:rPr>
                      <w:color w:val="auto"/>
                      <w:sz w:val="21"/>
                      <w:szCs w:val="21"/>
                      <w:highlight w:val="none"/>
                    </w:rPr>
                  </w:pPr>
                  <w:r>
                    <w:rPr>
                      <w:rFonts w:hint="eastAsia"/>
                      <w:color w:val="auto"/>
                      <w:sz w:val="21"/>
                      <w:szCs w:val="21"/>
                      <w:highlight w:val="none"/>
                    </w:rPr>
                    <w:t>台</w:t>
                  </w:r>
                </w:p>
              </w:tc>
              <w:tc>
                <w:tcPr>
                  <w:tcW w:w="974" w:type="dxa"/>
                  <w:vAlign w:val="center"/>
                </w:tcPr>
                <w:p>
                  <w:pPr>
                    <w:snapToGrid w:val="0"/>
                    <w:jc w:val="center"/>
                    <w:rPr>
                      <w:color w:val="auto"/>
                      <w:sz w:val="21"/>
                      <w:szCs w:val="21"/>
                      <w:highlight w:val="none"/>
                    </w:rPr>
                  </w:pPr>
                  <w:r>
                    <w:rPr>
                      <w:rFonts w:hint="eastAsia"/>
                      <w:color w:val="auto"/>
                      <w:sz w:val="21"/>
                      <w:szCs w:val="21"/>
                      <w:highlight w:val="none"/>
                    </w:rPr>
                    <w:t>1</w:t>
                  </w:r>
                </w:p>
              </w:tc>
            </w:tr>
          </w:tbl>
          <w:p>
            <w:pPr>
              <w:spacing w:line="360" w:lineRule="auto"/>
              <w:ind w:firstLine="470" w:firstLineChars="196"/>
              <w:rPr>
                <w:rFonts w:eastAsia="黑体"/>
                <w:color w:val="auto"/>
                <w:sz w:val="24"/>
                <w:szCs w:val="20"/>
                <w:highlight w:val="none"/>
              </w:rPr>
            </w:pPr>
            <w:r>
              <w:rPr>
                <w:rFonts w:eastAsia="黑体"/>
                <w:color w:val="auto"/>
                <w:sz w:val="24"/>
                <w:szCs w:val="20"/>
                <w:highlight w:val="none"/>
              </w:rPr>
              <w:t>1.4.</w:t>
            </w:r>
            <w:r>
              <w:rPr>
                <w:rFonts w:hint="eastAsia" w:eastAsia="黑体"/>
                <w:color w:val="auto"/>
                <w:sz w:val="24"/>
                <w:szCs w:val="20"/>
                <w:highlight w:val="none"/>
              </w:rPr>
              <w:t>5</w:t>
            </w:r>
            <w:r>
              <w:rPr>
                <w:rFonts w:eastAsia="黑体"/>
                <w:color w:val="auto"/>
                <w:sz w:val="24"/>
                <w:szCs w:val="20"/>
                <w:highlight w:val="none"/>
              </w:rPr>
              <w:t>工作制度与劳动定员</w:t>
            </w:r>
          </w:p>
          <w:p>
            <w:pPr>
              <w:spacing w:line="360" w:lineRule="auto"/>
              <w:ind w:firstLine="588" w:firstLineChars="245"/>
              <w:rPr>
                <w:color w:val="auto"/>
                <w:sz w:val="24"/>
                <w:szCs w:val="21"/>
                <w:highlight w:val="none"/>
              </w:rPr>
            </w:pPr>
            <w:r>
              <w:rPr>
                <w:color w:val="auto"/>
                <w:sz w:val="24"/>
                <w:szCs w:val="21"/>
                <w:highlight w:val="none"/>
              </w:rPr>
              <w:t>本项目</w:t>
            </w:r>
            <w:r>
              <w:rPr>
                <w:rFonts w:hint="eastAsia"/>
                <w:color w:val="auto"/>
                <w:sz w:val="24"/>
                <w:szCs w:val="21"/>
                <w:highlight w:val="none"/>
              </w:rPr>
              <w:t>有职工15人，</w:t>
            </w:r>
            <w:r>
              <w:rPr>
                <w:color w:val="auto"/>
                <w:sz w:val="24"/>
                <w:szCs w:val="21"/>
                <w:highlight w:val="none"/>
              </w:rPr>
              <w:t>年工作</w:t>
            </w:r>
            <w:r>
              <w:rPr>
                <w:rFonts w:hint="eastAsia"/>
                <w:color w:val="auto"/>
                <w:sz w:val="24"/>
                <w:szCs w:val="21"/>
                <w:highlight w:val="none"/>
              </w:rPr>
              <w:t>140</w:t>
            </w:r>
            <w:r>
              <w:rPr>
                <w:color w:val="auto"/>
                <w:sz w:val="24"/>
                <w:szCs w:val="21"/>
                <w:highlight w:val="none"/>
              </w:rPr>
              <w:t>天，每天</w:t>
            </w:r>
            <w:r>
              <w:rPr>
                <w:rFonts w:hint="eastAsia"/>
                <w:color w:val="auto"/>
                <w:sz w:val="24"/>
                <w:szCs w:val="21"/>
                <w:highlight w:val="none"/>
              </w:rPr>
              <w:t>8</w:t>
            </w:r>
            <w:r>
              <w:rPr>
                <w:color w:val="auto"/>
                <w:sz w:val="24"/>
                <w:szCs w:val="21"/>
                <w:highlight w:val="none"/>
              </w:rPr>
              <w:t>小时。</w:t>
            </w:r>
          </w:p>
          <w:p>
            <w:pPr>
              <w:spacing w:line="360" w:lineRule="auto"/>
              <w:ind w:firstLine="480" w:firstLineChars="200"/>
              <w:rPr>
                <w:rFonts w:eastAsia="黑体"/>
                <w:color w:val="auto"/>
                <w:sz w:val="24"/>
                <w:highlight w:val="none"/>
              </w:rPr>
            </w:pPr>
            <w:r>
              <w:rPr>
                <w:rFonts w:eastAsia="黑体"/>
                <w:color w:val="auto"/>
                <w:sz w:val="24"/>
                <w:highlight w:val="none"/>
              </w:rPr>
              <w:t>1.4.</w:t>
            </w:r>
            <w:r>
              <w:rPr>
                <w:rFonts w:hint="eastAsia" w:eastAsia="黑体"/>
                <w:color w:val="auto"/>
                <w:sz w:val="24"/>
                <w:highlight w:val="none"/>
              </w:rPr>
              <w:t>6</w:t>
            </w:r>
            <w:r>
              <w:rPr>
                <w:rFonts w:eastAsia="黑体"/>
                <w:color w:val="auto"/>
                <w:sz w:val="24"/>
                <w:highlight w:val="none"/>
              </w:rPr>
              <w:t>公用工程</w:t>
            </w:r>
          </w:p>
          <w:p>
            <w:pPr>
              <w:spacing w:line="360" w:lineRule="auto"/>
              <w:ind w:firstLine="588" w:firstLineChars="245"/>
              <w:rPr>
                <w:color w:val="auto"/>
                <w:sz w:val="24"/>
                <w:highlight w:val="none"/>
              </w:rPr>
            </w:pPr>
            <w:r>
              <w:rPr>
                <w:color w:val="auto"/>
                <w:sz w:val="24"/>
                <w:highlight w:val="none"/>
              </w:rPr>
              <w:t>（1）给水</w:t>
            </w:r>
          </w:p>
          <w:p>
            <w:pPr>
              <w:spacing w:line="360" w:lineRule="auto"/>
              <w:ind w:firstLine="588" w:firstLineChars="245"/>
              <w:rPr>
                <w:color w:val="auto"/>
                <w:sz w:val="24"/>
                <w:highlight w:val="none"/>
              </w:rPr>
            </w:pPr>
            <w:r>
              <w:rPr>
                <w:rFonts w:hint="eastAsia"/>
                <w:color w:val="auto"/>
                <w:sz w:val="24"/>
                <w:highlight w:val="none"/>
              </w:rPr>
              <w:t>本项目</w:t>
            </w:r>
            <w:r>
              <w:rPr>
                <w:color w:val="auto"/>
                <w:sz w:val="24"/>
                <w:highlight w:val="none"/>
              </w:rPr>
              <w:t>新鲜水主要</w:t>
            </w:r>
            <w:r>
              <w:rPr>
                <w:rFonts w:hint="eastAsia"/>
                <w:color w:val="auto"/>
                <w:sz w:val="24"/>
                <w:highlight w:val="none"/>
              </w:rPr>
              <w:t>是生活用水。</w:t>
            </w:r>
          </w:p>
          <w:p>
            <w:pPr>
              <w:spacing w:line="360" w:lineRule="auto"/>
              <w:rPr>
                <w:color w:val="auto"/>
                <w:sz w:val="24"/>
                <w:highlight w:val="none"/>
              </w:rPr>
            </w:pPr>
            <w:r>
              <w:rPr>
                <w:color w:val="auto"/>
                <w:sz w:val="24"/>
                <w:highlight w:val="none"/>
              </w:rPr>
              <w:t>本项目</w:t>
            </w:r>
            <w:r>
              <w:rPr>
                <w:rFonts w:hint="eastAsia"/>
                <w:color w:val="auto"/>
                <w:sz w:val="24"/>
                <w:highlight w:val="none"/>
              </w:rPr>
              <w:t>员工共15</w:t>
            </w:r>
            <w:r>
              <w:rPr>
                <w:color w:val="auto"/>
                <w:sz w:val="24"/>
                <w:highlight w:val="none"/>
              </w:rPr>
              <w:t>人</w:t>
            </w:r>
            <w:r>
              <w:rPr>
                <w:rFonts w:hint="eastAsia"/>
                <w:color w:val="auto"/>
                <w:sz w:val="24"/>
                <w:highlight w:val="none"/>
              </w:rPr>
              <w:t>，均不在场内食宿</w:t>
            </w:r>
            <w:r>
              <w:rPr>
                <w:color w:val="auto"/>
                <w:sz w:val="24"/>
                <w:highlight w:val="none"/>
              </w:rPr>
              <w:t>，故</w:t>
            </w:r>
            <w:r>
              <w:rPr>
                <w:rFonts w:hint="eastAsia"/>
                <w:color w:val="auto"/>
                <w:sz w:val="24"/>
                <w:highlight w:val="none"/>
              </w:rPr>
              <w:t>本项目职工</w:t>
            </w:r>
            <w:r>
              <w:rPr>
                <w:color w:val="auto"/>
                <w:sz w:val="24"/>
                <w:highlight w:val="none"/>
              </w:rPr>
              <w:t>生活用水仅为</w:t>
            </w:r>
            <w:r>
              <w:rPr>
                <w:rFonts w:hint="eastAsia"/>
                <w:color w:val="auto"/>
                <w:sz w:val="24"/>
                <w:highlight w:val="none"/>
              </w:rPr>
              <w:t>工作过程中盥洗水及冲厕用</w:t>
            </w:r>
            <w:r>
              <w:rPr>
                <w:color w:val="auto"/>
                <w:sz w:val="24"/>
                <w:highlight w:val="none"/>
              </w:rPr>
              <w:t>水，</w:t>
            </w:r>
            <w:r>
              <w:rPr>
                <w:rFonts w:hint="eastAsia"/>
                <w:color w:val="auto"/>
                <w:sz w:val="24"/>
                <w:highlight w:val="none"/>
              </w:rPr>
              <w:t>依据《陕西省行业用水定额》（DB61/T943-2014），</w:t>
            </w:r>
            <w:r>
              <w:rPr>
                <w:color w:val="auto"/>
                <w:sz w:val="24"/>
                <w:highlight w:val="none"/>
              </w:rPr>
              <w:t>用水量按每人</w:t>
            </w:r>
            <w:r>
              <w:rPr>
                <w:rFonts w:hint="eastAsia"/>
                <w:color w:val="auto"/>
                <w:sz w:val="24"/>
                <w:highlight w:val="none"/>
              </w:rPr>
              <w:t>35</w:t>
            </w:r>
            <w:r>
              <w:rPr>
                <w:color w:val="auto"/>
                <w:sz w:val="24"/>
                <w:highlight w:val="none"/>
              </w:rPr>
              <w:t>L/d计算，则全厂生活用水量为</w:t>
            </w:r>
            <w:r>
              <w:rPr>
                <w:rFonts w:hint="eastAsia"/>
                <w:color w:val="auto"/>
                <w:sz w:val="24"/>
                <w:highlight w:val="none"/>
              </w:rPr>
              <w:t>0.525</w:t>
            </w:r>
            <w:r>
              <w:rPr>
                <w:color w:val="auto"/>
                <w:sz w:val="24"/>
                <w:highlight w:val="none"/>
              </w:rPr>
              <w:t>m</w:t>
            </w:r>
            <w:r>
              <w:rPr>
                <w:color w:val="auto"/>
                <w:sz w:val="24"/>
                <w:highlight w:val="none"/>
                <w:vertAlign w:val="superscript"/>
              </w:rPr>
              <w:t>3</w:t>
            </w:r>
            <w:r>
              <w:rPr>
                <w:color w:val="auto"/>
                <w:sz w:val="24"/>
                <w:highlight w:val="none"/>
              </w:rPr>
              <w:t>/d、即</w:t>
            </w:r>
            <w:r>
              <w:rPr>
                <w:rFonts w:hint="eastAsia"/>
                <w:color w:val="auto"/>
                <w:sz w:val="24"/>
                <w:highlight w:val="none"/>
              </w:rPr>
              <w:t>73.5</w:t>
            </w:r>
            <w:r>
              <w:rPr>
                <w:color w:val="auto"/>
                <w:sz w:val="24"/>
                <w:highlight w:val="none"/>
              </w:rPr>
              <w:t>m3/a。</w:t>
            </w:r>
          </w:p>
          <w:p>
            <w:pPr>
              <w:spacing w:line="360" w:lineRule="auto"/>
              <w:rPr>
                <w:color w:val="auto"/>
                <w:sz w:val="24"/>
                <w:highlight w:val="none"/>
              </w:rPr>
            </w:pPr>
            <w:r>
              <w:rPr>
                <w:rFonts w:hint="eastAsia"/>
                <w:color w:val="auto"/>
                <w:sz w:val="24"/>
                <w:highlight w:val="none"/>
              </w:rPr>
              <w:t xml:space="preserve">    打印机工作时需要间接冷却水，根据生产经验，冷却水需要量为2m</w:t>
            </w:r>
            <w:r>
              <w:rPr>
                <w:rFonts w:hint="eastAsia"/>
                <w:color w:val="auto"/>
                <w:sz w:val="24"/>
                <w:highlight w:val="none"/>
                <w:vertAlign w:val="superscript"/>
              </w:rPr>
              <w:t>3</w:t>
            </w:r>
            <w:r>
              <w:rPr>
                <w:rFonts w:hint="eastAsia"/>
                <w:color w:val="auto"/>
                <w:sz w:val="24"/>
                <w:highlight w:val="none"/>
              </w:rPr>
              <w:t>/a，全部蒸发不外排。</w:t>
            </w:r>
          </w:p>
          <w:p>
            <w:pPr>
              <w:spacing w:line="360" w:lineRule="auto"/>
              <w:rPr>
                <w:color w:val="auto"/>
                <w:sz w:val="24"/>
                <w:highlight w:val="none"/>
              </w:rPr>
            </w:pPr>
            <w:r>
              <w:rPr>
                <w:color w:val="auto"/>
                <w:sz w:val="24"/>
                <w:highlight w:val="none"/>
              </w:rPr>
              <w:t>（2）排水</w:t>
            </w:r>
          </w:p>
          <w:p>
            <w:pPr>
              <w:spacing w:line="360" w:lineRule="auto"/>
              <w:ind w:firstLine="588" w:firstLineChars="245"/>
              <w:rPr>
                <w:color w:val="auto"/>
                <w:sz w:val="24"/>
                <w:highlight w:val="none"/>
              </w:rPr>
            </w:pPr>
            <w:r>
              <w:rPr>
                <w:rFonts w:hint="eastAsia"/>
                <w:color w:val="auto"/>
                <w:sz w:val="24"/>
                <w:highlight w:val="none"/>
              </w:rPr>
              <w:t>生活污水产生量按用水量的80%计算，则产生量为0.42</w:t>
            </w:r>
            <w:r>
              <w:rPr>
                <w:color w:val="auto"/>
                <w:sz w:val="24"/>
                <w:highlight w:val="none"/>
              </w:rPr>
              <w:t>m</w:t>
            </w:r>
            <w:r>
              <w:rPr>
                <w:color w:val="auto"/>
                <w:sz w:val="24"/>
                <w:highlight w:val="none"/>
                <w:vertAlign w:val="superscript"/>
              </w:rPr>
              <w:t>3</w:t>
            </w:r>
            <w:r>
              <w:rPr>
                <w:color w:val="auto"/>
                <w:sz w:val="24"/>
                <w:highlight w:val="none"/>
              </w:rPr>
              <w:t>/d</w:t>
            </w:r>
            <w:r>
              <w:rPr>
                <w:rFonts w:hint="eastAsia"/>
                <w:color w:val="auto"/>
                <w:sz w:val="24"/>
                <w:highlight w:val="none"/>
              </w:rPr>
              <w:t>（58.8</w:t>
            </w:r>
            <w:r>
              <w:rPr>
                <w:color w:val="auto"/>
                <w:sz w:val="24"/>
                <w:highlight w:val="none"/>
              </w:rPr>
              <w:t>m</w:t>
            </w:r>
            <w:r>
              <w:rPr>
                <w:color w:val="auto"/>
                <w:sz w:val="24"/>
                <w:highlight w:val="none"/>
                <w:vertAlign w:val="superscript"/>
              </w:rPr>
              <w:t>3</w:t>
            </w:r>
            <w:r>
              <w:rPr>
                <w:color w:val="auto"/>
                <w:sz w:val="24"/>
                <w:highlight w:val="none"/>
              </w:rPr>
              <w:t>/a</w:t>
            </w:r>
            <w:r>
              <w:rPr>
                <w:rFonts w:hint="eastAsia"/>
                <w:color w:val="auto"/>
                <w:sz w:val="24"/>
                <w:highlight w:val="none"/>
              </w:rPr>
              <w:t>）</w:t>
            </w:r>
            <w:r>
              <w:rPr>
                <w:color w:val="auto"/>
                <w:sz w:val="24"/>
                <w:highlight w:val="none"/>
              </w:rPr>
              <w:t>。</w:t>
            </w:r>
            <w:r>
              <w:rPr>
                <w:rFonts w:hint="eastAsia"/>
                <w:color w:val="auto"/>
                <w:sz w:val="24"/>
                <w:highlight w:val="none"/>
              </w:rPr>
              <w:t>生活污水排入澳利森公司已有化粪池，经市政污水管网排入西安市第三污水处理厂。</w:t>
            </w:r>
          </w:p>
          <w:p>
            <w:pPr>
              <w:widowControl/>
              <w:jc w:val="center"/>
              <w:rPr>
                <w:rFonts w:ascii="宋体" w:hAnsi="宋体" w:cs="宋体"/>
                <w:color w:val="auto"/>
                <w:kern w:val="0"/>
                <w:sz w:val="24"/>
                <w:highlight w:val="none"/>
              </w:rPr>
            </w:pPr>
            <w:r>
              <w:rPr>
                <w:rFonts w:ascii="宋体" w:hAnsi="宋体" w:cs="宋体"/>
                <w:color w:val="auto"/>
                <w:kern w:val="0"/>
                <w:sz w:val="24"/>
                <w:highlight w:val="none"/>
              </w:rPr>
              <w:drawing>
                <wp:inline distT="0" distB="0" distL="0" distR="0">
                  <wp:extent cx="3220085" cy="1589405"/>
                  <wp:effectExtent l="19050" t="0" r="0" b="0"/>
                  <wp:docPr id="6" name="图片 5" descr="C:\Users\Administrator\AppData\Roaming\Tencent\Users\278936831\QQ\WinTemp\RichOle\K2B~}02X{2THSXVI0W6QMZ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C:\Users\Administrator\AppData\Roaming\Tencent\Users\278936831\QQ\WinTemp\RichOle\K2B~}02X{2THSXVI0W6QMZ7.png"/>
                          <pic:cNvPicPr>
                            <a:picLocks noChangeAspect="1" noChangeArrowheads="1"/>
                          </pic:cNvPicPr>
                        </pic:nvPicPr>
                        <pic:blipFill>
                          <a:blip r:embed="rId10"/>
                          <a:srcRect/>
                          <a:stretch>
                            <a:fillRect/>
                          </a:stretch>
                        </pic:blipFill>
                        <pic:spPr>
                          <a:xfrm>
                            <a:off x="0" y="0"/>
                            <a:ext cx="3224180" cy="1592017"/>
                          </a:xfrm>
                          <a:prstGeom prst="rect">
                            <a:avLst/>
                          </a:prstGeom>
                          <a:noFill/>
                          <a:ln w="9525">
                            <a:noFill/>
                            <a:miter lim="800000"/>
                            <a:headEnd/>
                            <a:tailEnd/>
                          </a:ln>
                        </pic:spPr>
                      </pic:pic>
                    </a:graphicData>
                  </a:graphic>
                </wp:inline>
              </w:drawing>
            </w:r>
          </w:p>
          <w:p>
            <w:pPr>
              <w:pStyle w:val="2"/>
              <w:jc w:val="center"/>
              <w:rPr>
                <w:b w:val="0"/>
                <w:color w:val="auto"/>
                <w:sz w:val="24"/>
                <w:szCs w:val="24"/>
                <w:highlight w:val="none"/>
              </w:rPr>
            </w:pPr>
            <w:r>
              <w:rPr>
                <w:rFonts w:hint="eastAsia"/>
                <w:b w:val="0"/>
                <w:color w:val="auto"/>
                <w:sz w:val="24"/>
                <w:szCs w:val="24"/>
                <w:highlight w:val="none"/>
              </w:rPr>
              <w:t>图1   项目水平衡图</w:t>
            </w:r>
          </w:p>
          <w:p>
            <w:pPr>
              <w:rPr>
                <w:color w:val="auto"/>
                <w:highlight w:val="none"/>
              </w:rPr>
            </w:pPr>
          </w:p>
          <w:p>
            <w:pPr>
              <w:spacing w:line="360" w:lineRule="auto"/>
              <w:ind w:firstLine="588" w:firstLineChars="245"/>
              <w:rPr>
                <w:color w:val="auto"/>
                <w:sz w:val="24"/>
                <w:szCs w:val="20"/>
                <w:highlight w:val="none"/>
              </w:rPr>
            </w:pPr>
            <w:r>
              <w:rPr>
                <w:color w:val="auto"/>
                <w:sz w:val="24"/>
                <w:highlight w:val="none"/>
              </w:rPr>
              <w:t>（3）</w:t>
            </w:r>
            <w:r>
              <w:rPr>
                <w:color w:val="auto"/>
                <w:sz w:val="24"/>
                <w:szCs w:val="20"/>
                <w:highlight w:val="none"/>
              </w:rPr>
              <w:t>电力供给</w:t>
            </w:r>
          </w:p>
          <w:p>
            <w:pPr>
              <w:spacing w:line="360" w:lineRule="auto"/>
              <w:ind w:firstLine="588" w:firstLineChars="245"/>
              <w:rPr>
                <w:color w:val="auto"/>
                <w:sz w:val="24"/>
                <w:highlight w:val="none"/>
              </w:rPr>
            </w:pPr>
            <w:r>
              <w:rPr>
                <w:color w:val="auto"/>
                <w:sz w:val="24"/>
                <w:highlight w:val="none"/>
              </w:rPr>
              <w:t>项目采用市政供电。</w:t>
            </w:r>
          </w:p>
          <w:p>
            <w:pPr>
              <w:spacing w:line="360" w:lineRule="auto"/>
              <w:ind w:firstLine="588" w:firstLineChars="245"/>
              <w:rPr>
                <w:color w:val="auto"/>
                <w:sz w:val="24"/>
                <w:szCs w:val="20"/>
                <w:highlight w:val="none"/>
              </w:rPr>
            </w:pPr>
            <w:r>
              <w:rPr>
                <w:color w:val="auto"/>
                <w:sz w:val="24"/>
                <w:highlight w:val="none"/>
              </w:rPr>
              <w:t>（</w:t>
            </w:r>
            <w:r>
              <w:rPr>
                <w:rFonts w:hint="eastAsia"/>
                <w:color w:val="auto"/>
                <w:sz w:val="24"/>
                <w:highlight w:val="none"/>
              </w:rPr>
              <w:t>4</w:t>
            </w:r>
            <w:r>
              <w:rPr>
                <w:color w:val="auto"/>
                <w:sz w:val="24"/>
                <w:highlight w:val="none"/>
              </w:rPr>
              <w:t>）</w:t>
            </w:r>
            <w:r>
              <w:rPr>
                <w:rFonts w:hint="eastAsia"/>
                <w:color w:val="auto"/>
                <w:sz w:val="24"/>
                <w:szCs w:val="20"/>
                <w:highlight w:val="none"/>
              </w:rPr>
              <w:t>采暖制冷</w:t>
            </w:r>
          </w:p>
          <w:p>
            <w:pPr>
              <w:spacing w:line="360" w:lineRule="auto"/>
              <w:ind w:firstLine="480" w:firstLineChars="200"/>
              <w:jc w:val="left"/>
              <w:rPr>
                <w:color w:val="auto"/>
                <w:sz w:val="24"/>
                <w:highlight w:val="none"/>
              </w:rPr>
            </w:pPr>
            <w:r>
              <w:rPr>
                <w:rFonts w:hint="eastAsia"/>
                <w:color w:val="auto"/>
                <w:sz w:val="24"/>
                <w:highlight w:val="none"/>
              </w:rPr>
              <w:t>厂区办公用房等采暖、制冷采用分体式空调。</w:t>
            </w:r>
          </w:p>
          <w:p>
            <w:pPr>
              <w:spacing w:line="360" w:lineRule="auto"/>
              <w:ind w:firstLine="588" w:firstLineChars="245"/>
              <w:rPr>
                <w:color w:val="auto"/>
                <w:sz w:val="24"/>
                <w:highlight w:val="none"/>
              </w:rPr>
            </w:pPr>
            <w:r>
              <w:rPr>
                <w:color w:val="auto"/>
                <w:sz w:val="24"/>
                <w:highlight w:val="none"/>
              </w:rPr>
              <w:t>（</w:t>
            </w:r>
            <w:r>
              <w:rPr>
                <w:rFonts w:hint="eastAsia"/>
                <w:color w:val="auto"/>
                <w:sz w:val="24"/>
                <w:highlight w:val="none"/>
              </w:rPr>
              <w:t>5</w:t>
            </w:r>
            <w:r>
              <w:rPr>
                <w:color w:val="auto"/>
                <w:sz w:val="24"/>
                <w:highlight w:val="none"/>
              </w:rPr>
              <w:t>）</w:t>
            </w:r>
            <w:r>
              <w:rPr>
                <w:rFonts w:hint="eastAsia"/>
                <w:color w:val="auto"/>
                <w:sz w:val="24"/>
                <w:highlight w:val="none"/>
              </w:rPr>
              <w:t>通风</w:t>
            </w:r>
          </w:p>
          <w:p>
            <w:pPr>
              <w:spacing w:line="360" w:lineRule="auto"/>
              <w:ind w:firstLine="480" w:firstLineChars="200"/>
              <w:jc w:val="left"/>
              <w:rPr>
                <w:color w:val="auto"/>
                <w:sz w:val="24"/>
                <w:highlight w:val="none"/>
              </w:rPr>
            </w:pPr>
            <w:r>
              <w:rPr>
                <w:rFonts w:hint="eastAsia"/>
                <w:color w:val="auto"/>
                <w:sz w:val="24"/>
                <w:highlight w:val="none"/>
              </w:rPr>
              <w:t>生产车间安装通风机和换气扇等。车间排风量按换气次数3次／小时确定，全面排风设备采用屋侧排风机。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9322" w:type="dxa"/>
            <w:gridSpan w:val="11"/>
          </w:tcPr>
          <w:p>
            <w:pPr>
              <w:spacing w:line="360" w:lineRule="auto"/>
              <w:outlineLvl w:val="0"/>
              <w:rPr>
                <w:rFonts w:eastAsia="黑体"/>
                <w:color w:val="auto"/>
                <w:sz w:val="24"/>
                <w:szCs w:val="20"/>
                <w:highlight w:val="none"/>
              </w:rPr>
            </w:pPr>
            <w:r>
              <w:rPr>
                <w:rFonts w:eastAsia="黑体"/>
                <w:color w:val="auto"/>
                <w:sz w:val="24"/>
                <w:szCs w:val="20"/>
                <w:highlight w:val="none"/>
              </w:rPr>
              <w:t>1.5与项目有关的原有污染情况及主要环境问题：</w:t>
            </w:r>
          </w:p>
          <w:p>
            <w:pPr>
              <w:spacing w:line="360" w:lineRule="auto"/>
              <w:ind w:firstLine="480" w:firstLineChars="200"/>
              <w:rPr>
                <w:rFonts w:eastAsia="黑体"/>
                <w:color w:val="auto"/>
                <w:sz w:val="24"/>
                <w:szCs w:val="20"/>
                <w:highlight w:val="none"/>
              </w:rPr>
            </w:pPr>
            <w:r>
              <w:rPr>
                <w:rFonts w:hint="eastAsia"/>
                <w:color w:val="auto"/>
                <w:sz w:val="24"/>
                <w:highlight w:val="none"/>
              </w:rPr>
              <w:t>本项目是新建项目，2012年起租用陕西澳利森木业集团有限公司厂房开始生产，之前此厂房一直闲置，因此不存在原有污染及环境问题。</w:t>
            </w:r>
          </w:p>
        </w:tc>
      </w:tr>
    </w:tbl>
    <w:p>
      <w:pPr>
        <w:tabs>
          <w:tab w:val="left" w:pos="7700"/>
        </w:tabs>
        <w:rPr>
          <w:b/>
          <w:color w:val="auto"/>
          <w:highlight w:val="none"/>
        </w:rPr>
        <w:sectPr>
          <w:footerReference r:id="rId8" w:type="default"/>
          <w:pgSz w:w="11906" w:h="16838"/>
          <w:pgMar w:top="1440" w:right="1418" w:bottom="873" w:left="1797" w:header="851" w:footer="992" w:gutter="0"/>
          <w:pgNumType w:start="1"/>
          <w:cols w:space="720" w:num="1"/>
          <w:docGrid w:linePitch="381" w:charSpace="0"/>
        </w:sectPr>
      </w:pPr>
    </w:p>
    <w:p>
      <w:pPr>
        <w:tabs>
          <w:tab w:val="left" w:pos="7700"/>
        </w:tabs>
        <w:rPr>
          <w:rFonts w:eastAsia="黑体"/>
          <w:color w:val="auto"/>
          <w:highlight w:val="none"/>
        </w:rPr>
      </w:pPr>
      <w:r>
        <w:rPr>
          <w:rFonts w:eastAsia="黑体"/>
          <w:color w:val="auto"/>
          <w:highlight w:val="none"/>
        </w:rPr>
        <w:t>2建设项目所在地自然环境社会环境简况</w:t>
      </w:r>
    </w:p>
    <w:tbl>
      <w:tblPr>
        <w:tblStyle w:val="27"/>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946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902" w:hRule="atLeast"/>
        </w:trPr>
        <w:tc>
          <w:tcPr>
            <w:tcW w:w="9465" w:type="dxa"/>
          </w:tcPr>
          <w:p>
            <w:pPr>
              <w:spacing w:line="360" w:lineRule="auto"/>
              <w:rPr>
                <w:b/>
                <w:color w:val="auto"/>
                <w:highlight w:val="none"/>
              </w:rPr>
            </w:pPr>
            <w:r>
              <w:rPr>
                <w:b/>
                <w:color w:val="auto"/>
                <w:highlight w:val="none"/>
              </w:rPr>
              <w:t>自然环境简况（地形、地貌、地质、气候、气象、水文、植被、生物多样性等）：</w:t>
            </w:r>
          </w:p>
          <w:p>
            <w:pPr>
              <w:autoSpaceDE w:val="0"/>
              <w:autoSpaceDN w:val="0"/>
              <w:spacing w:line="520" w:lineRule="exact"/>
              <w:ind w:firstLine="482" w:firstLineChars="200"/>
              <w:rPr>
                <w:b/>
                <w:bCs/>
                <w:snapToGrid w:val="0"/>
                <w:color w:val="auto"/>
                <w:kern w:val="0"/>
                <w:sz w:val="24"/>
                <w:highlight w:val="none"/>
              </w:rPr>
            </w:pPr>
            <w:r>
              <w:rPr>
                <w:rFonts w:hint="eastAsia"/>
                <w:b/>
                <w:bCs/>
                <w:snapToGrid w:val="0"/>
                <w:color w:val="auto"/>
                <w:kern w:val="0"/>
                <w:sz w:val="24"/>
                <w:highlight w:val="none"/>
              </w:rPr>
              <w:t xml:space="preserve">2.1 </w:t>
            </w:r>
            <w:r>
              <w:rPr>
                <w:b/>
                <w:bCs/>
                <w:snapToGrid w:val="0"/>
                <w:color w:val="auto"/>
                <w:kern w:val="0"/>
                <w:sz w:val="24"/>
                <w:highlight w:val="none"/>
              </w:rPr>
              <w:t>地理位置</w:t>
            </w:r>
          </w:p>
          <w:p>
            <w:pPr>
              <w:adjustRightInd w:val="0"/>
              <w:snapToGrid w:val="0"/>
              <w:spacing w:line="520" w:lineRule="exact"/>
              <w:rPr>
                <w:color w:val="auto"/>
                <w:sz w:val="24"/>
                <w:highlight w:val="none"/>
              </w:rPr>
            </w:pPr>
            <w:r>
              <w:rPr>
                <w:rFonts w:hint="eastAsia"/>
                <w:color w:val="auto"/>
                <w:sz w:val="24"/>
                <w:highlight w:val="none"/>
              </w:rPr>
              <w:t xml:space="preserve">    灞桥区系西安市城六区之一，位于西安市东部。地理坐标为东经108°59′～109°16′，北纬 34°10′～34°27′。东与临潼区、蓝田县接壤，西与雁塔区、新城区、未央区相连，南与长安区为邻，北以渭河与高陵区相望。全区总面积 332 平方公里，辖 9 个街道办事处，33 个社区，226 个行政村，常住人口 64.06 万（2017 年），因境内遗存始建于隋代的古灞桥而得名。</w:t>
            </w:r>
          </w:p>
          <w:p>
            <w:pPr>
              <w:adjustRightInd w:val="0"/>
              <w:snapToGrid w:val="0"/>
              <w:spacing w:line="520" w:lineRule="exact"/>
              <w:ind w:firstLine="480" w:firstLineChars="200"/>
              <w:rPr>
                <w:color w:val="auto"/>
                <w:sz w:val="24"/>
                <w:highlight w:val="none"/>
              </w:rPr>
            </w:pPr>
            <w:r>
              <w:rPr>
                <w:rFonts w:hint="eastAsia"/>
                <w:color w:val="auto"/>
                <w:sz w:val="24"/>
                <w:highlight w:val="none"/>
              </w:rPr>
              <w:t>本项目位于位于西安市灞桥区水安路 8 号陕西澳利森木业集团有限公司厂区内。项目四邻关系图见附图 2</w:t>
            </w:r>
            <w:r>
              <w:rPr>
                <w:rFonts w:hint="eastAsia"/>
                <w:b/>
                <w:bCs/>
                <w:snapToGrid w:val="0"/>
                <w:color w:val="auto"/>
                <w:kern w:val="0"/>
                <w:sz w:val="24"/>
                <w:highlight w:val="none"/>
              </w:rPr>
              <w:t xml:space="preserve"> </w:t>
            </w:r>
          </w:p>
          <w:p>
            <w:pPr>
              <w:autoSpaceDE w:val="0"/>
              <w:autoSpaceDN w:val="0"/>
              <w:spacing w:line="520" w:lineRule="exact"/>
              <w:ind w:firstLine="482" w:firstLineChars="200"/>
              <w:rPr>
                <w:b/>
                <w:bCs/>
                <w:snapToGrid w:val="0"/>
                <w:color w:val="auto"/>
                <w:kern w:val="0"/>
                <w:sz w:val="24"/>
                <w:highlight w:val="none"/>
              </w:rPr>
            </w:pPr>
            <w:r>
              <w:rPr>
                <w:rFonts w:hint="eastAsia"/>
                <w:b/>
                <w:bCs/>
                <w:snapToGrid w:val="0"/>
                <w:color w:val="auto"/>
                <w:kern w:val="0"/>
                <w:sz w:val="24"/>
                <w:highlight w:val="none"/>
              </w:rPr>
              <w:t xml:space="preserve">2.2 </w:t>
            </w:r>
            <w:r>
              <w:rPr>
                <w:b/>
                <w:bCs/>
                <w:snapToGrid w:val="0"/>
                <w:color w:val="auto"/>
                <w:kern w:val="0"/>
                <w:sz w:val="24"/>
                <w:highlight w:val="none"/>
              </w:rPr>
              <w:t>地形地貌</w:t>
            </w:r>
            <w:r>
              <w:rPr>
                <w:rFonts w:hint="eastAsia"/>
                <w:b/>
                <w:bCs/>
                <w:snapToGrid w:val="0"/>
                <w:color w:val="auto"/>
                <w:kern w:val="0"/>
                <w:sz w:val="24"/>
                <w:highlight w:val="none"/>
              </w:rPr>
              <w:t>及地质</w:t>
            </w:r>
          </w:p>
          <w:p>
            <w:pPr>
              <w:spacing w:line="520" w:lineRule="exact"/>
              <w:ind w:firstLine="480"/>
              <w:rPr>
                <w:color w:val="auto"/>
                <w:sz w:val="24"/>
                <w:highlight w:val="none"/>
              </w:rPr>
            </w:pPr>
            <w:r>
              <w:rPr>
                <w:rFonts w:hint="eastAsia"/>
                <w:color w:val="auto"/>
                <w:sz w:val="24"/>
                <w:highlight w:val="none"/>
              </w:rPr>
              <w:t>灞桥区以渭河冲积平原为主，具有山、坡、川、滩、塬的多样性地貌特征，包括三个类型区，其中北部为渭河冲积平原区，东部为低山丘陵区，东南部为台塬区。白鹿塬区域地质构造属于渭河断陷形成的阶梯式下降复式地堑，阶地台塬沟堑内以砂孵石、砾石及土状堆积物为主，并有丰厚的新生代沉积。台塬上区地形平缓，地势北高南低，以农业用地为主，地形由南向北依次递减至沟沿，沟顶海拔600m～750m，沟底海拔160m～600m 之间，长度约3公里，坡度约30°左右，地面切割成的沟谷长度约为1000～2000m/km 2 。土壤类型以黄垩土、白垩土、褐色土以及少量的红色土，有机质丰富，保墒性能好，但是透气性差。</w:t>
            </w:r>
          </w:p>
          <w:p>
            <w:pPr>
              <w:spacing w:line="520" w:lineRule="exact"/>
              <w:ind w:firstLine="480"/>
              <w:rPr>
                <w:color w:val="auto"/>
                <w:sz w:val="24"/>
                <w:highlight w:val="none"/>
              </w:rPr>
            </w:pPr>
            <w:r>
              <w:rPr>
                <w:rFonts w:hint="eastAsia"/>
                <w:color w:val="auto"/>
                <w:sz w:val="24"/>
                <w:highlight w:val="none"/>
              </w:rPr>
              <w:t>区内诸河流具有四级阶地。渭河、灞河、浐河的一、二级阶地较发育，浐河、灞河右岸有发育的三、四级阶地;二级以上阶地二元结构明显,阶面均被黄土复盖。河漫滩和一级阶地为上迭式阶地,二、三、四级阶地为内迭或嵌入型。项目位于黄土台塬和冲洪积平原接壤地区，根据现场踏勘，项目所在区域地势平坦，未发现地质灾害。</w:t>
            </w:r>
          </w:p>
          <w:p>
            <w:pPr>
              <w:spacing w:line="520" w:lineRule="exact"/>
              <w:rPr>
                <w:color w:val="auto"/>
                <w:sz w:val="24"/>
                <w:highlight w:val="none"/>
              </w:rPr>
            </w:pPr>
            <w:r>
              <w:rPr>
                <w:rFonts w:hint="eastAsia"/>
                <w:color w:val="auto"/>
                <w:sz w:val="24"/>
                <w:highlight w:val="none"/>
              </w:rPr>
              <w:t xml:space="preserve">    </w:t>
            </w:r>
            <w:r>
              <w:rPr>
                <w:rFonts w:hint="eastAsia"/>
                <w:b/>
                <w:bCs/>
                <w:snapToGrid w:val="0"/>
                <w:color w:val="auto"/>
                <w:kern w:val="0"/>
                <w:sz w:val="24"/>
                <w:highlight w:val="none"/>
              </w:rPr>
              <w:t xml:space="preserve">2.3 </w:t>
            </w:r>
            <w:r>
              <w:rPr>
                <w:b/>
                <w:bCs/>
                <w:snapToGrid w:val="0"/>
                <w:color w:val="auto"/>
                <w:kern w:val="0"/>
                <w:sz w:val="24"/>
                <w:highlight w:val="none"/>
              </w:rPr>
              <w:t>气候、气象特征</w:t>
            </w:r>
          </w:p>
          <w:p>
            <w:pPr>
              <w:pStyle w:val="100"/>
              <w:spacing w:line="360" w:lineRule="auto"/>
              <w:ind w:firstLine="480" w:firstLineChars="200"/>
              <w:jc w:val="both"/>
              <w:rPr>
                <w:rFonts w:ascii="Times New Roman" w:cs="Times New Roman"/>
                <w:color w:val="auto"/>
                <w:kern w:val="2"/>
                <w:szCs w:val="20"/>
                <w:highlight w:val="none"/>
              </w:rPr>
            </w:pPr>
            <w:r>
              <w:rPr>
                <w:rFonts w:ascii="Times New Roman" w:cs="Times New Roman"/>
                <w:color w:val="auto"/>
                <w:kern w:val="2"/>
                <w:szCs w:val="20"/>
                <w:highlight w:val="none"/>
              </w:rPr>
              <w:t>灞桥区属于暖温带半湿润大陆性季风区，光、热、水、气、土等自然条件优越。年平均降雨量635mm，日照时间为2026～2719小时，年平均气温为12～13.3</w:t>
            </w:r>
            <w:r>
              <w:rPr>
                <w:rFonts w:hint="eastAsia" w:ascii="Times New Roman" w:cs="Times New Roman"/>
                <w:color w:val="auto"/>
                <w:kern w:val="2"/>
                <w:szCs w:val="20"/>
                <w:highlight w:val="none"/>
              </w:rPr>
              <w:t>℃</w:t>
            </w:r>
            <w:r>
              <w:rPr>
                <w:rFonts w:ascii="Times New Roman" w:cs="Times New Roman"/>
                <w:color w:val="auto"/>
                <w:kern w:val="2"/>
                <w:szCs w:val="20"/>
                <w:highlight w:val="none"/>
              </w:rPr>
              <w:t>，极端最高气温为41.7</w:t>
            </w:r>
            <w:r>
              <w:rPr>
                <w:rFonts w:hint="eastAsia" w:ascii="Times New Roman" w:cs="Times New Roman"/>
                <w:color w:val="auto"/>
                <w:kern w:val="2"/>
                <w:szCs w:val="20"/>
                <w:highlight w:val="none"/>
              </w:rPr>
              <w:t>℃</w:t>
            </w:r>
            <w:r>
              <w:rPr>
                <w:rFonts w:ascii="Times New Roman" w:cs="Times New Roman"/>
                <w:color w:val="auto"/>
                <w:kern w:val="2"/>
                <w:szCs w:val="20"/>
                <w:highlight w:val="none"/>
              </w:rPr>
              <w:t>，绝对最低气温为-20.6</w:t>
            </w:r>
            <w:r>
              <w:rPr>
                <w:rFonts w:hint="eastAsia" w:ascii="Times New Roman" w:cs="Times New Roman"/>
                <w:color w:val="auto"/>
                <w:kern w:val="2"/>
                <w:szCs w:val="20"/>
                <w:highlight w:val="none"/>
              </w:rPr>
              <w:t>℃</w:t>
            </w:r>
            <w:r>
              <w:rPr>
                <w:rFonts w:ascii="Times New Roman" w:cs="Times New Roman"/>
                <w:color w:val="auto"/>
                <w:kern w:val="2"/>
                <w:szCs w:val="20"/>
                <w:highlight w:val="none"/>
              </w:rPr>
              <w:t>。年大于10</w:t>
            </w:r>
            <w:r>
              <w:rPr>
                <w:rFonts w:hint="eastAsia" w:ascii="Times New Roman" w:cs="Times New Roman"/>
                <w:color w:val="auto"/>
                <w:kern w:val="2"/>
                <w:szCs w:val="20"/>
                <w:highlight w:val="none"/>
              </w:rPr>
              <w:t>℃</w:t>
            </w:r>
            <w:r>
              <w:rPr>
                <w:rFonts w:ascii="Times New Roman" w:cs="Times New Roman"/>
                <w:color w:val="auto"/>
                <w:kern w:val="2"/>
                <w:szCs w:val="20"/>
                <w:highlight w:val="none"/>
              </w:rPr>
              <w:t>的有效积温为3650～4325</w:t>
            </w:r>
            <w:r>
              <w:rPr>
                <w:rFonts w:hint="eastAsia" w:ascii="Times New Roman" w:cs="Times New Roman"/>
                <w:color w:val="auto"/>
                <w:kern w:val="2"/>
                <w:szCs w:val="20"/>
                <w:highlight w:val="none"/>
              </w:rPr>
              <w:t>℃</w:t>
            </w:r>
            <w:r>
              <w:rPr>
                <w:rFonts w:ascii="Times New Roman" w:cs="Times New Roman"/>
                <w:color w:val="auto"/>
                <w:kern w:val="2"/>
                <w:szCs w:val="20"/>
                <w:highlight w:val="none"/>
              </w:rPr>
              <w:t>，年无霜期202～208天。年初霜日期为11月1日以后，终霜期为4月1日以后。风向频率（静风频率）为30%左右，平均风速为2M/S。年平均相对湿度为70%左右。全年适于旅游的天数为290天，其中最佳的旅游时节为3月中旬至6月底、8月初至11月中旬，约210天。</w:t>
            </w:r>
          </w:p>
          <w:p>
            <w:pPr>
              <w:pStyle w:val="100"/>
              <w:spacing w:line="360" w:lineRule="auto"/>
              <w:ind w:firstLine="480" w:firstLineChars="200"/>
              <w:jc w:val="both"/>
              <w:rPr>
                <w:rFonts w:ascii="Times New Roman" w:cs="Times New Roman"/>
                <w:color w:val="auto"/>
                <w:kern w:val="2"/>
                <w:szCs w:val="20"/>
                <w:highlight w:val="none"/>
              </w:rPr>
            </w:pPr>
            <w:r>
              <w:rPr>
                <w:rFonts w:ascii="Times New Roman" w:cs="Times New Roman"/>
                <w:color w:val="auto"/>
                <w:kern w:val="2"/>
                <w:szCs w:val="20"/>
                <w:highlight w:val="none"/>
              </w:rPr>
              <w:t>灞桥区主导风向为NE，次主导风向为ENE。</w:t>
            </w:r>
          </w:p>
          <w:p>
            <w:pPr>
              <w:autoSpaceDE w:val="0"/>
              <w:autoSpaceDN w:val="0"/>
              <w:spacing w:line="360" w:lineRule="auto"/>
              <w:ind w:firstLine="482" w:firstLineChars="200"/>
              <w:rPr>
                <w:b/>
                <w:bCs/>
                <w:snapToGrid w:val="0"/>
                <w:color w:val="auto"/>
                <w:kern w:val="0"/>
                <w:sz w:val="24"/>
                <w:highlight w:val="none"/>
              </w:rPr>
            </w:pPr>
            <w:r>
              <w:rPr>
                <w:rFonts w:hint="eastAsia"/>
                <w:b/>
                <w:bCs/>
                <w:snapToGrid w:val="0"/>
                <w:color w:val="auto"/>
                <w:kern w:val="0"/>
                <w:sz w:val="24"/>
                <w:highlight w:val="none"/>
              </w:rPr>
              <w:t>2.4</w:t>
            </w:r>
            <w:r>
              <w:rPr>
                <w:b/>
                <w:bCs/>
                <w:snapToGrid w:val="0"/>
                <w:color w:val="auto"/>
                <w:kern w:val="0"/>
                <w:sz w:val="24"/>
                <w:highlight w:val="none"/>
              </w:rPr>
              <w:t>水文</w:t>
            </w:r>
            <w:r>
              <w:rPr>
                <w:rFonts w:hint="eastAsia"/>
                <w:b/>
                <w:bCs/>
                <w:snapToGrid w:val="0"/>
                <w:color w:val="auto"/>
                <w:kern w:val="0"/>
                <w:sz w:val="24"/>
                <w:highlight w:val="none"/>
              </w:rPr>
              <w:t>地质</w:t>
            </w:r>
          </w:p>
          <w:p>
            <w:pPr>
              <w:pStyle w:val="100"/>
              <w:spacing w:line="360" w:lineRule="auto"/>
              <w:ind w:firstLine="480" w:firstLineChars="200"/>
              <w:jc w:val="both"/>
              <w:rPr>
                <w:rFonts w:ascii="Times New Roman" w:cs="Times New Roman"/>
                <w:color w:val="auto"/>
                <w:kern w:val="2"/>
                <w:szCs w:val="20"/>
                <w:highlight w:val="none"/>
              </w:rPr>
            </w:pPr>
            <w:r>
              <w:rPr>
                <w:rFonts w:ascii="Times New Roman" w:cs="Times New Roman"/>
                <w:color w:val="auto"/>
                <w:kern w:val="2"/>
                <w:szCs w:val="20"/>
                <w:highlight w:val="none"/>
              </w:rPr>
              <w:t>流经区境内的河流有渭河及其支流浐、灞河。</w:t>
            </w:r>
          </w:p>
          <w:p>
            <w:pPr>
              <w:pStyle w:val="100"/>
              <w:spacing w:line="360" w:lineRule="auto"/>
              <w:ind w:firstLine="480" w:firstLineChars="200"/>
              <w:jc w:val="both"/>
              <w:rPr>
                <w:rFonts w:ascii="Times New Roman" w:cs="Times New Roman"/>
                <w:color w:val="auto"/>
                <w:kern w:val="2"/>
                <w:szCs w:val="20"/>
                <w:highlight w:val="none"/>
              </w:rPr>
            </w:pPr>
            <w:r>
              <w:rPr>
                <w:rFonts w:ascii="Times New Roman" w:cs="Times New Roman"/>
                <w:color w:val="auto"/>
                <w:kern w:val="2"/>
                <w:szCs w:val="20"/>
                <w:highlight w:val="none"/>
              </w:rPr>
              <w:t>渭河:流经区境内的河段长4公里，流域面积104.1平方公里，河床平均比降为1/550～1/2000。年平均径流量55.67亿立方米，最大年径流量111.7亿立方米，最小年径流量20.72亿立方米。</w:t>
            </w:r>
          </w:p>
          <w:p>
            <w:pPr>
              <w:pStyle w:val="100"/>
              <w:spacing w:line="360" w:lineRule="auto"/>
              <w:ind w:firstLine="480" w:firstLineChars="200"/>
              <w:jc w:val="both"/>
              <w:rPr>
                <w:rFonts w:ascii="Times New Roman" w:cs="Times New Roman"/>
                <w:color w:val="auto"/>
                <w:kern w:val="2"/>
                <w:szCs w:val="20"/>
                <w:highlight w:val="none"/>
              </w:rPr>
            </w:pPr>
            <w:r>
              <w:rPr>
                <w:rFonts w:ascii="Times New Roman" w:cs="Times New Roman"/>
                <w:color w:val="auto"/>
                <w:kern w:val="2"/>
                <w:szCs w:val="20"/>
                <w:highlight w:val="none"/>
              </w:rPr>
              <w:t>灞河:源出蓝田县南的秦岭北坡，全长107公里，流域面积2563.7平方公里(不包括浐河)。自东蒋入境，东西横穿区境，在光泰庙与浐河交汇后向北至兰家庄注入渭河。在区境内的河段长度为34公里，流域面积125.52平方公里。年平均径流量6.07亿立方米，其中：7至9月份最多，占33.8%；1至3月份偏少，占12.1%。</w:t>
            </w:r>
          </w:p>
          <w:p>
            <w:pPr>
              <w:pStyle w:val="100"/>
              <w:spacing w:line="360" w:lineRule="auto"/>
              <w:ind w:firstLine="480" w:firstLineChars="200"/>
              <w:jc w:val="both"/>
              <w:rPr>
                <w:rFonts w:ascii="Times New Roman" w:cs="Times New Roman"/>
                <w:color w:val="auto"/>
                <w:kern w:val="2"/>
                <w:szCs w:val="20"/>
                <w:highlight w:val="none"/>
              </w:rPr>
            </w:pPr>
            <w:r>
              <w:rPr>
                <w:rFonts w:ascii="Times New Roman" w:cs="Times New Roman"/>
                <w:color w:val="auto"/>
                <w:kern w:val="2"/>
                <w:szCs w:val="20"/>
                <w:highlight w:val="none"/>
              </w:rPr>
              <w:t>浐河：源出蓝田县南秦岭北坡，由常家湾流入区内，于光泰庙汇入灞河，全长66.4公里，流域面积752.8平方公里。区境内河段长22公里，流域面积101.1平方公里，河床平均比降9.9%，年平均径流量1.75亿立方米，年平均输沙量250万吨。</w:t>
            </w:r>
          </w:p>
          <w:p>
            <w:pPr>
              <w:spacing w:line="360" w:lineRule="auto"/>
              <w:ind w:firstLine="480" w:firstLineChars="200"/>
              <w:rPr>
                <w:color w:val="auto"/>
                <w:sz w:val="24"/>
                <w:szCs w:val="20"/>
                <w:highlight w:val="none"/>
              </w:rPr>
            </w:pPr>
            <w:r>
              <w:rPr>
                <w:color w:val="auto"/>
                <w:sz w:val="24"/>
                <w:szCs w:val="20"/>
                <w:highlight w:val="none"/>
              </w:rPr>
              <w:t>本项目距</w:t>
            </w:r>
            <w:r>
              <w:rPr>
                <w:rFonts w:hint="eastAsia"/>
                <w:color w:val="auto"/>
                <w:sz w:val="24"/>
                <w:szCs w:val="20"/>
                <w:highlight w:val="none"/>
              </w:rPr>
              <w:t>西</w:t>
            </w:r>
            <w:r>
              <w:rPr>
                <w:color w:val="auto"/>
                <w:sz w:val="24"/>
                <w:szCs w:val="20"/>
                <w:highlight w:val="none"/>
              </w:rPr>
              <w:t>侧</w:t>
            </w:r>
            <w:r>
              <w:rPr>
                <w:rFonts w:hint="eastAsia"/>
                <w:color w:val="auto"/>
                <w:sz w:val="24"/>
                <w:szCs w:val="20"/>
                <w:highlight w:val="none"/>
              </w:rPr>
              <w:t>浐</w:t>
            </w:r>
            <w:r>
              <w:rPr>
                <w:color w:val="auto"/>
                <w:sz w:val="24"/>
                <w:szCs w:val="20"/>
                <w:highlight w:val="none"/>
              </w:rPr>
              <w:t>河最近距离为1.5 km。</w:t>
            </w:r>
          </w:p>
          <w:p>
            <w:pPr>
              <w:spacing w:line="360" w:lineRule="auto"/>
              <w:ind w:firstLine="482" w:firstLineChars="200"/>
              <w:rPr>
                <w:b/>
                <w:bCs/>
                <w:color w:val="auto"/>
                <w:sz w:val="24"/>
                <w:highlight w:val="none"/>
              </w:rPr>
            </w:pPr>
            <w:r>
              <w:rPr>
                <w:rFonts w:hint="eastAsia"/>
                <w:b/>
                <w:bCs/>
                <w:color w:val="auto"/>
                <w:sz w:val="24"/>
                <w:highlight w:val="none"/>
              </w:rPr>
              <w:t>2.5</w:t>
            </w:r>
            <w:r>
              <w:rPr>
                <w:b/>
                <w:bCs/>
                <w:color w:val="auto"/>
                <w:sz w:val="24"/>
                <w:highlight w:val="none"/>
              </w:rPr>
              <w:t>植</w:t>
            </w:r>
            <w:r>
              <w:rPr>
                <w:rFonts w:hint="eastAsia"/>
                <w:b/>
                <w:bCs/>
                <w:color w:val="auto"/>
                <w:sz w:val="24"/>
                <w:highlight w:val="none"/>
              </w:rPr>
              <w:t>被</w:t>
            </w:r>
          </w:p>
          <w:p>
            <w:pPr>
              <w:pStyle w:val="100"/>
              <w:spacing w:line="360" w:lineRule="auto"/>
              <w:ind w:firstLine="480" w:firstLineChars="200"/>
              <w:jc w:val="both"/>
              <w:rPr>
                <w:rFonts w:ascii="Times New Roman" w:cs="Times New Roman"/>
                <w:color w:val="auto"/>
                <w:kern w:val="2"/>
                <w:szCs w:val="20"/>
                <w:highlight w:val="none"/>
              </w:rPr>
            </w:pPr>
            <w:r>
              <w:rPr>
                <w:rFonts w:ascii="Times New Roman" w:cs="Times New Roman"/>
                <w:color w:val="auto"/>
                <w:kern w:val="2"/>
                <w:szCs w:val="20"/>
                <w:highlight w:val="none"/>
              </w:rPr>
              <w:t>灞桥区内野生动植物资源种类较少，而种养的生物资源种类繁多。</w:t>
            </w:r>
          </w:p>
          <w:p>
            <w:pPr>
              <w:pStyle w:val="100"/>
              <w:spacing w:line="360" w:lineRule="auto"/>
              <w:ind w:firstLine="480" w:firstLineChars="200"/>
              <w:jc w:val="both"/>
              <w:rPr>
                <w:rFonts w:ascii="Times New Roman" w:cs="Times New Roman"/>
                <w:color w:val="auto"/>
                <w:kern w:val="2"/>
                <w:szCs w:val="20"/>
                <w:highlight w:val="none"/>
              </w:rPr>
            </w:pPr>
            <w:r>
              <w:rPr>
                <w:rFonts w:ascii="Times New Roman" w:cs="Times New Roman"/>
                <w:color w:val="auto"/>
                <w:kern w:val="2"/>
                <w:szCs w:val="20"/>
                <w:highlight w:val="none"/>
              </w:rPr>
              <w:t>本项目位于陕西澳利森木业集团有限公司厂区内，项目所在地无天然林和原生自</w:t>
            </w:r>
            <w:r>
              <w:rPr>
                <w:rFonts w:hint="eastAsia" w:ascii="Times New Roman" w:cs="Times New Roman"/>
                <w:color w:val="auto"/>
                <w:kern w:val="2"/>
                <w:szCs w:val="20"/>
                <w:highlight w:val="none"/>
              </w:rPr>
              <w:t>然植物群落，主要为白杨等人工绿化植被。</w:t>
            </w:r>
          </w:p>
          <w:p>
            <w:pPr>
              <w:spacing w:line="360" w:lineRule="auto"/>
              <w:rPr>
                <w:color w:val="auto"/>
                <w:sz w:val="24"/>
                <w:highlight w:val="none"/>
              </w:rPr>
            </w:pPr>
          </w:p>
        </w:tc>
      </w:tr>
    </w:tbl>
    <w:p>
      <w:pPr>
        <w:rPr>
          <w:b/>
          <w:color w:val="auto"/>
          <w:highlight w:val="none"/>
        </w:rPr>
        <w:sectPr>
          <w:pgSz w:w="11906" w:h="16838"/>
          <w:pgMar w:top="1440" w:right="1418" w:bottom="873" w:left="1797" w:header="851" w:footer="992" w:gutter="0"/>
          <w:cols w:space="720" w:num="1"/>
          <w:docGrid w:linePitch="381" w:charSpace="0"/>
        </w:sectPr>
      </w:pPr>
    </w:p>
    <w:p>
      <w:pPr>
        <w:rPr>
          <w:rFonts w:eastAsia="黑体"/>
          <w:color w:val="auto"/>
          <w:highlight w:val="none"/>
        </w:rPr>
      </w:pPr>
      <w:r>
        <w:rPr>
          <w:rFonts w:eastAsia="黑体"/>
          <w:color w:val="auto"/>
          <w:highlight w:val="none"/>
        </w:rPr>
        <w:t>3环境质量状况</w:t>
      </w:r>
    </w:p>
    <w:tbl>
      <w:tblPr>
        <w:tblStyle w:val="2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9464" w:type="dxa"/>
          </w:tcPr>
          <w:p>
            <w:pPr>
              <w:spacing w:line="312" w:lineRule="auto"/>
              <w:rPr>
                <w:b/>
                <w:color w:val="auto"/>
                <w:sz w:val="24"/>
                <w:highlight w:val="none"/>
              </w:rPr>
            </w:pPr>
            <w:r>
              <w:rPr>
                <w:b/>
                <w:color w:val="auto"/>
                <w:sz w:val="24"/>
                <w:highlight w:val="none"/>
              </w:rPr>
              <w:t>建设项目所在地区域环境质量现状及主要环境问题（环境空气、地面水、地下水、声环境、生态环境等）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eastAsia="黑体"/>
                <w:color w:val="auto"/>
                <w:sz w:val="24"/>
                <w:highlight w:val="none"/>
              </w:rPr>
            </w:pPr>
            <w:r>
              <w:rPr>
                <w:rFonts w:eastAsia="黑体"/>
                <w:color w:val="auto"/>
                <w:sz w:val="24"/>
                <w:highlight w:val="none"/>
              </w:rPr>
              <w:t>3.1 环境空气质量现状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eastAsia="黑体"/>
                <w:color w:val="auto"/>
                <w:sz w:val="24"/>
                <w:highlight w:val="none"/>
              </w:rPr>
            </w:pPr>
            <w:r>
              <w:rPr>
                <w:rFonts w:eastAsia="黑体"/>
                <w:color w:val="auto"/>
                <w:sz w:val="24"/>
                <w:highlight w:val="none"/>
              </w:rPr>
              <w:t>3.1</w:t>
            </w:r>
            <w:r>
              <w:rPr>
                <w:rFonts w:hint="eastAsia" w:eastAsia="黑体"/>
                <w:color w:val="auto"/>
                <w:sz w:val="24"/>
                <w:highlight w:val="none"/>
              </w:rPr>
              <w:t>.1</w:t>
            </w:r>
            <w:r>
              <w:rPr>
                <w:rFonts w:eastAsia="黑体"/>
                <w:color w:val="auto"/>
                <w:sz w:val="24"/>
                <w:highlight w:val="none"/>
              </w:rPr>
              <w:t xml:space="preserve"> </w:t>
            </w:r>
            <w:r>
              <w:rPr>
                <w:rFonts w:hint="eastAsia" w:eastAsia="黑体"/>
                <w:color w:val="auto"/>
                <w:sz w:val="24"/>
                <w:highlight w:val="none"/>
              </w:rPr>
              <w:t>项目达标区判定</w:t>
            </w:r>
          </w:p>
          <w:p>
            <w:pPr>
              <w:keepNext w:val="0"/>
              <w:keepLines w:val="0"/>
              <w:pageBreakBefore w:val="0"/>
              <w:widowControl w:val="0"/>
              <w:tabs>
                <w:tab w:val="left" w:pos="8607"/>
              </w:tabs>
              <w:kinsoku/>
              <w:wordWrap/>
              <w:overflowPunct/>
              <w:topLinePunct w:val="0"/>
              <w:autoSpaceDE/>
              <w:autoSpaceDN/>
              <w:bidi w:val="0"/>
              <w:adjustRightInd w:val="0"/>
              <w:snapToGrid w:val="0"/>
              <w:spacing w:line="360" w:lineRule="auto"/>
              <w:ind w:firstLine="480" w:firstLineChars="200"/>
              <w:jc w:val="left"/>
              <w:textAlignment w:val="auto"/>
              <w:rPr>
                <w:color w:val="auto"/>
                <w:sz w:val="24"/>
                <w:highlight w:val="none"/>
              </w:rPr>
            </w:pPr>
            <w:r>
              <w:rPr>
                <w:color w:val="auto"/>
                <w:sz w:val="24"/>
                <w:highlight w:val="none"/>
              </w:rPr>
              <w:t>本项目位于陕西省西安市灞桥区</w:t>
            </w:r>
            <w:r>
              <w:rPr>
                <w:rFonts w:hint="eastAsia"/>
                <w:color w:val="auto"/>
                <w:sz w:val="24"/>
                <w:highlight w:val="none"/>
              </w:rPr>
              <w:t>水安路</w:t>
            </w:r>
            <w:r>
              <w:rPr>
                <w:color w:val="auto"/>
                <w:sz w:val="24"/>
                <w:highlight w:val="none"/>
              </w:rPr>
              <w:t>，陕西省生态环境厅办公室</w:t>
            </w:r>
            <w:r>
              <w:rPr>
                <w:rFonts w:hint="eastAsia"/>
                <w:color w:val="auto"/>
                <w:sz w:val="24"/>
                <w:highlight w:val="none"/>
              </w:rPr>
              <w:t>于</w:t>
            </w:r>
            <w:r>
              <w:rPr>
                <w:color w:val="auto"/>
                <w:sz w:val="24"/>
                <w:highlight w:val="none"/>
              </w:rPr>
              <w:t>2019年1月11日发布的《2018年1~12月全省环境空气质量状况》中西安市灞桥区的空气质量状况统计表见表</w:t>
            </w:r>
            <w:r>
              <w:rPr>
                <w:rFonts w:hint="eastAsia"/>
                <w:color w:val="auto"/>
                <w:sz w:val="24"/>
                <w:highlight w:val="none"/>
              </w:rPr>
              <w:t>3-1</w:t>
            </w:r>
            <w:r>
              <w:rPr>
                <w:color w:val="auto"/>
                <w:sz w:val="24"/>
                <w:highlight w:val="none"/>
              </w:rPr>
              <w:t>。</w:t>
            </w:r>
          </w:p>
          <w:p>
            <w:pPr>
              <w:adjustRightInd w:val="0"/>
              <w:snapToGrid w:val="0"/>
              <w:spacing w:line="520" w:lineRule="exact"/>
              <w:ind w:firstLine="480" w:firstLineChars="200"/>
              <w:jc w:val="center"/>
              <w:rPr>
                <w:rFonts w:eastAsia="黑体"/>
                <w:color w:val="auto"/>
                <w:sz w:val="24"/>
                <w:highlight w:val="none"/>
              </w:rPr>
            </w:pPr>
            <w:r>
              <w:rPr>
                <w:rFonts w:eastAsia="黑体"/>
                <w:bCs/>
                <w:color w:val="auto"/>
                <w:sz w:val="24"/>
                <w:highlight w:val="none"/>
              </w:rPr>
              <w:t>表</w:t>
            </w:r>
            <w:r>
              <w:rPr>
                <w:rFonts w:hint="eastAsia" w:eastAsia="黑体"/>
                <w:bCs/>
                <w:color w:val="auto"/>
                <w:sz w:val="24"/>
                <w:highlight w:val="none"/>
              </w:rPr>
              <w:t>3-1</w:t>
            </w:r>
            <w:r>
              <w:rPr>
                <w:rFonts w:eastAsia="黑体"/>
                <w:bCs/>
                <w:color w:val="auto"/>
                <w:sz w:val="24"/>
                <w:highlight w:val="none"/>
              </w:rPr>
              <w:t xml:space="preserve">         环境空气质量状况统计表</w:t>
            </w:r>
          </w:p>
          <w:tbl>
            <w:tblPr>
              <w:tblStyle w:val="2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2049"/>
              <w:gridCol w:w="1359"/>
              <w:gridCol w:w="1417"/>
              <w:gridCol w:w="1276"/>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color w:val="auto"/>
                      <w:sz w:val="21"/>
                      <w:szCs w:val="21"/>
                      <w:highlight w:val="none"/>
                    </w:rPr>
                  </w:pPr>
                  <w:r>
                    <w:rPr>
                      <w:color w:val="auto"/>
                      <w:sz w:val="21"/>
                      <w:szCs w:val="21"/>
                      <w:highlight w:val="none"/>
                    </w:rPr>
                    <w:t>污染物</w:t>
                  </w:r>
                </w:p>
              </w:tc>
              <w:tc>
                <w:tcPr>
                  <w:tcW w:w="2049"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color w:val="auto"/>
                      <w:sz w:val="21"/>
                      <w:szCs w:val="21"/>
                      <w:highlight w:val="none"/>
                    </w:rPr>
                  </w:pPr>
                  <w:r>
                    <w:rPr>
                      <w:color w:val="auto"/>
                      <w:sz w:val="21"/>
                      <w:szCs w:val="21"/>
                      <w:highlight w:val="none"/>
                    </w:rPr>
                    <w:t>年评价指标</w:t>
                  </w:r>
                </w:p>
              </w:tc>
              <w:tc>
                <w:tcPr>
                  <w:tcW w:w="1359"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color w:val="auto"/>
                      <w:sz w:val="21"/>
                      <w:szCs w:val="21"/>
                      <w:highlight w:val="none"/>
                    </w:rPr>
                  </w:pPr>
                  <w:r>
                    <w:rPr>
                      <w:color w:val="auto"/>
                      <w:sz w:val="21"/>
                      <w:szCs w:val="21"/>
                      <w:highlight w:val="none"/>
                    </w:rPr>
                    <w:t>现状浓度/（μg/m</w:t>
                  </w:r>
                  <w:r>
                    <w:rPr>
                      <w:color w:val="auto"/>
                      <w:sz w:val="21"/>
                      <w:szCs w:val="21"/>
                      <w:highlight w:val="none"/>
                      <w:vertAlign w:val="superscript"/>
                    </w:rPr>
                    <w:t>3</w:t>
                  </w:r>
                  <w:r>
                    <w:rPr>
                      <w:color w:val="auto"/>
                      <w:sz w:val="21"/>
                      <w:szCs w:val="21"/>
                      <w:highlight w:val="none"/>
                    </w:rPr>
                    <w:t>）</w:t>
                  </w:r>
                </w:p>
              </w:tc>
              <w:tc>
                <w:tcPr>
                  <w:tcW w:w="1417"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color w:val="auto"/>
                      <w:sz w:val="21"/>
                      <w:szCs w:val="21"/>
                      <w:highlight w:val="none"/>
                    </w:rPr>
                  </w:pPr>
                  <w:r>
                    <w:rPr>
                      <w:color w:val="auto"/>
                      <w:sz w:val="21"/>
                      <w:szCs w:val="21"/>
                      <w:highlight w:val="none"/>
                    </w:rPr>
                    <w:t>标准值/（μg/m</w:t>
                  </w:r>
                  <w:r>
                    <w:rPr>
                      <w:color w:val="auto"/>
                      <w:sz w:val="21"/>
                      <w:szCs w:val="21"/>
                      <w:highlight w:val="none"/>
                      <w:vertAlign w:val="superscript"/>
                    </w:rPr>
                    <w:t>3</w:t>
                  </w:r>
                  <w:r>
                    <w:rPr>
                      <w:color w:val="auto"/>
                      <w:sz w:val="21"/>
                      <w:szCs w:val="21"/>
                      <w:highlight w:val="none"/>
                    </w:rPr>
                    <w:t>）</w:t>
                  </w:r>
                </w:p>
              </w:tc>
              <w:tc>
                <w:tcPr>
                  <w:tcW w:w="1276"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color w:val="auto"/>
                      <w:sz w:val="21"/>
                      <w:szCs w:val="21"/>
                      <w:highlight w:val="none"/>
                    </w:rPr>
                  </w:pPr>
                  <w:r>
                    <w:rPr>
                      <w:color w:val="auto"/>
                      <w:sz w:val="21"/>
                      <w:szCs w:val="21"/>
                      <w:highlight w:val="none"/>
                    </w:rPr>
                    <w:t>占标率/%</w:t>
                  </w:r>
                </w:p>
              </w:tc>
              <w:tc>
                <w:tcPr>
                  <w:tcW w:w="1709"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color w:val="auto"/>
                      <w:sz w:val="21"/>
                      <w:szCs w:val="21"/>
                      <w:highlight w:val="none"/>
                    </w:rPr>
                  </w:pPr>
                  <w:r>
                    <w:rPr>
                      <w:color w:val="auto"/>
                      <w:sz w:val="21"/>
                      <w:szCs w:val="21"/>
                      <w:highlight w:val="none"/>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1299" w:type="dxa"/>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color w:val="auto"/>
                      <w:sz w:val="21"/>
                      <w:szCs w:val="21"/>
                      <w:highlight w:val="none"/>
                    </w:rPr>
                  </w:pPr>
                  <w:r>
                    <w:rPr>
                      <w:color w:val="auto"/>
                      <w:sz w:val="21"/>
                      <w:szCs w:val="21"/>
                      <w:highlight w:val="none"/>
                    </w:rPr>
                    <w:t>PM</w:t>
                  </w:r>
                  <w:r>
                    <w:rPr>
                      <w:color w:val="auto"/>
                      <w:sz w:val="21"/>
                      <w:szCs w:val="21"/>
                      <w:highlight w:val="none"/>
                      <w:vertAlign w:val="subscript"/>
                    </w:rPr>
                    <w:t>10</w:t>
                  </w:r>
                </w:p>
              </w:tc>
              <w:tc>
                <w:tcPr>
                  <w:tcW w:w="2049" w:type="dxa"/>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color w:val="auto"/>
                      <w:sz w:val="21"/>
                      <w:szCs w:val="21"/>
                      <w:highlight w:val="none"/>
                    </w:rPr>
                  </w:pPr>
                  <w:r>
                    <w:rPr>
                      <w:color w:val="auto"/>
                      <w:sz w:val="21"/>
                      <w:szCs w:val="21"/>
                      <w:highlight w:val="none"/>
                    </w:rPr>
                    <w:t>年平均质量浓度</w:t>
                  </w:r>
                </w:p>
              </w:tc>
              <w:tc>
                <w:tcPr>
                  <w:tcW w:w="1359" w:type="dxa"/>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color w:val="auto"/>
                      <w:sz w:val="21"/>
                      <w:szCs w:val="21"/>
                      <w:highlight w:val="none"/>
                    </w:rPr>
                  </w:pPr>
                  <w:r>
                    <w:rPr>
                      <w:color w:val="auto"/>
                      <w:sz w:val="21"/>
                      <w:szCs w:val="21"/>
                      <w:highlight w:val="none"/>
                    </w:rPr>
                    <w:t>117</w:t>
                  </w:r>
                </w:p>
              </w:tc>
              <w:tc>
                <w:tcPr>
                  <w:tcW w:w="1417" w:type="dxa"/>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color w:val="auto"/>
                      <w:sz w:val="21"/>
                      <w:szCs w:val="21"/>
                      <w:highlight w:val="none"/>
                    </w:rPr>
                  </w:pPr>
                  <w:r>
                    <w:rPr>
                      <w:color w:val="auto"/>
                      <w:sz w:val="21"/>
                      <w:szCs w:val="21"/>
                      <w:highlight w:val="none"/>
                    </w:rPr>
                    <w:t>70</w:t>
                  </w:r>
                </w:p>
              </w:tc>
              <w:tc>
                <w:tcPr>
                  <w:tcW w:w="1276" w:type="dxa"/>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color w:val="auto"/>
                      <w:sz w:val="21"/>
                      <w:szCs w:val="21"/>
                      <w:highlight w:val="none"/>
                    </w:rPr>
                  </w:pPr>
                  <w:r>
                    <w:rPr>
                      <w:color w:val="auto"/>
                      <w:sz w:val="21"/>
                      <w:szCs w:val="21"/>
                      <w:highlight w:val="none"/>
                    </w:rPr>
                    <w:t>167</w:t>
                  </w:r>
                </w:p>
              </w:tc>
              <w:tc>
                <w:tcPr>
                  <w:tcW w:w="1709"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color w:val="auto"/>
                      <w:sz w:val="21"/>
                      <w:szCs w:val="21"/>
                      <w:highlight w:val="none"/>
                    </w:rPr>
                  </w:pPr>
                  <w:r>
                    <w:rPr>
                      <w:color w:val="auto"/>
                      <w:sz w:val="21"/>
                      <w:szCs w:val="21"/>
                      <w:highlight w:val="none"/>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1299" w:type="dxa"/>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color w:val="auto"/>
                      <w:sz w:val="21"/>
                      <w:szCs w:val="21"/>
                      <w:highlight w:val="none"/>
                    </w:rPr>
                  </w:pPr>
                  <w:r>
                    <w:rPr>
                      <w:color w:val="auto"/>
                      <w:sz w:val="21"/>
                      <w:szCs w:val="21"/>
                      <w:highlight w:val="none"/>
                      <w:lang w:bidi="ar-BH"/>
                    </w:rPr>
                    <w:t>PM</w:t>
                  </w:r>
                  <w:r>
                    <w:rPr>
                      <w:color w:val="auto"/>
                      <w:sz w:val="21"/>
                      <w:szCs w:val="21"/>
                      <w:highlight w:val="none"/>
                      <w:vertAlign w:val="subscript"/>
                      <w:lang w:bidi="ar-BH"/>
                    </w:rPr>
                    <w:t>2.5</w:t>
                  </w:r>
                </w:p>
              </w:tc>
              <w:tc>
                <w:tcPr>
                  <w:tcW w:w="2049" w:type="dxa"/>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color w:val="auto"/>
                      <w:sz w:val="21"/>
                      <w:szCs w:val="21"/>
                      <w:highlight w:val="none"/>
                    </w:rPr>
                  </w:pPr>
                  <w:r>
                    <w:rPr>
                      <w:color w:val="auto"/>
                      <w:sz w:val="21"/>
                      <w:szCs w:val="21"/>
                      <w:highlight w:val="none"/>
                    </w:rPr>
                    <w:t>年平均质量浓度</w:t>
                  </w:r>
                </w:p>
              </w:tc>
              <w:tc>
                <w:tcPr>
                  <w:tcW w:w="1359" w:type="dxa"/>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color w:val="auto"/>
                      <w:sz w:val="21"/>
                      <w:szCs w:val="21"/>
                      <w:highlight w:val="none"/>
                    </w:rPr>
                  </w:pPr>
                  <w:r>
                    <w:rPr>
                      <w:color w:val="auto"/>
                      <w:sz w:val="21"/>
                      <w:szCs w:val="21"/>
                      <w:highlight w:val="none"/>
                    </w:rPr>
                    <w:t>63</w:t>
                  </w:r>
                </w:p>
              </w:tc>
              <w:tc>
                <w:tcPr>
                  <w:tcW w:w="1417" w:type="dxa"/>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color w:val="auto"/>
                      <w:sz w:val="21"/>
                      <w:szCs w:val="21"/>
                      <w:highlight w:val="none"/>
                    </w:rPr>
                  </w:pPr>
                  <w:r>
                    <w:rPr>
                      <w:color w:val="auto"/>
                      <w:sz w:val="21"/>
                      <w:szCs w:val="21"/>
                      <w:highlight w:val="none"/>
                    </w:rPr>
                    <w:t>35</w:t>
                  </w:r>
                </w:p>
              </w:tc>
              <w:tc>
                <w:tcPr>
                  <w:tcW w:w="1276" w:type="dxa"/>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color w:val="auto"/>
                      <w:sz w:val="21"/>
                      <w:szCs w:val="21"/>
                      <w:highlight w:val="none"/>
                    </w:rPr>
                  </w:pPr>
                  <w:r>
                    <w:rPr>
                      <w:color w:val="auto"/>
                      <w:sz w:val="21"/>
                      <w:szCs w:val="21"/>
                      <w:highlight w:val="none"/>
                    </w:rPr>
                    <w:t>180</w:t>
                  </w:r>
                </w:p>
              </w:tc>
              <w:tc>
                <w:tcPr>
                  <w:tcW w:w="1709" w:type="dxa"/>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color w:val="auto"/>
                      <w:sz w:val="21"/>
                      <w:szCs w:val="21"/>
                      <w:highlight w:val="none"/>
                    </w:rPr>
                  </w:pPr>
                  <w:r>
                    <w:rPr>
                      <w:color w:val="auto"/>
                      <w:sz w:val="21"/>
                      <w:szCs w:val="21"/>
                      <w:highlight w:val="none"/>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299" w:type="dxa"/>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color w:val="auto"/>
                      <w:sz w:val="21"/>
                      <w:szCs w:val="21"/>
                      <w:highlight w:val="none"/>
                    </w:rPr>
                  </w:pPr>
                  <w:r>
                    <w:rPr>
                      <w:color w:val="auto"/>
                      <w:sz w:val="21"/>
                      <w:szCs w:val="21"/>
                      <w:highlight w:val="none"/>
                    </w:rPr>
                    <w:t>SO</w:t>
                  </w:r>
                  <w:r>
                    <w:rPr>
                      <w:color w:val="auto"/>
                      <w:sz w:val="21"/>
                      <w:szCs w:val="21"/>
                      <w:highlight w:val="none"/>
                      <w:vertAlign w:val="subscript"/>
                    </w:rPr>
                    <w:t>2</w:t>
                  </w:r>
                </w:p>
              </w:tc>
              <w:tc>
                <w:tcPr>
                  <w:tcW w:w="2049" w:type="dxa"/>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color w:val="auto"/>
                      <w:sz w:val="21"/>
                      <w:szCs w:val="21"/>
                      <w:highlight w:val="none"/>
                    </w:rPr>
                  </w:pPr>
                  <w:r>
                    <w:rPr>
                      <w:color w:val="auto"/>
                      <w:sz w:val="21"/>
                      <w:szCs w:val="21"/>
                      <w:highlight w:val="none"/>
                    </w:rPr>
                    <w:t>年平均质量浓度</w:t>
                  </w:r>
                </w:p>
              </w:tc>
              <w:tc>
                <w:tcPr>
                  <w:tcW w:w="1359" w:type="dxa"/>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color w:val="auto"/>
                      <w:sz w:val="21"/>
                      <w:szCs w:val="21"/>
                      <w:highlight w:val="none"/>
                    </w:rPr>
                  </w:pPr>
                  <w:r>
                    <w:rPr>
                      <w:color w:val="auto"/>
                      <w:sz w:val="21"/>
                      <w:szCs w:val="21"/>
                      <w:highlight w:val="none"/>
                    </w:rPr>
                    <w:t>17</w:t>
                  </w:r>
                </w:p>
              </w:tc>
              <w:tc>
                <w:tcPr>
                  <w:tcW w:w="1417" w:type="dxa"/>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color w:val="auto"/>
                      <w:sz w:val="21"/>
                      <w:szCs w:val="21"/>
                      <w:highlight w:val="none"/>
                    </w:rPr>
                  </w:pPr>
                  <w:r>
                    <w:rPr>
                      <w:color w:val="auto"/>
                      <w:sz w:val="21"/>
                      <w:szCs w:val="21"/>
                      <w:highlight w:val="none"/>
                    </w:rPr>
                    <w:t>60</w:t>
                  </w:r>
                </w:p>
              </w:tc>
              <w:tc>
                <w:tcPr>
                  <w:tcW w:w="1276" w:type="dxa"/>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color w:val="auto"/>
                      <w:sz w:val="21"/>
                      <w:szCs w:val="21"/>
                      <w:highlight w:val="none"/>
                    </w:rPr>
                  </w:pPr>
                  <w:r>
                    <w:rPr>
                      <w:color w:val="auto"/>
                      <w:sz w:val="21"/>
                      <w:szCs w:val="21"/>
                      <w:highlight w:val="none"/>
                    </w:rPr>
                    <w:t>28.3</w:t>
                  </w:r>
                </w:p>
              </w:tc>
              <w:tc>
                <w:tcPr>
                  <w:tcW w:w="1709" w:type="dxa"/>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color w:val="auto"/>
                      <w:sz w:val="21"/>
                      <w:szCs w:val="21"/>
                      <w:highlight w:val="none"/>
                    </w:rPr>
                  </w:pPr>
                  <w:r>
                    <w:rPr>
                      <w:color w:val="auto"/>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1299" w:type="dxa"/>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color w:val="auto"/>
                      <w:sz w:val="21"/>
                      <w:szCs w:val="21"/>
                      <w:highlight w:val="none"/>
                    </w:rPr>
                  </w:pPr>
                  <w:r>
                    <w:rPr>
                      <w:color w:val="auto"/>
                      <w:sz w:val="21"/>
                      <w:szCs w:val="21"/>
                      <w:highlight w:val="none"/>
                    </w:rPr>
                    <w:t>NO</w:t>
                  </w:r>
                  <w:r>
                    <w:rPr>
                      <w:color w:val="auto"/>
                      <w:sz w:val="21"/>
                      <w:szCs w:val="21"/>
                      <w:highlight w:val="none"/>
                      <w:vertAlign w:val="subscript"/>
                    </w:rPr>
                    <w:t>2</w:t>
                  </w:r>
                </w:p>
              </w:tc>
              <w:tc>
                <w:tcPr>
                  <w:tcW w:w="2049" w:type="dxa"/>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color w:val="auto"/>
                      <w:sz w:val="21"/>
                      <w:szCs w:val="21"/>
                      <w:highlight w:val="none"/>
                    </w:rPr>
                  </w:pPr>
                  <w:r>
                    <w:rPr>
                      <w:color w:val="auto"/>
                      <w:sz w:val="21"/>
                      <w:szCs w:val="21"/>
                      <w:highlight w:val="none"/>
                    </w:rPr>
                    <w:t>年平均质量浓度</w:t>
                  </w:r>
                </w:p>
              </w:tc>
              <w:tc>
                <w:tcPr>
                  <w:tcW w:w="1359" w:type="dxa"/>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color w:val="auto"/>
                      <w:sz w:val="21"/>
                      <w:szCs w:val="21"/>
                      <w:highlight w:val="none"/>
                    </w:rPr>
                  </w:pPr>
                  <w:r>
                    <w:rPr>
                      <w:color w:val="auto"/>
                      <w:sz w:val="21"/>
                      <w:szCs w:val="21"/>
                      <w:highlight w:val="none"/>
                    </w:rPr>
                    <w:t>56</w:t>
                  </w:r>
                </w:p>
              </w:tc>
              <w:tc>
                <w:tcPr>
                  <w:tcW w:w="1417" w:type="dxa"/>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color w:val="auto"/>
                      <w:sz w:val="21"/>
                      <w:szCs w:val="21"/>
                      <w:highlight w:val="none"/>
                    </w:rPr>
                  </w:pPr>
                  <w:r>
                    <w:rPr>
                      <w:color w:val="auto"/>
                      <w:sz w:val="21"/>
                      <w:szCs w:val="21"/>
                      <w:highlight w:val="none"/>
                    </w:rPr>
                    <w:t>40</w:t>
                  </w:r>
                </w:p>
              </w:tc>
              <w:tc>
                <w:tcPr>
                  <w:tcW w:w="1276" w:type="dxa"/>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color w:val="auto"/>
                      <w:sz w:val="21"/>
                      <w:szCs w:val="21"/>
                      <w:highlight w:val="none"/>
                    </w:rPr>
                  </w:pPr>
                  <w:r>
                    <w:rPr>
                      <w:color w:val="auto"/>
                      <w:sz w:val="21"/>
                      <w:szCs w:val="21"/>
                      <w:highlight w:val="none"/>
                    </w:rPr>
                    <w:t>140</w:t>
                  </w:r>
                </w:p>
              </w:tc>
              <w:tc>
                <w:tcPr>
                  <w:tcW w:w="1709" w:type="dxa"/>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color w:val="auto"/>
                      <w:sz w:val="21"/>
                      <w:szCs w:val="21"/>
                      <w:highlight w:val="none"/>
                    </w:rPr>
                  </w:pPr>
                  <w:r>
                    <w:rPr>
                      <w:color w:val="auto"/>
                      <w:sz w:val="21"/>
                      <w:szCs w:val="21"/>
                      <w:highlight w:val="none"/>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99" w:type="dxa"/>
                  <w:vAlign w:val="center"/>
                </w:tcPr>
                <w:p>
                  <w:pPr>
                    <w:keepNext w:val="0"/>
                    <w:keepLines w:val="0"/>
                    <w:pageBreakBefore w:val="0"/>
                    <w:widowControl w:val="0"/>
                    <w:kinsoku/>
                    <w:wordWrap/>
                    <w:overflowPunct/>
                    <w:topLinePunct w:val="0"/>
                    <w:autoSpaceDE/>
                    <w:autoSpaceDN/>
                    <w:bidi w:val="0"/>
                    <w:snapToGrid/>
                    <w:spacing w:line="240" w:lineRule="auto"/>
                    <w:jc w:val="center"/>
                    <w:textAlignment w:val="auto"/>
                    <w:rPr>
                      <w:color w:val="auto"/>
                      <w:sz w:val="21"/>
                      <w:szCs w:val="21"/>
                      <w:highlight w:val="none"/>
                    </w:rPr>
                  </w:pPr>
                  <w:r>
                    <w:rPr>
                      <w:color w:val="auto"/>
                      <w:sz w:val="21"/>
                      <w:szCs w:val="21"/>
                      <w:highlight w:val="none"/>
                      <w:lang w:bidi="ar-BH"/>
                    </w:rPr>
                    <w:t>CO</w:t>
                  </w:r>
                </w:p>
              </w:tc>
              <w:tc>
                <w:tcPr>
                  <w:tcW w:w="2049" w:type="dxa"/>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color w:val="auto"/>
                      <w:sz w:val="21"/>
                      <w:szCs w:val="21"/>
                      <w:highlight w:val="none"/>
                    </w:rPr>
                  </w:pPr>
                  <w:r>
                    <w:rPr>
                      <w:color w:val="auto"/>
                      <w:sz w:val="21"/>
                      <w:szCs w:val="21"/>
                      <w:highlight w:val="none"/>
                    </w:rPr>
                    <w:t>日均值第95百分位数质量浓度</w:t>
                  </w:r>
                </w:p>
              </w:tc>
              <w:tc>
                <w:tcPr>
                  <w:tcW w:w="1359"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color w:val="auto"/>
                      <w:sz w:val="21"/>
                      <w:szCs w:val="21"/>
                      <w:highlight w:val="none"/>
                    </w:rPr>
                  </w:pPr>
                  <w:r>
                    <w:rPr>
                      <w:color w:val="auto"/>
                      <w:sz w:val="21"/>
                      <w:szCs w:val="21"/>
                      <w:highlight w:val="none"/>
                    </w:rPr>
                    <w:t>2500</w:t>
                  </w:r>
                </w:p>
              </w:tc>
              <w:tc>
                <w:tcPr>
                  <w:tcW w:w="1417"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color w:val="auto"/>
                      <w:sz w:val="21"/>
                      <w:szCs w:val="21"/>
                      <w:highlight w:val="none"/>
                    </w:rPr>
                  </w:pPr>
                  <w:r>
                    <w:rPr>
                      <w:color w:val="auto"/>
                      <w:sz w:val="21"/>
                      <w:szCs w:val="21"/>
                      <w:highlight w:val="none"/>
                    </w:rPr>
                    <w:t>4000</w:t>
                  </w:r>
                </w:p>
              </w:tc>
              <w:tc>
                <w:tcPr>
                  <w:tcW w:w="1276"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color w:val="auto"/>
                      <w:sz w:val="21"/>
                      <w:szCs w:val="21"/>
                      <w:highlight w:val="none"/>
                    </w:rPr>
                  </w:pPr>
                  <w:r>
                    <w:rPr>
                      <w:color w:val="auto"/>
                      <w:sz w:val="21"/>
                      <w:szCs w:val="21"/>
                      <w:highlight w:val="none"/>
                    </w:rPr>
                    <w:t>62.5</w:t>
                  </w:r>
                </w:p>
              </w:tc>
              <w:tc>
                <w:tcPr>
                  <w:tcW w:w="1709"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color w:val="auto"/>
                      <w:sz w:val="21"/>
                      <w:szCs w:val="21"/>
                      <w:highlight w:val="none"/>
                    </w:rPr>
                  </w:pPr>
                  <w:r>
                    <w:rPr>
                      <w:color w:val="auto"/>
                      <w:sz w:val="21"/>
                      <w:szCs w:val="21"/>
                      <w:highlight w:val="none"/>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299"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color w:val="auto"/>
                      <w:sz w:val="21"/>
                      <w:szCs w:val="21"/>
                      <w:highlight w:val="none"/>
                    </w:rPr>
                  </w:pPr>
                  <w:r>
                    <w:rPr>
                      <w:color w:val="auto"/>
                      <w:sz w:val="21"/>
                      <w:szCs w:val="21"/>
                      <w:highlight w:val="none"/>
                    </w:rPr>
                    <w:t>O</w:t>
                  </w:r>
                  <w:r>
                    <w:rPr>
                      <w:color w:val="auto"/>
                      <w:sz w:val="21"/>
                      <w:szCs w:val="21"/>
                      <w:highlight w:val="none"/>
                      <w:vertAlign w:val="subscript"/>
                    </w:rPr>
                    <w:t>3</w:t>
                  </w:r>
                </w:p>
              </w:tc>
              <w:tc>
                <w:tcPr>
                  <w:tcW w:w="2049" w:type="dxa"/>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color w:val="auto"/>
                      <w:sz w:val="21"/>
                      <w:szCs w:val="21"/>
                      <w:highlight w:val="none"/>
                    </w:rPr>
                  </w:pPr>
                  <w:r>
                    <w:rPr>
                      <w:color w:val="auto"/>
                      <w:sz w:val="21"/>
                      <w:szCs w:val="21"/>
                      <w:highlight w:val="none"/>
                    </w:rPr>
                    <w:t>最大8小时第90百分位数质量浓度</w:t>
                  </w:r>
                </w:p>
              </w:tc>
              <w:tc>
                <w:tcPr>
                  <w:tcW w:w="1359"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color w:val="auto"/>
                      <w:sz w:val="21"/>
                      <w:szCs w:val="21"/>
                      <w:highlight w:val="none"/>
                    </w:rPr>
                  </w:pPr>
                  <w:r>
                    <w:rPr>
                      <w:color w:val="auto"/>
                      <w:sz w:val="21"/>
                      <w:szCs w:val="21"/>
                      <w:highlight w:val="none"/>
                    </w:rPr>
                    <w:t>162</w:t>
                  </w:r>
                </w:p>
              </w:tc>
              <w:tc>
                <w:tcPr>
                  <w:tcW w:w="1417"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color w:val="auto"/>
                      <w:sz w:val="21"/>
                      <w:szCs w:val="21"/>
                      <w:highlight w:val="none"/>
                    </w:rPr>
                  </w:pPr>
                  <w:r>
                    <w:rPr>
                      <w:color w:val="auto"/>
                      <w:sz w:val="21"/>
                      <w:szCs w:val="21"/>
                      <w:highlight w:val="none"/>
                    </w:rPr>
                    <w:t>160</w:t>
                  </w:r>
                </w:p>
              </w:tc>
              <w:tc>
                <w:tcPr>
                  <w:tcW w:w="1276"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color w:val="auto"/>
                      <w:sz w:val="21"/>
                      <w:szCs w:val="21"/>
                      <w:highlight w:val="none"/>
                    </w:rPr>
                  </w:pPr>
                  <w:r>
                    <w:rPr>
                      <w:color w:val="auto"/>
                      <w:sz w:val="21"/>
                      <w:szCs w:val="21"/>
                      <w:highlight w:val="none"/>
                    </w:rPr>
                    <w:t>101.3</w:t>
                  </w:r>
                </w:p>
              </w:tc>
              <w:tc>
                <w:tcPr>
                  <w:tcW w:w="1709" w:type="dxa"/>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color w:val="auto"/>
                      <w:sz w:val="21"/>
                      <w:szCs w:val="21"/>
                      <w:highlight w:val="none"/>
                    </w:rPr>
                  </w:pPr>
                  <w:r>
                    <w:rPr>
                      <w:color w:val="auto"/>
                      <w:sz w:val="21"/>
                      <w:szCs w:val="21"/>
                      <w:highlight w:val="none"/>
                    </w:rPr>
                    <w:t>不达标</w:t>
                  </w:r>
                </w:p>
              </w:tc>
            </w:tr>
          </w:tbl>
          <w:p>
            <w:pPr>
              <w:tabs>
                <w:tab w:val="left" w:pos="8607"/>
              </w:tabs>
              <w:adjustRightInd w:val="0"/>
              <w:snapToGrid w:val="0"/>
              <w:spacing w:line="360" w:lineRule="auto"/>
              <w:ind w:firstLine="480" w:firstLineChars="200"/>
              <w:jc w:val="left"/>
              <w:rPr>
                <w:color w:val="auto"/>
                <w:sz w:val="24"/>
                <w:highlight w:val="none"/>
              </w:rPr>
            </w:pPr>
            <w:r>
              <w:rPr>
                <w:color w:val="auto"/>
                <w:sz w:val="24"/>
                <w:highlight w:val="none"/>
              </w:rPr>
              <w:t>由上表可知，灞桥区环境空气6个监测项目中，SO</w:t>
            </w:r>
            <w:r>
              <w:rPr>
                <w:color w:val="auto"/>
                <w:sz w:val="24"/>
                <w:highlight w:val="none"/>
                <w:vertAlign w:val="subscript"/>
              </w:rPr>
              <w:t>2</w:t>
            </w:r>
            <w:r>
              <w:rPr>
                <w:color w:val="auto"/>
                <w:sz w:val="24"/>
                <w:highlight w:val="none"/>
              </w:rPr>
              <w:t>、CO24小时均值第95百分位数浓度低于国家环境空气质量二级标准；PM</w:t>
            </w:r>
            <w:r>
              <w:rPr>
                <w:color w:val="auto"/>
                <w:sz w:val="24"/>
                <w:highlight w:val="none"/>
                <w:vertAlign w:val="subscript"/>
              </w:rPr>
              <w:t>10</w:t>
            </w:r>
            <w:r>
              <w:rPr>
                <w:color w:val="auto"/>
                <w:sz w:val="24"/>
                <w:highlight w:val="none"/>
              </w:rPr>
              <w:t>、PM</w:t>
            </w:r>
            <w:r>
              <w:rPr>
                <w:color w:val="auto"/>
                <w:sz w:val="24"/>
                <w:highlight w:val="none"/>
                <w:vertAlign w:val="subscript"/>
              </w:rPr>
              <w:t>2.5</w:t>
            </w:r>
            <w:r>
              <w:rPr>
                <w:color w:val="auto"/>
                <w:sz w:val="24"/>
                <w:highlight w:val="none"/>
              </w:rPr>
              <w:t>、NO</w:t>
            </w:r>
            <w:r>
              <w:rPr>
                <w:color w:val="auto"/>
                <w:sz w:val="24"/>
                <w:highlight w:val="none"/>
                <w:vertAlign w:val="subscript"/>
              </w:rPr>
              <w:t>2</w:t>
            </w:r>
            <w:r>
              <w:rPr>
                <w:color w:val="auto"/>
                <w:sz w:val="24"/>
                <w:highlight w:val="none"/>
              </w:rPr>
              <w:t>年均浓度值、O</w:t>
            </w:r>
            <w:r>
              <w:rPr>
                <w:color w:val="auto"/>
                <w:sz w:val="24"/>
                <w:highlight w:val="none"/>
                <w:vertAlign w:val="subscript"/>
              </w:rPr>
              <w:t>3</w:t>
            </w:r>
            <w:r>
              <w:rPr>
                <w:color w:val="auto"/>
                <w:sz w:val="24"/>
                <w:highlight w:val="none"/>
              </w:rPr>
              <w:t>最大8小时平均值第90百分位数值均高于国家环境空气质量二级标准；故项目所在区域属于不达标区。</w:t>
            </w:r>
          </w:p>
          <w:p>
            <w:pPr>
              <w:adjustRightInd w:val="0"/>
              <w:snapToGrid w:val="0"/>
              <w:spacing w:line="360" w:lineRule="auto"/>
              <w:ind w:firstLine="480" w:firstLineChars="200"/>
              <w:jc w:val="left"/>
              <w:rPr>
                <w:rFonts w:eastAsia="黑体"/>
                <w:color w:val="auto"/>
                <w:sz w:val="24"/>
                <w:highlight w:val="none"/>
              </w:rPr>
            </w:pPr>
            <w:r>
              <w:rPr>
                <w:rFonts w:eastAsia="黑体"/>
                <w:color w:val="auto"/>
                <w:sz w:val="24"/>
                <w:highlight w:val="none"/>
              </w:rPr>
              <w:t>3.1</w:t>
            </w:r>
            <w:r>
              <w:rPr>
                <w:rFonts w:hint="eastAsia" w:eastAsia="黑体"/>
                <w:color w:val="auto"/>
                <w:sz w:val="24"/>
                <w:highlight w:val="none"/>
              </w:rPr>
              <w:t>.2特征因子补充监测分析</w:t>
            </w:r>
          </w:p>
          <w:p>
            <w:pPr>
              <w:tabs>
                <w:tab w:val="left" w:pos="8850"/>
              </w:tabs>
              <w:spacing w:line="360" w:lineRule="auto"/>
              <w:ind w:firstLine="480" w:firstLineChars="200"/>
              <w:rPr>
                <w:color w:val="auto"/>
                <w:sz w:val="24"/>
                <w:highlight w:val="none"/>
              </w:rPr>
            </w:pPr>
            <w:r>
              <w:rPr>
                <w:rFonts w:hint="eastAsia"/>
                <w:color w:val="auto"/>
                <w:sz w:val="24"/>
                <w:highlight w:val="none"/>
              </w:rPr>
              <w:t xml:space="preserve">  </w:t>
            </w:r>
            <w:r>
              <w:rPr>
                <w:color w:val="auto"/>
                <w:sz w:val="24"/>
                <w:highlight w:val="none"/>
              </w:rPr>
              <w:t>委托</w:t>
            </w:r>
            <w:r>
              <w:rPr>
                <w:rFonts w:hint="eastAsia"/>
                <w:color w:val="auto"/>
                <w:sz w:val="24"/>
                <w:highlight w:val="none"/>
              </w:rPr>
              <w:t>陕西阔成检测服务有限公司对</w:t>
            </w:r>
            <w:r>
              <w:rPr>
                <w:rFonts w:hint="eastAsia"/>
                <w:color w:val="auto"/>
                <w:spacing w:val="4"/>
                <w:sz w:val="24"/>
                <w:highlight w:val="none"/>
              </w:rPr>
              <w:t>项目厂址处非甲烷总烃进行现状监测，共设1个大气监测，监测时间为连续监测七天（</w:t>
            </w:r>
            <w:r>
              <w:rPr>
                <w:color w:val="auto"/>
                <w:sz w:val="24"/>
                <w:highlight w:val="none"/>
              </w:rPr>
              <w:t>2019</w:t>
            </w:r>
            <w:r>
              <w:rPr>
                <w:rFonts w:hint="eastAsia"/>
                <w:color w:val="auto"/>
                <w:sz w:val="24"/>
                <w:highlight w:val="none"/>
              </w:rPr>
              <w:t>年</w:t>
            </w:r>
            <w:r>
              <w:rPr>
                <w:color w:val="auto"/>
                <w:sz w:val="24"/>
                <w:highlight w:val="none"/>
              </w:rPr>
              <w:t>0</w:t>
            </w:r>
            <w:r>
              <w:rPr>
                <w:rFonts w:hint="eastAsia"/>
                <w:color w:val="auto"/>
                <w:sz w:val="24"/>
                <w:highlight w:val="none"/>
              </w:rPr>
              <w:t>4月16日至</w:t>
            </w:r>
            <w:r>
              <w:rPr>
                <w:color w:val="auto"/>
                <w:sz w:val="24"/>
                <w:highlight w:val="none"/>
              </w:rPr>
              <w:t>2</w:t>
            </w:r>
            <w:r>
              <w:rPr>
                <w:rFonts w:hint="eastAsia"/>
                <w:color w:val="auto"/>
                <w:sz w:val="24"/>
                <w:highlight w:val="none"/>
              </w:rPr>
              <w:t>2日）</w:t>
            </w:r>
            <w:r>
              <w:rPr>
                <w:rFonts w:hint="eastAsia"/>
                <w:color w:val="auto"/>
                <w:spacing w:val="4"/>
                <w:sz w:val="24"/>
                <w:highlight w:val="none"/>
              </w:rPr>
              <w:t>，监测结果见表</w:t>
            </w:r>
            <w:r>
              <w:rPr>
                <w:color w:val="auto"/>
                <w:spacing w:val="4"/>
                <w:sz w:val="24"/>
                <w:highlight w:val="none"/>
              </w:rPr>
              <w:t>3-</w:t>
            </w:r>
            <w:r>
              <w:rPr>
                <w:rFonts w:hint="eastAsia"/>
                <w:color w:val="auto"/>
                <w:spacing w:val="4"/>
                <w:sz w:val="24"/>
                <w:highlight w:val="none"/>
              </w:rPr>
              <w:t>2。监测期间项目属于停产状态。</w:t>
            </w:r>
          </w:p>
          <w:p>
            <w:pPr>
              <w:spacing w:line="360" w:lineRule="auto"/>
              <w:ind w:firstLine="480" w:firstLineChars="200"/>
              <w:jc w:val="center"/>
              <w:rPr>
                <w:rFonts w:ascii="黑体" w:hAnsi="黑体" w:eastAsia="黑体"/>
                <w:bCs/>
                <w:color w:val="auto"/>
                <w:sz w:val="24"/>
                <w:szCs w:val="21"/>
                <w:highlight w:val="none"/>
              </w:rPr>
            </w:pPr>
            <w:r>
              <w:rPr>
                <w:rFonts w:hint="eastAsia" w:ascii="黑体" w:hAnsi="黑体" w:eastAsia="黑体"/>
                <w:bCs/>
                <w:color w:val="auto"/>
                <w:sz w:val="24"/>
                <w:szCs w:val="21"/>
                <w:highlight w:val="none"/>
              </w:rPr>
              <w:t xml:space="preserve">表3-2   项目所在区特征污染物环境空气监测结果一览表    </w:t>
            </w:r>
            <w:r>
              <w:rPr>
                <w:rFonts w:ascii="黑体" w:hAnsi="黑体" w:eastAsia="黑体"/>
                <w:bCs/>
                <w:color w:val="auto"/>
                <w:sz w:val="24"/>
                <w:szCs w:val="21"/>
                <w:highlight w:val="none"/>
              </w:rPr>
              <w:t>单位：</w:t>
            </w:r>
            <w:r>
              <w:rPr>
                <w:rFonts w:hint="eastAsia" w:ascii="宋体" w:hAnsi="宋体" w:cs="宋体"/>
                <w:bCs/>
                <w:color w:val="auto"/>
                <w:sz w:val="24"/>
                <w:szCs w:val="21"/>
                <w:highlight w:val="none"/>
              </w:rPr>
              <w:t xml:space="preserve"> m</w:t>
            </w:r>
            <w:r>
              <w:rPr>
                <w:rFonts w:ascii="黑体" w:hAnsi="黑体" w:eastAsia="黑体"/>
                <w:bCs/>
                <w:color w:val="auto"/>
                <w:sz w:val="24"/>
                <w:szCs w:val="21"/>
                <w:highlight w:val="none"/>
              </w:rPr>
              <w:t>g/m</w:t>
            </w:r>
            <w:r>
              <w:rPr>
                <w:rFonts w:ascii="黑体" w:hAnsi="黑体" w:eastAsia="黑体"/>
                <w:bCs/>
                <w:color w:val="auto"/>
                <w:sz w:val="24"/>
                <w:szCs w:val="21"/>
                <w:highlight w:val="none"/>
                <w:vertAlign w:val="superscript"/>
              </w:rPr>
              <w:t>3</w:t>
            </w:r>
          </w:p>
          <w:tbl>
            <w:tblPr>
              <w:tblStyle w:val="2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46"/>
              <w:gridCol w:w="4145"/>
              <w:gridCol w:w="2874"/>
              <w:gridCol w:w="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3" w:type="dxa"/>
                <w:trHeight w:val="23" w:hRule="atLeast"/>
                <w:jc w:val="center"/>
              </w:trPr>
              <w:tc>
                <w:tcPr>
                  <w:tcW w:w="2046" w:type="dxa"/>
                  <w:tcBorders>
                    <w:top w:val="single" w:color="auto" w:sz="12" w:space="0"/>
                    <w:left w:val="single" w:color="auto" w:sz="12" w:space="0"/>
                    <w:bottom w:val="single" w:color="auto" w:sz="6" w:space="0"/>
                    <w:right w:val="single" w:color="auto" w:sz="6" w:space="0"/>
                  </w:tcBorders>
                  <w:vAlign w:val="center"/>
                </w:tcPr>
                <w:p>
                  <w:pPr>
                    <w:pageBreakBefore w:val="0"/>
                    <w:kinsoku/>
                    <w:wordWrap/>
                    <w:overflowPunct/>
                    <w:topLinePunct w:val="0"/>
                    <w:autoSpaceDE/>
                    <w:bidi w:val="0"/>
                    <w:adjustRightInd w:val="0"/>
                    <w:snapToGrid w:val="0"/>
                    <w:spacing w:line="240" w:lineRule="auto"/>
                    <w:jc w:val="center"/>
                    <w:textAlignment w:val="auto"/>
                    <w:rPr>
                      <w:b/>
                      <w:color w:val="auto"/>
                      <w:sz w:val="21"/>
                      <w:szCs w:val="21"/>
                      <w:highlight w:val="none"/>
                      <w:lang w:eastAsia="zh-TW"/>
                    </w:rPr>
                  </w:pPr>
                  <w:r>
                    <w:rPr>
                      <w:rFonts w:hint="eastAsia"/>
                      <w:color w:val="auto"/>
                      <w:sz w:val="21"/>
                      <w:szCs w:val="21"/>
                      <w:highlight w:val="none"/>
                    </w:rPr>
                    <w:t>监测项目</w:t>
                  </w:r>
                </w:p>
              </w:tc>
              <w:tc>
                <w:tcPr>
                  <w:tcW w:w="4145" w:type="dxa"/>
                  <w:tcBorders>
                    <w:top w:val="single" w:color="auto" w:sz="12" w:space="0"/>
                    <w:left w:val="single" w:color="auto" w:sz="6" w:space="0"/>
                    <w:bottom w:val="single" w:color="auto" w:sz="6" w:space="0"/>
                    <w:right w:val="single" w:color="auto" w:sz="6" w:space="0"/>
                  </w:tcBorders>
                  <w:vAlign w:val="center"/>
                </w:tcPr>
                <w:p>
                  <w:pPr>
                    <w:pageBreakBefore w:val="0"/>
                    <w:kinsoku/>
                    <w:wordWrap/>
                    <w:overflowPunct/>
                    <w:topLinePunct w:val="0"/>
                    <w:autoSpaceDE/>
                    <w:autoSpaceDN w:val="0"/>
                    <w:bidi w:val="0"/>
                    <w:adjustRightInd w:val="0"/>
                    <w:snapToGrid w:val="0"/>
                    <w:spacing w:line="240" w:lineRule="auto"/>
                    <w:jc w:val="center"/>
                    <w:textAlignment w:val="auto"/>
                    <w:rPr>
                      <w:color w:val="auto"/>
                      <w:sz w:val="21"/>
                      <w:szCs w:val="21"/>
                      <w:highlight w:val="none"/>
                      <w:lang w:eastAsia="zh-TW"/>
                    </w:rPr>
                  </w:pPr>
                  <w:r>
                    <w:rPr>
                      <w:rFonts w:hint="eastAsia"/>
                      <w:color w:val="auto"/>
                      <w:sz w:val="21"/>
                      <w:szCs w:val="21"/>
                      <w:highlight w:val="none"/>
                    </w:rPr>
                    <w:t>监测日期</w:t>
                  </w:r>
                </w:p>
              </w:tc>
              <w:tc>
                <w:tcPr>
                  <w:tcW w:w="2874" w:type="dxa"/>
                  <w:tcBorders>
                    <w:top w:val="single" w:color="auto" w:sz="12" w:space="0"/>
                    <w:left w:val="single" w:color="auto" w:sz="6" w:space="0"/>
                    <w:bottom w:val="single" w:color="auto" w:sz="6" w:space="0"/>
                    <w:right w:val="single" w:color="auto" w:sz="12" w:space="0"/>
                  </w:tcBorders>
                  <w:vAlign w:val="center"/>
                </w:tcPr>
                <w:p>
                  <w:pPr>
                    <w:pageBreakBefore w:val="0"/>
                    <w:kinsoku/>
                    <w:wordWrap/>
                    <w:overflowPunct/>
                    <w:topLinePunct w:val="0"/>
                    <w:autoSpaceDE/>
                    <w:autoSpaceDN w:val="0"/>
                    <w:bidi w:val="0"/>
                    <w:adjustRightInd w:val="0"/>
                    <w:snapToGrid w:val="0"/>
                    <w:spacing w:line="240" w:lineRule="auto"/>
                    <w:jc w:val="center"/>
                    <w:textAlignment w:val="auto"/>
                    <w:rPr>
                      <w:color w:val="auto"/>
                      <w:sz w:val="21"/>
                      <w:szCs w:val="21"/>
                      <w:highlight w:val="none"/>
                      <w:lang w:eastAsia="zh-TW"/>
                    </w:rPr>
                  </w:pPr>
                  <w:r>
                    <w:rPr>
                      <w:rFonts w:hint="eastAsia"/>
                      <w:color w:val="auto"/>
                      <w:sz w:val="21"/>
                      <w:szCs w:val="21"/>
                      <w:highlight w:val="none"/>
                    </w:rPr>
                    <w:t>非甲烷总烃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046" w:type="dxa"/>
                  <w:vMerge w:val="restart"/>
                  <w:tcBorders>
                    <w:top w:val="single" w:color="auto" w:sz="6" w:space="0"/>
                    <w:left w:val="single" w:color="auto" w:sz="12" w:space="0"/>
                    <w:right w:val="single" w:color="auto" w:sz="6" w:space="0"/>
                  </w:tcBorders>
                  <w:vAlign w:val="center"/>
                </w:tcPr>
                <w:p>
                  <w:pPr>
                    <w:pageBreakBefore w:val="0"/>
                    <w:kinsoku/>
                    <w:wordWrap/>
                    <w:overflowPunct/>
                    <w:topLinePunct w:val="0"/>
                    <w:autoSpaceDE/>
                    <w:bidi w:val="0"/>
                    <w:adjustRightInd w:val="0"/>
                    <w:snapToGrid w:val="0"/>
                    <w:spacing w:line="240" w:lineRule="auto"/>
                    <w:jc w:val="center"/>
                    <w:textAlignment w:val="auto"/>
                    <w:rPr>
                      <w:color w:val="auto"/>
                      <w:sz w:val="21"/>
                      <w:szCs w:val="21"/>
                      <w:highlight w:val="none"/>
                    </w:rPr>
                  </w:pPr>
                  <w:r>
                    <w:rPr>
                      <w:rFonts w:hint="eastAsia"/>
                      <w:color w:val="auto"/>
                      <w:sz w:val="21"/>
                      <w:szCs w:val="21"/>
                      <w:highlight w:val="none"/>
                    </w:rPr>
                    <w:t>项目厂址</w:t>
                  </w:r>
                </w:p>
                <w:p>
                  <w:pPr>
                    <w:pStyle w:val="2"/>
                    <w:pageBreakBefore w:val="0"/>
                    <w:kinsoku/>
                    <w:wordWrap/>
                    <w:overflowPunct/>
                    <w:topLinePunct w:val="0"/>
                    <w:autoSpaceDE/>
                    <w:bidi w:val="0"/>
                    <w:snapToGrid w:val="0"/>
                    <w:spacing w:line="240" w:lineRule="auto"/>
                    <w:textAlignment w:val="auto"/>
                    <w:rPr>
                      <w:b w:val="0"/>
                      <w:color w:val="auto"/>
                      <w:sz w:val="21"/>
                      <w:szCs w:val="21"/>
                      <w:highlight w:val="none"/>
                    </w:rPr>
                  </w:pPr>
                  <w:r>
                    <w:rPr>
                      <w:rFonts w:hint="eastAsia"/>
                      <w:b w:val="0"/>
                      <w:color w:val="auto"/>
                      <w:sz w:val="21"/>
                      <w:szCs w:val="21"/>
                      <w:highlight w:val="none"/>
                    </w:rPr>
                    <w:t>（E109°03′30.04″，N34°15′02.37″）</w:t>
                  </w:r>
                </w:p>
              </w:tc>
              <w:tc>
                <w:tcPr>
                  <w:tcW w:w="4145" w:type="dxa"/>
                  <w:tcBorders>
                    <w:top w:val="single" w:color="auto" w:sz="6" w:space="0"/>
                    <w:left w:val="single" w:color="auto" w:sz="6" w:space="0"/>
                    <w:bottom w:val="single" w:color="auto" w:sz="6" w:space="0"/>
                    <w:right w:val="single" w:color="auto" w:sz="6" w:space="0"/>
                  </w:tcBorders>
                  <w:vAlign w:val="center"/>
                </w:tcPr>
                <w:p>
                  <w:pPr>
                    <w:pageBreakBefore w:val="0"/>
                    <w:kinsoku/>
                    <w:wordWrap/>
                    <w:overflowPunct/>
                    <w:topLinePunct w:val="0"/>
                    <w:autoSpaceDE/>
                    <w:bidi w:val="0"/>
                    <w:adjustRightInd w:val="0"/>
                    <w:snapToGrid w:val="0"/>
                    <w:spacing w:line="240" w:lineRule="auto"/>
                    <w:jc w:val="center"/>
                    <w:textAlignment w:val="auto"/>
                    <w:rPr>
                      <w:color w:val="auto"/>
                      <w:sz w:val="21"/>
                      <w:szCs w:val="21"/>
                      <w:highlight w:val="none"/>
                    </w:rPr>
                  </w:pPr>
                  <w:r>
                    <w:rPr>
                      <w:color w:val="auto"/>
                      <w:sz w:val="21"/>
                      <w:szCs w:val="21"/>
                      <w:highlight w:val="none"/>
                    </w:rPr>
                    <w:t>2019</w:t>
                  </w:r>
                  <w:r>
                    <w:rPr>
                      <w:rFonts w:hint="eastAsia"/>
                      <w:color w:val="auto"/>
                      <w:sz w:val="21"/>
                      <w:szCs w:val="21"/>
                      <w:highlight w:val="none"/>
                    </w:rPr>
                    <w:t>年</w:t>
                  </w:r>
                  <w:r>
                    <w:rPr>
                      <w:color w:val="auto"/>
                      <w:sz w:val="21"/>
                      <w:szCs w:val="21"/>
                      <w:highlight w:val="none"/>
                    </w:rPr>
                    <w:t>0</w:t>
                  </w:r>
                  <w:r>
                    <w:rPr>
                      <w:rFonts w:hint="eastAsia"/>
                      <w:color w:val="auto"/>
                      <w:sz w:val="21"/>
                      <w:szCs w:val="21"/>
                      <w:highlight w:val="none"/>
                    </w:rPr>
                    <w:t>4月16日</w:t>
                  </w:r>
                </w:p>
              </w:tc>
              <w:tc>
                <w:tcPr>
                  <w:tcW w:w="2887" w:type="dxa"/>
                  <w:gridSpan w:val="2"/>
                  <w:tcBorders>
                    <w:top w:val="single" w:color="auto" w:sz="6" w:space="0"/>
                    <w:left w:val="single" w:color="auto" w:sz="6" w:space="0"/>
                    <w:bottom w:val="single" w:color="auto" w:sz="6" w:space="0"/>
                    <w:right w:val="single" w:color="auto" w:sz="12" w:space="0"/>
                  </w:tcBorders>
                  <w:vAlign w:val="center"/>
                </w:tcPr>
                <w:p>
                  <w:pPr>
                    <w:pageBreakBefore w:val="0"/>
                    <w:kinsoku/>
                    <w:wordWrap/>
                    <w:overflowPunct/>
                    <w:topLinePunct w:val="0"/>
                    <w:autoSpaceDE/>
                    <w:autoSpaceDN w:val="0"/>
                    <w:bidi w:val="0"/>
                    <w:adjustRightInd w:val="0"/>
                    <w:snapToGrid w:val="0"/>
                    <w:spacing w:line="240" w:lineRule="auto"/>
                    <w:jc w:val="center"/>
                    <w:textAlignment w:val="auto"/>
                    <w:rPr>
                      <w:color w:val="auto"/>
                      <w:sz w:val="21"/>
                      <w:szCs w:val="21"/>
                      <w:highlight w:val="none"/>
                      <w:lang w:eastAsia="zh-TW"/>
                    </w:rPr>
                  </w:pPr>
                  <w:r>
                    <w:rPr>
                      <w:rFonts w:hint="eastAsia"/>
                      <w:color w:val="auto"/>
                      <w:sz w:val="21"/>
                      <w:szCs w:val="21"/>
                      <w:highlight w:val="none"/>
                    </w:rPr>
                    <w:t>1.44～1.52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046" w:type="dxa"/>
                  <w:vMerge w:val="continue"/>
                  <w:tcBorders>
                    <w:left w:val="single" w:color="auto" w:sz="12" w:space="0"/>
                    <w:right w:val="single" w:color="auto" w:sz="6" w:space="0"/>
                  </w:tcBorders>
                  <w:vAlign w:val="center"/>
                </w:tcPr>
                <w:p>
                  <w:pPr>
                    <w:pageBreakBefore w:val="0"/>
                    <w:kinsoku/>
                    <w:wordWrap/>
                    <w:overflowPunct/>
                    <w:topLinePunct w:val="0"/>
                    <w:autoSpaceDE/>
                    <w:bidi w:val="0"/>
                    <w:adjustRightInd w:val="0"/>
                    <w:snapToGrid w:val="0"/>
                    <w:spacing w:line="240" w:lineRule="auto"/>
                    <w:jc w:val="center"/>
                    <w:textAlignment w:val="auto"/>
                    <w:rPr>
                      <w:color w:val="auto"/>
                      <w:sz w:val="21"/>
                      <w:szCs w:val="21"/>
                      <w:highlight w:val="none"/>
                      <w:lang w:eastAsia="zh-TW"/>
                    </w:rPr>
                  </w:pPr>
                </w:p>
              </w:tc>
              <w:tc>
                <w:tcPr>
                  <w:tcW w:w="4145" w:type="dxa"/>
                  <w:tcBorders>
                    <w:top w:val="single" w:color="auto" w:sz="6" w:space="0"/>
                    <w:left w:val="single" w:color="auto" w:sz="6" w:space="0"/>
                    <w:bottom w:val="single" w:color="auto" w:sz="6" w:space="0"/>
                    <w:right w:val="single" w:color="auto" w:sz="6" w:space="0"/>
                  </w:tcBorders>
                  <w:vAlign w:val="center"/>
                </w:tcPr>
                <w:p>
                  <w:pPr>
                    <w:pageBreakBefore w:val="0"/>
                    <w:kinsoku/>
                    <w:wordWrap/>
                    <w:overflowPunct/>
                    <w:topLinePunct w:val="0"/>
                    <w:autoSpaceDE/>
                    <w:bidi w:val="0"/>
                    <w:adjustRightInd w:val="0"/>
                    <w:snapToGrid w:val="0"/>
                    <w:spacing w:line="240" w:lineRule="auto"/>
                    <w:jc w:val="center"/>
                    <w:textAlignment w:val="auto"/>
                    <w:rPr>
                      <w:color w:val="auto"/>
                      <w:sz w:val="21"/>
                      <w:szCs w:val="21"/>
                      <w:highlight w:val="none"/>
                    </w:rPr>
                  </w:pPr>
                  <w:r>
                    <w:rPr>
                      <w:color w:val="auto"/>
                      <w:sz w:val="21"/>
                      <w:szCs w:val="21"/>
                      <w:highlight w:val="none"/>
                    </w:rPr>
                    <w:t>2019</w:t>
                  </w:r>
                  <w:r>
                    <w:rPr>
                      <w:rFonts w:hint="eastAsia"/>
                      <w:color w:val="auto"/>
                      <w:sz w:val="21"/>
                      <w:szCs w:val="21"/>
                      <w:highlight w:val="none"/>
                    </w:rPr>
                    <w:t>年</w:t>
                  </w:r>
                  <w:r>
                    <w:rPr>
                      <w:color w:val="auto"/>
                      <w:sz w:val="21"/>
                      <w:szCs w:val="21"/>
                      <w:highlight w:val="none"/>
                    </w:rPr>
                    <w:t>0</w:t>
                  </w:r>
                  <w:r>
                    <w:rPr>
                      <w:rFonts w:hint="eastAsia"/>
                      <w:color w:val="auto"/>
                      <w:sz w:val="21"/>
                      <w:szCs w:val="21"/>
                      <w:highlight w:val="none"/>
                    </w:rPr>
                    <w:t>4月17日</w:t>
                  </w:r>
                </w:p>
              </w:tc>
              <w:tc>
                <w:tcPr>
                  <w:tcW w:w="2887" w:type="dxa"/>
                  <w:gridSpan w:val="2"/>
                  <w:tcBorders>
                    <w:top w:val="single" w:color="auto" w:sz="6" w:space="0"/>
                    <w:left w:val="single" w:color="auto" w:sz="6" w:space="0"/>
                    <w:bottom w:val="single" w:color="auto" w:sz="6" w:space="0"/>
                    <w:right w:val="single" w:color="auto" w:sz="12" w:space="0"/>
                  </w:tcBorders>
                  <w:vAlign w:val="center"/>
                </w:tcPr>
                <w:p>
                  <w:pPr>
                    <w:pageBreakBefore w:val="0"/>
                    <w:kinsoku/>
                    <w:wordWrap/>
                    <w:overflowPunct/>
                    <w:topLinePunct w:val="0"/>
                    <w:autoSpaceDE/>
                    <w:autoSpaceDN w:val="0"/>
                    <w:bidi w:val="0"/>
                    <w:adjustRightInd w:val="0"/>
                    <w:snapToGrid w:val="0"/>
                    <w:spacing w:line="240" w:lineRule="auto"/>
                    <w:jc w:val="center"/>
                    <w:textAlignment w:val="auto"/>
                    <w:rPr>
                      <w:color w:val="auto"/>
                      <w:sz w:val="21"/>
                      <w:szCs w:val="21"/>
                      <w:highlight w:val="none"/>
                      <w:lang w:eastAsia="zh-TW"/>
                    </w:rPr>
                  </w:pPr>
                  <w:r>
                    <w:rPr>
                      <w:rFonts w:hint="eastAsia"/>
                      <w:color w:val="auto"/>
                      <w:sz w:val="21"/>
                      <w:szCs w:val="21"/>
                      <w:highlight w:val="none"/>
                    </w:rPr>
                    <w:t>1.48～1.57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046" w:type="dxa"/>
                  <w:vMerge w:val="continue"/>
                  <w:tcBorders>
                    <w:left w:val="single" w:color="auto" w:sz="12" w:space="0"/>
                    <w:right w:val="single" w:color="auto" w:sz="6" w:space="0"/>
                  </w:tcBorders>
                  <w:vAlign w:val="center"/>
                </w:tcPr>
                <w:p>
                  <w:pPr>
                    <w:pageBreakBefore w:val="0"/>
                    <w:kinsoku/>
                    <w:wordWrap/>
                    <w:overflowPunct/>
                    <w:topLinePunct w:val="0"/>
                    <w:autoSpaceDE/>
                    <w:bidi w:val="0"/>
                    <w:adjustRightInd w:val="0"/>
                    <w:snapToGrid w:val="0"/>
                    <w:spacing w:line="240" w:lineRule="auto"/>
                    <w:jc w:val="center"/>
                    <w:textAlignment w:val="auto"/>
                    <w:rPr>
                      <w:color w:val="auto"/>
                      <w:sz w:val="21"/>
                      <w:szCs w:val="21"/>
                      <w:highlight w:val="none"/>
                      <w:lang w:eastAsia="zh-TW"/>
                    </w:rPr>
                  </w:pPr>
                </w:p>
              </w:tc>
              <w:tc>
                <w:tcPr>
                  <w:tcW w:w="4145" w:type="dxa"/>
                  <w:tcBorders>
                    <w:top w:val="single" w:color="auto" w:sz="6" w:space="0"/>
                    <w:left w:val="single" w:color="auto" w:sz="6" w:space="0"/>
                    <w:bottom w:val="single" w:color="auto" w:sz="6" w:space="0"/>
                    <w:right w:val="single" w:color="auto" w:sz="6" w:space="0"/>
                  </w:tcBorders>
                  <w:vAlign w:val="center"/>
                </w:tcPr>
                <w:p>
                  <w:pPr>
                    <w:pageBreakBefore w:val="0"/>
                    <w:kinsoku/>
                    <w:wordWrap/>
                    <w:overflowPunct/>
                    <w:topLinePunct w:val="0"/>
                    <w:autoSpaceDE/>
                    <w:bidi w:val="0"/>
                    <w:adjustRightInd w:val="0"/>
                    <w:snapToGrid w:val="0"/>
                    <w:spacing w:line="240" w:lineRule="auto"/>
                    <w:jc w:val="center"/>
                    <w:textAlignment w:val="auto"/>
                    <w:rPr>
                      <w:color w:val="auto"/>
                      <w:sz w:val="21"/>
                      <w:szCs w:val="21"/>
                      <w:highlight w:val="none"/>
                    </w:rPr>
                  </w:pPr>
                  <w:r>
                    <w:rPr>
                      <w:color w:val="auto"/>
                      <w:sz w:val="21"/>
                      <w:szCs w:val="21"/>
                      <w:highlight w:val="none"/>
                    </w:rPr>
                    <w:t>2019</w:t>
                  </w:r>
                  <w:r>
                    <w:rPr>
                      <w:rFonts w:hint="eastAsia"/>
                      <w:color w:val="auto"/>
                      <w:sz w:val="21"/>
                      <w:szCs w:val="21"/>
                      <w:highlight w:val="none"/>
                    </w:rPr>
                    <w:t>年</w:t>
                  </w:r>
                  <w:r>
                    <w:rPr>
                      <w:color w:val="auto"/>
                      <w:sz w:val="21"/>
                      <w:szCs w:val="21"/>
                      <w:highlight w:val="none"/>
                    </w:rPr>
                    <w:t>0</w:t>
                  </w:r>
                  <w:r>
                    <w:rPr>
                      <w:rFonts w:hint="eastAsia"/>
                      <w:color w:val="auto"/>
                      <w:sz w:val="21"/>
                      <w:szCs w:val="21"/>
                      <w:highlight w:val="none"/>
                    </w:rPr>
                    <w:t>4月18日</w:t>
                  </w:r>
                </w:p>
              </w:tc>
              <w:tc>
                <w:tcPr>
                  <w:tcW w:w="2887" w:type="dxa"/>
                  <w:gridSpan w:val="2"/>
                  <w:tcBorders>
                    <w:top w:val="single" w:color="auto" w:sz="6" w:space="0"/>
                    <w:left w:val="single" w:color="auto" w:sz="6" w:space="0"/>
                    <w:bottom w:val="single" w:color="auto" w:sz="6" w:space="0"/>
                    <w:right w:val="single" w:color="auto" w:sz="12" w:space="0"/>
                  </w:tcBorders>
                  <w:vAlign w:val="center"/>
                </w:tcPr>
                <w:p>
                  <w:pPr>
                    <w:pageBreakBefore w:val="0"/>
                    <w:kinsoku/>
                    <w:wordWrap/>
                    <w:overflowPunct/>
                    <w:topLinePunct w:val="0"/>
                    <w:autoSpaceDE/>
                    <w:autoSpaceDN w:val="0"/>
                    <w:bidi w:val="0"/>
                    <w:adjustRightInd w:val="0"/>
                    <w:snapToGrid w:val="0"/>
                    <w:spacing w:line="240" w:lineRule="auto"/>
                    <w:jc w:val="center"/>
                    <w:textAlignment w:val="auto"/>
                    <w:rPr>
                      <w:color w:val="auto"/>
                      <w:sz w:val="21"/>
                      <w:szCs w:val="21"/>
                      <w:highlight w:val="none"/>
                      <w:lang w:eastAsia="zh-TW"/>
                    </w:rPr>
                  </w:pPr>
                  <w:r>
                    <w:rPr>
                      <w:rFonts w:hint="eastAsia"/>
                      <w:color w:val="auto"/>
                      <w:sz w:val="21"/>
                      <w:szCs w:val="21"/>
                      <w:highlight w:val="none"/>
                    </w:rPr>
                    <w:t>1.07～1.21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046" w:type="dxa"/>
                  <w:vMerge w:val="continue"/>
                  <w:tcBorders>
                    <w:left w:val="single" w:color="auto" w:sz="12" w:space="0"/>
                    <w:right w:val="single" w:color="auto" w:sz="6" w:space="0"/>
                  </w:tcBorders>
                  <w:vAlign w:val="center"/>
                </w:tcPr>
                <w:p>
                  <w:pPr>
                    <w:pageBreakBefore w:val="0"/>
                    <w:kinsoku/>
                    <w:wordWrap/>
                    <w:overflowPunct/>
                    <w:topLinePunct w:val="0"/>
                    <w:autoSpaceDE/>
                    <w:bidi w:val="0"/>
                    <w:adjustRightInd w:val="0"/>
                    <w:snapToGrid w:val="0"/>
                    <w:spacing w:line="240" w:lineRule="auto"/>
                    <w:jc w:val="center"/>
                    <w:textAlignment w:val="auto"/>
                    <w:rPr>
                      <w:color w:val="auto"/>
                      <w:sz w:val="21"/>
                      <w:szCs w:val="21"/>
                      <w:highlight w:val="none"/>
                      <w:lang w:eastAsia="zh-TW"/>
                    </w:rPr>
                  </w:pPr>
                </w:p>
              </w:tc>
              <w:tc>
                <w:tcPr>
                  <w:tcW w:w="4145" w:type="dxa"/>
                  <w:tcBorders>
                    <w:top w:val="single" w:color="auto" w:sz="6" w:space="0"/>
                    <w:left w:val="single" w:color="auto" w:sz="6" w:space="0"/>
                    <w:bottom w:val="single" w:color="auto" w:sz="6" w:space="0"/>
                    <w:right w:val="single" w:color="auto" w:sz="6" w:space="0"/>
                  </w:tcBorders>
                  <w:vAlign w:val="center"/>
                </w:tcPr>
                <w:p>
                  <w:pPr>
                    <w:pageBreakBefore w:val="0"/>
                    <w:kinsoku/>
                    <w:wordWrap/>
                    <w:overflowPunct/>
                    <w:topLinePunct w:val="0"/>
                    <w:autoSpaceDE/>
                    <w:bidi w:val="0"/>
                    <w:adjustRightInd w:val="0"/>
                    <w:snapToGrid w:val="0"/>
                    <w:spacing w:line="240" w:lineRule="auto"/>
                    <w:jc w:val="center"/>
                    <w:textAlignment w:val="auto"/>
                    <w:rPr>
                      <w:color w:val="auto"/>
                      <w:sz w:val="21"/>
                      <w:szCs w:val="21"/>
                      <w:highlight w:val="none"/>
                    </w:rPr>
                  </w:pPr>
                  <w:r>
                    <w:rPr>
                      <w:color w:val="auto"/>
                      <w:sz w:val="21"/>
                      <w:szCs w:val="21"/>
                      <w:highlight w:val="none"/>
                    </w:rPr>
                    <w:t>2019</w:t>
                  </w:r>
                  <w:r>
                    <w:rPr>
                      <w:rFonts w:hint="eastAsia"/>
                      <w:color w:val="auto"/>
                      <w:sz w:val="21"/>
                      <w:szCs w:val="21"/>
                      <w:highlight w:val="none"/>
                    </w:rPr>
                    <w:t>年</w:t>
                  </w:r>
                  <w:r>
                    <w:rPr>
                      <w:color w:val="auto"/>
                      <w:sz w:val="21"/>
                      <w:szCs w:val="21"/>
                      <w:highlight w:val="none"/>
                    </w:rPr>
                    <w:t>0</w:t>
                  </w:r>
                  <w:r>
                    <w:rPr>
                      <w:rFonts w:hint="eastAsia"/>
                      <w:color w:val="auto"/>
                      <w:sz w:val="21"/>
                      <w:szCs w:val="21"/>
                      <w:highlight w:val="none"/>
                    </w:rPr>
                    <w:t>4月19日</w:t>
                  </w:r>
                </w:p>
              </w:tc>
              <w:tc>
                <w:tcPr>
                  <w:tcW w:w="2887" w:type="dxa"/>
                  <w:gridSpan w:val="2"/>
                  <w:tcBorders>
                    <w:top w:val="single" w:color="auto" w:sz="6" w:space="0"/>
                    <w:left w:val="single" w:color="auto" w:sz="6" w:space="0"/>
                    <w:bottom w:val="single" w:color="auto" w:sz="6" w:space="0"/>
                    <w:right w:val="single" w:color="auto" w:sz="12" w:space="0"/>
                  </w:tcBorders>
                  <w:vAlign w:val="center"/>
                </w:tcPr>
                <w:p>
                  <w:pPr>
                    <w:pageBreakBefore w:val="0"/>
                    <w:kinsoku/>
                    <w:wordWrap/>
                    <w:overflowPunct/>
                    <w:topLinePunct w:val="0"/>
                    <w:autoSpaceDE/>
                    <w:autoSpaceDN w:val="0"/>
                    <w:bidi w:val="0"/>
                    <w:adjustRightInd w:val="0"/>
                    <w:snapToGrid w:val="0"/>
                    <w:spacing w:line="240" w:lineRule="auto"/>
                    <w:jc w:val="center"/>
                    <w:textAlignment w:val="auto"/>
                    <w:rPr>
                      <w:color w:val="auto"/>
                      <w:sz w:val="21"/>
                      <w:szCs w:val="21"/>
                      <w:highlight w:val="none"/>
                      <w:lang w:eastAsia="zh-TW"/>
                    </w:rPr>
                  </w:pPr>
                  <w:r>
                    <w:rPr>
                      <w:rFonts w:hint="eastAsia"/>
                      <w:color w:val="auto"/>
                      <w:sz w:val="21"/>
                      <w:szCs w:val="21"/>
                      <w:highlight w:val="none"/>
                    </w:rPr>
                    <w:t>1.08～1.19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046" w:type="dxa"/>
                  <w:vMerge w:val="continue"/>
                  <w:tcBorders>
                    <w:left w:val="single" w:color="auto" w:sz="12" w:space="0"/>
                    <w:right w:val="single" w:color="auto" w:sz="6" w:space="0"/>
                  </w:tcBorders>
                  <w:vAlign w:val="center"/>
                </w:tcPr>
                <w:p>
                  <w:pPr>
                    <w:pageBreakBefore w:val="0"/>
                    <w:widowControl/>
                    <w:kinsoku/>
                    <w:wordWrap/>
                    <w:overflowPunct/>
                    <w:topLinePunct w:val="0"/>
                    <w:autoSpaceDE/>
                    <w:bidi w:val="0"/>
                    <w:snapToGrid w:val="0"/>
                    <w:spacing w:line="240" w:lineRule="auto"/>
                    <w:jc w:val="left"/>
                    <w:textAlignment w:val="auto"/>
                    <w:rPr>
                      <w:color w:val="auto"/>
                      <w:sz w:val="21"/>
                      <w:szCs w:val="21"/>
                      <w:highlight w:val="none"/>
                      <w:lang w:eastAsia="zh-TW"/>
                    </w:rPr>
                  </w:pPr>
                </w:p>
              </w:tc>
              <w:tc>
                <w:tcPr>
                  <w:tcW w:w="4145" w:type="dxa"/>
                  <w:tcBorders>
                    <w:top w:val="single" w:color="auto" w:sz="6" w:space="0"/>
                    <w:left w:val="single" w:color="auto" w:sz="6" w:space="0"/>
                    <w:bottom w:val="single" w:color="auto" w:sz="6" w:space="0"/>
                    <w:right w:val="single" w:color="auto" w:sz="6" w:space="0"/>
                  </w:tcBorders>
                  <w:vAlign w:val="center"/>
                </w:tcPr>
                <w:p>
                  <w:pPr>
                    <w:pageBreakBefore w:val="0"/>
                    <w:kinsoku/>
                    <w:wordWrap/>
                    <w:overflowPunct/>
                    <w:topLinePunct w:val="0"/>
                    <w:autoSpaceDE/>
                    <w:bidi w:val="0"/>
                    <w:adjustRightInd w:val="0"/>
                    <w:snapToGrid w:val="0"/>
                    <w:spacing w:line="240" w:lineRule="auto"/>
                    <w:jc w:val="center"/>
                    <w:textAlignment w:val="auto"/>
                    <w:rPr>
                      <w:color w:val="auto"/>
                      <w:sz w:val="21"/>
                      <w:szCs w:val="21"/>
                      <w:highlight w:val="none"/>
                    </w:rPr>
                  </w:pPr>
                  <w:r>
                    <w:rPr>
                      <w:color w:val="auto"/>
                      <w:sz w:val="21"/>
                      <w:szCs w:val="21"/>
                      <w:highlight w:val="none"/>
                    </w:rPr>
                    <w:t>2019</w:t>
                  </w:r>
                  <w:r>
                    <w:rPr>
                      <w:rFonts w:hint="eastAsia"/>
                      <w:color w:val="auto"/>
                      <w:sz w:val="21"/>
                      <w:szCs w:val="21"/>
                      <w:highlight w:val="none"/>
                    </w:rPr>
                    <w:t>年</w:t>
                  </w:r>
                  <w:r>
                    <w:rPr>
                      <w:color w:val="auto"/>
                      <w:sz w:val="21"/>
                      <w:szCs w:val="21"/>
                      <w:highlight w:val="none"/>
                    </w:rPr>
                    <w:t>0</w:t>
                  </w:r>
                  <w:r>
                    <w:rPr>
                      <w:rFonts w:hint="eastAsia"/>
                      <w:color w:val="auto"/>
                      <w:sz w:val="21"/>
                      <w:szCs w:val="21"/>
                      <w:highlight w:val="none"/>
                    </w:rPr>
                    <w:t>4月20日</w:t>
                  </w:r>
                </w:p>
              </w:tc>
              <w:tc>
                <w:tcPr>
                  <w:tcW w:w="2887" w:type="dxa"/>
                  <w:gridSpan w:val="2"/>
                  <w:tcBorders>
                    <w:top w:val="single" w:color="auto" w:sz="6" w:space="0"/>
                    <w:left w:val="single" w:color="auto" w:sz="6" w:space="0"/>
                    <w:bottom w:val="single" w:color="auto" w:sz="6" w:space="0"/>
                    <w:right w:val="single" w:color="auto" w:sz="12" w:space="0"/>
                  </w:tcBorders>
                  <w:vAlign w:val="center"/>
                </w:tcPr>
                <w:p>
                  <w:pPr>
                    <w:pageBreakBefore w:val="0"/>
                    <w:kinsoku/>
                    <w:wordWrap/>
                    <w:overflowPunct/>
                    <w:topLinePunct w:val="0"/>
                    <w:autoSpaceDE/>
                    <w:autoSpaceDN w:val="0"/>
                    <w:bidi w:val="0"/>
                    <w:adjustRightInd w:val="0"/>
                    <w:snapToGrid w:val="0"/>
                    <w:spacing w:line="240" w:lineRule="auto"/>
                    <w:jc w:val="center"/>
                    <w:textAlignment w:val="auto"/>
                    <w:rPr>
                      <w:color w:val="auto"/>
                      <w:sz w:val="21"/>
                      <w:szCs w:val="21"/>
                      <w:highlight w:val="none"/>
                      <w:lang w:eastAsia="zh-TW"/>
                    </w:rPr>
                  </w:pPr>
                  <w:r>
                    <w:rPr>
                      <w:rFonts w:hint="eastAsia"/>
                      <w:color w:val="auto"/>
                      <w:sz w:val="21"/>
                      <w:szCs w:val="21"/>
                      <w:highlight w:val="none"/>
                    </w:rPr>
                    <w:t>1.10～1.19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046" w:type="dxa"/>
                  <w:vMerge w:val="continue"/>
                  <w:tcBorders>
                    <w:left w:val="single" w:color="auto" w:sz="12" w:space="0"/>
                    <w:right w:val="single" w:color="auto" w:sz="6" w:space="0"/>
                  </w:tcBorders>
                  <w:vAlign w:val="center"/>
                </w:tcPr>
                <w:p>
                  <w:pPr>
                    <w:pageBreakBefore w:val="0"/>
                    <w:widowControl/>
                    <w:kinsoku/>
                    <w:wordWrap/>
                    <w:overflowPunct/>
                    <w:topLinePunct w:val="0"/>
                    <w:autoSpaceDE/>
                    <w:bidi w:val="0"/>
                    <w:snapToGrid w:val="0"/>
                    <w:spacing w:line="240" w:lineRule="auto"/>
                    <w:jc w:val="left"/>
                    <w:textAlignment w:val="auto"/>
                    <w:rPr>
                      <w:color w:val="auto"/>
                      <w:sz w:val="21"/>
                      <w:szCs w:val="21"/>
                      <w:highlight w:val="none"/>
                      <w:lang w:eastAsia="zh-TW"/>
                    </w:rPr>
                  </w:pPr>
                </w:p>
              </w:tc>
              <w:tc>
                <w:tcPr>
                  <w:tcW w:w="4145" w:type="dxa"/>
                  <w:tcBorders>
                    <w:top w:val="single" w:color="auto" w:sz="6" w:space="0"/>
                    <w:left w:val="single" w:color="auto" w:sz="6" w:space="0"/>
                    <w:bottom w:val="single" w:color="auto" w:sz="6" w:space="0"/>
                    <w:right w:val="single" w:color="auto" w:sz="6" w:space="0"/>
                  </w:tcBorders>
                  <w:vAlign w:val="center"/>
                </w:tcPr>
                <w:p>
                  <w:pPr>
                    <w:pageBreakBefore w:val="0"/>
                    <w:kinsoku/>
                    <w:wordWrap/>
                    <w:overflowPunct/>
                    <w:topLinePunct w:val="0"/>
                    <w:autoSpaceDE/>
                    <w:bidi w:val="0"/>
                    <w:adjustRightInd w:val="0"/>
                    <w:snapToGrid w:val="0"/>
                    <w:spacing w:line="240" w:lineRule="auto"/>
                    <w:jc w:val="center"/>
                    <w:textAlignment w:val="auto"/>
                    <w:rPr>
                      <w:color w:val="auto"/>
                      <w:sz w:val="21"/>
                      <w:szCs w:val="21"/>
                      <w:highlight w:val="none"/>
                    </w:rPr>
                  </w:pPr>
                  <w:r>
                    <w:rPr>
                      <w:color w:val="auto"/>
                      <w:sz w:val="21"/>
                      <w:szCs w:val="21"/>
                      <w:highlight w:val="none"/>
                    </w:rPr>
                    <w:t>2019</w:t>
                  </w:r>
                  <w:r>
                    <w:rPr>
                      <w:rFonts w:hint="eastAsia"/>
                      <w:color w:val="auto"/>
                      <w:sz w:val="21"/>
                      <w:szCs w:val="21"/>
                      <w:highlight w:val="none"/>
                    </w:rPr>
                    <w:t>年</w:t>
                  </w:r>
                  <w:r>
                    <w:rPr>
                      <w:color w:val="auto"/>
                      <w:sz w:val="21"/>
                      <w:szCs w:val="21"/>
                      <w:highlight w:val="none"/>
                    </w:rPr>
                    <w:t>0</w:t>
                  </w:r>
                  <w:r>
                    <w:rPr>
                      <w:rFonts w:hint="eastAsia"/>
                      <w:color w:val="auto"/>
                      <w:sz w:val="21"/>
                      <w:szCs w:val="21"/>
                      <w:highlight w:val="none"/>
                    </w:rPr>
                    <w:t>4月21日</w:t>
                  </w:r>
                </w:p>
              </w:tc>
              <w:tc>
                <w:tcPr>
                  <w:tcW w:w="2887" w:type="dxa"/>
                  <w:gridSpan w:val="2"/>
                  <w:tcBorders>
                    <w:top w:val="single" w:color="auto" w:sz="6" w:space="0"/>
                    <w:left w:val="single" w:color="auto" w:sz="6" w:space="0"/>
                    <w:bottom w:val="single" w:color="auto" w:sz="6" w:space="0"/>
                    <w:right w:val="single" w:color="auto" w:sz="12" w:space="0"/>
                  </w:tcBorders>
                  <w:vAlign w:val="center"/>
                </w:tcPr>
                <w:p>
                  <w:pPr>
                    <w:pageBreakBefore w:val="0"/>
                    <w:kinsoku/>
                    <w:wordWrap/>
                    <w:overflowPunct/>
                    <w:topLinePunct w:val="0"/>
                    <w:autoSpaceDE/>
                    <w:autoSpaceDN w:val="0"/>
                    <w:bidi w:val="0"/>
                    <w:adjustRightInd w:val="0"/>
                    <w:snapToGrid w:val="0"/>
                    <w:spacing w:line="240" w:lineRule="auto"/>
                    <w:jc w:val="center"/>
                    <w:textAlignment w:val="auto"/>
                    <w:rPr>
                      <w:color w:val="auto"/>
                      <w:sz w:val="21"/>
                      <w:szCs w:val="21"/>
                      <w:highlight w:val="none"/>
                      <w:lang w:eastAsia="zh-TW"/>
                    </w:rPr>
                  </w:pPr>
                  <w:r>
                    <w:rPr>
                      <w:rFonts w:hint="eastAsia"/>
                      <w:color w:val="auto"/>
                      <w:sz w:val="21"/>
                      <w:szCs w:val="21"/>
                      <w:highlight w:val="none"/>
                    </w:rPr>
                    <w:t>1.10～1.17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046" w:type="dxa"/>
                  <w:vMerge w:val="continue"/>
                  <w:tcBorders>
                    <w:left w:val="single" w:color="auto" w:sz="12" w:space="0"/>
                    <w:bottom w:val="single" w:color="auto" w:sz="6" w:space="0"/>
                    <w:right w:val="single" w:color="auto" w:sz="6" w:space="0"/>
                  </w:tcBorders>
                  <w:vAlign w:val="center"/>
                </w:tcPr>
                <w:p>
                  <w:pPr>
                    <w:pageBreakBefore w:val="0"/>
                    <w:widowControl/>
                    <w:kinsoku/>
                    <w:wordWrap/>
                    <w:overflowPunct/>
                    <w:topLinePunct w:val="0"/>
                    <w:autoSpaceDE/>
                    <w:bidi w:val="0"/>
                    <w:snapToGrid w:val="0"/>
                    <w:spacing w:line="240" w:lineRule="auto"/>
                    <w:jc w:val="left"/>
                    <w:textAlignment w:val="auto"/>
                    <w:rPr>
                      <w:color w:val="auto"/>
                      <w:sz w:val="21"/>
                      <w:szCs w:val="21"/>
                      <w:highlight w:val="none"/>
                      <w:lang w:eastAsia="zh-TW"/>
                    </w:rPr>
                  </w:pPr>
                </w:p>
              </w:tc>
              <w:tc>
                <w:tcPr>
                  <w:tcW w:w="4145" w:type="dxa"/>
                  <w:tcBorders>
                    <w:top w:val="single" w:color="auto" w:sz="6" w:space="0"/>
                    <w:left w:val="single" w:color="auto" w:sz="6" w:space="0"/>
                    <w:bottom w:val="single" w:color="auto" w:sz="6" w:space="0"/>
                    <w:right w:val="single" w:color="auto" w:sz="6" w:space="0"/>
                  </w:tcBorders>
                  <w:vAlign w:val="center"/>
                </w:tcPr>
                <w:p>
                  <w:pPr>
                    <w:pageBreakBefore w:val="0"/>
                    <w:kinsoku/>
                    <w:wordWrap/>
                    <w:overflowPunct/>
                    <w:topLinePunct w:val="0"/>
                    <w:autoSpaceDE/>
                    <w:bidi w:val="0"/>
                    <w:adjustRightInd w:val="0"/>
                    <w:snapToGrid w:val="0"/>
                    <w:spacing w:line="240" w:lineRule="auto"/>
                    <w:jc w:val="center"/>
                    <w:textAlignment w:val="auto"/>
                    <w:rPr>
                      <w:color w:val="auto"/>
                      <w:sz w:val="21"/>
                      <w:szCs w:val="21"/>
                      <w:highlight w:val="none"/>
                    </w:rPr>
                  </w:pPr>
                  <w:r>
                    <w:rPr>
                      <w:color w:val="auto"/>
                      <w:sz w:val="21"/>
                      <w:szCs w:val="21"/>
                      <w:highlight w:val="none"/>
                    </w:rPr>
                    <w:t>2019</w:t>
                  </w:r>
                  <w:r>
                    <w:rPr>
                      <w:rFonts w:hint="eastAsia"/>
                      <w:color w:val="auto"/>
                      <w:sz w:val="21"/>
                      <w:szCs w:val="21"/>
                      <w:highlight w:val="none"/>
                    </w:rPr>
                    <w:t>年</w:t>
                  </w:r>
                  <w:r>
                    <w:rPr>
                      <w:color w:val="auto"/>
                      <w:sz w:val="21"/>
                      <w:szCs w:val="21"/>
                      <w:highlight w:val="none"/>
                    </w:rPr>
                    <w:t>0</w:t>
                  </w:r>
                  <w:r>
                    <w:rPr>
                      <w:rFonts w:hint="eastAsia"/>
                      <w:color w:val="auto"/>
                      <w:sz w:val="21"/>
                      <w:szCs w:val="21"/>
                      <w:highlight w:val="none"/>
                    </w:rPr>
                    <w:t>4月22日</w:t>
                  </w:r>
                </w:p>
              </w:tc>
              <w:tc>
                <w:tcPr>
                  <w:tcW w:w="2887" w:type="dxa"/>
                  <w:gridSpan w:val="2"/>
                  <w:tcBorders>
                    <w:top w:val="single" w:color="auto" w:sz="6" w:space="0"/>
                    <w:left w:val="single" w:color="auto" w:sz="6" w:space="0"/>
                    <w:bottom w:val="single" w:color="auto" w:sz="6" w:space="0"/>
                    <w:right w:val="single" w:color="auto" w:sz="12" w:space="0"/>
                  </w:tcBorders>
                  <w:vAlign w:val="center"/>
                </w:tcPr>
                <w:p>
                  <w:pPr>
                    <w:pageBreakBefore w:val="0"/>
                    <w:kinsoku/>
                    <w:wordWrap/>
                    <w:overflowPunct/>
                    <w:topLinePunct w:val="0"/>
                    <w:autoSpaceDE/>
                    <w:autoSpaceDN w:val="0"/>
                    <w:bidi w:val="0"/>
                    <w:adjustRightInd w:val="0"/>
                    <w:snapToGrid w:val="0"/>
                    <w:spacing w:line="240" w:lineRule="auto"/>
                    <w:jc w:val="center"/>
                    <w:textAlignment w:val="auto"/>
                    <w:rPr>
                      <w:color w:val="auto"/>
                      <w:sz w:val="21"/>
                      <w:szCs w:val="21"/>
                      <w:highlight w:val="none"/>
                      <w:lang w:eastAsia="zh-TW"/>
                    </w:rPr>
                  </w:pPr>
                  <w:r>
                    <w:rPr>
                      <w:rFonts w:hint="eastAsia"/>
                      <w:color w:val="auto"/>
                      <w:sz w:val="21"/>
                      <w:szCs w:val="21"/>
                      <w:highlight w:val="none"/>
                    </w:rPr>
                    <w:t>1.49～1.58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6191" w:type="dxa"/>
                  <w:gridSpan w:val="2"/>
                  <w:tcBorders>
                    <w:top w:val="single" w:color="auto" w:sz="6" w:space="0"/>
                    <w:left w:val="single" w:color="auto" w:sz="12" w:space="0"/>
                    <w:bottom w:val="single" w:color="auto" w:sz="6" w:space="0"/>
                    <w:right w:val="single" w:color="auto" w:sz="6" w:space="0"/>
                  </w:tcBorders>
                  <w:vAlign w:val="center"/>
                </w:tcPr>
                <w:p>
                  <w:pPr>
                    <w:pageBreakBefore w:val="0"/>
                    <w:kinsoku/>
                    <w:wordWrap/>
                    <w:overflowPunct/>
                    <w:topLinePunct w:val="0"/>
                    <w:autoSpaceDE/>
                    <w:autoSpaceDN w:val="0"/>
                    <w:bidi w:val="0"/>
                    <w:adjustRightInd w:val="0"/>
                    <w:snapToGrid w:val="0"/>
                    <w:spacing w:line="240" w:lineRule="auto"/>
                    <w:jc w:val="center"/>
                    <w:textAlignment w:val="auto"/>
                    <w:rPr>
                      <w:color w:val="auto"/>
                      <w:sz w:val="21"/>
                      <w:szCs w:val="21"/>
                      <w:highlight w:val="none"/>
                      <w:lang w:eastAsia="zh-TW"/>
                    </w:rPr>
                  </w:pPr>
                  <w:r>
                    <w:rPr>
                      <w:rFonts w:hint="eastAsia"/>
                      <w:bCs/>
                      <w:color w:val="auto"/>
                      <w:sz w:val="21"/>
                      <w:szCs w:val="21"/>
                      <w:highlight w:val="none"/>
                    </w:rPr>
                    <w:t>《大气污染物综合排放标准详解》</w:t>
                  </w:r>
                </w:p>
              </w:tc>
              <w:tc>
                <w:tcPr>
                  <w:tcW w:w="2887" w:type="dxa"/>
                  <w:gridSpan w:val="2"/>
                  <w:tcBorders>
                    <w:top w:val="single" w:color="auto" w:sz="6" w:space="0"/>
                    <w:left w:val="single" w:color="auto" w:sz="6" w:space="0"/>
                    <w:bottom w:val="single" w:color="auto" w:sz="6" w:space="0"/>
                    <w:right w:val="single" w:color="auto" w:sz="12" w:space="0"/>
                  </w:tcBorders>
                  <w:vAlign w:val="center"/>
                </w:tcPr>
                <w:p>
                  <w:pPr>
                    <w:pageBreakBefore w:val="0"/>
                    <w:kinsoku/>
                    <w:wordWrap/>
                    <w:overflowPunct/>
                    <w:topLinePunct w:val="0"/>
                    <w:autoSpaceDE/>
                    <w:bidi w:val="0"/>
                    <w:adjustRightInd w:val="0"/>
                    <w:snapToGrid w:val="0"/>
                    <w:spacing w:line="240" w:lineRule="auto"/>
                    <w:jc w:val="center"/>
                    <w:textAlignment w:val="auto"/>
                    <w:rPr>
                      <w:color w:val="auto"/>
                      <w:sz w:val="21"/>
                      <w:szCs w:val="21"/>
                      <w:highlight w:val="none"/>
                    </w:rPr>
                  </w:pPr>
                  <w:r>
                    <w:rPr>
                      <w:rFonts w:hint="eastAsia"/>
                      <w:color w:val="auto"/>
                      <w:sz w:val="21"/>
                      <w:szCs w:val="21"/>
                      <w:highlight w:val="none"/>
                    </w:rPr>
                    <w:t>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6191" w:type="dxa"/>
                  <w:gridSpan w:val="2"/>
                  <w:tcBorders>
                    <w:top w:val="single" w:color="auto" w:sz="6" w:space="0"/>
                    <w:left w:val="single" w:color="auto" w:sz="12" w:space="0"/>
                    <w:bottom w:val="single" w:color="auto" w:sz="6" w:space="0"/>
                    <w:right w:val="single" w:color="auto" w:sz="6" w:space="0"/>
                  </w:tcBorders>
                  <w:vAlign w:val="center"/>
                </w:tcPr>
                <w:p>
                  <w:pPr>
                    <w:pageBreakBefore w:val="0"/>
                    <w:kinsoku/>
                    <w:wordWrap/>
                    <w:overflowPunct/>
                    <w:topLinePunct w:val="0"/>
                    <w:autoSpaceDE/>
                    <w:bidi w:val="0"/>
                    <w:adjustRightInd w:val="0"/>
                    <w:snapToGrid w:val="0"/>
                    <w:spacing w:line="240" w:lineRule="auto"/>
                    <w:jc w:val="center"/>
                    <w:textAlignment w:val="auto"/>
                    <w:rPr>
                      <w:color w:val="auto"/>
                      <w:sz w:val="21"/>
                      <w:szCs w:val="21"/>
                      <w:highlight w:val="none"/>
                      <w:lang w:eastAsia="zh-TW"/>
                    </w:rPr>
                  </w:pPr>
                  <w:r>
                    <w:rPr>
                      <w:rFonts w:hint="eastAsia"/>
                      <w:color w:val="auto"/>
                      <w:sz w:val="21"/>
                      <w:szCs w:val="21"/>
                      <w:highlight w:val="none"/>
                    </w:rPr>
                    <w:t>超标率（</w:t>
                  </w:r>
                  <w:r>
                    <w:rPr>
                      <w:color w:val="auto"/>
                      <w:sz w:val="21"/>
                      <w:szCs w:val="21"/>
                      <w:highlight w:val="none"/>
                    </w:rPr>
                    <w:t>%</w:t>
                  </w:r>
                  <w:r>
                    <w:rPr>
                      <w:rFonts w:hint="eastAsia"/>
                      <w:color w:val="auto"/>
                      <w:sz w:val="21"/>
                      <w:szCs w:val="21"/>
                      <w:highlight w:val="none"/>
                    </w:rPr>
                    <w:t>）</w:t>
                  </w:r>
                </w:p>
              </w:tc>
              <w:tc>
                <w:tcPr>
                  <w:tcW w:w="2887" w:type="dxa"/>
                  <w:gridSpan w:val="2"/>
                  <w:tcBorders>
                    <w:top w:val="single" w:color="auto" w:sz="6" w:space="0"/>
                    <w:left w:val="single" w:color="auto" w:sz="6" w:space="0"/>
                    <w:bottom w:val="single" w:color="auto" w:sz="6" w:space="0"/>
                    <w:right w:val="single" w:color="auto" w:sz="12" w:space="0"/>
                  </w:tcBorders>
                  <w:vAlign w:val="center"/>
                </w:tcPr>
                <w:p>
                  <w:pPr>
                    <w:pageBreakBefore w:val="0"/>
                    <w:kinsoku/>
                    <w:wordWrap/>
                    <w:overflowPunct/>
                    <w:topLinePunct w:val="0"/>
                    <w:autoSpaceDE/>
                    <w:autoSpaceDN w:val="0"/>
                    <w:bidi w:val="0"/>
                    <w:adjustRightInd w:val="0"/>
                    <w:snapToGrid w:val="0"/>
                    <w:spacing w:line="240" w:lineRule="auto"/>
                    <w:jc w:val="center"/>
                    <w:textAlignment w:val="auto"/>
                    <w:rPr>
                      <w:color w:val="auto"/>
                      <w:sz w:val="21"/>
                      <w:szCs w:val="21"/>
                      <w:highlight w:val="none"/>
                      <w:lang w:eastAsia="zh-TW"/>
                    </w:rPr>
                  </w:pPr>
                  <w:r>
                    <w:rPr>
                      <w:color w:val="auto"/>
                      <w:sz w:val="21"/>
                      <w:szCs w:val="21"/>
                      <w:highlight w:val="none"/>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6191" w:type="dxa"/>
                  <w:gridSpan w:val="2"/>
                  <w:tcBorders>
                    <w:top w:val="single" w:color="auto" w:sz="6" w:space="0"/>
                    <w:left w:val="single" w:color="auto" w:sz="12" w:space="0"/>
                    <w:bottom w:val="single" w:color="auto" w:sz="12" w:space="0"/>
                    <w:right w:val="single" w:color="auto" w:sz="6" w:space="0"/>
                  </w:tcBorders>
                  <w:vAlign w:val="center"/>
                </w:tcPr>
                <w:p>
                  <w:pPr>
                    <w:pageBreakBefore w:val="0"/>
                    <w:kinsoku/>
                    <w:wordWrap/>
                    <w:overflowPunct/>
                    <w:topLinePunct w:val="0"/>
                    <w:autoSpaceDE/>
                    <w:bidi w:val="0"/>
                    <w:adjustRightInd w:val="0"/>
                    <w:snapToGrid w:val="0"/>
                    <w:spacing w:line="240" w:lineRule="auto"/>
                    <w:jc w:val="center"/>
                    <w:textAlignment w:val="auto"/>
                    <w:rPr>
                      <w:color w:val="auto"/>
                      <w:sz w:val="21"/>
                      <w:szCs w:val="21"/>
                      <w:highlight w:val="none"/>
                      <w:lang w:eastAsia="zh-TW"/>
                    </w:rPr>
                  </w:pPr>
                  <w:r>
                    <w:rPr>
                      <w:rFonts w:hint="eastAsia"/>
                      <w:color w:val="auto"/>
                      <w:sz w:val="21"/>
                      <w:szCs w:val="21"/>
                      <w:highlight w:val="none"/>
                    </w:rPr>
                    <w:t>最大超标倍数</w:t>
                  </w:r>
                </w:p>
              </w:tc>
              <w:tc>
                <w:tcPr>
                  <w:tcW w:w="2887" w:type="dxa"/>
                  <w:gridSpan w:val="2"/>
                  <w:tcBorders>
                    <w:top w:val="single" w:color="auto" w:sz="6" w:space="0"/>
                    <w:left w:val="single" w:color="auto" w:sz="6" w:space="0"/>
                    <w:bottom w:val="single" w:color="auto" w:sz="12" w:space="0"/>
                    <w:right w:val="single" w:color="auto" w:sz="12" w:space="0"/>
                  </w:tcBorders>
                  <w:vAlign w:val="center"/>
                </w:tcPr>
                <w:p>
                  <w:pPr>
                    <w:pageBreakBefore w:val="0"/>
                    <w:kinsoku/>
                    <w:wordWrap/>
                    <w:overflowPunct/>
                    <w:topLinePunct w:val="0"/>
                    <w:autoSpaceDE/>
                    <w:autoSpaceDN w:val="0"/>
                    <w:bidi w:val="0"/>
                    <w:adjustRightInd w:val="0"/>
                    <w:snapToGrid w:val="0"/>
                    <w:spacing w:line="240" w:lineRule="auto"/>
                    <w:jc w:val="center"/>
                    <w:textAlignment w:val="auto"/>
                    <w:rPr>
                      <w:color w:val="auto"/>
                      <w:sz w:val="21"/>
                      <w:szCs w:val="21"/>
                      <w:highlight w:val="none"/>
                      <w:lang w:eastAsia="zh-TW"/>
                    </w:rPr>
                  </w:pPr>
                  <w:r>
                    <w:rPr>
                      <w:color w:val="auto"/>
                      <w:sz w:val="21"/>
                      <w:szCs w:val="21"/>
                      <w:highlight w:val="none"/>
                    </w:rPr>
                    <w:t>0</w:t>
                  </w:r>
                </w:p>
              </w:tc>
            </w:tr>
          </w:tbl>
          <w:p>
            <w:pPr>
              <w:ind w:firstLine="420" w:firstLineChars="200"/>
              <w:outlineLvl w:val="0"/>
              <w:rPr>
                <w:bCs/>
                <w:color w:val="auto"/>
                <w:sz w:val="21"/>
                <w:szCs w:val="21"/>
                <w:highlight w:val="none"/>
              </w:rPr>
            </w:pPr>
            <w:r>
              <w:rPr>
                <w:rFonts w:hint="eastAsia"/>
                <w:bCs/>
                <w:color w:val="auto"/>
                <w:sz w:val="21"/>
                <w:szCs w:val="21"/>
                <w:highlight w:val="none"/>
              </w:rPr>
              <w:t>注：</w:t>
            </w:r>
            <w:r>
              <w:rPr>
                <w:rFonts w:hint="eastAsia"/>
                <w:color w:val="auto"/>
                <w:sz w:val="21"/>
                <w:szCs w:val="21"/>
                <w:highlight w:val="none"/>
                <w:shd w:val="clear" w:color="auto" w:fill="FFFFFF"/>
              </w:rPr>
              <w:t>由于我国目前没有非甲烷总烃及甲烷的环境质量标准，</w:t>
            </w:r>
            <w:r>
              <w:rPr>
                <w:rFonts w:hint="eastAsia"/>
                <w:bCs/>
                <w:color w:val="auto"/>
                <w:sz w:val="21"/>
                <w:szCs w:val="21"/>
                <w:highlight w:val="none"/>
              </w:rPr>
              <w:t>非甲烷总烃参考《大气污染物综合排放标准详解》中</w:t>
            </w:r>
            <w:r>
              <w:rPr>
                <w:bCs/>
                <w:color w:val="auto"/>
                <w:sz w:val="21"/>
                <w:szCs w:val="21"/>
                <w:highlight w:val="none"/>
              </w:rPr>
              <w:t>2.0mg/m</w:t>
            </w:r>
            <w:r>
              <w:rPr>
                <w:bCs/>
                <w:color w:val="auto"/>
                <w:sz w:val="21"/>
                <w:szCs w:val="21"/>
                <w:highlight w:val="none"/>
                <w:vertAlign w:val="superscript"/>
              </w:rPr>
              <w:t>3</w:t>
            </w:r>
            <w:r>
              <w:rPr>
                <w:rFonts w:hint="eastAsia"/>
                <w:bCs/>
                <w:color w:val="auto"/>
                <w:sz w:val="21"/>
                <w:szCs w:val="21"/>
                <w:highlight w:val="none"/>
              </w:rPr>
              <w:t>的标准要求。</w:t>
            </w:r>
          </w:p>
          <w:p>
            <w:pPr>
              <w:spacing w:line="360" w:lineRule="auto"/>
              <w:ind w:firstLine="480" w:firstLineChars="200"/>
              <w:rPr>
                <w:color w:val="auto"/>
                <w:sz w:val="24"/>
                <w:highlight w:val="none"/>
              </w:rPr>
            </w:pPr>
            <w:r>
              <w:rPr>
                <w:rFonts w:hint="eastAsia"/>
                <w:color w:val="auto"/>
                <w:sz w:val="24"/>
                <w:highlight w:val="none"/>
              </w:rPr>
              <w:t>由监测结果表明，评价区非甲烷总烃浓度满足</w:t>
            </w:r>
            <w:r>
              <w:rPr>
                <w:rFonts w:hint="eastAsia"/>
                <w:bCs/>
                <w:color w:val="auto"/>
                <w:sz w:val="24"/>
                <w:highlight w:val="none"/>
              </w:rPr>
              <w:t>《大气污染物综合排放标准详解》中</w:t>
            </w:r>
            <w:r>
              <w:rPr>
                <w:bCs/>
                <w:color w:val="auto"/>
                <w:sz w:val="24"/>
                <w:highlight w:val="none"/>
              </w:rPr>
              <w:t>2.0mg/m</w:t>
            </w:r>
            <w:r>
              <w:rPr>
                <w:bCs/>
                <w:color w:val="auto"/>
                <w:sz w:val="24"/>
                <w:highlight w:val="none"/>
                <w:vertAlign w:val="superscript"/>
              </w:rPr>
              <w:t>3</w:t>
            </w:r>
            <w:r>
              <w:rPr>
                <w:rFonts w:hint="eastAsia"/>
                <w:bCs/>
                <w:color w:val="auto"/>
                <w:sz w:val="24"/>
                <w:highlight w:val="none"/>
              </w:rPr>
              <w:t>的标准要求</w:t>
            </w:r>
            <w:r>
              <w:rPr>
                <w:rFonts w:hint="eastAsia"/>
                <w:color w:val="auto"/>
                <w:sz w:val="24"/>
                <w:highlight w:val="none"/>
              </w:rPr>
              <w:t>。</w:t>
            </w:r>
          </w:p>
          <w:p>
            <w:pPr>
              <w:tabs>
                <w:tab w:val="left" w:pos="3870"/>
              </w:tabs>
              <w:adjustRightInd w:val="0"/>
              <w:snapToGrid w:val="0"/>
              <w:spacing w:line="360" w:lineRule="auto"/>
              <w:ind w:firstLine="480" w:firstLineChars="200"/>
              <w:jc w:val="left"/>
              <w:rPr>
                <w:rFonts w:eastAsia="黑体"/>
                <w:color w:val="auto"/>
                <w:sz w:val="24"/>
                <w:highlight w:val="none"/>
              </w:rPr>
            </w:pPr>
            <w:r>
              <w:rPr>
                <w:rFonts w:eastAsia="黑体"/>
                <w:color w:val="auto"/>
                <w:sz w:val="24"/>
                <w:highlight w:val="none"/>
              </w:rPr>
              <w:t>3.2声环境质量现状</w:t>
            </w:r>
          </w:p>
          <w:p>
            <w:pPr>
              <w:tabs>
                <w:tab w:val="left" w:pos="2920"/>
              </w:tabs>
              <w:spacing w:line="360" w:lineRule="auto"/>
              <w:jc w:val="left"/>
              <w:rPr>
                <w:rFonts w:ascii="宋体" w:hAnsi="宋体" w:cs="宋体"/>
                <w:b/>
                <w:bCs/>
                <w:color w:val="auto"/>
                <w:sz w:val="30"/>
                <w:szCs w:val="30"/>
                <w:highlight w:val="none"/>
              </w:rPr>
            </w:pPr>
            <w:r>
              <w:rPr>
                <w:rFonts w:hint="eastAsia"/>
                <w:color w:val="auto"/>
                <w:sz w:val="24"/>
                <w:highlight w:val="none"/>
              </w:rPr>
              <w:t xml:space="preserve">    </w:t>
            </w:r>
            <w:r>
              <w:rPr>
                <w:color w:val="auto"/>
                <w:sz w:val="24"/>
                <w:highlight w:val="none"/>
              </w:rPr>
              <w:t>次声环境现状监测委托</w:t>
            </w:r>
            <w:r>
              <w:rPr>
                <w:rFonts w:hint="eastAsia"/>
                <w:color w:val="auto"/>
                <w:sz w:val="24"/>
                <w:highlight w:val="none"/>
              </w:rPr>
              <w:t>陕西阔成检测服务有限公司</w:t>
            </w:r>
            <w:r>
              <w:rPr>
                <w:color w:val="auto"/>
                <w:sz w:val="24"/>
                <w:highlight w:val="none"/>
              </w:rPr>
              <w:t>于201</w:t>
            </w:r>
            <w:r>
              <w:rPr>
                <w:rFonts w:hint="eastAsia"/>
                <w:color w:val="auto"/>
                <w:sz w:val="24"/>
                <w:highlight w:val="none"/>
              </w:rPr>
              <w:t>9</w:t>
            </w:r>
            <w:r>
              <w:rPr>
                <w:color w:val="auto"/>
                <w:sz w:val="24"/>
                <w:highlight w:val="none"/>
              </w:rPr>
              <w:t>年</w:t>
            </w:r>
            <w:r>
              <w:rPr>
                <w:rFonts w:hint="eastAsia"/>
                <w:color w:val="auto"/>
                <w:sz w:val="24"/>
                <w:highlight w:val="none"/>
              </w:rPr>
              <w:t>4</w:t>
            </w:r>
            <w:r>
              <w:rPr>
                <w:color w:val="auto"/>
                <w:sz w:val="24"/>
                <w:highlight w:val="none"/>
              </w:rPr>
              <w:t>月</w:t>
            </w:r>
            <w:r>
              <w:rPr>
                <w:rFonts w:hint="eastAsia"/>
                <w:color w:val="auto"/>
                <w:sz w:val="24"/>
                <w:highlight w:val="none"/>
              </w:rPr>
              <w:t>16</w:t>
            </w:r>
            <w:r>
              <w:rPr>
                <w:color w:val="auto"/>
                <w:sz w:val="24"/>
                <w:highlight w:val="none"/>
              </w:rPr>
              <w:t>日</w:t>
            </w:r>
            <w:r>
              <w:rPr>
                <w:rFonts w:hint="eastAsia"/>
                <w:color w:val="auto"/>
                <w:sz w:val="24"/>
                <w:highlight w:val="none"/>
              </w:rPr>
              <w:t>-17日</w:t>
            </w:r>
            <w:r>
              <w:rPr>
                <w:color w:val="auto"/>
                <w:sz w:val="24"/>
                <w:highlight w:val="none"/>
              </w:rPr>
              <w:t>进行了监测，监测点位为厂界四周</w:t>
            </w:r>
            <w:r>
              <w:rPr>
                <w:rFonts w:hint="eastAsia"/>
                <w:color w:val="auto"/>
                <w:sz w:val="24"/>
                <w:highlight w:val="none"/>
              </w:rPr>
              <w:t>和声环境敏感点神峪寺沟村六组</w:t>
            </w:r>
            <w:r>
              <w:rPr>
                <w:color w:val="auto"/>
                <w:sz w:val="24"/>
                <w:highlight w:val="none"/>
              </w:rPr>
              <w:t>，具体监测结果见表</w:t>
            </w:r>
            <w:r>
              <w:rPr>
                <w:rFonts w:hint="eastAsia"/>
                <w:color w:val="auto"/>
                <w:sz w:val="24"/>
                <w:highlight w:val="none"/>
              </w:rPr>
              <w:t>3-3</w:t>
            </w:r>
            <w:r>
              <w:rPr>
                <w:color w:val="auto"/>
                <w:sz w:val="24"/>
                <w:highlight w:val="none"/>
              </w:rPr>
              <w:t>，监测点位见</w:t>
            </w:r>
            <w:r>
              <w:rPr>
                <w:rFonts w:hint="eastAsia"/>
                <w:color w:val="auto"/>
                <w:sz w:val="24"/>
                <w:highlight w:val="none"/>
              </w:rPr>
              <w:t>附图</w:t>
            </w:r>
            <w:r>
              <w:rPr>
                <w:color w:val="auto"/>
                <w:sz w:val="24"/>
                <w:highlight w:val="none"/>
              </w:rPr>
              <w:t>。</w:t>
            </w:r>
          </w:p>
          <w:p>
            <w:pPr>
              <w:spacing w:line="360" w:lineRule="auto"/>
              <w:jc w:val="center"/>
              <w:rPr>
                <w:rFonts w:eastAsia="黑体"/>
                <w:color w:val="auto"/>
                <w:sz w:val="24"/>
                <w:highlight w:val="none"/>
              </w:rPr>
            </w:pPr>
            <w:r>
              <w:rPr>
                <w:rFonts w:eastAsia="黑体"/>
                <w:color w:val="auto"/>
                <w:sz w:val="24"/>
                <w:highlight w:val="none"/>
              </w:rPr>
              <w:t>表3</w:t>
            </w:r>
            <w:r>
              <w:rPr>
                <w:rFonts w:hint="eastAsia" w:eastAsia="黑体"/>
                <w:color w:val="auto"/>
                <w:sz w:val="24"/>
                <w:highlight w:val="none"/>
              </w:rPr>
              <w:t>-3</w:t>
            </w:r>
            <w:r>
              <w:rPr>
                <w:rFonts w:eastAsia="黑体"/>
                <w:color w:val="auto"/>
                <w:sz w:val="24"/>
                <w:highlight w:val="none"/>
              </w:rPr>
              <w:t xml:space="preserve">  环境噪声监测结果统计表    单位dB(A)</w:t>
            </w:r>
          </w:p>
          <w:tbl>
            <w:tblPr>
              <w:tblStyle w:val="27"/>
              <w:tblW w:w="4682"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082"/>
              <w:gridCol w:w="1701"/>
              <w:gridCol w:w="1560"/>
              <w:gridCol w:w="1134"/>
              <w:gridCol w:w="708"/>
              <w:gridCol w:w="7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738" w:type="dxa"/>
                  <w:vMerge w:val="restart"/>
                  <w:vAlign w:val="center"/>
                </w:tcPr>
                <w:p>
                  <w:pPr>
                    <w:adjustRightInd w:val="0"/>
                    <w:snapToGrid w:val="0"/>
                    <w:spacing w:line="260" w:lineRule="exact"/>
                    <w:jc w:val="center"/>
                    <w:rPr>
                      <w:color w:val="auto"/>
                      <w:sz w:val="21"/>
                      <w:szCs w:val="21"/>
                      <w:highlight w:val="none"/>
                    </w:rPr>
                  </w:pPr>
                  <w:r>
                    <w:rPr>
                      <w:color w:val="auto"/>
                      <w:sz w:val="21"/>
                      <w:szCs w:val="21"/>
                      <w:highlight w:val="none"/>
                    </w:rPr>
                    <w:t>序号</w:t>
                  </w:r>
                </w:p>
              </w:tc>
              <w:tc>
                <w:tcPr>
                  <w:tcW w:w="2082" w:type="dxa"/>
                  <w:vMerge w:val="restart"/>
                  <w:vAlign w:val="center"/>
                </w:tcPr>
                <w:p>
                  <w:pPr>
                    <w:adjustRightInd w:val="0"/>
                    <w:snapToGrid w:val="0"/>
                    <w:spacing w:line="260" w:lineRule="exact"/>
                    <w:jc w:val="center"/>
                    <w:rPr>
                      <w:color w:val="auto"/>
                      <w:sz w:val="21"/>
                      <w:szCs w:val="21"/>
                      <w:highlight w:val="none"/>
                    </w:rPr>
                  </w:pPr>
                  <w:r>
                    <w:rPr>
                      <w:color w:val="auto"/>
                      <w:sz w:val="21"/>
                      <w:szCs w:val="21"/>
                      <w:highlight w:val="none"/>
                    </w:rPr>
                    <w:t>监测点名称</w:t>
                  </w:r>
                </w:p>
              </w:tc>
              <w:tc>
                <w:tcPr>
                  <w:tcW w:w="3261" w:type="dxa"/>
                  <w:gridSpan w:val="2"/>
                  <w:vAlign w:val="center"/>
                </w:tcPr>
                <w:p>
                  <w:pPr>
                    <w:adjustRightInd w:val="0"/>
                    <w:snapToGrid w:val="0"/>
                    <w:spacing w:line="260" w:lineRule="exact"/>
                    <w:jc w:val="center"/>
                    <w:rPr>
                      <w:color w:val="auto"/>
                      <w:sz w:val="21"/>
                      <w:szCs w:val="21"/>
                      <w:highlight w:val="none"/>
                    </w:rPr>
                  </w:pPr>
                  <w:r>
                    <w:rPr>
                      <w:color w:val="auto"/>
                      <w:sz w:val="21"/>
                      <w:szCs w:val="21"/>
                      <w:highlight w:val="none"/>
                    </w:rPr>
                    <w:t>监测结果</w:t>
                  </w:r>
                </w:p>
              </w:tc>
              <w:tc>
                <w:tcPr>
                  <w:tcW w:w="1134" w:type="dxa"/>
                  <w:vAlign w:val="center"/>
                </w:tcPr>
                <w:p>
                  <w:pPr>
                    <w:adjustRightInd w:val="0"/>
                    <w:snapToGrid w:val="0"/>
                    <w:spacing w:line="260" w:lineRule="exact"/>
                    <w:ind w:left="132" w:leftChars="47"/>
                    <w:rPr>
                      <w:color w:val="auto"/>
                      <w:sz w:val="21"/>
                      <w:szCs w:val="21"/>
                      <w:highlight w:val="none"/>
                    </w:rPr>
                  </w:pPr>
                  <w:r>
                    <w:rPr>
                      <w:color w:val="auto"/>
                      <w:sz w:val="21"/>
                      <w:szCs w:val="21"/>
                      <w:highlight w:val="none"/>
                    </w:rPr>
                    <w:t>评价标准</w:t>
                  </w:r>
                </w:p>
              </w:tc>
              <w:tc>
                <w:tcPr>
                  <w:tcW w:w="1417" w:type="dxa"/>
                  <w:gridSpan w:val="2"/>
                  <w:vAlign w:val="center"/>
                </w:tcPr>
                <w:p>
                  <w:pPr>
                    <w:adjustRightInd w:val="0"/>
                    <w:snapToGrid w:val="0"/>
                    <w:spacing w:line="260" w:lineRule="exact"/>
                    <w:jc w:val="center"/>
                    <w:rPr>
                      <w:color w:val="auto"/>
                      <w:sz w:val="21"/>
                      <w:szCs w:val="21"/>
                      <w:highlight w:val="none"/>
                    </w:rPr>
                  </w:pPr>
                  <w:r>
                    <w:rPr>
                      <w:color w:val="auto"/>
                      <w:sz w:val="21"/>
                      <w:szCs w:val="21"/>
                      <w:highlight w:val="none"/>
                    </w:rPr>
                    <w:t>达标情况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Merge w:val="continue"/>
                  <w:vAlign w:val="center"/>
                </w:tcPr>
                <w:p>
                  <w:pPr>
                    <w:widowControl/>
                    <w:jc w:val="left"/>
                    <w:rPr>
                      <w:color w:val="auto"/>
                      <w:sz w:val="21"/>
                      <w:szCs w:val="21"/>
                      <w:highlight w:val="none"/>
                    </w:rPr>
                  </w:pPr>
                </w:p>
              </w:tc>
              <w:tc>
                <w:tcPr>
                  <w:tcW w:w="2082" w:type="dxa"/>
                  <w:vMerge w:val="continue"/>
                  <w:vAlign w:val="center"/>
                </w:tcPr>
                <w:p>
                  <w:pPr>
                    <w:widowControl/>
                    <w:jc w:val="left"/>
                    <w:rPr>
                      <w:color w:val="auto"/>
                      <w:sz w:val="21"/>
                      <w:szCs w:val="21"/>
                      <w:highlight w:val="none"/>
                    </w:rPr>
                  </w:pPr>
                </w:p>
              </w:tc>
              <w:tc>
                <w:tcPr>
                  <w:tcW w:w="1701" w:type="dxa"/>
                  <w:vAlign w:val="center"/>
                </w:tcPr>
                <w:p>
                  <w:pPr>
                    <w:adjustRightInd w:val="0"/>
                    <w:snapToGrid w:val="0"/>
                    <w:spacing w:line="260" w:lineRule="exact"/>
                    <w:jc w:val="center"/>
                    <w:rPr>
                      <w:color w:val="auto"/>
                      <w:sz w:val="21"/>
                      <w:szCs w:val="21"/>
                      <w:highlight w:val="none"/>
                    </w:rPr>
                  </w:pPr>
                  <w:r>
                    <w:rPr>
                      <w:color w:val="auto"/>
                      <w:sz w:val="21"/>
                      <w:szCs w:val="21"/>
                      <w:highlight w:val="none"/>
                    </w:rPr>
                    <w:t>昼 间</w:t>
                  </w:r>
                </w:p>
              </w:tc>
              <w:tc>
                <w:tcPr>
                  <w:tcW w:w="1560" w:type="dxa"/>
                  <w:vAlign w:val="center"/>
                </w:tcPr>
                <w:p>
                  <w:pPr>
                    <w:adjustRightInd w:val="0"/>
                    <w:snapToGrid w:val="0"/>
                    <w:spacing w:line="260" w:lineRule="exact"/>
                    <w:jc w:val="center"/>
                    <w:rPr>
                      <w:color w:val="auto"/>
                      <w:sz w:val="21"/>
                      <w:szCs w:val="21"/>
                      <w:highlight w:val="none"/>
                    </w:rPr>
                  </w:pPr>
                  <w:r>
                    <w:rPr>
                      <w:color w:val="auto"/>
                      <w:sz w:val="21"/>
                      <w:szCs w:val="21"/>
                      <w:highlight w:val="none"/>
                    </w:rPr>
                    <w:t>夜 间</w:t>
                  </w:r>
                </w:p>
              </w:tc>
              <w:tc>
                <w:tcPr>
                  <w:tcW w:w="1134" w:type="dxa"/>
                  <w:vMerge w:val="restart"/>
                  <w:vAlign w:val="center"/>
                </w:tcPr>
                <w:p>
                  <w:pPr>
                    <w:tabs>
                      <w:tab w:val="left" w:pos="4515"/>
                    </w:tabs>
                    <w:autoSpaceDE w:val="0"/>
                    <w:autoSpaceDN w:val="0"/>
                    <w:adjustRightInd w:val="0"/>
                    <w:jc w:val="center"/>
                    <w:rPr>
                      <w:color w:val="auto"/>
                      <w:sz w:val="21"/>
                      <w:szCs w:val="21"/>
                      <w:highlight w:val="none"/>
                    </w:rPr>
                  </w:pPr>
                  <w:r>
                    <w:rPr>
                      <w:color w:val="auto"/>
                      <w:sz w:val="21"/>
                      <w:szCs w:val="21"/>
                      <w:highlight w:val="none"/>
                    </w:rPr>
                    <w:t>昼间6</w:t>
                  </w:r>
                  <w:r>
                    <w:rPr>
                      <w:rFonts w:hint="eastAsia"/>
                      <w:color w:val="auto"/>
                      <w:sz w:val="21"/>
                      <w:szCs w:val="21"/>
                      <w:highlight w:val="none"/>
                    </w:rPr>
                    <w:t>0，</w:t>
                  </w:r>
                  <w:r>
                    <w:rPr>
                      <w:color w:val="auto"/>
                      <w:sz w:val="21"/>
                      <w:szCs w:val="21"/>
                      <w:highlight w:val="none"/>
                    </w:rPr>
                    <w:t>夜间5</w:t>
                  </w:r>
                  <w:r>
                    <w:rPr>
                      <w:rFonts w:hint="eastAsia"/>
                      <w:color w:val="auto"/>
                      <w:sz w:val="21"/>
                      <w:szCs w:val="21"/>
                      <w:highlight w:val="none"/>
                    </w:rPr>
                    <w:t>0</w:t>
                  </w:r>
                </w:p>
              </w:tc>
              <w:tc>
                <w:tcPr>
                  <w:tcW w:w="708" w:type="dxa"/>
                  <w:vAlign w:val="center"/>
                </w:tcPr>
                <w:p>
                  <w:pPr>
                    <w:adjustRightInd w:val="0"/>
                    <w:snapToGrid w:val="0"/>
                    <w:spacing w:line="260" w:lineRule="exact"/>
                    <w:jc w:val="center"/>
                    <w:rPr>
                      <w:color w:val="auto"/>
                      <w:sz w:val="21"/>
                      <w:szCs w:val="21"/>
                      <w:highlight w:val="none"/>
                    </w:rPr>
                  </w:pPr>
                  <w:r>
                    <w:rPr>
                      <w:color w:val="auto"/>
                      <w:sz w:val="21"/>
                      <w:szCs w:val="21"/>
                      <w:highlight w:val="none"/>
                    </w:rPr>
                    <w:t>昼间</w:t>
                  </w:r>
                </w:p>
              </w:tc>
              <w:tc>
                <w:tcPr>
                  <w:tcW w:w="709" w:type="dxa"/>
                  <w:vAlign w:val="center"/>
                </w:tcPr>
                <w:p>
                  <w:pPr>
                    <w:adjustRightInd w:val="0"/>
                    <w:snapToGrid w:val="0"/>
                    <w:spacing w:line="260" w:lineRule="exact"/>
                    <w:jc w:val="center"/>
                    <w:rPr>
                      <w:color w:val="auto"/>
                      <w:sz w:val="21"/>
                      <w:szCs w:val="21"/>
                      <w:highlight w:val="none"/>
                    </w:rPr>
                  </w:pPr>
                  <w:r>
                    <w:rPr>
                      <w:color w:val="auto"/>
                      <w:sz w:val="21"/>
                      <w:szCs w:val="21"/>
                      <w:highlight w:val="none"/>
                    </w:rPr>
                    <w:t>夜间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Align w:val="center"/>
                </w:tcPr>
                <w:p>
                  <w:pPr>
                    <w:spacing w:line="200" w:lineRule="atLeast"/>
                    <w:jc w:val="center"/>
                    <w:rPr>
                      <w:snapToGrid w:val="0"/>
                      <w:color w:val="auto"/>
                      <w:kern w:val="0"/>
                      <w:sz w:val="21"/>
                      <w:szCs w:val="21"/>
                      <w:highlight w:val="none"/>
                    </w:rPr>
                  </w:pPr>
                  <w:r>
                    <w:rPr>
                      <w:rFonts w:hint="eastAsia"/>
                      <w:snapToGrid w:val="0"/>
                      <w:color w:val="auto"/>
                      <w:kern w:val="0"/>
                      <w:sz w:val="21"/>
                      <w:szCs w:val="21"/>
                      <w:highlight w:val="none"/>
                    </w:rPr>
                    <w:t>1</w:t>
                  </w:r>
                </w:p>
              </w:tc>
              <w:tc>
                <w:tcPr>
                  <w:tcW w:w="2082" w:type="dxa"/>
                  <w:vAlign w:val="center"/>
                </w:tcPr>
                <w:p>
                  <w:pPr>
                    <w:adjustRightInd w:val="0"/>
                    <w:snapToGrid w:val="0"/>
                    <w:jc w:val="center"/>
                    <w:rPr>
                      <w:color w:val="auto"/>
                      <w:sz w:val="21"/>
                      <w:szCs w:val="21"/>
                      <w:highlight w:val="none"/>
                    </w:rPr>
                  </w:pPr>
                  <w:r>
                    <w:rPr>
                      <w:color w:val="auto"/>
                      <w:sz w:val="21"/>
                      <w:szCs w:val="21"/>
                      <w:highlight w:val="none"/>
                    </w:rPr>
                    <w:t>1#东厂界</w:t>
                  </w:r>
                </w:p>
              </w:tc>
              <w:tc>
                <w:tcPr>
                  <w:tcW w:w="1701" w:type="dxa"/>
                  <w:vAlign w:val="center"/>
                </w:tcPr>
                <w:p>
                  <w:pPr>
                    <w:jc w:val="center"/>
                    <w:rPr>
                      <w:color w:val="auto"/>
                      <w:sz w:val="21"/>
                      <w:szCs w:val="21"/>
                      <w:highlight w:val="none"/>
                    </w:rPr>
                  </w:pPr>
                  <w:r>
                    <w:rPr>
                      <w:rFonts w:hint="eastAsia"/>
                      <w:color w:val="auto"/>
                      <w:sz w:val="21"/>
                      <w:szCs w:val="21"/>
                      <w:highlight w:val="none"/>
                    </w:rPr>
                    <w:t>53.4-52.9</w:t>
                  </w:r>
                </w:p>
              </w:tc>
              <w:tc>
                <w:tcPr>
                  <w:tcW w:w="1560" w:type="dxa"/>
                  <w:vAlign w:val="center"/>
                </w:tcPr>
                <w:p>
                  <w:pPr>
                    <w:jc w:val="center"/>
                    <w:rPr>
                      <w:color w:val="auto"/>
                      <w:sz w:val="21"/>
                      <w:szCs w:val="21"/>
                      <w:highlight w:val="none"/>
                    </w:rPr>
                  </w:pPr>
                  <w:r>
                    <w:rPr>
                      <w:rFonts w:hint="eastAsia"/>
                      <w:color w:val="auto"/>
                      <w:sz w:val="21"/>
                      <w:szCs w:val="21"/>
                      <w:highlight w:val="none"/>
                    </w:rPr>
                    <w:t>43.2-44.1</w:t>
                  </w:r>
                </w:p>
              </w:tc>
              <w:tc>
                <w:tcPr>
                  <w:tcW w:w="1134" w:type="dxa"/>
                  <w:vMerge w:val="continue"/>
                  <w:vAlign w:val="center"/>
                </w:tcPr>
                <w:p>
                  <w:pPr>
                    <w:tabs>
                      <w:tab w:val="left" w:pos="4515"/>
                    </w:tabs>
                    <w:autoSpaceDE w:val="0"/>
                    <w:autoSpaceDN w:val="0"/>
                    <w:adjustRightInd w:val="0"/>
                    <w:jc w:val="center"/>
                    <w:rPr>
                      <w:color w:val="auto"/>
                      <w:sz w:val="21"/>
                      <w:szCs w:val="21"/>
                      <w:highlight w:val="none"/>
                    </w:rPr>
                  </w:pPr>
                </w:p>
              </w:tc>
              <w:tc>
                <w:tcPr>
                  <w:tcW w:w="708" w:type="dxa"/>
                  <w:vMerge w:val="restart"/>
                  <w:vAlign w:val="center"/>
                </w:tcPr>
                <w:p>
                  <w:pPr>
                    <w:adjustRightInd w:val="0"/>
                    <w:snapToGrid w:val="0"/>
                    <w:spacing w:line="260" w:lineRule="exact"/>
                    <w:jc w:val="center"/>
                    <w:rPr>
                      <w:color w:val="auto"/>
                      <w:sz w:val="21"/>
                      <w:szCs w:val="21"/>
                      <w:highlight w:val="none"/>
                    </w:rPr>
                  </w:pPr>
                  <w:r>
                    <w:rPr>
                      <w:color w:val="auto"/>
                      <w:sz w:val="21"/>
                      <w:szCs w:val="21"/>
                      <w:highlight w:val="none"/>
                    </w:rPr>
                    <w:t>达标</w:t>
                  </w:r>
                </w:p>
              </w:tc>
              <w:tc>
                <w:tcPr>
                  <w:tcW w:w="709" w:type="dxa"/>
                  <w:vMerge w:val="restart"/>
                  <w:vAlign w:val="center"/>
                </w:tcPr>
                <w:p>
                  <w:pPr>
                    <w:adjustRightInd w:val="0"/>
                    <w:snapToGrid w:val="0"/>
                    <w:spacing w:line="260" w:lineRule="exact"/>
                    <w:jc w:val="center"/>
                    <w:rPr>
                      <w:color w:val="auto"/>
                      <w:sz w:val="21"/>
                      <w:szCs w:val="21"/>
                      <w:highlight w:val="none"/>
                    </w:rPr>
                  </w:pPr>
                  <w:r>
                    <w:rPr>
                      <w:color w:val="auto"/>
                      <w:sz w:val="21"/>
                      <w:szCs w:val="21"/>
                      <w:highlight w:val="non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Align w:val="center"/>
                </w:tcPr>
                <w:p>
                  <w:pPr>
                    <w:spacing w:line="200" w:lineRule="atLeast"/>
                    <w:jc w:val="center"/>
                    <w:rPr>
                      <w:color w:val="auto"/>
                      <w:sz w:val="21"/>
                      <w:szCs w:val="21"/>
                      <w:highlight w:val="none"/>
                    </w:rPr>
                  </w:pPr>
                  <w:r>
                    <w:rPr>
                      <w:rFonts w:hint="eastAsia"/>
                      <w:color w:val="auto"/>
                      <w:sz w:val="21"/>
                      <w:szCs w:val="21"/>
                      <w:highlight w:val="none"/>
                    </w:rPr>
                    <w:t>2</w:t>
                  </w:r>
                </w:p>
              </w:tc>
              <w:tc>
                <w:tcPr>
                  <w:tcW w:w="2082" w:type="dxa"/>
                  <w:vAlign w:val="center"/>
                </w:tcPr>
                <w:p>
                  <w:pPr>
                    <w:adjustRightInd w:val="0"/>
                    <w:snapToGrid w:val="0"/>
                    <w:jc w:val="center"/>
                    <w:rPr>
                      <w:color w:val="auto"/>
                      <w:sz w:val="21"/>
                      <w:szCs w:val="21"/>
                      <w:highlight w:val="none"/>
                    </w:rPr>
                  </w:pPr>
                  <w:r>
                    <w:rPr>
                      <w:color w:val="auto"/>
                      <w:sz w:val="21"/>
                      <w:szCs w:val="21"/>
                      <w:highlight w:val="none"/>
                    </w:rPr>
                    <w:t>2#南厂界</w:t>
                  </w:r>
                </w:p>
              </w:tc>
              <w:tc>
                <w:tcPr>
                  <w:tcW w:w="1701" w:type="dxa"/>
                  <w:vAlign w:val="center"/>
                </w:tcPr>
                <w:p>
                  <w:pPr>
                    <w:jc w:val="center"/>
                    <w:rPr>
                      <w:color w:val="auto"/>
                      <w:sz w:val="21"/>
                      <w:szCs w:val="21"/>
                      <w:highlight w:val="none"/>
                    </w:rPr>
                  </w:pPr>
                  <w:r>
                    <w:rPr>
                      <w:rFonts w:hint="eastAsia"/>
                      <w:color w:val="auto"/>
                      <w:sz w:val="21"/>
                      <w:szCs w:val="21"/>
                      <w:highlight w:val="none"/>
                    </w:rPr>
                    <w:t>52.5-53.1</w:t>
                  </w:r>
                </w:p>
              </w:tc>
              <w:tc>
                <w:tcPr>
                  <w:tcW w:w="1560" w:type="dxa"/>
                  <w:vAlign w:val="center"/>
                </w:tcPr>
                <w:p>
                  <w:pPr>
                    <w:jc w:val="center"/>
                    <w:rPr>
                      <w:color w:val="auto"/>
                      <w:sz w:val="21"/>
                      <w:szCs w:val="21"/>
                      <w:highlight w:val="none"/>
                    </w:rPr>
                  </w:pPr>
                  <w:r>
                    <w:rPr>
                      <w:rFonts w:hint="eastAsia"/>
                      <w:color w:val="auto"/>
                      <w:sz w:val="21"/>
                      <w:szCs w:val="21"/>
                      <w:highlight w:val="none"/>
                    </w:rPr>
                    <w:t>43.2-43.4</w:t>
                  </w:r>
                </w:p>
              </w:tc>
              <w:tc>
                <w:tcPr>
                  <w:tcW w:w="1134" w:type="dxa"/>
                  <w:vMerge w:val="continue"/>
                  <w:vAlign w:val="center"/>
                </w:tcPr>
                <w:p>
                  <w:pPr>
                    <w:tabs>
                      <w:tab w:val="left" w:pos="4515"/>
                    </w:tabs>
                    <w:autoSpaceDE w:val="0"/>
                    <w:autoSpaceDN w:val="0"/>
                    <w:adjustRightInd w:val="0"/>
                    <w:jc w:val="center"/>
                    <w:rPr>
                      <w:color w:val="auto"/>
                      <w:sz w:val="21"/>
                      <w:szCs w:val="21"/>
                      <w:highlight w:val="none"/>
                    </w:rPr>
                  </w:pPr>
                </w:p>
              </w:tc>
              <w:tc>
                <w:tcPr>
                  <w:tcW w:w="708" w:type="dxa"/>
                  <w:vMerge w:val="continue"/>
                  <w:vAlign w:val="center"/>
                </w:tcPr>
                <w:p>
                  <w:pPr>
                    <w:adjustRightInd w:val="0"/>
                    <w:snapToGrid w:val="0"/>
                    <w:spacing w:line="260" w:lineRule="exact"/>
                    <w:jc w:val="center"/>
                    <w:rPr>
                      <w:color w:val="auto"/>
                      <w:sz w:val="21"/>
                      <w:szCs w:val="21"/>
                      <w:highlight w:val="none"/>
                    </w:rPr>
                  </w:pPr>
                </w:p>
              </w:tc>
              <w:tc>
                <w:tcPr>
                  <w:tcW w:w="709" w:type="dxa"/>
                  <w:vMerge w:val="continue"/>
                  <w:vAlign w:val="center"/>
                </w:tcPr>
                <w:p>
                  <w:pPr>
                    <w:adjustRightInd w:val="0"/>
                    <w:snapToGrid w:val="0"/>
                    <w:spacing w:line="260" w:lineRule="exact"/>
                    <w:jc w:val="center"/>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Align w:val="center"/>
                </w:tcPr>
                <w:p>
                  <w:pPr>
                    <w:spacing w:line="200" w:lineRule="atLeast"/>
                    <w:jc w:val="center"/>
                    <w:rPr>
                      <w:color w:val="auto"/>
                      <w:sz w:val="21"/>
                      <w:szCs w:val="21"/>
                      <w:highlight w:val="none"/>
                    </w:rPr>
                  </w:pPr>
                  <w:r>
                    <w:rPr>
                      <w:rFonts w:hint="eastAsia"/>
                      <w:color w:val="auto"/>
                      <w:sz w:val="21"/>
                      <w:szCs w:val="21"/>
                      <w:highlight w:val="none"/>
                    </w:rPr>
                    <w:t>3</w:t>
                  </w:r>
                </w:p>
              </w:tc>
              <w:tc>
                <w:tcPr>
                  <w:tcW w:w="2082" w:type="dxa"/>
                  <w:vAlign w:val="center"/>
                </w:tcPr>
                <w:p>
                  <w:pPr>
                    <w:adjustRightInd w:val="0"/>
                    <w:snapToGrid w:val="0"/>
                    <w:jc w:val="center"/>
                    <w:rPr>
                      <w:color w:val="auto"/>
                      <w:sz w:val="21"/>
                      <w:szCs w:val="21"/>
                      <w:highlight w:val="none"/>
                    </w:rPr>
                  </w:pPr>
                  <w:r>
                    <w:rPr>
                      <w:color w:val="auto"/>
                      <w:sz w:val="21"/>
                      <w:szCs w:val="21"/>
                      <w:highlight w:val="none"/>
                    </w:rPr>
                    <w:t>3#西厂界</w:t>
                  </w:r>
                </w:p>
              </w:tc>
              <w:tc>
                <w:tcPr>
                  <w:tcW w:w="1701" w:type="dxa"/>
                  <w:vAlign w:val="center"/>
                </w:tcPr>
                <w:p>
                  <w:pPr>
                    <w:jc w:val="center"/>
                    <w:rPr>
                      <w:color w:val="auto"/>
                      <w:sz w:val="21"/>
                      <w:szCs w:val="21"/>
                      <w:highlight w:val="none"/>
                    </w:rPr>
                  </w:pPr>
                  <w:r>
                    <w:rPr>
                      <w:rFonts w:hint="eastAsia"/>
                      <w:color w:val="auto"/>
                      <w:sz w:val="21"/>
                      <w:szCs w:val="21"/>
                      <w:highlight w:val="none"/>
                    </w:rPr>
                    <w:t>54.4-54.6</w:t>
                  </w:r>
                </w:p>
              </w:tc>
              <w:tc>
                <w:tcPr>
                  <w:tcW w:w="1560" w:type="dxa"/>
                  <w:vAlign w:val="center"/>
                </w:tcPr>
                <w:p>
                  <w:pPr>
                    <w:jc w:val="center"/>
                    <w:rPr>
                      <w:color w:val="auto"/>
                      <w:sz w:val="21"/>
                      <w:szCs w:val="21"/>
                      <w:highlight w:val="none"/>
                    </w:rPr>
                  </w:pPr>
                  <w:r>
                    <w:rPr>
                      <w:rFonts w:hint="eastAsia"/>
                      <w:color w:val="auto"/>
                      <w:sz w:val="21"/>
                      <w:szCs w:val="21"/>
                      <w:highlight w:val="none"/>
                    </w:rPr>
                    <w:t>44.4-44.9</w:t>
                  </w:r>
                </w:p>
              </w:tc>
              <w:tc>
                <w:tcPr>
                  <w:tcW w:w="1134" w:type="dxa"/>
                  <w:vMerge w:val="continue"/>
                  <w:vAlign w:val="center"/>
                </w:tcPr>
                <w:p>
                  <w:pPr>
                    <w:widowControl/>
                    <w:jc w:val="left"/>
                    <w:rPr>
                      <w:color w:val="auto"/>
                      <w:sz w:val="21"/>
                      <w:szCs w:val="21"/>
                      <w:highlight w:val="none"/>
                    </w:rPr>
                  </w:pPr>
                </w:p>
              </w:tc>
              <w:tc>
                <w:tcPr>
                  <w:tcW w:w="708" w:type="dxa"/>
                  <w:vMerge w:val="continue"/>
                  <w:vAlign w:val="center"/>
                </w:tcPr>
                <w:p>
                  <w:pPr>
                    <w:adjustRightInd w:val="0"/>
                    <w:snapToGrid w:val="0"/>
                    <w:spacing w:line="260" w:lineRule="exact"/>
                    <w:jc w:val="center"/>
                    <w:rPr>
                      <w:color w:val="auto"/>
                      <w:sz w:val="21"/>
                      <w:szCs w:val="21"/>
                      <w:highlight w:val="none"/>
                    </w:rPr>
                  </w:pPr>
                </w:p>
              </w:tc>
              <w:tc>
                <w:tcPr>
                  <w:tcW w:w="709" w:type="dxa"/>
                  <w:vMerge w:val="continue"/>
                  <w:vAlign w:val="center"/>
                </w:tcPr>
                <w:p>
                  <w:pPr>
                    <w:adjustRightInd w:val="0"/>
                    <w:snapToGrid w:val="0"/>
                    <w:spacing w:line="260" w:lineRule="exact"/>
                    <w:jc w:val="center"/>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Align w:val="center"/>
                </w:tcPr>
                <w:p>
                  <w:pPr>
                    <w:spacing w:line="200" w:lineRule="atLeast"/>
                    <w:jc w:val="center"/>
                    <w:rPr>
                      <w:color w:val="auto"/>
                      <w:sz w:val="21"/>
                      <w:szCs w:val="21"/>
                      <w:highlight w:val="none"/>
                    </w:rPr>
                  </w:pPr>
                  <w:r>
                    <w:rPr>
                      <w:rFonts w:hint="eastAsia"/>
                      <w:color w:val="auto"/>
                      <w:sz w:val="21"/>
                      <w:szCs w:val="21"/>
                      <w:highlight w:val="none"/>
                    </w:rPr>
                    <w:t>4</w:t>
                  </w:r>
                </w:p>
              </w:tc>
              <w:tc>
                <w:tcPr>
                  <w:tcW w:w="2082" w:type="dxa"/>
                  <w:vAlign w:val="center"/>
                </w:tcPr>
                <w:p>
                  <w:pPr>
                    <w:adjustRightInd w:val="0"/>
                    <w:snapToGrid w:val="0"/>
                    <w:jc w:val="center"/>
                    <w:rPr>
                      <w:color w:val="auto"/>
                      <w:sz w:val="21"/>
                      <w:szCs w:val="21"/>
                      <w:highlight w:val="none"/>
                    </w:rPr>
                  </w:pPr>
                  <w:r>
                    <w:rPr>
                      <w:color w:val="auto"/>
                      <w:sz w:val="21"/>
                      <w:szCs w:val="21"/>
                      <w:highlight w:val="none"/>
                    </w:rPr>
                    <w:t>4#北厂界</w:t>
                  </w:r>
                </w:p>
              </w:tc>
              <w:tc>
                <w:tcPr>
                  <w:tcW w:w="1701" w:type="dxa"/>
                  <w:vAlign w:val="center"/>
                </w:tcPr>
                <w:p>
                  <w:pPr>
                    <w:jc w:val="center"/>
                    <w:rPr>
                      <w:color w:val="auto"/>
                      <w:sz w:val="21"/>
                      <w:szCs w:val="21"/>
                      <w:highlight w:val="none"/>
                    </w:rPr>
                  </w:pPr>
                  <w:r>
                    <w:rPr>
                      <w:rFonts w:hint="eastAsia"/>
                      <w:color w:val="auto"/>
                      <w:sz w:val="21"/>
                      <w:szCs w:val="21"/>
                      <w:highlight w:val="none"/>
                    </w:rPr>
                    <w:t>53.2-53.6</w:t>
                  </w:r>
                </w:p>
              </w:tc>
              <w:tc>
                <w:tcPr>
                  <w:tcW w:w="1560" w:type="dxa"/>
                  <w:vAlign w:val="center"/>
                </w:tcPr>
                <w:p>
                  <w:pPr>
                    <w:jc w:val="center"/>
                    <w:rPr>
                      <w:color w:val="auto"/>
                      <w:sz w:val="21"/>
                      <w:szCs w:val="21"/>
                      <w:highlight w:val="none"/>
                    </w:rPr>
                  </w:pPr>
                  <w:r>
                    <w:rPr>
                      <w:rFonts w:hint="eastAsia"/>
                      <w:color w:val="auto"/>
                      <w:sz w:val="21"/>
                      <w:szCs w:val="21"/>
                      <w:highlight w:val="none"/>
                    </w:rPr>
                    <w:t>43.8-43.8</w:t>
                  </w:r>
                </w:p>
              </w:tc>
              <w:tc>
                <w:tcPr>
                  <w:tcW w:w="1134" w:type="dxa"/>
                  <w:vMerge w:val="continue"/>
                  <w:vAlign w:val="center"/>
                </w:tcPr>
                <w:p>
                  <w:pPr>
                    <w:tabs>
                      <w:tab w:val="left" w:pos="4515"/>
                    </w:tabs>
                    <w:autoSpaceDE w:val="0"/>
                    <w:autoSpaceDN w:val="0"/>
                    <w:adjustRightInd w:val="0"/>
                    <w:jc w:val="center"/>
                    <w:rPr>
                      <w:color w:val="auto"/>
                      <w:sz w:val="21"/>
                      <w:szCs w:val="21"/>
                      <w:highlight w:val="none"/>
                    </w:rPr>
                  </w:pPr>
                </w:p>
              </w:tc>
              <w:tc>
                <w:tcPr>
                  <w:tcW w:w="708" w:type="dxa"/>
                  <w:vMerge w:val="continue"/>
                  <w:vAlign w:val="center"/>
                </w:tcPr>
                <w:p>
                  <w:pPr>
                    <w:adjustRightInd w:val="0"/>
                    <w:snapToGrid w:val="0"/>
                    <w:spacing w:line="260" w:lineRule="exact"/>
                    <w:jc w:val="center"/>
                    <w:rPr>
                      <w:color w:val="auto"/>
                      <w:sz w:val="21"/>
                      <w:szCs w:val="21"/>
                      <w:highlight w:val="none"/>
                    </w:rPr>
                  </w:pPr>
                </w:p>
              </w:tc>
              <w:tc>
                <w:tcPr>
                  <w:tcW w:w="709" w:type="dxa"/>
                  <w:vMerge w:val="continue"/>
                  <w:vAlign w:val="center"/>
                </w:tcPr>
                <w:p>
                  <w:pPr>
                    <w:adjustRightInd w:val="0"/>
                    <w:snapToGrid w:val="0"/>
                    <w:spacing w:line="260" w:lineRule="exact"/>
                    <w:jc w:val="center"/>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8" w:type="dxa"/>
                  <w:vAlign w:val="center"/>
                </w:tcPr>
                <w:p>
                  <w:pPr>
                    <w:spacing w:line="200" w:lineRule="atLeast"/>
                    <w:jc w:val="center"/>
                    <w:rPr>
                      <w:color w:val="auto"/>
                      <w:sz w:val="21"/>
                      <w:szCs w:val="21"/>
                      <w:highlight w:val="none"/>
                    </w:rPr>
                  </w:pPr>
                  <w:r>
                    <w:rPr>
                      <w:rFonts w:hint="eastAsia"/>
                      <w:color w:val="auto"/>
                      <w:sz w:val="21"/>
                      <w:szCs w:val="21"/>
                      <w:highlight w:val="none"/>
                    </w:rPr>
                    <w:t>5</w:t>
                  </w:r>
                </w:p>
              </w:tc>
              <w:tc>
                <w:tcPr>
                  <w:tcW w:w="2082" w:type="dxa"/>
                  <w:vAlign w:val="center"/>
                </w:tcPr>
                <w:p>
                  <w:pPr>
                    <w:adjustRightInd w:val="0"/>
                    <w:snapToGrid w:val="0"/>
                    <w:jc w:val="center"/>
                    <w:rPr>
                      <w:color w:val="auto"/>
                      <w:sz w:val="21"/>
                      <w:szCs w:val="21"/>
                      <w:highlight w:val="none"/>
                    </w:rPr>
                  </w:pPr>
                  <w:r>
                    <w:rPr>
                      <w:rFonts w:hint="eastAsia"/>
                      <w:color w:val="auto"/>
                      <w:sz w:val="21"/>
                      <w:szCs w:val="21"/>
                      <w:highlight w:val="none"/>
                    </w:rPr>
                    <w:t>5</w:t>
                  </w:r>
                  <w:r>
                    <w:rPr>
                      <w:color w:val="auto"/>
                      <w:sz w:val="21"/>
                      <w:szCs w:val="21"/>
                      <w:highlight w:val="none"/>
                    </w:rPr>
                    <w:t>#</w:t>
                  </w:r>
                  <w:r>
                    <w:rPr>
                      <w:rFonts w:hint="eastAsia"/>
                      <w:color w:val="auto"/>
                      <w:sz w:val="21"/>
                      <w:szCs w:val="21"/>
                      <w:highlight w:val="none"/>
                    </w:rPr>
                    <w:t>神峪寺沟村六组</w:t>
                  </w:r>
                </w:p>
              </w:tc>
              <w:tc>
                <w:tcPr>
                  <w:tcW w:w="1701" w:type="dxa"/>
                  <w:vAlign w:val="center"/>
                </w:tcPr>
                <w:p>
                  <w:pPr>
                    <w:jc w:val="center"/>
                    <w:rPr>
                      <w:color w:val="auto"/>
                      <w:sz w:val="21"/>
                      <w:szCs w:val="21"/>
                      <w:highlight w:val="none"/>
                    </w:rPr>
                  </w:pPr>
                  <w:r>
                    <w:rPr>
                      <w:rFonts w:hint="eastAsia"/>
                      <w:color w:val="auto"/>
                      <w:sz w:val="21"/>
                      <w:szCs w:val="21"/>
                      <w:highlight w:val="none"/>
                    </w:rPr>
                    <w:t>50.5-52.6</w:t>
                  </w:r>
                </w:p>
              </w:tc>
              <w:tc>
                <w:tcPr>
                  <w:tcW w:w="1560" w:type="dxa"/>
                  <w:vAlign w:val="center"/>
                </w:tcPr>
                <w:p>
                  <w:pPr>
                    <w:jc w:val="center"/>
                    <w:rPr>
                      <w:color w:val="auto"/>
                      <w:sz w:val="21"/>
                      <w:szCs w:val="21"/>
                      <w:highlight w:val="none"/>
                    </w:rPr>
                  </w:pPr>
                  <w:r>
                    <w:rPr>
                      <w:rFonts w:hint="eastAsia"/>
                      <w:color w:val="auto"/>
                      <w:sz w:val="21"/>
                      <w:szCs w:val="21"/>
                      <w:highlight w:val="none"/>
                    </w:rPr>
                    <w:t>40.6-42.0</w:t>
                  </w:r>
                </w:p>
              </w:tc>
              <w:tc>
                <w:tcPr>
                  <w:tcW w:w="1134" w:type="dxa"/>
                  <w:vMerge w:val="continue"/>
                  <w:vAlign w:val="center"/>
                </w:tcPr>
                <w:p>
                  <w:pPr>
                    <w:tabs>
                      <w:tab w:val="left" w:pos="4515"/>
                    </w:tabs>
                    <w:autoSpaceDE w:val="0"/>
                    <w:autoSpaceDN w:val="0"/>
                    <w:adjustRightInd w:val="0"/>
                    <w:jc w:val="center"/>
                    <w:rPr>
                      <w:color w:val="auto"/>
                      <w:sz w:val="21"/>
                      <w:szCs w:val="21"/>
                      <w:highlight w:val="none"/>
                    </w:rPr>
                  </w:pPr>
                </w:p>
              </w:tc>
              <w:tc>
                <w:tcPr>
                  <w:tcW w:w="708" w:type="dxa"/>
                  <w:vAlign w:val="center"/>
                </w:tcPr>
                <w:p>
                  <w:pPr>
                    <w:adjustRightInd w:val="0"/>
                    <w:snapToGrid w:val="0"/>
                    <w:spacing w:line="260" w:lineRule="exact"/>
                    <w:jc w:val="center"/>
                    <w:rPr>
                      <w:color w:val="auto"/>
                      <w:sz w:val="21"/>
                      <w:szCs w:val="21"/>
                      <w:highlight w:val="none"/>
                    </w:rPr>
                  </w:pPr>
                  <w:r>
                    <w:rPr>
                      <w:color w:val="auto"/>
                      <w:sz w:val="21"/>
                      <w:szCs w:val="21"/>
                      <w:highlight w:val="none"/>
                    </w:rPr>
                    <w:t>达标</w:t>
                  </w:r>
                </w:p>
              </w:tc>
              <w:tc>
                <w:tcPr>
                  <w:tcW w:w="709" w:type="dxa"/>
                  <w:vAlign w:val="center"/>
                </w:tcPr>
                <w:p>
                  <w:pPr>
                    <w:adjustRightInd w:val="0"/>
                    <w:snapToGrid w:val="0"/>
                    <w:spacing w:line="260" w:lineRule="exact"/>
                    <w:jc w:val="center"/>
                    <w:rPr>
                      <w:color w:val="auto"/>
                      <w:sz w:val="21"/>
                      <w:szCs w:val="21"/>
                      <w:highlight w:val="none"/>
                    </w:rPr>
                  </w:pPr>
                  <w:r>
                    <w:rPr>
                      <w:color w:val="auto"/>
                      <w:sz w:val="21"/>
                      <w:szCs w:val="21"/>
                      <w:highlight w:val="none"/>
                    </w:rPr>
                    <w:t>达标</w:t>
                  </w:r>
                </w:p>
              </w:tc>
            </w:tr>
          </w:tbl>
          <w:p>
            <w:pPr>
              <w:adjustRightInd w:val="0"/>
              <w:snapToGrid w:val="0"/>
              <w:spacing w:beforeLines="50" w:line="360" w:lineRule="auto"/>
              <w:ind w:firstLine="480" w:firstLineChars="200"/>
              <w:rPr>
                <w:color w:val="auto"/>
                <w:sz w:val="24"/>
                <w:highlight w:val="none"/>
              </w:rPr>
            </w:pPr>
            <w:r>
              <w:rPr>
                <w:color w:val="auto"/>
                <w:sz w:val="24"/>
                <w:szCs w:val="20"/>
                <w:highlight w:val="none"/>
              </w:rPr>
              <w:t>从表3</w:t>
            </w:r>
            <w:r>
              <w:rPr>
                <w:rFonts w:hint="eastAsia"/>
                <w:color w:val="auto"/>
                <w:sz w:val="24"/>
                <w:szCs w:val="20"/>
                <w:highlight w:val="none"/>
              </w:rPr>
              <w:t>-3</w:t>
            </w:r>
            <w:r>
              <w:rPr>
                <w:color w:val="auto"/>
                <w:sz w:val="24"/>
                <w:szCs w:val="20"/>
                <w:highlight w:val="none"/>
              </w:rPr>
              <w:t>可以看出，监测期间，项目厂界四周监测结果均符合《声环境质量标准》（GB3096-2008）</w:t>
            </w:r>
            <w:r>
              <w:rPr>
                <w:rFonts w:hint="eastAsia"/>
                <w:color w:val="auto"/>
                <w:sz w:val="24"/>
                <w:szCs w:val="20"/>
                <w:highlight w:val="none"/>
                <w:lang w:eastAsia="zh-CN"/>
              </w:rPr>
              <w:t>2类</w:t>
            </w:r>
            <w:r>
              <w:rPr>
                <w:color w:val="auto"/>
                <w:sz w:val="24"/>
                <w:szCs w:val="20"/>
                <w:highlight w:val="none"/>
              </w:rPr>
              <w:t>区标准要求，</w:t>
            </w:r>
            <w:r>
              <w:rPr>
                <w:rFonts w:hint="eastAsia"/>
                <w:color w:val="auto"/>
                <w:sz w:val="24"/>
                <w:szCs w:val="20"/>
                <w:highlight w:val="none"/>
              </w:rPr>
              <w:t>敏感点神峪寺沟村六组满足</w:t>
            </w:r>
            <w:r>
              <w:rPr>
                <w:color w:val="auto"/>
                <w:sz w:val="24"/>
                <w:szCs w:val="20"/>
                <w:highlight w:val="none"/>
              </w:rPr>
              <w:t>《声环境质量标准》（GB3096-2008）</w:t>
            </w:r>
            <w:r>
              <w:rPr>
                <w:rFonts w:hint="eastAsia"/>
                <w:color w:val="auto"/>
                <w:sz w:val="24"/>
                <w:szCs w:val="20"/>
                <w:highlight w:val="none"/>
              </w:rPr>
              <w:t>2</w:t>
            </w:r>
            <w:r>
              <w:rPr>
                <w:color w:val="auto"/>
                <w:sz w:val="24"/>
                <w:szCs w:val="20"/>
                <w:highlight w:val="none"/>
              </w:rPr>
              <w:t>类区标准要求</w:t>
            </w:r>
            <w:r>
              <w:rPr>
                <w:rFonts w:hint="eastAsia"/>
                <w:color w:val="auto"/>
                <w:sz w:val="24"/>
                <w:szCs w:val="20"/>
                <w:highlight w:val="none"/>
              </w:rPr>
              <w:t>，</w:t>
            </w:r>
            <w:r>
              <w:rPr>
                <w:color w:val="auto"/>
                <w:sz w:val="24"/>
                <w:szCs w:val="20"/>
                <w:highlight w:val="none"/>
              </w:rPr>
              <w:t>说明项目所在地声环境现状质量良好。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38" w:hRule="atLeast"/>
        </w:trPr>
        <w:tc>
          <w:tcPr>
            <w:tcW w:w="9464" w:type="dxa"/>
          </w:tcPr>
          <w:p>
            <w:pPr>
              <w:adjustRightInd w:val="0"/>
              <w:snapToGrid w:val="0"/>
              <w:spacing w:line="360" w:lineRule="auto"/>
              <w:ind w:firstLine="480" w:firstLineChars="200"/>
              <w:jc w:val="left"/>
              <w:rPr>
                <w:rFonts w:eastAsia="黑体"/>
                <w:color w:val="auto"/>
                <w:sz w:val="24"/>
                <w:highlight w:val="none"/>
              </w:rPr>
            </w:pPr>
            <w:r>
              <w:rPr>
                <w:rFonts w:eastAsia="黑体"/>
                <w:color w:val="auto"/>
                <w:sz w:val="24"/>
                <w:highlight w:val="none"/>
              </w:rPr>
              <w:t>3.</w:t>
            </w:r>
            <w:r>
              <w:rPr>
                <w:rFonts w:hint="eastAsia" w:eastAsia="黑体"/>
                <w:color w:val="auto"/>
                <w:sz w:val="24"/>
                <w:highlight w:val="none"/>
              </w:rPr>
              <w:t>3</w:t>
            </w:r>
            <w:r>
              <w:rPr>
                <w:rFonts w:eastAsia="黑体"/>
                <w:color w:val="auto"/>
                <w:sz w:val="24"/>
                <w:highlight w:val="none"/>
              </w:rPr>
              <w:t>主要环境保护目标（列出名单及保护级别）</w:t>
            </w:r>
          </w:p>
          <w:p>
            <w:pPr>
              <w:adjustRightInd w:val="0"/>
              <w:snapToGrid w:val="0"/>
              <w:spacing w:line="360" w:lineRule="auto"/>
              <w:ind w:firstLine="480" w:firstLineChars="200"/>
              <w:rPr>
                <w:color w:val="auto"/>
                <w:sz w:val="24"/>
                <w:highlight w:val="none"/>
              </w:rPr>
            </w:pPr>
            <w:r>
              <w:rPr>
                <w:color w:val="auto"/>
                <w:sz w:val="24"/>
                <w:highlight w:val="none"/>
              </w:rPr>
              <w:t>本次项目建设地位于</w:t>
            </w:r>
            <w:r>
              <w:rPr>
                <w:rFonts w:hint="eastAsia"/>
                <w:color w:val="auto"/>
                <w:sz w:val="24"/>
                <w:highlight w:val="none"/>
              </w:rPr>
              <w:t>西安市灞桥区水安路 8 号陕西澳利森木业集团有限公司厂区内</w:t>
            </w:r>
            <w:r>
              <w:rPr>
                <w:color w:val="auto"/>
                <w:sz w:val="24"/>
                <w:highlight w:val="none"/>
                <w:lang w:val="zh-CN"/>
              </w:rPr>
              <w:t>。</w:t>
            </w:r>
            <w:r>
              <w:rPr>
                <w:rFonts w:hint="eastAsia"/>
                <w:color w:val="auto"/>
                <w:sz w:val="24"/>
                <w:highlight w:val="none"/>
                <w:lang w:val="zh-CN"/>
              </w:rPr>
              <w:t>因大气评价等级为三级，不设大气评价范围。</w:t>
            </w:r>
            <w:r>
              <w:rPr>
                <w:rFonts w:hint="eastAsia"/>
                <w:color w:val="auto"/>
                <w:sz w:val="24"/>
                <w:highlight w:val="none"/>
              </w:rPr>
              <w:t>因此本项目不设主要大气环境保护目标。</w:t>
            </w:r>
            <w:r>
              <w:rPr>
                <w:rFonts w:hint="eastAsia"/>
                <w:color w:val="auto"/>
                <w:sz w:val="24"/>
                <w:highlight w:val="none"/>
                <w:lang w:val="zh-CN"/>
              </w:rPr>
              <w:t>本项目200m范围内有声环境敏感目标。因此本项目主要环境保护目标见表3-4。</w:t>
            </w:r>
          </w:p>
          <w:p>
            <w:pPr>
              <w:spacing w:line="312" w:lineRule="auto"/>
              <w:ind w:firstLine="470" w:firstLineChars="196"/>
              <w:jc w:val="center"/>
              <w:rPr>
                <w:rFonts w:eastAsia="黑体"/>
                <w:color w:val="auto"/>
                <w:sz w:val="24"/>
                <w:highlight w:val="none"/>
              </w:rPr>
            </w:pPr>
            <w:r>
              <w:rPr>
                <w:rFonts w:hint="eastAsia" w:eastAsia="黑体"/>
                <w:color w:val="auto"/>
                <w:sz w:val="24"/>
                <w:highlight w:val="none"/>
              </w:rPr>
              <w:t>表</w:t>
            </w:r>
            <w:r>
              <w:rPr>
                <w:rFonts w:eastAsia="黑体"/>
                <w:color w:val="auto"/>
                <w:sz w:val="24"/>
                <w:highlight w:val="none"/>
              </w:rPr>
              <w:t>3-</w:t>
            </w:r>
            <w:r>
              <w:rPr>
                <w:rFonts w:hint="eastAsia" w:eastAsia="黑体"/>
                <w:color w:val="auto"/>
                <w:sz w:val="24"/>
                <w:highlight w:val="none"/>
              </w:rPr>
              <w:t>4</w:t>
            </w:r>
            <w:r>
              <w:rPr>
                <w:rFonts w:eastAsia="黑体"/>
                <w:color w:val="auto"/>
                <w:sz w:val="24"/>
                <w:highlight w:val="none"/>
              </w:rPr>
              <w:t xml:space="preserve">  </w:t>
            </w:r>
            <w:r>
              <w:rPr>
                <w:rFonts w:hint="eastAsia" w:eastAsia="黑体"/>
                <w:color w:val="auto"/>
                <w:sz w:val="24"/>
                <w:highlight w:val="none"/>
              </w:rPr>
              <w:t>本项目主要环境保护目标表</w:t>
            </w:r>
          </w:p>
          <w:tbl>
            <w:tblPr>
              <w:tblStyle w:val="27"/>
              <w:tblW w:w="4759"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19"/>
              <w:gridCol w:w="1418"/>
              <w:gridCol w:w="1276"/>
              <w:gridCol w:w="1134"/>
              <w:gridCol w:w="1134"/>
              <w:gridCol w:w="1275"/>
              <w:gridCol w:w="14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2" w:hRule="atLeast"/>
              </w:trPr>
              <w:tc>
                <w:tcPr>
                  <w:tcW w:w="1119" w:type="dxa"/>
                  <w:vMerge w:val="restart"/>
                  <w:tcBorders>
                    <w:right w:val="single" w:color="auto" w:sz="4" w:space="0"/>
                  </w:tcBorders>
                  <w:vAlign w:val="center"/>
                </w:tcPr>
                <w:p>
                  <w:pPr>
                    <w:jc w:val="center"/>
                    <w:rPr>
                      <w:color w:val="auto"/>
                      <w:sz w:val="21"/>
                      <w:szCs w:val="21"/>
                      <w:highlight w:val="none"/>
                    </w:rPr>
                  </w:pPr>
                  <w:r>
                    <w:rPr>
                      <w:rFonts w:hint="eastAsia"/>
                      <w:color w:val="auto"/>
                      <w:sz w:val="21"/>
                      <w:szCs w:val="21"/>
                      <w:highlight w:val="none"/>
                    </w:rPr>
                    <w:t>名称</w:t>
                  </w:r>
                </w:p>
              </w:tc>
              <w:tc>
                <w:tcPr>
                  <w:tcW w:w="2694" w:type="dxa"/>
                  <w:gridSpan w:val="2"/>
                  <w:tcBorders>
                    <w:left w:val="single" w:color="auto" w:sz="4" w:space="0"/>
                    <w:bottom w:val="single" w:color="auto" w:sz="4" w:space="0"/>
                  </w:tcBorders>
                  <w:vAlign w:val="center"/>
                </w:tcPr>
                <w:p>
                  <w:pPr>
                    <w:jc w:val="center"/>
                    <w:rPr>
                      <w:color w:val="auto"/>
                      <w:sz w:val="21"/>
                      <w:szCs w:val="21"/>
                      <w:highlight w:val="none"/>
                    </w:rPr>
                  </w:pPr>
                  <w:r>
                    <w:rPr>
                      <w:rFonts w:hint="eastAsia"/>
                      <w:color w:val="auto"/>
                      <w:sz w:val="21"/>
                      <w:szCs w:val="21"/>
                      <w:highlight w:val="none"/>
                    </w:rPr>
                    <w:t>坐标</w:t>
                  </w:r>
                </w:p>
              </w:tc>
              <w:tc>
                <w:tcPr>
                  <w:tcW w:w="1134" w:type="dxa"/>
                  <w:vMerge w:val="restart"/>
                  <w:vAlign w:val="center"/>
                </w:tcPr>
                <w:p>
                  <w:pPr>
                    <w:jc w:val="center"/>
                    <w:rPr>
                      <w:color w:val="auto"/>
                      <w:sz w:val="21"/>
                      <w:szCs w:val="21"/>
                      <w:highlight w:val="none"/>
                    </w:rPr>
                  </w:pPr>
                  <w:r>
                    <w:rPr>
                      <w:rFonts w:hint="eastAsia"/>
                      <w:color w:val="auto"/>
                      <w:sz w:val="21"/>
                      <w:szCs w:val="21"/>
                      <w:highlight w:val="none"/>
                    </w:rPr>
                    <w:t>保护内容</w:t>
                  </w:r>
                </w:p>
              </w:tc>
              <w:tc>
                <w:tcPr>
                  <w:tcW w:w="1134" w:type="dxa"/>
                  <w:vMerge w:val="restart"/>
                  <w:tcBorders>
                    <w:right w:val="single" w:color="auto" w:sz="4" w:space="0"/>
                  </w:tcBorders>
                  <w:vAlign w:val="center"/>
                </w:tcPr>
                <w:p>
                  <w:pPr>
                    <w:jc w:val="center"/>
                    <w:rPr>
                      <w:color w:val="auto"/>
                      <w:sz w:val="21"/>
                      <w:szCs w:val="21"/>
                      <w:highlight w:val="none"/>
                    </w:rPr>
                  </w:pPr>
                  <w:r>
                    <w:rPr>
                      <w:rFonts w:hint="eastAsia"/>
                      <w:color w:val="auto"/>
                      <w:sz w:val="21"/>
                      <w:szCs w:val="21"/>
                      <w:highlight w:val="none"/>
                    </w:rPr>
                    <w:t>环境功能区</w:t>
                  </w:r>
                </w:p>
              </w:tc>
              <w:tc>
                <w:tcPr>
                  <w:tcW w:w="1275" w:type="dxa"/>
                  <w:vMerge w:val="restart"/>
                  <w:tcBorders>
                    <w:left w:val="single" w:color="auto" w:sz="4" w:space="0"/>
                  </w:tcBorders>
                  <w:vAlign w:val="center"/>
                </w:tcPr>
                <w:p>
                  <w:pPr>
                    <w:jc w:val="center"/>
                    <w:rPr>
                      <w:color w:val="auto"/>
                      <w:sz w:val="21"/>
                      <w:szCs w:val="21"/>
                      <w:highlight w:val="none"/>
                    </w:rPr>
                  </w:pPr>
                  <w:r>
                    <w:rPr>
                      <w:rFonts w:hint="eastAsia"/>
                      <w:color w:val="auto"/>
                      <w:sz w:val="21"/>
                      <w:szCs w:val="21"/>
                      <w:highlight w:val="none"/>
                    </w:rPr>
                    <w:t>相对厂址方位</w:t>
                  </w:r>
                </w:p>
              </w:tc>
              <w:tc>
                <w:tcPr>
                  <w:tcW w:w="1418" w:type="dxa"/>
                  <w:vMerge w:val="restart"/>
                  <w:vAlign w:val="center"/>
                </w:tcPr>
                <w:p>
                  <w:pPr>
                    <w:jc w:val="center"/>
                    <w:rPr>
                      <w:color w:val="auto"/>
                      <w:sz w:val="21"/>
                      <w:szCs w:val="21"/>
                      <w:highlight w:val="none"/>
                    </w:rPr>
                  </w:pPr>
                  <w:r>
                    <w:rPr>
                      <w:rFonts w:hint="eastAsia"/>
                      <w:color w:val="auto"/>
                      <w:sz w:val="21"/>
                      <w:szCs w:val="21"/>
                      <w:highlight w:val="none"/>
                    </w:rPr>
                    <w:t>相对厂界距离/m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1119" w:type="dxa"/>
                  <w:vMerge w:val="continue"/>
                  <w:tcBorders>
                    <w:right w:val="single" w:color="auto" w:sz="4" w:space="0"/>
                  </w:tcBorders>
                  <w:vAlign w:val="center"/>
                </w:tcPr>
                <w:p>
                  <w:pPr>
                    <w:jc w:val="center"/>
                    <w:rPr>
                      <w:color w:val="auto"/>
                      <w:sz w:val="21"/>
                      <w:szCs w:val="21"/>
                      <w:highlight w:val="none"/>
                    </w:rPr>
                  </w:pPr>
                </w:p>
              </w:tc>
              <w:tc>
                <w:tcPr>
                  <w:tcW w:w="1418" w:type="dxa"/>
                  <w:tcBorders>
                    <w:top w:val="single" w:color="auto" w:sz="4" w:space="0"/>
                    <w:left w:val="single" w:color="auto" w:sz="4" w:space="0"/>
                    <w:right w:val="single" w:color="auto" w:sz="4" w:space="0"/>
                  </w:tcBorders>
                  <w:vAlign w:val="center"/>
                </w:tcPr>
                <w:p>
                  <w:pPr>
                    <w:jc w:val="center"/>
                    <w:rPr>
                      <w:color w:val="auto"/>
                      <w:sz w:val="21"/>
                      <w:szCs w:val="21"/>
                      <w:highlight w:val="none"/>
                    </w:rPr>
                  </w:pPr>
                  <w:r>
                    <w:rPr>
                      <w:rFonts w:hint="eastAsia"/>
                      <w:color w:val="auto"/>
                      <w:sz w:val="21"/>
                      <w:szCs w:val="21"/>
                      <w:highlight w:val="none"/>
                    </w:rPr>
                    <w:t>经度</w:t>
                  </w:r>
                </w:p>
              </w:tc>
              <w:tc>
                <w:tcPr>
                  <w:tcW w:w="1276" w:type="dxa"/>
                  <w:tcBorders>
                    <w:top w:val="single" w:color="auto" w:sz="4" w:space="0"/>
                    <w:left w:val="single" w:color="auto" w:sz="4" w:space="0"/>
                  </w:tcBorders>
                  <w:vAlign w:val="center"/>
                </w:tcPr>
                <w:p>
                  <w:pPr>
                    <w:jc w:val="center"/>
                    <w:rPr>
                      <w:color w:val="auto"/>
                      <w:sz w:val="21"/>
                      <w:szCs w:val="21"/>
                      <w:highlight w:val="none"/>
                    </w:rPr>
                  </w:pPr>
                  <w:r>
                    <w:rPr>
                      <w:rFonts w:hint="eastAsia"/>
                      <w:color w:val="auto"/>
                      <w:sz w:val="21"/>
                      <w:szCs w:val="21"/>
                      <w:highlight w:val="none"/>
                    </w:rPr>
                    <w:t>纬度</w:t>
                  </w:r>
                </w:p>
              </w:tc>
              <w:tc>
                <w:tcPr>
                  <w:tcW w:w="1134" w:type="dxa"/>
                  <w:vMerge w:val="continue"/>
                  <w:vAlign w:val="center"/>
                </w:tcPr>
                <w:p>
                  <w:pPr>
                    <w:jc w:val="center"/>
                    <w:rPr>
                      <w:color w:val="auto"/>
                      <w:sz w:val="21"/>
                      <w:szCs w:val="21"/>
                      <w:highlight w:val="none"/>
                    </w:rPr>
                  </w:pPr>
                </w:p>
              </w:tc>
              <w:tc>
                <w:tcPr>
                  <w:tcW w:w="1134" w:type="dxa"/>
                  <w:vMerge w:val="continue"/>
                  <w:tcBorders>
                    <w:right w:val="single" w:color="auto" w:sz="4" w:space="0"/>
                  </w:tcBorders>
                  <w:vAlign w:val="center"/>
                </w:tcPr>
                <w:p>
                  <w:pPr>
                    <w:jc w:val="center"/>
                    <w:rPr>
                      <w:color w:val="auto"/>
                      <w:sz w:val="21"/>
                      <w:szCs w:val="21"/>
                      <w:highlight w:val="none"/>
                    </w:rPr>
                  </w:pPr>
                </w:p>
              </w:tc>
              <w:tc>
                <w:tcPr>
                  <w:tcW w:w="1275" w:type="dxa"/>
                  <w:vMerge w:val="continue"/>
                  <w:tcBorders>
                    <w:left w:val="single" w:color="auto" w:sz="4" w:space="0"/>
                  </w:tcBorders>
                  <w:vAlign w:val="center"/>
                </w:tcPr>
                <w:p>
                  <w:pPr>
                    <w:jc w:val="center"/>
                    <w:rPr>
                      <w:color w:val="auto"/>
                      <w:sz w:val="21"/>
                      <w:szCs w:val="21"/>
                      <w:highlight w:val="none"/>
                    </w:rPr>
                  </w:pPr>
                </w:p>
              </w:tc>
              <w:tc>
                <w:tcPr>
                  <w:tcW w:w="1418" w:type="dxa"/>
                  <w:vMerge w:val="continue"/>
                  <w:vAlign w:val="center"/>
                </w:tcPr>
                <w:p>
                  <w:pPr>
                    <w:jc w:val="center"/>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1119" w:type="dxa"/>
                  <w:tcBorders>
                    <w:right w:val="single" w:color="auto" w:sz="4" w:space="0"/>
                  </w:tcBorders>
                  <w:vAlign w:val="center"/>
                </w:tcPr>
                <w:p>
                  <w:pPr>
                    <w:jc w:val="center"/>
                    <w:rPr>
                      <w:color w:val="auto"/>
                      <w:sz w:val="21"/>
                      <w:szCs w:val="21"/>
                      <w:highlight w:val="none"/>
                    </w:rPr>
                  </w:pPr>
                  <w:r>
                    <w:rPr>
                      <w:rFonts w:hint="eastAsia"/>
                      <w:color w:val="auto"/>
                      <w:sz w:val="21"/>
                      <w:szCs w:val="21"/>
                      <w:highlight w:val="none"/>
                    </w:rPr>
                    <w:t>神峪寺沟村六组</w:t>
                  </w:r>
                </w:p>
              </w:tc>
              <w:tc>
                <w:tcPr>
                  <w:tcW w:w="1418" w:type="dxa"/>
                  <w:tcBorders>
                    <w:top w:val="single" w:color="auto" w:sz="4" w:space="0"/>
                    <w:left w:val="single" w:color="auto" w:sz="4" w:space="0"/>
                    <w:right w:val="single" w:color="auto" w:sz="4" w:space="0"/>
                  </w:tcBorders>
                  <w:vAlign w:val="center"/>
                </w:tcPr>
                <w:p>
                  <w:pPr>
                    <w:jc w:val="center"/>
                    <w:rPr>
                      <w:color w:val="auto"/>
                      <w:sz w:val="21"/>
                      <w:szCs w:val="21"/>
                      <w:highlight w:val="none"/>
                    </w:rPr>
                  </w:pPr>
                  <w:r>
                    <w:rPr>
                      <w:color w:val="auto"/>
                      <w:sz w:val="21"/>
                      <w:szCs w:val="21"/>
                      <w:highlight w:val="none"/>
                    </w:rPr>
                    <w:t>109</w:t>
                  </w:r>
                  <w:r>
                    <w:rPr>
                      <w:rFonts w:hint="eastAsia"/>
                      <w:color w:val="auto"/>
                      <w:sz w:val="21"/>
                      <w:szCs w:val="21"/>
                      <w:highlight w:val="none"/>
                    </w:rPr>
                    <w:t>.064981</w:t>
                  </w:r>
                  <w:r>
                    <w:rPr>
                      <w:color w:val="auto"/>
                      <w:sz w:val="21"/>
                      <w:szCs w:val="21"/>
                      <w:highlight w:val="none"/>
                    </w:rPr>
                    <w:t>°</w:t>
                  </w:r>
                </w:p>
              </w:tc>
              <w:tc>
                <w:tcPr>
                  <w:tcW w:w="1276" w:type="dxa"/>
                  <w:tcBorders>
                    <w:top w:val="single" w:color="auto" w:sz="4" w:space="0"/>
                    <w:left w:val="single" w:color="auto" w:sz="4" w:space="0"/>
                  </w:tcBorders>
                  <w:vAlign w:val="center"/>
                </w:tcPr>
                <w:p>
                  <w:pPr>
                    <w:jc w:val="center"/>
                    <w:rPr>
                      <w:color w:val="auto"/>
                      <w:sz w:val="21"/>
                      <w:szCs w:val="21"/>
                      <w:highlight w:val="none"/>
                    </w:rPr>
                  </w:pPr>
                  <w:r>
                    <w:rPr>
                      <w:color w:val="auto"/>
                      <w:sz w:val="21"/>
                      <w:szCs w:val="21"/>
                      <w:highlight w:val="none"/>
                    </w:rPr>
                    <w:t>34</w:t>
                  </w:r>
                  <w:r>
                    <w:rPr>
                      <w:rFonts w:hint="eastAsia"/>
                      <w:color w:val="auto"/>
                      <w:sz w:val="21"/>
                      <w:szCs w:val="21"/>
                      <w:highlight w:val="none"/>
                    </w:rPr>
                    <w:t>.247816</w:t>
                  </w:r>
                  <w:r>
                    <w:rPr>
                      <w:color w:val="auto"/>
                      <w:sz w:val="21"/>
                      <w:szCs w:val="21"/>
                      <w:highlight w:val="none"/>
                    </w:rPr>
                    <w:t>°</w:t>
                  </w:r>
                </w:p>
              </w:tc>
              <w:tc>
                <w:tcPr>
                  <w:tcW w:w="1134" w:type="dxa"/>
                  <w:vAlign w:val="center"/>
                </w:tcPr>
                <w:p>
                  <w:pPr>
                    <w:jc w:val="center"/>
                    <w:rPr>
                      <w:color w:val="auto"/>
                      <w:sz w:val="21"/>
                      <w:szCs w:val="21"/>
                      <w:highlight w:val="none"/>
                    </w:rPr>
                  </w:pPr>
                  <w:r>
                    <w:rPr>
                      <w:color w:val="auto"/>
                      <w:sz w:val="21"/>
                      <w:szCs w:val="21"/>
                      <w:highlight w:val="none"/>
                    </w:rPr>
                    <w:t>声环境</w:t>
                  </w:r>
                </w:p>
              </w:tc>
              <w:tc>
                <w:tcPr>
                  <w:tcW w:w="1134" w:type="dxa"/>
                  <w:tcBorders>
                    <w:right w:val="single" w:color="auto" w:sz="4" w:space="0"/>
                  </w:tcBorders>
                  <w:vAlign w:val="center"/>
                </w:tcPr>
                <w:p>
                  <w:pPr>
                    <w:jc w:val="center"/>
                    <w:rPr>
                      <w:color w:val="auto"/>
                      <w:sz w:val="21"/>
                      <w:szCs w:val="21"/>
                      <w:highlight w:val="none"/>
                    </w:rPr>
                  </w:pPr>
                  <w:r>
                    <w:rPr>
                      <w:rFonts w:hint="eastAsia"/>
                      <w:color w:val="auto"/>
                      <w:sz w:val="21"/>
                      <w:szCs w:val="21"/>
                      <w:highlight w:val="none"/>
                    </w:rPr>
                    <w:t>2类</w:t>
                  </w:r>
                </w:p>
              </w:tc>
              <w:tc>
                <w:tcPr>
                  <w:tcW w:w="1275" w:type="dxa"/>
                  <w:tcBorders>
                    <w:left w:val="single" w:color="auto" w:sz="4" w:space="0"/>
                  </w:tcBorders>
                  <w:vAlign w:val="center"/>
                </w:tcPr>
                <w:p>
                  <w:pPr>
                    <w:jc w:val="center"/>
                    <w:rPr>
                      <w:color w:val="auto"/>
                      <w:sz w:val="21"/>
                      <w:szCs w:val="21"/>
                      <w:highlight w:val="none"/>
                    </w:rPr>
                  </w:pPr>
                  <w:r>
                    <w:rPr>
                      <w:rFonts w:hint="eastAsia"/>
                      <w:color w:val="auto"/>
                      <w:sz w:val="21"/>
                      <w:szCs w:val="21"/>
                      <w:highlight w:val="none"/>
                    </w:rPr>
                    <w:t>南、东</w:t>
                  </w:r>
                </w:p>
              </w:tc>
              <w:tc>
                <w:tcPr>
                  <w:tcW w:w="1418" w:type="dxa"/>
                  <w:vAlign w:val="center"/>
                </w:tcPr>
                <w:p>
                  <w:pPr>
                    <w:jc w:val="center"/>
                    <w:rPr>
                      <w:color w:val="auto"/>
                      <w:sz w:val="21"/>
                      <w:szCs w:val="21"/>
                      <w:highlight w:val="none"/>
                    </w:rPr>
                  </w:pPr>
                  <w:r>
                    <w:rPr>
                      <w:rFonts w:hint="eastAsia"/>
                      <w:color w:val="auto"/>
                      <w:sz w:val="21"/>
                      <w:szCs w:val="21"/>
                      <w:highlight w:val="none"/>
                    </w:rPr>
                    <w:t>70</w:t>
                  </w:r>
                </w:p>
              </w:tc>
            </w:tr>
          </w:tbl>
          <w:p>
            <w:pPr>
              <w:pStyle w:val="2"/>
              <w:rPr>
                <w:color w:val="auto"/>
                <w:highlight w:val="none"/>
              </w:rPr>
            </w:pPr>
          </w:p>
        </w:tc>
      </w:tr>
    </w:tbl>
    <w:p>
      <w:pPr>
        <w:rPr>
          <w:b/>
          <w:color w:val="auto"/>
          <w:highlight w:val="none"/>
        </w:rPr>
        <w:sectPr>
          <w:pgSz w:w="11906" w:h="16838"/>
          <w:pgMar w:top="1440" w:right="1418" w:bottom="873" w:left="1797" w:header="851" w:footer="992" w:gutter="0"/>
          <w:cols w:space="720" w:num="1"/>
          <w:docGrid w:linePitch="381" w:charSpace="0"/>
        </w:sectPr>
      </w:pPr>
    </w:p>
    <w:p>
      <w:pPr>
        <w:rPr>
          <w:rFonts w:eastAsia="黑体"/>
          <w:color w:val="auto"/>
          <w:highlight w:val="none"/>
        </w:rPr>
      </w:pPr>
      <w:r>
        <w:rPr>
          <w:rFonts w:eastAsia="黑体"/>
          <w:color w:val="auto"/>
          <w:highlight w:val="none"/>
        </w:rPr>
        <w:t>4评价适用标准</w:t>
      </w:r>
    </w:p>
    <w:tbl>
      <w:tblPr>
        <w:tblStyle w:val="27"/>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667"/>
        <w:gridCol w:w="824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442" w:hRule="atLeast"/>
          <w:jc w:val="center"/>
        </w:trPr>
        <w:tc>
          <w:tcPr>
            <w:tcW w:w="667" w:type="dxa"/>
            <w:vAlign w:val="center"/>
          </w:tcPr>
          <w:p>
            <w:pPr>
              <w:jc w:val="center"/>
              <w:rPr>
                <w:color w:val="auto"/>
                <w:highlight w:val="none"/>
              </w:rPr>
            </w:pPr>
            <w:r>
              <w:rPr>
                <w:color w:val="auto"/>
                <w:highlight w:val="none"/>
              </w:rPr>
              <w:t>环境质量标准</w:t>
            </w:r>
          </w:p>
        </w:tc>
        <w:tc>
          <w:tcPr>
            <w:tcW w:w="8240" w:type="dxa"/>
            <w:vAlign w:val="center"/>
          </w:tcPr>
          <w:p>
            <w:pPr>
              <w:spacing w:line="360" w:lineRule="auto"/>
              <w:ind w:firstLine="482"/>
              <w:rPr>
                <w:color w:val="auto"/>
                <w:sz w:val="24"/>
                <w:highlight w:val="none"/>
              </w:rPr>
            </w:pPr>
            <w:r>
              <w:rPr>
                <w:color w:val="auto"/>
                <w:sz w:val="24"/>
                <w:highlight w:val="none"/>
              </w:rPr>
              <w:t>1、环境空气执行：SO</w:t>
            </w:r>
            <w:r>
              <w:rPr>
                <w:color w:val="auto"/>
                <w:sz w:val="24"/>
                <w:highlight w:val="none"/>
                <w:vertAlign w:val="subscript"/>
              </w:rPr>
              <w:t>2</w:t>
            </w:r>
            <w:r>
              <w:rPr>
                <w:color w:val="auto"/>
                <w:sz w:val="24"/>
                <w:highlight w:val="none"/>
              </w:rPr>
              <w:t>、NOx、PM</w:t>
            </w:r>
            <w:r>
              <w:rPr>
                <w:color w:val="auto"/>
                <w:sz w:val="24"/>
                <w:highlight w:val="none"/>
                <w:vertAlign w:val="subscript"/>
              </w:rPr>
              <w:t>10</w:t>
            </w:r>
            <w:r>
              <w:rPr>
                <w:rFonts w:hint="eastAsia"/>
                <w:color w:val="auto"/>
                <w:sz w:val="24"/>
                <w:highlight w:val="none"/>
              </w:rPr>
              <w:t>执行</w:t>
            </w:r>
            <w:r>
              <w:rPr>
                <w:color w:val="auto"/>
                <w:sz w:val="24"/>
                <w:highlight w:val="none"/>
              </w:rPr>
              <w:t>《环境空气质量标准》（GB3095-2012）中二级标准；</w:t>
            </w:r>
            <w:r>
              <w:rPr>
                <w:rFonts w:hint="eastAsia"/>
                <w:color w:val="auto"/>
                <w:sz w:val="24"/>
                <w:highlight w:val="none"/>
              </w:rPr>
              <w:t>非甲烷总烃执行《大气污染物综合排放标准详解》要求。</w:t>
            </w:r>
          </w:p>
          <w:p>
            <w:pPr>
              <w:adjustRightInd w:val="0"/>
              <w:snapToGrid w:val="0"/>
              <w:spacing w:line="360" w:lineRule="auto"/>
              <w:jc w:val="left"/>
              <w:rPr>
                <w:color w:val="auto"/>
                <w:sz w:val="24"/>
                <w:highlight w:val="none"/>
              </w:rPr>
            </w:pPr>
            <w:r>
              <w:rPr>
                <w:rFonts w:hint="eastAsia"/>
                <w:color w:val="auto"/>
                <w:sz w:val="24"/>
                <w:highlight w:val="none"/>
              </w:rPr>
              <w:t xml:space="preserve">    </w:t>
            </w:r>
            <w:r>
              <w:rPr>
                <w:color w:val="auto"/>
                <w:sz w:val="24"/>
                <w:highlight w:val="none"/>
              </w:rPr>
              <w:t>2</w:t>
            </w:r>
            <w:r>
              <w:rPr>
                <w:rFonts w:hint="eastAsia"/>
                <w:color w:val="auto"/>
                <w:sz w:val="24"/>
                <w:highlight w:val="none"/>
              </w:rPr>
              <w:t>、声环境：厂界四周执行《声环境质量标准》（</w:t>
            </w:r>
            <w:r>
              <w:rPr>
                <w:color w:val="auto"/>
                <w:sz w:val="24"/>
                <w:highlight w:val="none"/>
              </w:rPr>
              <w:t>GB3096-2008</w:t>
            </w:r>
            <w:r>
              <w:rPr>
                <w:rFonts w:hint="eastAsia"/>
                <w:color w:val="auto"/>
                <w:sz w:val="24"/>
                <w:highlight w:val="none"/>
              </w:rPr>
              <w:t>）中的</w:t>
            </w:r>
            <w:r>
              <w:rPr>
                <w:rFonts w:hint="eastAsia"/>
                <w:color w:val="auto"/>
                <w:sz w:val="24"/>
                <w:highlight w:val="none"/>
                <w:lang w:eastAsia="zh-CN"/>
              </w:rPr>
              <w:t>2类</w:t>
            </w:r>
            <w:r>
              <w:rPr>
                <w:rFonts w:hint="eastAsia"/>
                <w:color w:val="auto"/>
                <w:sz w:val="24"/>
                <w:highlight w:val="none"/>
              </w:rPr>
              <w:t>标准；声环境敏感点执行《声环境质量标准》（</w:t>
            </w:r>
            <w:r>
              <w:rPr>
                <w:color w:val="auto"/>
                <w:sz w:val="24"/>
                <w:highlight w:val="none"/>
              </w:rPr>
              <w:t>GB3096-2008</w:t>
            </w:r>
            <w:r>
              <w:rPr>
                <w:rFonts w:hint="eastAsia"/>
                <w:color w:val="auto"/>
                <w:sz w:val="24"/>
                <w:highlight w:val="none"/>
              </w:rPr>
              <w:t>）中的</w:t>
            </w:r>
            <w:r>
              <w:rPr>
                <w:color w:val="auto"/>
                <w:sz w:val="24"/>
                <w:highlight w:val="none"/>
              </w:rPr>
              <w:t>2</w:t>
            </w:r>
            <w:r>
              <w:rPr>
                <w:rFonts w:hint="eastAsia"/>
                <w:color w:val="auto"/>
                <w:sz w:val="24"/>
                <w:highlight w:val="none"/>
              </w:rPr>
              <w:t>类标准。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6" w:hRule="atLeast"/>
          <w:jc w:val="center"/>
        </w:trPr>
        <w:tc>
          <w:tcPr>
            <w:tcW w:w="667" w:type="dxa"/>
            <w:vAlign w:val="center"/>
          </w:tcPr>
          <w:p>
            <w:pPr>
              <w:jc w:val="center"/>
              <w:rPr>
                <w:color w:val="auto"/>
                <w:highlight w:val="none"/>
              </w:rPr>
            </w:pPr>
            <w:r>
              <w:rPr>
                <w:color w:val="auto"/>
                <w:highlight w:val="none"/>
              </w:rPr>
              <w:t>污</w:t>
            </w:r>
          </w:p>
          <w:p>
            <w:pPr>
              <w:jc w:val="center"/>
              <w:rPr>
                <w:color w:val="auto"/>
                <w:highlight w:val="none"/>
              </w:rPr>
            </w:pPr>
            <w:r>
              <w:rPr>
                <w:color w:val="auto"/>
                <w:highlight w:val="none"/>
              </w:rPr>
              <w:t>染物排放标准</w:t>
            </w:r>
          </w:p>
          <w:p>
            <w:pPr>
              <w:jc w:val="center"/>
              <w:rPr>
                <w:color w:val="auto"/>
                <w:highlight w:val="none"/>
              </w:rPr>
            </w:pPr>
          </w:p>
        </w:tc>
        <w:tc>
          <w:tcPr>
            <w:tcW w:w="8240" w:type="dxa"/>
            <w:vAlign w:val="center"/>
          </w:tcPr>
          <w:p>
            <w:pPr>
              <w:spacing w:line="360" w:lineRule="auto"/>
              <w:rPr>
                <w:color w:val="auto"/>
                <w:sz w:val="24"/>
                <w:highlight w:val="none"/>
              </w:rPr>
            </w:pPr>
            <w:r>
              <w:rPr>
                <w:rFonts w:hint="eastAsia"/>
                <w:color w:val="auto"/>
                <w:sz w:val="24"/>
                <w:szCs w:val="28"/>
                <w:highlight w:val="none"/>
              </w:rPr>
              <w:t xml:space="preserve">    </w:t>
            </w:r>
            <w:r>
              <w:rPr>
                <w:color w:val="auto"/>
                <w:sz w:val="24"/>
                <w:szCs w:val="28"/>
                <w:highlight w:val="none"/>
              </w:rPr>
              <w:t>1、</w:t>
            </w:r>
            <w:r>
              <w:rPr>
                <w:rFonts w:hint="eastAsia"/>
                <w:color w:val="auto"/>
                <w:sz w:val="24"/>
                <w:szCs w:val="28"/>
                <w:highlight w:val="none"/>
              </w:rPr>
              <w:t>废气：</w:t>
            </w:r>
            <w:r>
              <w:rPr>
                <w:rFonts w:hint="eastAsia"/>
                <w:color w:val="auto"/>
                <w:sz w:val="24"/>
                <w:highlight w:val="none"/>
              </w:rPr>
              <w:t>非甲烷总烃执行陕西省地方标准《挥发性有机物排放控制标准》（</w:t>
            </w:r>
            <w:r>
              <w:rPr>
                <w:color w:val="auto"/>
                <w:sz w:val="24"/>
                <w:highlight w:val="none"/>
              </w:rPr>
              <w:t>DB61/T1061-2017</w:t>
            </w:r>
            <w:r>
              <w:rPr>
                <w:rFonts w:hint="eastAsia"/>
                <w:color w:val="auto"/>
                <w:sz w:val="24"/>
                <w:highlight w:val="none"/>
              </w:rPr>
              <w:t>）印刷行业标准要求（50mg/m</w:t>
            </w:r>
            <w:r>
              <w:rPr>
                <w:rFonts w:hint="eastAsia"/>
                <w:color w:val="auto"/>
                <w:sz w:val="24"/>
                <w:highlight w:val="none"/>
                <w:vertAlign w:val="superscript"/>
              </w:rPr>
              <w:t>3</w:t>
            </w:r>
            <w:r>
              <w:rPr>
                <w:rFonts w:hint="eastAsia"/>
                <w:color w:val="auto"/>
                <w:sz w:val="24"/>
                <w:highlight w:val="none"/>
              </w:rPr>
              <w:t>，最低去除效率85%）;</w:t>
            </w:r>
          </w:p>
          <w:p>
            <w:pPr>
              <w:spacing w:line="360" w:lineRule="auto"/>
              <w:rPr>
                <w:color w:val="auto"/>
                <w:sz w:val="24"/>
                <w:highlight w:val="none"/>
              </w:rPr>
            </w:pPr>
            <w:r>
              <w:rPr>
                <w:rFonts w:hint="eastAsia"/>
                <w:color w:val="auto"/>
                <w:sz w:val="24"/>
                <w:szCs w:val="28"/>
                <w:highlight w:val="none"/>
              </w:rPr>
              <w:t xml:space="preserve">    </w:t>
            </w:r>
            <w:r>
              <w:rPr>
                <w:color w:val="auto"/>
                <w:sz w:val="24"/>
                <w:szCs w:val="28"/>
                <w:highlight w:val="none"/>
              </w:rPr>
              <w:t>2、废水</w:t>
            </w:r>
            <w:r>
              <w:rPr>
                <w:rFonts w:hint="eastAsia"/>
                <w:color w:val="auto"/>
                <w:sz w:val="24"/>
                <w:szCs w:val="28"/>
                <w:highlight w:val="none"/>
              </w:rPr>
              <w:t>：</w:t>
            </w:r>
            <w:r>
              <w:rPr>
                <w:rFonts w:hint="eastAsia"/>
                <w:color w:val="auto"/>
                <w:sz w:val="24"/>
                <w:highlight w:val="none"/>
              </w:rPr>
              <w:t>执行《污水综合排放标准》（</w:t>
            </w:r>
            <w:r>
              <w:rPr>
                <w:color w:val="auto"/>
                <w:sz w:val="24"/>
                <w:highlight w:val="none"/>
              </w:rPr>
              <w:t>GB8978-1996</w:t>
            </w:r>
            <w:r>
              <w:rPr>
                <w:rFonts w:hint="eastAsia"/>
                <w:color w:val="auto"/>
                <w:sz w:val="24"/>
                <w:highlight w:val="none"/>
              </w:rPr>
              <w:t>）中三级标准及《污水排入城镇下水道水质标准》（</w:t>
            </w:r>
            <w:r>
              <w:rPr>
                <w:color w:val="auto"/>
                <w:sz w:val="24"/>
                <w:highlight w:val="none"/>
              </w:rPr>
              <w:t>GB/T31962-2015</w:t>
            </w:r>
            <w:r>
              <w:rPr>
                <w:rFonts w:hint="eastAsia"/>
                <w:color w:val="auto"/>
                <w:sz w:val="24"/>
                <w:highlight w:val="none"/>
              </w:rPr>
              <w:t>）；</w:t>
            </w:r>
          </w:p>
          <w:p>
            <w:pPr>
              <w:spacing w:line="360" w:lineRule="auto"/>
              <w:ind w:firstLine="480"/>
              <w:rPr>
                <w:color w:val="auto"/>
                <w:sz w:val="24"/>
                <w:szCs w:val="28"/>
                <w:highlight w:val="none"/>
              </w:rPr>
            </w:pPr>
            <w:r>
              <w:rPr>
                <w:color w:val="auto"/>
                <w:sz w:val="24"/>
                <w:szCs w:val="28"/>
                <w:highlight w:val="none"/>
              </w:rPr>
              <w:t>3</w:t>
            </w:r>
            <w:r>
              <w:rPr>
                <w:rFonts w:hint="eastAsia"/>
                <w:color w:val="auto"/>
                <w:sz w:val="24"/>
                <w:szCs w:val="28"/>
                <w:highlight w:val="none"/>
              </w:rPr>
              <w:t>、噪声：</w:t>
            </w:r>
            <w:r>
              <w:rPr>
                <w:rFonts w:hint="eastAsia"/>
                <w:color w:val="auto"/>
                <w:sz w:val="24"/>
                <w:highlight w:val="none"/>
              </w:rPr>
              <w:t>厂界执行</w:t>
            </w:r>
            <w:r>
              <w:rPr>
                <w:rFonts w:hint="eastAsia"/>
                <w:color w:val="auto"/>
                <w:sz w:val="24"/>
                <w:szCs w:val="28"/>
                <w:highlight w:val="none"/>
              </w:rPr>
              <w:t>《工业企业厂界环境噪声排放标准》（</w:t>
            </w:r>
            <w:r>
              <w:rPr>
                <w:color w:val="auto"/>
                <w:sz w:val="24"/>
                <w:szCs w:val="28"/>
                <w:highlight w:val="none"/>
              </w:rPr>
              <w:t>GB12348-2008</w:t>
            </w:r>
            <w:r>
              <w:rPr>
                <w:rFonts w:hint="eastAsia"/>
                <w:color w:val="auto"/>
                <w:sz w:val="24"/>
                <w:szCs w:val="28"/>
                <w:highlight w:val="none"/>
              </w:rPr>
              <w:t>）表</w:t>
            </w:r>
            <w:r>
              <w:rPr>
                <w:color w:val="auto"/>
                <w:sz w:val="24"/>
                <w:szCs w:val="28"/>
                <w:highlight w:val="none"/>
              </w:rPr>
              <w:t>1</w:t>
            </w:r>
            <w:r>
              <w:rPr>
                <w:rFonts w:hint="eastAsia"/>
                <w:color w:val="auto"/>
                <w:sz w:val="24"/>
                <w:highlight w:val="none"/>
              </w:rPr>
              <w:t>中的</w:t>
            </w:r>
            <w:r>
              <w:rPr>
                <w:rFonts w:hint="eastAsia"/>
                <w:color w:val="auto"/>
                <w:sz w:val="24"/>
                <w:highlight w:val="none"/>
                <w:lang w:eastAsia="zh-CN"/>
              </w:rPr>
              <w:t>2类</w:t>
            </w:r>
            <w:r>
              <w:rPr>
                <w:rFonts w:hint="eastAsia"/>
                <w:color w:val="auto"/>
                <w:sz w:val="24"/>
                <w:highlight w:val="none"/>
              </w:rPr>
              <w:t>标准（昼间</w:t>
            </w:r>
            <w:r>
              <w:rPr>
                <w:color w:val="auto"/>
                <w:sz w:val="24"/>
                <w:highlight w:val="none"/>
              </w:rPr>
              <w:t>6</w:t>
            </w:r>
            <w:r>
              <w:rPr>
                <w:rFonts w:hint="eastAsia"/>
                <w:color w:val="auto"/>
                <w:sz w:val="24"/>
                <w:highlight w:val="none"/>
                <w:lang w:val="en-US" w:eastAsia="zh-CN"/>
              </w:rPr>
              <w:t>0</w:t>
            </w:r>
            <w:r>
              <w:rPr>
                <w:color w:val="auto"/>
                <w:sz w:val="24"/>
                <w:highlight w:val="none"/>
              </w:rPr>
              <w:t>dB</w:t>
            </w:r>
            <w:r>
              <w:rPr>
                <w:rFonts w:hint="eastAsia"/>
                <w:color w:val="auto"/>
                <w:sz w:val="24"/>
                <w:highlight w:val="none"/>
              </w:rPr>
              <w:t>（</w:t>
            </w:r>
            <w:r>
              <w:rPr>
                <w:color w:val="auto"/>
                <w:sz w:val="24"/>
                <w:highlight w:val="none"/>
              </w:rPr>
              <w:t>A</w:t>
            </w:r>
            <w:r>
              <w:rPr>
                <w:rFonts w:hint="eastAsia"/>
                <w:color w:val="auto"/>
                <w:sz w:val="24"/>
                <w:highlight w:val="none"/>
              </w:rPr>
              <w:t>）、夜间</w:t>
            </w:r>
            <w:r>
              <w:rPr>
                <w:color w:val="auto"/>
                <w:sz w:val="24"/>
                <w:highlight w:val="none"/>
              </w:rPr>
              <w:t>5</w:t>
            </w:r>
            <w:r>
              <w:rPr>
                <w:rFonts w:hint="eastAsia"/>
                <w:color w:val="auto"/>
                <w:sz w:val="24"/>
                <w:highlight w:val="none"/>
                <w:lang w:val="en-US" w:eastAsia="zh-CN"/>
              </w:rPr>
              <w:t>0</w:t>
            </w:r>
            <w:r>
              <w:rPr>
                <w:color w:val="auto"/>
                <w:sz w:val="24"/>
                <w:highlight w:val="none"/>
              </w:rPr>
              <w:t>dB</w:t>
            </w:r>
            <w:r>
              <w:rPr>
                <w:rFonts w:hint="eastAsia"/>
                <w:color w:val="auto"/>
                <w:sz w:val="24"/>
                <w:highlight w:val="none"/>
              </w:rPr>
              <w:t>（</w:t>
            </w:r>
            <w:r>
              <w:rPr>
                <w:color w:val="auto"/>
                <w:sz w:val="24"/>
                <w:highlight w:val="none"/>
              </w:rPr>
              <w:t>A</w:t>
            </w:r>
            <w:r>
              <w:rPr>
                <w:rFonts w:hint="eastAsia"/>
                <w:color w:val="auto"/>
                <w:sz w:val="24"/>
                <w:highlight w:val="none"/>
              </w:rPr>
              <w:t>））</w:t>
            </w:r>
            <w:r>
              <w:rPr>
                <w:rFonts w:hint="eastAsia"/>
                <w:color w:val="auto"/>
                <w:sz w:val="24"/>
                <w:szCs w:val="28"/>
                <w:highlight w:val="none"/>
              </w:rPr>
              <w:t>；</w:t>
            </w:r>
          </w:p>
          <w:p>
            <w:pPr>
              <w:spacing w:line="360" w:lineRule="auto"/>
              <w:ind w:firstLine="480"/>
              <w:rPr>
                <w:color w:val="auto"/>
                <w:sz w:val="24"/>
                <w:highlight w:val="none"/>
              </w:rPr>
            </w:pPr>
            <w:r>
              <w:rPr>
                <w:color w:val="auto"/>
                <w:sz w:val="24"/>
                <w:highlight w:val="none"/>
              </w:rPr>
              <w:t>4、一般固体废物：</w:t>
            </w:r>
            <w:r>
              <w:rPr>
                <w:rFonts w:hint="eastAsia"/>
                <w:color w:val="auto"/>
                <w:sz w:val="24"/>
                <w:highlight w:val="none"/>
              </w:rPr>
              <w:t>一般工业固体废物执行《一般工业固体废物贮存、处置场污染控制标准》（</w:t>
            </w:r>
            <w:r>
              <w:rPr>
                <w:color w:val="auto"/>
                <w:sz w:val="24"/>
                <w:highlight w:val="none"/>
              </w:rPr>
              <w:t>GB18599-2001</w:t>
            </w:r>
            <w:r>
              <w:rPr>
                <w:rFonts w:hint="eastAsia"/>
                <w:color w:val="auto"/>
                <w:sz w:val="24"/>
                <w:highlight w:val="none"/>
              </w:rPr>
              <w:t>）（</w:t>
            </w:r>
            <w:r>
              <w:rPr>
                <w:color w:val="auto"/>
                <w:sz w:val="24"/>
                <w:highlight w:val="none"/>
              </w:rPr>
              <w:t>2013</w:t>
            </w:r>
            <w:r>
              <w:rPr>
                <w:rFonts w:hint="eastAsia"/>
                <w:color w:val="auto"/>
                <w:sz w:val="24"/>
                <w:highlight w:val="none"/>
              </w:rPr>
              <w:t>年修改单）中的有关规定；危险废物排放执行《危险废物贮存污染控制标准》（</w:t>
            </w:r>
            <w:r>
              <w:rPr>
                <w:color w:val="auto"/>
                <w:sz w:val="24"/>
                <w:highlight w:val="none"/>
              </w:rPr>
              <w:t>GB18597-2001</w:t>
            </w:r>
            <w:r>
              <w:rPr>
                <w:rFonts w:hint="eastAsia"/>
                <w:color w:val="auto"/>
                <w:sz w:val="24"/>
                <w:highlight w:val="none"/>
              </w:rPr>
              <w:t>）（</w:t>
            </w:r>
            <w:r>
              <w:rPr>
                <w:color w:val="auto"/>
                <w:sz w:val="24"/>
                <w:highlight w:val="none"/>
              </w:rPr>
              <w:t>2013</w:t>
            </w:r>
            <w:r>
              <w:rPr>
                <w:rFonts w:hint="eastAsia"/>
                <w:color w:val="auto"/>
                <w:sz w:val="24"/>
                <w:highlight w:val="none"/>
              </w:rPr>
              <w:t>年修改单）中的有关规定。</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20" w:hRule="atLeast"/>
          <w:jc w:val="center"/>
        </w:trPr>
        <w:tc>
          <w:tcPr>
            <w:tcW w:w="667" w:type="dxa"/>
            <w:vAlign w:val="center"/>
          </w:tcPr>
          <w:p>
            <w:pPr>
              <w:spacing w:line="400" w:lineRule="exact"/>
              <w:jc w:val="center"/>
              <w:rPr>
                <w:color w:val="auto"/>
                <w:highlight w:val="none"/>
              </w:rPr>
            </w:pPr>
            <w:r>
              <w:rPr>
                <w:color w:val="auto"/>
                <w:highlight w:val="none"/>
              </w:rPr>
              <w:t>总量控制指标</w:t>
            </w:r>
          </w:p>
        </w:tc>
        <w:tc>
          <w:tcPr>
            <w:tcW w:w="8240" w:type="dxa"/>
            <w:vAlign w:val="center"/>
          </w:tcPr>
          <w:p>
            <w:pPr>
              <w:spacing w:line="360" w:lineRule="auto"/>
              <w:ind w:firstLine="480" w:firstLineChars="200"/>
              <w:rPr>
                <w:color w:val="auto"/>
                <w:sz w:val="24"/>
                <w:highlight w:val="none"/>
              </w:rPr>
            </w:pPr>
            <w:r>
              <w:rPr>
                <w:color w:val="auto"/>
                <w:sz w:val="24"/>
                <w:highlight w:val="none"/>
              </w:rPr>
              <w:t>根据《建设项目主要污染物排放总量指标审核及管理暂行办法》（环发 [2014]197 号）的要求和国家 “十三五”主要污染物总量控制指标</w:t>
            </w:r>
            <w:r>
              <w:rPr>
                <w:rFonts w:hint="eastAsia"/>
                <w:color w:val="auto"/>
                <w:sz w:val="24"/>
                <w:highlight w:val="none"/>
              </w:rPr>
              <w:t>要求</w:t>
            </w:r>
            <w:r>
              <w:rPr>
                <w:color w:val="auto"/>
                <w:sz w:val="24"/>
                <w:highlight w:val="none"/>
              </w:rPr>
              <w:t>，总量控制指标为SO</w:t>
            </w:r>
            <w:r>
              <w:rPr>
                <w:color w:val="auto"/>
                <w:sz w:val="24"/>
                <w:highlight w:val="none"/>
                <w:vertAlign w:val="subscript"/>
              </w:rPr>
              <w:t>2</w:t>
            </w:r>
            <w:r>
              <w:rPr>
                <w:color w:val="auto"/>
                <w:sz w:val="24"/>
                <w:highlight w:val="none"/>
              </w:rPr>
              <w:t>、NOx、VOCs、COD、</w:t>
            </w:r>
            <w:r>
              <w:rPr>
                <w:rFonts w:hint="eastAsia"/>
                <w:color w:val="auto"/>
                <w:sz w:val="24"/>
                <w:highlight w:val="none"/>
              </w:rPr>
              <w:t>氨氮</w:t>
            </w:r>
            <w:r>
              <w:rPr>
                <w:color w:val="auto"/>
                <w:sz w:val="24"/>
                <w:highlight w:val="none"/>
              </w:rPr>
              <w:t>共5项。本项目</w:t>
            </w:r>
            <w:r>
              <w:rPr>
                <w:rFonts w:hint="eastAsia"/>
                <w:color w:val="auto"/>
                <w:sz w:val="24"/>
                <w:highlight w:val="none"/>
              </w:rPr>
              <w:t>生活污水排入市政污水管网</w:t>
            </w:r>
            <w:r>
              <w:rPr>
                <w:color w:val="auto"/>
                <w:sz w:val="24"/>
                <w:highlight w:val="none"/>
              </w:rPr>
              <w:t>，</w:t>
            </w:r>
            <w:r>
              <w:rPr>
                <w:rFonts w:hint="eastAsia"/>
                <w:color w:val="auto"/>
                <w:sz w:val="24"/>
                <w:highlight w:val="none"/>
              </w:rPr>
              <w:t>因此涉及</w:t>
            </w:r>
            <w:r>
              <w:rPr>
                <w:color w:val="auto"/>
                <w:sz w:val="24"/>
                <w:highlight w:val="none"/>
              </w:rPr>
              <w:t>COD、</w:t>
            </w:r>
            <w:r>
              <w:rPr>
                <w:rFonts w:hint="eastAsia"/>
                <w:color w:val="auto"/>
                <w:sz w:val="24"/>
                <w:highlight w:val="none"/>
              </w:rPr>
              <w:t>氨氮的总量指标。产生的废气仅为</w:t>
            </w:r>
            <w:r>
              <w:rPr>
                <w:color w:val="auto"/>
                <w:sz w:val="24"/>
                <w:highlight w:val="none"/>
              </w:rPr>
              <w:t>VOCs</w:t>
            </w:r>
            <w:r>
              <w:rPr>
                <w:rFonts w:hint="eastAsia"/>
                <w:color w:val="auto"/>
                <w:sz w:val="24"/>
                <w:highlight w:val="none"/>
              </w:rPr>
              <w:t>，</w:t>
            </w:r>
            <w:r>
              <w:rPr>
                <w:color w:val="auto"/>
                <w:sz w:val="24"/>
                <w:highlight w:val="none"/>
              </w:rPr>
              <w:t>因此本</w:t>
            </w:r>
            <w:r>
              <w:rPr>
                <w:rFonts w:hint="eastAsia"/>
                <w:color w:val="auto"/>
                <w:sz w:val="24"/>
                <w:highlight w:val="none"/>
              </w:rPr>
              <w:t>项目总量控制指标建议如下：</w:t>
            </w:r>
            <w:r>
              <w:rPr>
                <w:color w:val="auto"/>
                <w:sz w:val="24"/>
                <w:highlight w:val="none"/>
              </w:rPr>
              <w:t>COD</w:t>
            </w:r>
            <w:r>
              <w:rPr>
                <w:rFonts w:hint="eastAsia"/>
                <w:color w:val="auto"/>
                <w:sz w:val="24"/>
                <w:highlight w:val="none"/>
              </w:rPr>
              <w:t>0.02t/a</w:t>
            </w:r>
            <w:r>
              <w:rPr>
                <w:color w:val="auto"/>
                <w:sz w:val="24"/>
                <w:highlight w:val="none"/>
              </w:rPr>
              <w:t>、</w:t>
            </w:r>
            <w:r>
              <w:rPr>
                <w:rFonts w:hint="eastAsia"/>
                <w:color w:val="auto"/>
                <w:sz w:val="24"/>
                <w:highlight w:val="none"/>
              </w:rPr>
              <w:t>氨氮0.0026 t/a</w:t>
            </w:r>
            <w:r>
              <w:rPr>
                <w:color w:val="auto"/>
                <w:sz w:val="24"/>
                <w:highlight w:val="none"/>
              </w:rPr>
              <w:t>、VOCs0.0</w:t>
            </w:r>
            <w:r>
              <w:rPr>
                <w:rFonts w:hint="eastAsia"/>
                <w:color w:val="auto"/>
                <w:sz w:val="24"/>
                <w:highlight w:val="none"/>
                <w:lang w:val="en-US" w:eastAsia="zh-CN"/>
              </w:rPr>
              <w:t>2</w:t>
            </w:r>
            <w:r>
              <w:rPr>
                <w:rFonts w:hint="eastAsia"/>
                <w:color w:val="auto"/>
                <w:sz w:val="24"/>
                <w:highlight w:val="none"/>
              </w:rPr>
              <w:t>4</w:t>
            </w:r>
            <w:r>
              <w:rPr>
                <w:color w:val="auto"/>
                <w:sz w:val="24"/>
                <w:highlight w:val="none"/>
              </w:rPr>
              <w:t>t/a</w:t>
            </w:r>
            <w:r>
              <w:rPr>
                <w:rFonts w:hint="eastAsia"/>
                <w:color w:val="auto"/>
                <w:sz w:val="24"/>
                <w:highlight w:val="none"/>
              </w:rPr>
              <w:t>。</w:t>
            </w:r>
          </w:p>
          <w:p>
            <w:pPr>
              <w:spacing w:line="360" w:lineRule="auto"/>
              <w:rPr>
                <w:color w:val="auto"/>
                <w:sz w:val="24"/>
                <w:highlight w:val="none"/>
              </w:rPr>
            </w:pPr>
          </w:p>
        </w:tc>
      </w:tr>
    </w:tbl>
    <w:p>
      <w:pPr>
        <w:spacing w:line="400" w:lineRule="exact"/>
        <w:rPr>
          <w:b/>
          <w:color w:val="auto"/>
          <w:highlight w:val="none"/>
        </w:rPr>
        <w:sectPr>
          <w:pgSz w:w="11906" w:h="16838"/>
          <w:pgMar w:top="1440" w:right="1418" w:bottom="873" w:left="1797" w:header="851" w:footer="992" w:gutter="0"/>
          <w:cols w:space="720" w:num="1"/>
          <w:docGrid w:linePitch="381" w:charSpace="0"/>
        </w:sectPr>
      </w:pPr>
    </w:p>
    <w:p>
      <w:pPr>
        <w:rPr>
          <w:rFonts w:eastAsia="黑体"/>
          <w:color w:val="auto"/>
          <w:szCs w:val="28"/>
          <w:highlight w:val="none"/>
        </w:rPr>
      </w:pPr>
      <w:r>
        <w:rPr>
          <w:rFonts w:eastAsia="黑体"/>
          <w:color w:val="auto"/>
          <w:szCs w:val="28"/>
          <w:highlight w:val="none"/>
        </w:rPr>
        <w:t>5建设项目工程分析</w:t>
      </w:r>
    </w:p>
    <w:tbl>
      <w:tblPr>
        <w:tblStyle w:val="27"/>
        <w:tblW w:w="0" w:type="auto"/>
        <w:tblInd w:w="108"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81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3437" w:hRule="atLeast"/>
        </w:trPr>
        <w:tc>
          <w:tcPr>
            <w:tcW w:w="8813" w:type="dxa"/>
            <w:tcBorders>
              <w:bottom w:val="single" w:color="000000" w:sz="12" w:space="0"/>
            </w:tcBorders>
          </w:tcPr>
          <w:p>
            <w:pPr>
              <w:spacing w:line="360" w:lineRule="auto"/>
              <w:ind w:firstLine="480" w:firstLineChars="200"/>
              <w:rPr>
                <w:color w:val="auto"/>
                <w:sz w:val="24"/>
                <w:highlight w:val="none"/>
              </w:rPr>
            </w:pPr>
            <w:r>
              <w:rPr>
                <w:color w:val="auto"/>
                <w:sz w:val="24"/>
                <w:highlight w:val="none"/>
              </w:rPr>
              <w:t>5.1工艺流程简述(图示):</w:t>
            </w:r>
          </w:p>
          <w:p>
            <w:pPr>
              <w:spacing w:line="360" w:lineRule="auto"/>
              <w:ind w:firstLine="480" w:firstLineChars="200"/>
              <w:rPr>
                <w:color w:val="auto"/>
                <w:sz w:val="24"/>
                <w:highlight w:val="none"/>
              </w:rPr>
            </w:pPr>
            <w:r>
              <w:rPr>
                <w:color w:val="auto"/>
                <w:sz w:val="24"/>
                <w:highlight w:val="none"/>
              </w:rPr>
              <w:t>（1）施工期</w:t>
            </w:r>
          </w:p>
          <w:p>
            <w:pPr>
              <w:spacing w:line="360" w:lineRule="auto"/>
              <w:ind w:firstLine="480" w:firstLineChars="200"/>
              <w:rPr>
                <w:color w:val="auto"/>
                <w:sz w:val="24"/>
                <w:highlight w:val="none"/>
              </w:rPr>
            </w:pPr>
            <w:r>
              <w:rPr>
                <w:rFonts w:hint="eastAsia"/>
                <w:color w:val="auto"/>
                <w:sz w:val="24"/>
                <w:highlight w:val="none"/>
              </w:rPr>
              <w:t>本项目生产办公场所租用现有厂房，设备已安装到位并进行生产,施工期未遗留环境问题,因此不进行施工期环境影响分析.</w:t>
            </w:r>
          </w:p>
          <w:p>
            <w:pPr>
              <w:spacing w:line="360" w:lineRule="auto"/>
              <w:ind w:firstLine="480" w:firstLineChars="200"/>
              <w:rPr>
                <w:color w:val="auto"/>
                <w:sz w:val="24"/>
                <w:highlight w:val="none"/>
              </w:rPr>
            </w:pPr>
            <w:r>
              <w:rPr>
                <w:color w:val="auto"/>
                <w:sz w:val="24"/>
                <w:highlight w:val="none"/>
              </w:rPr>
              <w:t>（2）运行期</w:t>
            </w:r>
          </w:p>
          <w:p>
            <w:pPr>
              <w:spacing w:line="360" w:lineRule="auto"/>
              <w:ind w:firstLine="480" w:firstLineChars="200"/>
              <w:rPr>
                <w:color w:val="auto"/>
                <w:sz w:val="24"/>
                <w:highlight w:val="none"/>
              </w:rPr>
            </w:pPr>
            <w:r>
              <w:rPr>
                <w:rFonts w:hint="eastAsia"/>
                <w:color w:val="auto"/>
                <w:sz w:val="24"/>
                <w:highlight w:val="none"/>
              </w:rPr>
              <w:t>本项目为书本打印，工艺流程简介：用陕西省出版印刷公司已制作好的</w:t>
            </w:r>
            <w:r>
              <w:rPr>
                <w:color w:val="auto"/>
                <w:sz w:val="24"/>
                <w:highlight w:val="none"/>
              </w:rPr>
              <w:t>PS</w:t>
            </w:r>
            <w:r>
              <w:rPr>
                <w:rFonts w:hint="eastAsia"/>
                <w:color w:val="auto"/>
                <w:sz w:val="24"/>
                <w:highlight w:val="none"/>
              </w:rPr>
              <w:t>版电脑输出</w:t>
            </w:r>
            <w:r>
              <w:rPr>
                <w:color w:val="auto"/>
                <w:sz w:val="24"/>
                <w:highlight w:val="none"/>
              </w:rPr>
              <w:t>CTP</w:t>
            </w:r>
            <w:r>
              <w:rPr>
                <w:rFonts w:hint="eastAsia"/>
                <w:color w:val="auto"/>
                <w:sz w:val="24"/>
                <w:highlight w:val="none"/>
              </w:rPr>
              <w:t>，把纸张裁切成需要的尺寸，进入双色机或四色机印刷，然后装订成产品。</w:t>
            </w:r>
          </w:p>
          <w:p>
            <w:pPr>
              <w:spacing w:line="360" w:lineRule="auto"/>
              <w:ind w:firstLine="480" w:firstLineChars="200"/>
              <w:rPr>
                <w:color w:val="auto"/>
                <w:sz w:val="24"/>
                <w:highlight w:val="none"/>
              </w:rPr>
            </w:pPr>
            <w:r>
              <w:rPr>
                <w:rFonts w:hint="eastAsia"/>
                <w:color w:val="auto"/>
                <w:sz w:val="24"/>
                <w:highlight w:val="none"/>
              </w:rPr>
              <w:t>项目</w:t>
            </w:r>
            <w:r>
              <w:rPr>
                <w:color w:val="auto"/>
                <w:sz w:val="24"/>
                <w:highlight w:val="none"/>
              </w:rPr>
              <w:t>生产工艺流程及产污环节</w:t>
            </w:r>
            <w:r>
              <w:rPr>
                <w:rFonts w:hint="eastAsia"/>
                <w:color w:val="auto"/>
                <w:sz w:val="24"/>
                <w:highlight w:val="none"/>
              </w:rPr>
              <w:t>见下图：</w:t>
            </w:r>
          </w:p>
          <w:p>
            <w:pPr>
              <w:widowControl/>
              <w:jc w:val="center"/>
              <w:rPr>
                <w:rFonts w:ascii="宋体" w:hAnsi="宋体" w:cs="宋体"/>
                <w:color w:val="auto"/>
                <w:kern w:val="0"/>
                <w:sz w:val="24"/>
                <w:highlight w:val="none"/>
              </w:rPr>
            </w:pPr>
            <w:r>
              <w:rPr>
                <w:rFonts w:ascii="宋体" w:hAnsi="宋体" w:cs="宋体"/>
                <w:color w:val="auto"/>
                <w:kern w:val="0"/>
                <w:sz w:val="24"/>
                <w:highlight w:val="none"/>
              </w:rPr>
              <w:drawing>
                <wp:inline distT="0" distB="0" distL="0" distR="0">
                  <wp:extent cx="3453765" cy="3340100"/>
                  <wp:effectExtent l="19050" t="0" r="0" b="0"/>
                  <wp:docPr id="4" name="图片 3" descr="C:\Users\Administrator\AppData\Roaming\Tencent\Users\278936831\QQ\WinTemp\RichOle\Y_}AQPNGJ8AZ6O)N57OJ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C:\Users\Administrator\AppData\Roaming\Tencent\Users\278936831\QQ\WinTemp\RichOle\Y_}AQPNGJ8AZ6O)N57OJ426.png"/>
                          <pic:cNvPicPr>
                            <a:picLocks noChangeAspect="1" noChangeArrowheads="1"/>
                          </pic:cNvPicPr>
                        </pic:nvPicPr>
                        <pic:blipFill>
                          <a:blip r:embed="rId11"/>
                          <a:srcRect/>
                          <a:stretch>
                            <a:fillRect/>
                          </a:stretch>
                        </pic:blipFill>
                        <pic:spPr>
                          <a:xfrm>
                            <a:off x="0" y="0"/>
                            <a:ext cx="3455059" cy="3341065"/>
                          </a:xfrm>
                          <a:prstGeom prst="rect">
                            <a:avLst/>
                          </a:prstGeom>
                          <a:noFill/>
                          <a:ln w="9525">
                            <a:noFill/>
                            <a:miter lim="800000"/>
                            <a:headEnd/>
                            <a:tailEnd/>
                          </a:ln>
                        </pic:spPr>
                      </pic:pic>
                    </a:graphicData>
                  </a:graphic>
                </wp:inline>
              </w:drawing>
            </w:r>
          </w:p>
          <w:p>
            <w:pPr>
              <w:widowControl/>
              <w:jc w:val="center"/>
              <w:rPr>
                <w:rFonts w:ascii="宋体" w:hAnsi="宋体" w:cs="宋体"/>
                <w:color w:val="auto"/>
                <w:kern w:val="0"/>
                <w:sz w:val="24"/>
                <w:highlight w:val="none"/>
              </w:rPr>
            </w:pPr>
          </w:p>
          <w:p>
            <w:pPr>
              <w:spacing w:line="360" w:lineRule="auto"/>
              <w:ind w:firstLine="480" w:firstLineChars="200"/>
              <w:jc w:val="center"/>
              <w:rPr>
                <w:color w:val="auto"/>
                <w:sz w:val="24"/>
                <w:highlight w:val="none"/>
              </w:rPr>
            </w:pPr>
            <w:r>
              <w:rPr>
                <w:rFonts w:hint="eastAsia"/>
                <w:color w:val="auto"/>
                <w:sz w:val="24"/>
                <w:highlight w:val="none"/>
              </w:rPr>
              <w:t>图1   生产工艺与产污环节图</w:t>
            </w:r>
          </w:p>
          <w:p>
            <w:pPr>
              <w:spacing w:line="360" w:lineRule="auto"/>
              <w:ind w:firstLine="480" w:firstLineChars="200"/>
              <w:rPr>
                <w:color w:val="auto"/>
                <w:sz w:val="24"/>
                <w:highlight w:val="none"/>
              </w:rPr>
            </w:pPr>
            <w:r>
              <w:rPr>
                <w:color w:val="auto"/>
                <w:sz w:val="24"/>
                <w:highlight w:val="none"/>
              </w:rPr>
              <w:t>5.2主要污染工序</w:t>
            </w:r>
          </w:p>
          <w:p>
            <w:pPr>
              <w:spacing w:line="360" w:lineRule="auto"/>
              <w:ind w:firstLine="480" w:firstLineChars="200"/>
              <w:rPr>
                <w:color w:val="auto"/>
                <w:sz w:val="24"/>
                <w:highlight w:val="none"/>
              </w:rPr>
            </w:pPr>
            <w:r>
              <w:rPr>
                <w:color w:val="auto"/>
                <w:sz w:val="24"/>
                <w:highlight w:val="none"/>
              </w:rPr>
              <w:t>营运期主要污染工序</w:t>
            </w:r>
          </w:p>
          <w:p>
            <w:pPr>
              <w:spacing w:line="360" w:lineRule="auto"/>
              <w:ind w:firstLine="480" w:firstLineChars="200"/>
              <w:rPr>
                <w:color w:val="auto"/>
                <w:sz w:val="24"/>
                <w:highlight w:val="none"/>
              </w:rPr>
            </w:pPr>
            <w:r>
              <w:rPr>
                <w:color w:val="auto"/>
                <w:sz w:val="24"/>
                <w:highlight w:val="none"/>
              </w:rPr>
              <w:t>（</w:t>
            </w:r>
            <w:r>
              <w:rPr>
                <w:rFonts w:hint="eastAsia"/>
                <w:color w:val="auto"/>
                <w:sz w:val="24"/>
                <w:highlight w:val="none"/>
              </w:rPr>
              <w:t>1</w:t>
            </w:r>
            <w:r>
              <w:rPr>
                <w:color w:val="auto"/>
                <w:sz w:val="24"/>
                <w:highlight w:val="none"/>
              </w:rPr>
              <w:t>）</w:t>
            </w:r>
            <w:r>
              <w:rPr>
                <w:rFonts w:hint="eastAsia"/>
                <w:color w:val="auto"/>
                <w:sz w:val="24"/>
                <w:highlight w:val="none"/>
              </w:rPr>
              <w:t>废水</w:t>
            </w:r>
          </w:p>
          <w:p>
            <w:pPr>
              <w:spacing w:line="360" w:lineRule="auto"/>
              <w:ind w:firstLine="480" w:firstLineChars="200"/>
              <w:rPr>
                <w:color w:val="auto"/>
                <w:sz w:val="24"/>
                <w:highlight w:val="none"/>
              </w:rPr>
            </w:pPr>
            <w:r>
              <w:rPr>
                <w:rFonts w:hint="eastAsia"/>
                <w:color w:val="auto"/>
                <w:sz w:val="24"/>
                <w:highlight w:val="none"/>
              </w:rPr>
              <w:t>本项目</w:t>
            </w:r>
            <w:r>
              <w:rPr>
                <w:color w:val="auto"/>
                <w:sz w:val="24"/>
                <w:highlight w:val="none"/>
              </w:rPr>
              <w:t>新鲜水主要</w:t>
            </w:r>
            <w:r>
              <w:rPr>
                <w:rFonts w:hint="eastAsia"/>
                <w:color w:val="auto"/>
                <w:sz w:val="24"/>
                <w:highlight w:val="none"/>
              </w:rPr>
              <w:t>是生活用水,</w:t>
            </w:r>
            <w:r>
              <w:rPr>
                <w:color w:val="auto"/>
                <w:sz w:val="24"/>
                <w:highlight w:val="none"/>
              </w:rPr>
              <w:t>全厂生活用水量为</w:t>
            </w:r>
            <w:r>
              <w:rPr>
                <w:rFonts w:hint="eastAsia"/>
                <w:color w:val="auto"/>
                <w:sz w:val="24"/>
                <w:highlight w:val="none"/>
              </w:rPr>
              <w:t>0.525</w:t>
            </w:r>
            <w:r>
              <w:rPr>
                <w:color w:val="auto"/>
                <w:sz w:val="24"/>
                <w:highlight w:val="none"/>
              </w:rPr>
              <w:t>m3/d</w:t>
            </w:r>
            <w:r>
              <w:rPr>
                <w:rFonts w:hint="eastAsia"/>
                <w:color w:val="auto"/>
                <w:sz w:val="24"/>
                <w:highlight w:val="none"/>
              </w:rPr>
              <w:t>(73.5</w:t>
            </w:r>
            <w:r>
              <w:rPr>
                <w:color w:val="auto"/>
                <w:sz w:val="24"/>
                <w:highlight w:val="none"/>
              </w:rPr>
              <w:t>m3/a</w:t>
            </w:r>
            <w:r>
              <w:rPr>
                <w:rFonts w:hint="eastAsia"/>
                <w:color w:val="auto"/>
                <w:sz w:val="24"/>
                <w:highlight w:val="none"/>
              </w:rPr>
              <w:t>)</w:t>
            </w:r>
            <w:r>
              <w:rPr>
                <w:color w:val="auto"/>
                <w:sz w:val="24"/>
                <w:highlight w:val="none"/>
              </w:rPr>
              <w:t>。</w:t>
            </w:r>
          </w:p>
          <w:p>
            <w:pPr>
              <w:spacing w:line="360" w:lineRule="auto"/>
              <w:ind w:firstLine="480" w:firstLineChars="200"/>
              <w:rPr>
                <w:color w:val="auto"/>
                <w:sz w:val="24"/>
                <w:highlight w:val="none"/>
              </w:rPr>
            </w:pPr>
            <w:r>
              <w:rPr>
                <w:rFonts w:hint="eastAsia"/>
                <w:color w:val="auto"/>
                <w:sz w:val="24"/>
                <w:highlight w:val="none"/>
              </w:rPr>
              <w:t>生活污水产生量按用水量的80%计算，则产生量为0.42</w:t>
            </w:r>
            <w:r>
              <w:rPr>
                <w:color w:val="auto"/>
                <w:sz w:val="24"/>
                <w:highlight w:val="none"/>
              </w:rPr>
              <w:t>m3/d</w:t>
            </w:r>
            <w:r>
              <w:rPr>
                <w:rFonts w:hint="eastAsia"/>
                <w:color w:val="auto"/>
                <w:sz w:val="24"/>
                <w:highlight w:val="none"/>
              </w:rPr>
              <w:t>（58.8</w:t>
            </w:r>
            <w:r>
              <w:rPr>
                <w:color w:val="auto"/>
                <w:sz w:val="24"/>
                <w:highlight w:val="none"/>
              </w:rPr>
              <w:t>m3/a</w:t>
            </w:r>
            <w:r>
              <w:rPr>
                <w:rFonts w:hint="eastAsia"/>
                <w:color w:val="auto"/>
                <w:sz w:val="24"/>
                <w:highlight w:val="none"/>
              </w:rPr>
              <w:t>）</w:t>
            </w:r>
            <w:r>
              <w:rPr>
                <w:color w:val="auto"/>
                <w:sz w:val="24"/>
                <w:highlight w:val="none"/>
              </w:rPr>
              <w:t>。</w:t>
            </w:r>
            <w:r>
              <w:rPr>
                <w:rFonts w:hint="eastAsia"/>
                <w:color w:val="auto"/>
                <w:sz w:val="24"/>
                <w:highlight w:val="none"/>
              </w:rPr>
              <w:t>生活污水排入澳利森公司已有化粪池，经市政污水管网排入西安市第三污水处理厂。</w:t>
            </w:r>
          </w:p>
          <w:p>
            <w:pPr>
              <w:spacing w:line="360" w:lineRule="auto"/>
              <w:ind w:firstLine="480" w:firstLineChars="200"/>
              <w:rPr>
                <w:color w:val="auto"/>
                <w:sz w:val="24"/>
                <w:highlight w:val="none"/>
              </w:rPr>
            </w:pPr>
            <w:r>
              <w:rPr>
                <w:color w:val="auto"/>
                <w:sz w:val="24"/>
                <w:highlight w:val="none"/>
              </w:rPr>
              <w:t xml:space="preserve">（2）噪声  </w:t>
            </w:r>
          </w:p>
          <w:p>
            <w:pPr>
              <w:spacing w:line="360" w:lineRule="auto"/>
              <w:ind w:firstLine="480" w:firstLineChars="200"/>
              <w:rPr>
                <w:color w:val="auto"/>
                <w:sz w:val="24"/>
                <w:highlight w:val="none"/>
              </w:rPr>
            </w:pPr>
            <w:r>
              <w:rPr>
                <w:color w:val="auto"/>
                <w:sz w:val="24"/>
                <w:highlight w:val="none"/>
              </w:rPr>
              <w:t>本项目在运行过程中产生噪声的主要有印刷机、切纸机等设备产生的噪声，噪声源强约为</w:t>
            </w:r>
            <w:r>
              <w:rPr>
                <w:rFonts w:hint="eastAsia"/>
                <w:color w:val="auto"/>
                <w:sz w:val="24"/>
                <w:highlight w:val="none"/>
              </w:rPr>
              <w:t>70～80</w:t>
            </w:r>
            <w:r>
              <w:rPr>
                <w:color w:val="auto"/>
                <w:sz w:val="24"/>
                <w:highlight w:val="none"/>
              </w:rPr>
              <w:t>dB(A)。</w:t>
            </w:r>
          </w:p>
          <w:p>
            <w:pPr>
              <w:spacing w:line="360" w:lineRule="auto"/>
              <w:ind w:firstLine="480" w:firstLineChars="200"/>
              <w:jc w:val="center"/>
              <w:rPr>
                <w:color w:val="auto"/>
                <w:sz w:val="24"/>
                <w:highlight w:val="none"/>
              </w:rPr>
            </w:pPr>
            <w:r>
              <w:rPr>
                <w:rFonts w:hint="eastAsia" w:ascii="黑体" w:hAnsi="黑体" w:eastAsia="黑体"/>
                <w:color w:val="auto"/>
                <w:sz w:val="24"/>
                <w:highlight w:val="none"/>
              </w:rPr>
              <w:t>表</w:t>
            </w:r>
            <w:r>
              <w:rPr>
                <w:rFonts w:ascii="黑体" w:hAnsi="黑体" w:eastAsia="黑体"/>
                <w:color w:val="auto"/>
                <w:sz w:val="24"/>
                <w:highlight w:val="none"/>
              </w:rPr>
              <w:t xml:space="preserve">5-1  </w:t>
            </w:r>
            <w:r>
              <w:rPr>
                <w:rFonts w:hint="eastAsia" w:ascii="黑体" w:hAnsi="黑体" w:eastAsia="黑体"/>
                <w:color w:val="auto"/>
                <w:sz w:val="24"/>
                <w:highlight w:val="none"/>
              </w:rPr>
              <w:t>本项目噪声源强表</w:t>
            </w:r>
          </w:p>
          <w:tbl>
            <w:tblPr>
              <w:tblStyle w:val="28"/>
              <w:tblW w:w="0" w:type="auto"/>
              <w:tblInd w:w="5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560"/>
              <w:gridCol w:w="18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134" w:type="dxa"/>
                  <w:vAlign w:val="center"/>
                </w:tcPr>
                <w:p>
                  <w:pPr>
                    <w:spacing w:line="360" w:lineRule="auto"/>
                    <w:jc w:val="center"/>
                    <w:rPr>
                      <w:color w:val="auto"/>
                      <w:sz w:val="24"/>
                      <w:highlight w:val="none"/>
                    </w:rPr>
                  </w:pPr>
                  <w:r>
                    <w:rPr>
                      <w:rFonts w:hint="eastAsia"/>
                      <w:color w:val="auto"/>
                      <w:sz w:val="24"/>
                      <w:highlight w:val="none"/>
                    </w:rPr>
                    <w:t>序号</w:t>
                  </w:r>
                </w:p>
              </w:tc>
              <w:tc>
                <w:tcPr>
                  <w:tcW w:w="2560" w:type="dxa"/>
                  <w:vAlign w:val="center"/>
                </w:tcPr>
                <w:p>
                  <w:pPr>
                    <w:spacing w:line="360" w:lineRule="auto"/>
                    <w:ind w:firstLine="480" w:firstLineChars="200"/>
                    <w:jc w:val="center"/>
                    <w:rPr>
                      <w:color w:val="auto"/>
                      <w:sz w:val="24"/>
                      <w:highlight w:val="none"/>
                    </w:rPr>
                  </w:pPr>
                  <w:r>
                    <w:rPr>
                      <w:rFonts w:hint="eastAsia"/>
                      <w:color w:val="auto"/>
                      <w:sz w:val="24"/>
                      <w:highlight w:val="none"/>
                    </w:rPr>
                    <w:t>设备名称</w:t>
                  </w:r>
                </w:p>
              </w:tc>
              <w:tc>
                <w:tcPr>
                  <w:tcW w:w="1834" w:type="dxa"/>
                  <w:vAlign w:val="center"/>
                </w:tcPr>
                <w:p>
                  <w:pPr>
                    <w:spacing w:line="360" w:lineRule="auto"/>
                    <w:jc w:val="center"/>
                    <w:rPr>
                      <w:color w:val="auto"/>
                      <w:sz w:val="24"/>
                      <w:highlight w:val="none"/>
                    </w:rPr>
                  </w:pPr>
                  <w:r>
                    <w:rPr>
                      <w:rFonts w:hint="eastAsia"/>
                      <w:color w:val="auto"/>
                      <w:sz w:val="24"/>
                      <w:highlight w:val="none"/>
                    </w:rPr>
                    <w:t>数量</w:t>
                  </w:r>
                </w:p>
              </w:tc>
              <w:tc>
                <w:tcPr>
                  <w:tcW w:w="1701" w:type="dxa"/>
                  <w:vAlign w:val="center"/>
                </w:tcPr>
                <w:p>
                  <w:pPr>
                    <w:spacing w:line="360" w:lineRule="auto"/>
                    <w:jc w:val="center"/>
                    <w:rPr>
                      <w:color w:val="auto"/>
                      <w:sz w:val="24"/>
                      <w:highlight w:val="none"/>
                    </w:rPr>
                  </w:pPr>
                  <w:r>
                    <w:rPr>
                      <w:rFonts w:hint="eastAsia"/>
                      <w:color w:val="auto"/>
                      <w:sz w:val="24"/>
                      <w:highlight w:val="none"/>
                    </w:rPr>
                    <w:t>噪声值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spacing w:line="360" w:lineRule="auto"/>
                    <w:ind w:firstLine="480" w:firstLineChars="200"/>
                    <w:jc w:val="center"/>
                    <w:rPr>
                      <w:color w:val="auto"/>
                      <w:sz w:val="24"/>
                      <w:highlight w:val="none"/>
                    </w:rPr>
                  </w:pPr>
                  <w:r>
                    <w:rPr>
                      <w:rFonts w:hint="eastAsia"/>
                      <w:color w:val="auto"/>
                      <w:sz w:val="24"/>
                      <w:highlight w:val="none"/>
                    </w:rPr>
                    <w:t>1</w:t>
                  </w:r>
                </w:p>
              </w:tc>
              <w:tc>
                <w:tcPr>
                  <w:tcW w:w="2560" w:type="dxa"/>
                  <w:vAlign w:val="center"/>
                </w:tcPr>
                <w:p>
                  <w:pPr>
                    <w:snapToGrid w:val="0"/>
                    <w:spacing w:line="360" w:lineRule="auto"/>
                    <w:ind w:firstLine="480" w:firstLineChars="200"/>
                    <w:jc w:val="center"/>
                    <w:rPr>
                      <w:color w:val="auto"/>
                      <w:sz w:val="24"/>
                      <w:highlight w:val="none"/>
                    </w:rPr>
                  </w:pPr>
                  <w:r>
                    <w:rPr>
                      <w:rFonts w:hint="eastAsia"/>
                      <w:color w:val="auto"/>
                      <w:sz w:val="24"/>
                      <w:highlight w:val="none"/>
                    </w:rPr>
                    <w:t>四色印刷机</w:t>
                  </w:r>
                </w:p>
              </w:tc>
              <w:tc>
                <w:tcPr>
                  <w:tcW w:w="1834" w:type="dxa"/>
                  <w:vAlign w:val="center"/>
                </w:tcPr>
                <w:p>
                  <w:pPr>
                    <w:spacing w:line="360" w:lineRule="auto"/>
                    <w:ind w:firstLine="480" w:firstLineChars="200"/>
                    <w:jc w:val="center"/>
                    <w:rPr>
                      <w:color w:val="auto"/>
                      <w:sz w:val="24"/>
                      <w:highlight w:val="none"/>
                    </w:rPr>
                  </w:pPr>
                  <w:r>
                    <w:rPr>
                      <w:color w:val="auto"/>
                      <w:sz w:val="24"/>
                      <w:highlight w:val="none"/>
                    </w:rPr>
                    <w:t>1</w:t>
                  </w:r>
                </w:p>
              </w:tc>
              <w:tc>
                <w:tcPr>
                  <w:tcW w:w="1701" w:type="dxa"/>
                  <w:vAlign w:val="center"/>
                </w:tcPr>
                <w:p>
                  <w:pPr>
                    <w:spacing w:line="360" w:lineRule="auto"/>
                    <w:ind w:firstLine="480" w:firstLineChars="200"/>
                    <w:jc w:val="center"/>
                    <w:rPr>
                      <w:color w:val="auto"/>
                      <w:sz w:val="24"/>
                      <w:highlight w:val="none"/>
                    </w:rPr>
                  </w:pPr>
                  <w:r>
                    <w:rPr>
                      <w:rFonts w:hint="eastAsia"/>
                      <w:color w:val="auto"/>
                      <w:sz w:val="24"/>
                      <w:highlight w:val="none"/>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spacing w:line="360" w:lineRule="auto"/>
                    <w:ind w:firstLine="480" w:firstLineChars="200"/>
                    <w:jc w:val="center"/>
                    <w:rPr>
                      <w:color w:val="auto"/>
                      <w:sz w:val="24"/>
                      <w:highlight w:val="none"/>
                    </w:rPr>
                  </w:pPr>
                  <w:r>
                    <w:rPr>
                      <w:rFonts w:hint="eastAsia"/>
                      <w:color w:val="auto"/>
                      <w:sz w:val="24"/>
                      <w:highlight w:val="none"/>
                    </w:rPr>
                    <w:t>2</w:t>
                  </w:r>
                </w:p>
              </w:tc>
              <w:tc>
                <w:tcPr>
                  <w:tcW w:w="2560" w:type="dxa"/>
                  <w:vAlign w:val="center"/>
                </w:tcPr>
                <w:p>
                  <w:pPr>
                    <w:snapToGrid w:val="0"/>
                    <w:spacing w:line="360" w:lineRule="auto"/>
                    <w:ind w:firstLine="480" w:firstLineChars="200"/>
                    <w:jc w:val="center"/>
                    <w:rPr>
                      <w:color w:val="auto"/>
                      <w:sz w:val="24"/>
                      <w:highlight w:val="none"/>
                    </w:rPr>
                  </w:pPr>
                  <w:r>
                    <w:rPr>
                      <w:rFonts w:hint="eastAsia"/>
                      <w:color w:val="auto"/>
                      <w:sz w:val="24"/>
                      <w:highlight w:val="none"/>
                    </w:rPr>
                    <w:t>双色印刷机</w:t>
                  </w:r>
                </w:p>
              </w:tc>
              <w:tc>
                <w:tcPr>
                  <w:tcW w:w="1834" w:type="dxa"/>
                  <w:vAlign w:val="center"/>
                </w:tcPr>
                <w:p>
                  <w:pPr>
                    <w:spacing w:line="360" w:lineRule="auto"/>
                    <w:ind w:firstLine="480" w:firstLineChars="200"/>
                    <w:jc w:val="center"/>
                    <w:rPr>
                      <w:color w:val="auto"/>
                      <w:sz w:val="24"/>
                      <w:highlight w:val="none"/>
                    </w:rPr>
                  </w:pPr>
                  <w:r>
                    <w:rPr>
                      <w:color w:val="auto"/>
                      <w:sz w:val="24"/>
                      <w:highlight w:val="none"/>
                    </w:rPr>
                    <w:t>2</w:t>
                  </w:r>
                </w:p>
              </w:tc>
              <w:tc>
                <w:tcPr>
                  <w:tcW w:w="1701" w:type="dxa"/>
                  <w:vAlign w:val="center"/>
                </w:tcPr>
                <w:p>
                  <w:pPr>
                    <w:spacing w:line="360" w:lineRule="auto"/>
                    <w:ind w:firstLine="480" w:firstLineChars="200"/>
                    <w:jc w:val="center"/>
                    <w:rPr>
                      <w:color w:val="auto"/>
                      <w:sz w:val="24"/>
                      <w:highlight w:val="none"/>
                    </w:rPr>
                  </w:pPr>
                  <w:r>
                    <w:rPr>
                      <w:rFonts w:hint="eastAsia"/>
                      <w:color w:val="auto"/>
                      <w:sz w:val="24"/>
                      <w:highlight w:val="none"/>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spacing w:line="360" w:lineRule="auto"/>
                    <w:ind w:firstLine="480" w:firstLineChars="200"/>
                    <w:jc w:val="center"/>
                    <w:rPr>
                      <w:color w:val="auto"/>
                      <w:sz w:val="24"/>
                      <w:highlight w:val="none"/>
                    </w:rPr>
                  </w:pPr>
                  <w:r>
                    <w:rPr>
                      <w:rFonts w:hint="eastAsia"/>
                      <w:color w:val="auto"/>
                      <w:sz w:val="24"/>
                      <w:highlight w:val="none"/>
                    </w:rPr>
                    <w:t>3</w:t>
                  </w:r>
                </w:p>
              </w:tc>
              <w:tc>
                <w:tcPr>
                  <w:tcW w:w="2560" w:type="dxa"/>
                  <w:vAlign w:val="center"/>
                </w:tcPr>
                <w:p>
                  <w:pPr>
                    <w:snapToGrid w:val="0"/>
                    <w:spacing w:line="360" w:lineRule="auto"/>
                    <w:ind w:firstLine="480" w:firstLineChars="200"/>
                    <w:jc w:val="center"/>
                    <w:rPr>
                      <w:color w:val="auto"/>
                      <w:sz w:val="24"/>
                      <w:highlight w:val="none"/>
                    </w:rPr>
                  </w:pPr>
                  <w:r>
                    <w:rPr>
                      <w:rFonts w:hint="eastAsia"/>
                      <w:color w:val="auto"/>
                      <w:sz w:val="24"/>
                      <w:highlight w:val="none"/>
                    </w:rPr>
                    <w:t>切纸机</w:t>
                  </w:r>
                </w:p>
              </w:tc>
              <w:tc>
                <w:tcPr>
                  <w:tcW w:w="1834" w:type="dxa"/>
                  <w:vAlign w:val="center"/>
                </w:tcPr>
                <w:p>
                  <w:pPr>
                    <w:spacing w:line="360" w:lineRule="auto"/>
                    <w:ind w:firstLine="480" w:firstLineChars="200"/>
                    <w:jc w:val="center"/>
                    <w:rPr>
                      <w:color w:val="auto"/>
                      <w:sz w:val="24"/>
                      <w:highlight w:val="none"/>
                    </w:rPr>
                  </w:pPr>
                  <w:r>
                    <w:rPr>
                      <w:color w:val="auto"/>
                      <w:sz w:val="24"/>
                      <w:highlight w:val="none"/>
                    </w:rPr>
                    <w:t>1</w:t>
                  </w:r>
                </w:p>
              </w:tc>
              <w:tc>
                <w:tcPr>
                  <w:tcW w:w="1701" w:type="dxa"/>
                  <w:vAlign w:val="center"/>
                </w:tcPr>
                <w:p>
                  <w:pPr>
                    <w:spacing w:line="360" w:lineRule="auto"/>
                    <w:ind w:firstLine="480" w:firstLineChars="200"/>
                    <w:jc w:val="center"/>
                    <w:rPr>
                      <w:color w:val="auto"/>
                      <w:sz w:val="24"/>
                      <w:highlight w:val="none"/>
                    </w:rPr>
                  </w:pPr>
                  <w:r>
                    <w:rPr>
                      <w:rFonts w:hint="eastAsia"/>
                      <w:color w:val="auto"/>
                      <w:sz w:val="24"/>
                      <w:highlight w:val="none"/>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spacing w:line="360" w:lineRule="auto"/>
                    <w:ind w:firstLine="480" w:firstLineChars="200"/>
                    <w:jc w:val="center"/>
                    <w:rPr>
                      <w:color w:val="auto"/>
                      <w:sz w:val="24"/>
                      <w:highlight w:val="none"/>
                    </w:rPr>
                  </w:pPr>
                  <w:r>
                    <w:rPr>
                      <w:rFonts w:hint="eastAsia"/>
                      <w:color w:val="auto"/>
                      <w:sz w:val="24"/>
                      <w:highlight w:val="none"/>
                    </w:rPr>
                    <w:t>4</w:t>
                  </w:r>
                </w:p>
              </w:tc>
              <w:tc>
                <w:tcPr>
                  <w:tcW w:w="2560" w:type="dxa"/>
                  <w:vAlign w:val="center"/>
                </w:tcPr>
                <w:p>
                  <w:pPr>
                    <w:snapToGrid w:val="0"/>
                    <w:spacing w:line="360" w:lineRule="auto"/>
                    <w:ind w:firstLine="480" w:firstLineChars="200"/>
                    <w:jc w:val="center"/>
                    <w:rPr>
                      <w:color w:val="auto"/>
                      <w:sz w:val="24"/>
                      <w:highlight w:val="none"/>
                    </w:rPr>
                  </w:pPr>
                  <w:r>
                    <w:rPr>
                      <w:rFonts w:hint="eastAsia"/>
                      <w:color w:val="auto"/>
                      <w:sz w:val="24"/>
                      <w:highlight w:val="none"/>
                    </w:rPr>
                    <w:t>平湖胶订线</w:t>
                  </w:r>
                </w:p>
              </w:tc>
              <w:tc>
                <w:tcPr>
                  <w:tcW w:w="1834" w:type="dxa"/>
                  <w:vAlign w:val="center"/>
                </w:tcPr>
                <w:p>
                  <w:pPr>
                    <w:spacing w:line="360" w:lineRule="auto"/>
                    <w:ind w:firstLine="480" w:firstLineChars="200"/>
                    <w:jc w:val="center"/>
                    <w:rPr>
                      <w:color w:val="auto"/>
                      <w:sz w:val="24"/>
                      <w:highlight w:val="none"/>
                    </w:rPr>
                  </w:pPr>
                  <w:r>
                    <w:rPr>
                      <w:color w:val="auto"/>
                      <w:sz w:val="24"/>
                      <w:highlight w:val="none"/>
                    </w:rPr>
                    <w:t>1</w:t>
                  </w:r>
                </w:p>
              </w:tc>
              <w:tc>
                <w:tcPr>
                  <w:tcW w:w="1701" w:type="dxa"/>
                  <w:vAlign w:val="center"/>
                </w:tcPr>
                <w:p>
                  <w:pPr>
                    <w:spacing w:line="360" w:lineRule="auto"/>
                    <w:ind w:firstLine="480" w:firstLineChars="200"/>
                    <w:jc w:val="center"/>
                    <w:rPr>
                      <w:color w:val="auto"/>
                      <w:sz w:val="24"/>
                      <w:highlight w:val="none"/>
                    </w:rPr>
                  </w:pPr>
                  <w:r>
                    <w:rPr>
                      <w:rFonts w:hint="eastAsia"/>
                      <w:color w:val="auto"/>
                      <w:sz w:val="24"/>
                      <w:highlight w:val="none"/>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spacing w:line="360" w:lineRule="auto"/>
                    <w:ind w:firstLine="480" w:firstLineChars="200"/>
                    <w:jc w:val="center"/>
                    <w:rPr>
                      <w:color w:val="auto"/>
                      <w:sz w:val="24"/>
                      <w:highlight w:val="none"/>
                    </w:rPr>
                  </w:pPr>
                  <w:r>
                    <w:rPr>
                      <w:color w:val="auto"/>
                      <w:sz w:val="24"/>
                      <w:highlight w:val="none"/>
                    </w:rPr>
                    <w:t>5</w:t>
                  </w:r>
                </w:p>
              </w:tc>
              <w:tc>
                <w:tcPr>
                  <w:tcW w:w="2560" w:type="dxa"/>
                  <w:vAlign w:val="center"/>
                </w:tcPr>
                <w:p>
                  <w:pPr>
                    <w:snapToGrid w:val="0"/>
                    <w:spacing w:line="360" w:lineRule="auto"/>
                    <w:ind w:firstLine="480" w:firstLineChars="200"/>
                    <w:jc w:val="center"/>
                    <w:rPr>
                      <w:color w:val="auto"/>
                      <w:sz w:val="24"/>
                      <w:highlight w:val="none"/>
                    </w:rPr>
                  </w:pPr>
                  <w:r>
                    <w:rPr>
                      <w:rFonts w:hint="eastAsia"/>
                      <w:color w:val="auto"/>
                      <w:sz w:val="24"/>
                      <w:highlight w:val="none"/>
                    </w:rPr>
                    <w:t>废气处理设备</w:t>
                  </w:r>
                </w:p>
              </w:tc>
              <w:tc>
                <w:tcPr>
                  <w:tcW w:w="1834" w:type="dxa"/>
                  <w:vAlign w:val="center"/>
                </w:tcPr>
                <w:p>
                  <w:pPr>
                    <w:spacing w:line="360" w:lineRule="auto"/>
                    <w:ind w:firstLine="480" w:firstLineChars="200"/>
                    <w:jc w:val="center"/>
                    <w:rPr>
                      <w:color w:val="auto"/>
                      <w:sz w:val="24"/>
                      <w:highlight w:val="none"/>
                    </w:rPr>
                  </w:pPr>
                  <w:r>
                    <w:rPr>
                      <w:color w:val="auto"/>
                      <w:sz w:val="24"/>
                      <w:highlight w:val="none"/>
                    </w:rPr>
                    <w:t>1</w:t>
                  </w:r>
                </w:p>
              </w:tc>
              <w:tc>
                <w:tcPr>
                  <w:tcW w:w="1701" w:type="dxa"/>
                  <w:vAlign w:val="center"/>
                </w:tcPr>
                <w:p>
                  <w:pPr>
                    <w:spacing w:line="360" w:lineRule="auto"/>
                    <w:ind w:firstLine="480" w:firstLineChars="200"/>
                    <w:jc w:val="center"/>
                    <w:rPr>
                      <w:color w:val="auto"/>
                      <w:sz w:val="24"/>
                      <w:highlight w:val="none"/>
                    </w:rPr>
                  </w:pPr>
                  <w:r>
                    <w:rPr>
                      <w:rFonts w:hint="eastAsia"/>
                      <w:color w:val="auto"/>
                      <w:sz w:val="24"/>
                      <w:highlight w:val="none"/>
                    </w:rPr>
                    <w:t>80</w:t>
                  </w:r>
                </w:p>
              </w:tc>
            </w:tr>
          </w:tbl>
          <w:p>
            <w:pPr>
              <w:spacing w:line="360" w:lineRule="auto"/>
              <w:ind w:firstLine="480" w:firstLineChars="200"/>
              <w:rPr>
                <w:color w:val="auto"/>
                <w:sz w:val="24"/>
                <w:highlight w:val="none"/>
              </w:rPr>
            </w:pPr>
            <w:r>
              <w:rPr>
                <w:color w:val="auto"/>
                <w:sz w:val="24"/>
                <w:highlight w:val="none"/>
              </w:rPr>
              <w:t>（</w:t>
            </w:r>
            <w:r>
              <w:rPr>
                <w:rFonts w:hint="eastAsia"/>
                <w:color w:val="auto"/>
                <w:sz w:val="24"/>
                <w:highlight w:val="none"/>
              </w:rPr>
              <w:t>3</w:t>
            </w:r>
            <w:r>
              <w:rPr>
                <w:color w:val="auto"/>
                <w:sz w:val="24"/>
                <w:highlight w:val="none"/>
              </w:rPr>
              <w:t>）废气</w:t>
            </w:r>
          </w:p>
          <w:p>
            <w:pPr>
              <w:spacing w:line="360" w:lineRule="auto"/>
              <w:ind w:firstLine="480" w:firstLineChars="200"/>
              <w:rPr>
                <w:color w:val="auto"/>
                <w:sz w:val="24"/>
                <w:highlight w:val="none"/>
              </w:rPr>
            </w:pPr>
            <w:r>
              <w:rPr>
                <w:color w:val="auto"/>
                <w:sz w:val="24"/>
                <w:highlight w:val="none"/>
              </w:rPr>
              <w:t>本项目</w:t>
            </w:r>
            <w:r>
              <w:rPr>
                <w:rFonts w:hint="eastAsia"/>
                <w:color w:val="auto"/>
                <w:sz w:val="24"/>
                <w:highlight w:val="none"/>
              </w:rPr>
              <w:t>运营期使用的油墨是大豆油墨，年使用1000</w:t>
            </w:r>
            <w:r>
              <w:rPr>
                <w:color w:val="auto"/>
                <w:sz w:val="24"/>
                <w:highlight w:val="none"/>
              </w:rPr>
              <w:t>kg</w:t>
            </w:r>
            <w:r>
              <w:rPr>
                <w:rFonts w:hint="eastAsia"/>
                <w:color w:val="auto"/>
                <w:sz w:val="24"/>
                <w:highlight w:val="none"/>
              </w:rPr>
              <w:t>，根据《环保大豆油墨的分析》中大豆油墨</w:t>
            </w:r>
            <w:r>
              <w:rPr>
                <w:color w:val="auto"/>
                <w:sz w:val="24"/>
                <w:highlight w:val="none"/>
              </w:rPr>
              <w:t>VOC</w:t>
            </w:r>
            <w:r>
              <w:rPr>
                <w:rFonts w:hint="eastAsia"/>
                <w:color w:val="auto"/>
                <w:sz w:val="24"/>
                <w:highlight w:val="none"/>
              </w:rPr>
              <w:t>含量为＜10</w:t>
            </w:r>
            <w:r>
              <w:rPr>
                <w:color w:val="auto"/>
                <w:sz w:val="24"/>
                <w:highlight w:val="none"/>
              </w:rPr>
              <w:t>%</w:t>
            </w:r>
            <w:r>
              <w:rPr>
                <w:rFonts w:hint="eastAsia"/>
                <w:color w:val="auto"/>
                <w:sz w:val="24"/>
                <w:highlight w:val="none"/>
              </w:rPr>
              <w:t>，则</w:t>
            </w:r>
            <w:r>
              <w:rPr>
                <w:color w:val="auto"/>
                <w:sz w:val="24"/>
                <w:highlight w:val="none"/>
              </w:rPr>
              <w:t>VOC</w:t>
            </w:r>
            <w:r>
              <w:rPr>
                <w:rFonts w:hint="eastAsia"/>
                <w:color w:val="auto"/>
                <w:sz w:val="24"/>
                <w:highlight w:val="none"/>
              </w:rPr>
              <w:t>产生量最大为100</w:t>
            </w:r>
            <w:r>
              <w:rPr>
                <w:color w:val="auto"/>
                <w:sz w:val="24"/>
                <w:highlight w:val="none"/>
              </w:rPr>
              <w:t>kg</w:t>
            </w:r>
            <w:r>
              <w:rPr>
                <w:rFonts w:hint="eastAsia"/>
                <w:color w:val="auto"/>
                <w:sz w:val="24"/>
                <w:highlight w:val="none"/>
              </w:rPr>
              <w:t>。</w:t>
            </w:r>
          </w:p>
          <w:p>
            <w:pPr>
              <w:spacing w:line="360" w:lineRule="auto"/>
              <w:ind w:firstLine="480" w:firstLineChars="200"/>
              <w:rPr>
                <w:color w:val="auto"/>
                <w:sz w:val="24"/>
                <w:highlight w:val="none"/>
              </w:rPr>
            </w:pPr>
            <w:r>
              <w:rPr>
                <w:rFonts w:hint="eastAsia"/>
                <w:color w:val="auto"/>
                <w:sz w:val="24"/>
                <w:highlight w:val="none"/>
              </w:rPr>
              <w:t>本项目年使用润版液</w:t>
            </w:r>
            <w:r>
              <w:rPr>
                <w:color w:val="auto"/>
                <w:sz w:val="24"/>
                <w:highlight w:val="none"/>
              </w:rPr>
              <w:t>300kg</w:t>
            </w:r>
            <w:r>
              <w:rPr>
                <w:rFonts w:hint="eastAsia"/>
                <w:color w:val="auto"/>
                <w:sz w:val="24"/>
                <w:highlight w:val="none"/>
              </w:rPr>
              <w:t>，根据润版液检测报告</w:t>
            </w:r>
            <w:r>
              <w:rPr>
                <w:color w:val="auto"/>
                <w:sz w:val="24"/>
                <w:highlight w:val="none"/>
              </w:rPr>
              <w:t>VOC</w:t>
            </w:r>
            <w:r>
              <w:rPr>
                <w:rFonts w:hint="eastAsia"/>
                <w:color w:val="auto"/>
                <w:sz w:val="24"/>
                <w:highlight w:val="none"/>
              </w:rPr>
              <w:t>含量为</w:t>
            </w:r>
            <w:r>
              <w:rPr>
                <w:color w:val="auto"/>
                <w:sz w:val="24"/>
                <w:highlight w:val="none"/>
              </w:rPr>
              <w:t>0.66%</w:t>
            </w:r>
            <w:r>
              <w:rPr>
                <w:rFonts w:hint="eastAsia"/>
                <w:color w:val="auto"/>
                <w:sz w:val="24"/>
                <w:highlight w:val="none"/>
              </w:rPr>
              <w:t>，则</w:t>
            </w:r>
            <w:r>
              <w:rPr>
                <w:color w:val="auto"/>
                <w:sz w:val="24"/>
                <w:highlight w:val="none"/>
              </w:rPr>
              <w:t>VOC</w:t>
            </w:r>
            <w:r>
              <w:rPr>
                <w:rFonts w:hint="eastAsia"/>
                <w:color w:val="auto"/>
                <w:sz w:val="24"/>
                <w:highlight w:val="none"/>
              </w:rPr>
              <w:t>产生量为</w:t>
            </w:r>
            <w:r>
              <w:rPr>
                <w:color w:val="auto"/>
                <w:sz w:val="24"/>
                <w:highlight w:val="none"/>
              </w:rPr>
              <w:t>1.98kg</w:t>
            </w:r>
            <w:r>
              <w:rPr>
                <w:rFonts w:hint="eastAsia"/>
                <w:color w:val="auto"/>
                <w:sz w:val="24"/>
                <w:highlight w:val="none"/>
              </w:rPr>
              <w:t>。</w:t>
            </w:r>
          </w:p>
          <w:p>
            <w:pPr>
              <w:spacing w:line="360" w:lineRule="auto"/>
              <w:ind w:firstLine="480" w:firstLineChars="200"/>
              <w:rPr>
                <w:color w:val="auto"/>
                <w:sz w:val="24"/>
                <w:highlight w:val="none"/>
              </w:rPr>
            </w:pPr>
            <w:r>
              <w:rPr>
                <w:rFonts w:hint="eastAsia"/>
                <w:color w:val="auto"/>
                <w:sz w:val="24"/>
                <w:highlight w:val="none"/>
              </w:rPr>
              <w:t>所以本项目VOC产生量总和为101.98kg/a。</w:t>
            </w:r>
          </w:p>
          <w:p>
            <w:pPr>
              <w:adjustRightInd w:val="0"/>
              <w:snapToGrid w:val="0"/>
              <w:spacing w:line="360" w:lineRule="auto"/>
              <w:ind w:firstLine="480" w:firstLineChars="200"/>
              <w:rPr>
                <w:color w:val="auto"/>
                <w:sz w:val="24"/>
                <w:highlight w:val="none"/>
              </w:rPr>
            </w:pPr>
            <w:r>
              <w:rPr>
                <w:rFonts w:hint="eastAsia"/>
                <w:color w:val="auto"/>
                <w:sz w:val="24"/>
                <w:highlight w:val="none"/>
              </w:rPr>
              <w:t>建设单位在每台打印机上都安装了集气罩，有机废气经3台集气罩收集后经UV光催化+活性炭装置处理后由 15m 高排气筒有组织排放，项目有机废气收集率按 90%计算，未收集部分（10.20kg/a）通过车间门窗无组织排放。UV光催化+活性炭装置处理效率取85%。因此本项目VOCs无组织排放量为 10.198kg/a，净化处理后有组织排放量为13.77kg/a。项目 VOCs治理系统风机风量13200m</w:t>
            </w:r>
            <w:r>
              <w:rPr>
                <w:rFonts w:hint="eastAsia"/>
                <w:color w:val="auto"/>
                <w:sz w:val="24"/>
                <w:highlight w:val="none"/>
                <w:vertAlign w:val="superscript"/>
              </w:rPr>
              <w:t xml:space="preserve"> 3</w:t>
            </w:r>
            <w:r>
              <w:rPr>
                <w:rFonts w:hint="eastAsia"/>
                <w:color w:val="auto"/>
                <w:sz w:val="24"/>
                <w:highlight w:val="none"/>
              </w:rPr>
              <w:t>/h，年工作140天，每天平均运行8小时，则有组织VOCs产生浓度为6.898mg/m</w:t>
            </w:r>
            <w:r>
              <w:rPr>
                <w:rFonts w:hint="eastAsia"/>
                <w:color w:val="auto"/>
                <w:sz w:val="24"/>
                <w:highlight w:val="none"/>
                <w:vertAlign w:val="superscript"/>
              </w:rPr>
              <w:t>3</w:t>
            </w:r>
            <w:r>
              <w:rPr>
                <w:rFonts w:hint="eastAsia"/>
                <w:color w:val="auto"/>
                <w:sz w:val="24"/>
                <w:highlight w:val="none"/>
              </w:rPr>
              <w:t>，产生速率为0.091kg/h ；排放浓度为0.621mg/m</w:t>
            </w:r>
            <w:r>
              <w:rPr>
                <w:rFonts w:hint="eastAsia"/>
                <w:color w:val="auto"/>
                <w:sz w:val="24"/>
                <w:highlight w:val="none"/>
                <w:vertAlign w:val="superscript"/>
              </w:rPr>
              <w:t>3</w:t>
            </w:r>
            <w:r>
              <w:rPr>
                <w:rFonts w:hint="eastAsia"/>
                <w:color w:val="auto"/>
                <w:sz w:val="24"/>
                <w:highlight w:val="none"/>
              </w:rPr>
              <w:t>，排放速率为0.008kg/h，满足《挥发性有机物排放控制标准》（DB61/T1061-2017）中的排放浓度限值要求（50mg/m</w:t>
            </w:r>
            <w:r>
              <w:rPr>
                <w:rFonts w:hint="eastAsia"/>
                <w:color w:val="auto"/>
                <w:sz w:val="24"/>
                <w:highlight w:val="none"/>
                <w:vertAlign w:val="superscript"/>
              </w:rPr>
              <w:t>3</w:t>
            </w:r>
            <w:r>
              <w:rPr>
                <w:rFonts w:hint="eastAsia"/>
                <w:color w:val="auto"/>
                <w:sz w:val="24"/>
                <w:highlight w:val="none"/>
              </w:rPr>
              <w:t>，最低去除效率85%）。</w:t>
            </w:r>
          </w:p>
          <w:p>
            <w:pPr>
              <w:spacing w:line="360" w:lineRule="auto"/>
              <w:ind w:firstLine="480" w:firstLineChars="200"/>
              <w:rPr>
                <w:color w:val="auto"/>
                <w:sz w:val="24"/>
                <w:highlight w:val="none"/>
              </w:rPr>
            </w:pPr>
            <w:r>
              <w:rPr>
                <w:rFonts w:hint="eastAsia"/>
                <w:color w:val="auto"/>
                <w:sz w:val="24"/>
                <w:highlight w:val="none"/>
              </w:rPr>
              <w:t>有机废气</w:t>
            </w:r>
            <w:r>
              <w:rPr>
                <w:color w:val="auto"/>
                <w:sz w:val="24"/>
                <w:highlight w:val="none"/>
              </w:rPr>
              <w:t>产生及</w:t>
            </w:r>
            <w:r>
              <w:rPr>
                <w:rFonts w:hint="eastAsia"/>
                <w:color w:val="auto"/>
                <w:sz w:val="24"/>
                <w:highlight w:val="none"/>
              </w:rPr>
              <w:t>排放</w:t>
            </w:r>
            <w:r>
              <w:rPr>
                <w:color w:val="auto"/>
                <w:sz w:val="24"/>
                <w:highlight w:val="none"/>
              </w:rPr>
              <w:t>情况见表</w:t>
            </w:r>
            <w:r>
              <w:rPr>
                <w:rFonts w:hint="eastAsia"/>
                <w:color w:val="auto"/>
                <w:sz w:val="24"/>
                <w:highlight w:val="none"/>
              </w:rPr>
              <w:t>5-2</w:t>
            </w:r>
            <w:r>
              <w:rPr>
                <w:color w:val="auto"/>
                <w:sz w:val="24"/>
                <w:highlight w:val="none"/>
              </w:rPr>
              <w:t>。</w:t>
            </w:r>
          </w:p>
          <w:p>
            <w:pPr>
              <w:autoSpaceDE w:val="0"/>
              <w:autoSpaceDN w:val="0"/>
              <w:adjustRightInd w:val="0"/>
              <w:spacing w:line="360" w:lineRule="auto"/>
              <w:ind w:firstLine="480" w:firstLineChars="200"/>
              <w:jc w:val="center"/>
              <w:rPr>
                <w:rFonts w:ascii="黑体" w:hAnsi="黑体" w:eastAsia="黑体"/>
                <w:bCs/>
                <w:color w:val="auto"/>
                <w:kern w:val="0"/>
                <w:sz w:val="24"/>
                <w:highlight w:val="none"/>
              </w:rPr>
            </w:pPr>
            <w:r>
              <w:rPr>
                <w:rFonts w:hint="eastAsia" w:ascii="黑体" w:hAnsi="黑体" w:eastAsia="黑体"/>
                <w:bCs/>
                <w:color w:val="auto"/>
                <w:kern w:val="0"/>
                <w:sz w:val="24"/>
                <w:highlight w:val="none"/>
              </w:rPr>
              <w:t>表</w:t>
            </w:r>
            <w:r>
              <w:rPr>
                <w:rFonts w:ascii="黑体" w:hAnsi="黑体" w:eastAsia="黑体"/>
                <w:bCs/>
                <w:color w:val="auto"/>
                <w:kern w:val="0"/>
                <w:sz w:val="24"/>
                <w:highlight w:val="none"/>
              </w:rPr>
              <w:t xml:space="preserve">5-2     </w:t>
            </w:r>
            <w:r>
              <w:rPr>
                <w:rFonts w:hint="eastAsia" w:ascii="黑体" w:hAnsi="黑体" w:eastAsia="黑体"/>
                <w:color w:val="auto"/>
                <w:sz w:val="24"/>
                <w:highlight w:val="none"/>
              </w:rPr>
              <w:t>有机废气产生及有组织排放情况</w:t>
            </w:r>
          </w:p>
          <w:tbl>
            <w:tblPr>
              <w:tblStyle w:val="27"/>
              <w:tblW w:w="818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057"/>
              <w:gridCol w:w="850"/>
              <w:gridCol w:w="876"/>
              <w:gridCol w:w="891"/>
              <w:gridCol w:w="899"/>
              <w:gridCol w:w="1023"/>
              <w:gridCol w:w="1023"/>
              <w:gridCol w:w="8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754" w:type="dxa"/>
                  <w:vMerge w:val="restart"/>
                  <w:vAlign w:val="center"/>
                </w:tcPr>
                <w:p>
                  <w:pPr>
                    <w:adjustRightInd w:val="0"/>
                    <w:snapToGrid w:val="0"/>
                    <w:jc w:val="center"/>
                    <w:rPr>
                      <w:color w:val="auto"/>
                      <w:sz w:val="21"/>
                      <w:szCs w:val="21"/>
                      <w:highlight w:val="none"/>
                    </w:rPr>
                  </w:pPr>
                  <w:r>
                    <w:rPr>
                      <w:color w:val="auto"/>
                      <w:sz w:val="21"/>
                      <w:szCs w:val="21"/>
                      <w:highlight w:val="none"/>
                    </w:rPr>
                    <w:t>污染物</w:t>
                  </w:r>
                </w:p>
              </w:tc>
              <w:tc>
                <w:tcPr>
                  <w:tcW w:w="1057" w:type="dxa"/>
                  <w:vMerge w:val="restart"/>
                  <w:vAlign w:val="center"/>
                </w:tcPr>
                <w:p>
                  <w:pPr>
                    <w:adjustRightInd w:val="0"/>
                    <w:snapToGrid w:val="0"/>
                    <w:jc w:val="center"/>
                    <w:rPr>
                      <w:color w:val="auto"/>
                      <w:sz w:val="21"/>
                      <w:szCs w:val="21"/>
                      <w:highlight w:val="none"/>
                    </w:rPr>
                  </w:pPr>
                  <w:r>
                    <w:rPr>
                      <w:rFonts w:hint="eastAsia"/>
                      <w:color w:val="auto"/>
                      <w:sz w:val="21"/>
                      <w:szCs w:val="21"/>
                      <w:highlight w:val="none"/>
                    </w:rPr>
                    <w:t>处理</w:t>
                  </w:r>
                </w:p>
                <w:p>
                  <w:pPr>
                    <w:adjustRightInd w:val="0"/>
                    <w:snapToGrid w:val="0"/>
                    <w:jc w:val="center"/>
                    <w:rPr>
                      <w:color w:val="auto"/>
                      <w:sz w:val="21"/>
                      <w:szCs w:val="21"/>
                      <w:highlight w:val="none"/>
                    </w:rPr>
                  </w:pPr>
                  <w:r>
                    <w:rPr>
                      <w:color w:val="auto"/>
                      <w:sz w:val="21"/>
                      <w:szCs w:val="21"/>
                      <w:highlight w:val="none"/>
                    </w:rPr>
                    <w:t>设施</w:t>
                  </w:r>
                </w:p>
              </w:tc>
              <w:tc>
                <w:tcPr>
                  <w:tcW w:w="850" w:type="dxa"/>
                  <w:vMerge w:val="restart"/>
                  <w:vAlign w:val="center"/>
                </w:tcPr>
                <w:p>
                  <w:pPr>
                    <w:adjustRightInd w:val="0"/>
                    <w:snapToGrid w:val="0"/>
                    <w:jc w:val="center"/>
                    <w:rPr>
                      <w:color w:val="auto"/>
                      <w:sz w:val="21"/>
                      <w:szCs w:val="21"/>
                      <w:highlight w:val="none"/>
                    </w:rPr>
                  </w:pPr>
                  <w:r>
                    <w:rPr>
                      <w:color w:val="auto"/>
                      <w:sz w:val="21"/>
                      <w:szCs w:val="21"/>
                      <w:highlight w:val="none"/>
                    </w:rPr>
                    <w:t>风量</w:t>
                  </w:r>
                </w:p>
                <w:p>
                  <w:pPr>
                    <w:adjustRightInd w:val="0"/>
                    <w:snapToGrid w:val="0"/>
                    <w:jc w:val="center"/>
                    <w:rPr>
                      <w:color w:val="auto"/>
                      <w:sz w:val="21"/>
                      <w:szCs w:val="21"/>
                      <w:highlight w:val="none"/>
                    </w:rPr>
                  </w:pPr>
                  <w:r>
                    <w:rPr>
                      <w:color w:val="auto"/>
                      <w:sz w:val="21"/>
                      <w:szCs w:val="21"/>
                      <w:highlight w:val="none"/>
                    </w:rPr>
                    <w:t>(m</w:t>
                  </w:r>
                  <w:r>
                    <w:rPr>
                      <w:color w:val="auto"/>
                      <w:sz w:val="21"/>
                      <w:szCs w:val="21"/>
                      <w:highlight w:val="none"/>
                      <w:vertAlign w:val="superscript"/>
                    </w:rPr>
                    <w:t>3</w:t>
                  </w:r>
                  <w:r>
                    <w:rPr>
                      <w:color w:val="auto"/>
                      <w:sz w:val="21"/>
                      <w:szCs w:val="21"/>
                      <w:highlight w:val="none"/>
                    </w:rPr>
                    <w:t>/h)</w:t>
                  </w:r>
                </w:p>
              </w:tc>
              <w:tc>
                <w:tcPr>
                  <w:tcW w:w="2666" w:type="dxa"/>
                  <w:gridSpan w:val="3"/>
                  <w:vAlign w:val="center"/>
                </w:tcPr>
                <w:p>
                  <w:pPr>
                    <w:adjustRightInd w:val="0"/>
                    <w:snapToGrid w:val="0"/>
                    <w:jc w:val="center"/>
                    <w:rPr>
                      <w:color w:val="auto"/>
                      <w:sz w:val="21"/>
                      <w:szCs w:val="21"/>
                      <w:highlight w:val="none"/>
                    </w:rPr>
                  </w:pPr>
                  <w:r>
                    <w:rPr>
                      <w:rFonts w:hint="eastAsia"/>
                      <w:color w:val="auto"/>
                      <w:sz w:val="21"/>
                      <w:szCs w:val="21"/>
                      <w:highlight w:val="none"/>
                    </w:rPr>
                    <w:t>产生</w:t>
                  </w:r>
                </w:p>
              </w:tc>
              <w:tc>
                <w:tcPr>
                  <w:tcW w:w="2854" w:type="dxa"/>
                  <w:gridSpan w:val="3"/>
                  <w:vAlign w:val="center"/>
                </w:tcPr>
                <w:p>
                  <w:pPr>
                    <w:adjustRightInd w:val="0"/>
                    <w:snapToGrid w:val="0"/>
                    <w:jc w:val="center"/>
                    <w:rPr>
                      <w:color w:val="auto"/>
                      <w:sz w:val="21"/>
                      <w:szCs w:val="21"/>
                      <w:highlight w:val="none"/>
                    </w:rPr>
                  </w:pPr>
                  <w:r>
                    <w:rPr>
                      <w:rFonts w:hint="eastAsia"/>
                      <w:color w:val="auto"/>
                      <w:sz w:val="21"/>
                      <w:szCs w:val="21"/>
                      <w:highlight w:val="none"/>
                    </w:rPr>
                    <w:t>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754" w:type="dxa"/>
                  <w:vMerge w:val="continue"/>
                  <w:vAlign w:val="center"/>
                </w:tcPr>
                <w:p>
                  <w:pPr>
                    <w:adjustRightInd w:val="0"/>
                    <w:snapToGrid w:val="0"/>
                    <w:jc w:val="center"/>
                    <w:rPr>
                      <w:color w:val="auto"/>
                      <w:sz w:val="21"/>
                      <w:szCs w:val="21"/>
                      <w:highlight w:val="none"/>
                    </w:rPr>
                  </w:pPr>
                </w:p>
              </w:tc>
              <w:tc>
                <w:tcPr>
                  <w:tcW w:w="1057" w:type="dxa"/>
                  <w:vMerge w:val="continue"/>
                  <w:vAlign w:val="center"/>
                </w:tcPr>
                <w:p>
                  <w:pPr>
                    <w:adjustRightInd w:val="0"/>
                    <w:snapToGrid w:val="0"/>
                    <w:jc w:val="center"/>
                    <w:rPr>
                      <w:color w:val="auto"/>
                      <w:sz w:val="21"/>
                      <w:szCs w:val="21"/>
                      <w:highlight w:val="none"/>
                    </w:rPr>
                  </w:pPr>
                </w:p>
              </w:tc>
              <w:tc>
                <w:tcPr>
                  <w:tcW w:w="850" w:type="dxa"/>
                  <w:vMerge w:val="continue"/>
                  <w:vAlign w:val="center"/>
                </w:tcPr>
                <w:p>
                  <w:pPr>
                    <w:adjustRightInd w:val="0"/>
                    <w:snapToGrid w:val="0"/>
                    <w:jc w:val="center"/>
                    <w:rPr>
                      <w:color w:val="auto"/>
                      <w:sz w:val="21"/>
                      <w:szCs w:val="21"/>
                      <w:highlight w:val="none"/>
                    </w:rPr>
                  </w:pPr>
                </w:p>
              </w:tc>
              <w:tc>
                <w:tcPr>
                  <w:tcW w:w="876" w:type="dxa"/>
                  <w:vAlign w:val="center"/>
                </w:tcPr>
                <w:p>
                  <w:pPr>
                    <w:adjustRightInd w:val="0"/>
                    <w:snapToGrid w:val="0"/>
                    <w:jc w:val="center"/>
                    <w:rPr>
                      <w:color w:val="auto"/>
                      <w:sz w:val="21"/>
                      <w:szCs w:val="21"/>
                      <w:highlight w:val="none"/>
                    </w:rPr>
                  </w:pPr>
                  <w:r>
                    <w:rPr>
                      <w:rFonts w:hint="eastAsia"/>
                      <w:color w:val="auto"/>
                      <w:sz w:val="21"/>
                      <w:szCs w:val="21"/>
                      <w:highlight w:val="none"/>
                    </w:rPr>
                    <w:t>产生量</w:t>
                  </w:r>
                  <w:r>
                    <w:rPr>
                      <w:rFonts w:hint="eastAsia"/>
                      <w:color w:val="auto"/>
                      <w:sz w:val="24"/>
                      <w:highlight w:val="none"/>
                    </w:rPr>
                    <w:t>kg</w:t>
                  </w:r>
                  <w:r>
                    <w:rPr>
                      <w:color w:val="auto"/>
                      <w:sz w:val="24"/>
                      <w:highlight w:val="none"/>
                    </w:rPr>
                    <w:t>/a</w:t>
                  </w:r>
                </w:p>
              </w:tc>
              <w:tc>
                <w:tcPr>
                  <w:tcW w:w="891" w:type="dxa"/>
                  <w:vAlign w:val="center"/>
                </w:tcPr>
                <w:p>
                  <w:pPr>
                    <w:adjustRightInd w:val="0"/>
                    <w:snapToGrid w:val="0"/>
                    <w:jc w:val="center"/>
                    <w:rPr>
                      <w:color w:val="auto"/>
                      <w:sz w:val="21"/>
                      <w:szCs w:val="21"/>
                      <w:highlight w:val="none"/>
                    </w:rPr>
                  </w:pPr>
                  <w:r>
                    <w:rPr>
                      <w:color w:val="auto"/>
                      <w:sz w:val="21"/>
                      <w:szCs w:val="21"/>
                      <w:highlight w:val="none"/>
                    </w:rPr>
                    <w:t>浓度</w:t>
                  </w:r>
                  <w:r>
                    <w:rPr>
                      <w:color w:val="auto"/>
                      <w:spacing w:val="-16"/>
                      <w:sz w:val="21"/>
                      <w:szCs w:val="21"/>
                      <w:highlight w:val="none"/>
                    </w:rPr>
                    <w:t>（</w:t>
                  </w:r>
                  <w:r>
                    <w:rPr>
                      <w:rFonts w:hint="eastAsia"/>
                      <w:color w:val="auto"/>
                      <w:spacing w:val="-16"/>
                      <w:sz w:val="21"/>
                      <w:szCs w:val="21"/>
                      <w:highlight w:val="none"/>
                    </w:rPr>
                    <w:t>m</w:t>
                  </w:r>
                  <w:r>
                    <w:rPr>
                      <w:color w:val="auto"/>
                      <w:spacing w:val="-16"/>
                      <w:sz w:val="21"/>
                      <w:szCs w:val="21"/>
                      <w:highlight w:val="none"/>
                    </w:rPr>
                    <w:t>g/m</w:t>
                  </w:r>
                  <w:r>
                    <w:rPr>
                      <w:color w:val="auto"/>
                      <w:spacing w:val="-16"/>
                      <w:sz w:val="21"/>
                      <w:szCs w:val="21"/>
                      <w:highlight w:val="none"/>
                      <w:vertAlign w:val="superscript"/>
                    </w:rPr>
                    <w:t>3</w:t>
                  </w:r>
                  <w:r>
                    <w:rPr>
                      <w:color w:val="auto"/>
                      <w:spacing w:val="-16"/>
                      <w:sz w:val="21"/>
                      <w:szCs w:val="21"/>
                      <w:highlight w:val="none"/>
                    </w:rPr>
                    <w:t>）</w:t>
                  </w:r>
                </w:p>
              </w:tc>
              <w:tc>
                <w:tcPr>
                  <w:tcW w:w="899" w:type="dxa"/>
                  <w:vAlign w:val="center"/>
                </w:tcPr>
                <w:p>
                  <w:pPr>
                    <w:adjustRightInd w:val="0"/>
                    <w:snapToGrid w:val="0"/>
                    <w:jc w:val="center"/>
                    <w:rPr>
                      <w:color w:val="auto"/>
                      <w:sz w:val="21"/>
                      <w:szCs w:val="21"/>
                      <w:highlight w:val="none"/>
                    </w:rPr>
                  </w:pPr>
                  <w:r>
                    <w:rPr>
                      <w:color w:val="auto"/>
                      <w:sz w:val="21"/>
                      <w:szCs w:val="21"/>
                      <w:highlight w:val="none"/>
                    </w:rPr>
                    <w:t>速率（kg/h）</w:t>
                  </w:r>
                </w:p>
              </w:tc>
              <w:tc>
                <w:tcPr>
                  <w:tcW w:w="1023" w:type="dxa"/>
                  <w:vAlign w:val="center"/>
                </w:tcPr>
                <w:p>
                  <w:pPr>
                    <w:jc w:val="center"/>
                    <w:rPr>
                      <w:color w:val="auto"/>
                      <w:sz w:val="21"/>
                      <w:szCs w:val="21"/>
                      <w:highlight w:val="none"/>
                    </w:rPr>
                  </w:pPr>
                  <w:r>
                    <w:rPr>
                      <w:rFonts w:hint="eastAsia"/>
                      <w:color w:val="auto"/>
                      <w:sz w:val="21"/>
                      <w:szCs w:val="21"/>
                      <w:highlight w:val="none"/>
                    </w:rPr>
                    <w:t>排放量</w:t>
                  </w:r>
                  <w:r>
                    <w:rPr>
                      <w:rFonts w:hint="eastAsia"/>
                      <w:color w:val="auto"/>
                      <w:sz w:val="24"/>
                      <w:highlight w:val="none"/>
                    </w:rPr>
                    <w:t>kg</w:t>
                  </w:r>
                  <w:r>
                    <w:rPr>
                      <w:color w:val="auto"/>
                      <w:sz w:val="24"/>
                      <w:highlight w:val="none"/>
                    </w:rPr>
                    <w:t>/a</w:t>
                  </w:r>
                </w:p>
              </w:tc>
              <w:tc>
                <w:tcPr>
                  <w:tcW w:w="1023" w:type="dxa"/>
                  <w:vAlign w:val="center"/>
                </w:tcPr>
                <w:p>
                  <w:pPr>
                    <w:jc w:val="center"/>
                    <w:rPr>
                      <w:color w:val="auto"/>
                      <w:sz w:val="21"/>
                      <w:szCs w:val="21"/>
                      <w:highlight w:val="none"/>
                    </w:rPr>
                  </w:pPr>
                  <w:r>
                    <w:rPr>
                      <w:color w:val="auto"/>
                      <w:sz w:val="21"/>
                      <w:szCs w:val="21"/>
                      <w:highlight w:val="none"/>
                    </w:rPr>
                    <w:t>浓度(</w:t>
                  </w:r>
                  <w:r>
                    <w:rPr>
                      <w:rFonts w:hint="eastAsia"/>
                      <w:color w:val="auto"/>
                      <w:sz w:val="21"/>
                      <w:szCs w:val="21"/>
                      <w:highlight w:val="none"/>
                    </w:rPr>
                    <w:t>m</w:t>
                  </w:r>
                  <w:r>
                    <w:rPr>
                      <w:color w:val="auto"/>
                      <w:sz w:val="21"/>
                      <w:szCs w:val="21"/>
                      <w:highlight w:val="none"/>
                    </w:rPr>
                    <w:t>g/m</w:t>
                  </w:r>
                  <w:r>
                    <w:rPr>
                      <w:color w:val="auto"/>
                      <w:sz w:val="21"/>
                      <w:szCs w:val="21"/>
                      <w:highlight w:val="none"/>
                      <w:vertAlign w:val="superscript"/>
                    </w:rPr>
                    <w:t>3</w:t>
                  </w:r>
                  <w:r>
                    <w:rPr>
                      <w:color w:val="auto"/>
                      <w:sz w:val="21"/>
                      <w:szCs w:val="21"/>
                      <w:highlight w:val="none"/>
                    </w:rPr>
                    <w:t>)</w:t>
                  </w:r>
                </w:p>
              </w:tc>
              <w:tc>
                <w:tcPr>
                  <w:tcW w:w="808" w:type="dxa"/>
                  <w:vAlign w:val="center"/>
                </w:tcPr>
                <w:p>
                  <w:pPr>
                    <w:adjustRightInd w:val="0"/>
                    <w:snapToGrid w:val="0"/>
                    <w:jc w:val="center"/>
                    <w:rPr>
                      <w:color w:val="auto"/>
                      <w:sz w:val="21"/>
                      <w:szCs w:val="21"/>
                      <w:highlight w:val="none"/>
                    </w:rPr>
                  </w:pPr>
                  <w:r>
                    <w:rPr>
                      <w:color w:val="auto"/>
                      <w:sz w:val="21"/>
                      <w:szCs w:val="21"/>
                      <w:highlight w:val="none"/>
                    </w:rPr>
                    <w:t>速率（kg/h）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754" w:type="dxa"/>
                  <w:vAlign w:val="center"/>
                </w:tcPr>
                <w:p>
                  <w:pPr>
                    <w:adjustRightInd w:val="0"/>
                    <w:snapToGrid w:val="0"/>
                    <w:jc w:val="center"/>
                    <w:rPr>
                      <w:color w:val="auto"/>
                      <w:sz w:val="21"/>
                      <w:szCs w:val="21"/>
                      <w:highlight w:val="none"/>
                    </w:rPr>
                  </w:pPr>
                  <w:r>
                    <w:rPr>
                      <w:rFonts w:hint="eastAsia"/>
                      <w:color w:val="auto"/>
                      <w:sz w:val="21"/>
                      <w:szCs w:val="21"/>
                      <w:highlight w:val="none"/>
                    </w:rPr>
                    <w:t>VOCs</w:t>
                  </w:r>
                </w:p>
              </w:tc>
              <w:tc>
                <w:tcPr>
                  <w:tcW w:w="1057" w:type="dxa"/>
                  <w:vAlign w:val="center"/>
                </w:tcPr>
                <w:p>
                  <w:pPr>
                    <w:adjustRightInd w:val="0"/>
                    <w:snapToGrid w:val="0"/>
                    <w:jc w:val="center"/>
                    <w:rPr>
                      <w:color w:val="auto"/>
                      <w:sz w:val="21"/>
                      <w:szCs w:val="21"/>
                      <w:highlight w:val="none"/>
                    </w:rPr>
                  </w:pPr>
                  <w:r>
                    <w:rPr>
                      <w:color w:val="auto"/>
                      <w:sz w:val="21"/>
                      <w:szCs w:val="21"/>
                      <w:highlight w:val="none"/>
                    </w:rPr>
                    <w:t>UV</w:t>
                  </w:r>
                  <w:r>
                    <w:rPr>
                      <w:rFonts w:hint="eastAsia"/>
                      <w:color w:val="auto"/>
                      <w:sz w:val="21"/>
                      <w:szCs w:val="21"/>
                      <w:highlight w:val="none"/>
                    </w:rPr>
                    <w:t>光催化</w:t>
                  </w:r>
                  <w:r>
                    <w:rPr>
                      <w:color w:val="auto"/>
                      <w:sz w:val="21"/>
                      <w:szCs w:val="21"/>
                      <w:highlight w:val="none"/>
                    </w:rPr>
                    <w:t>+</w:t>
                  </w:r>
                  <w:r>
                    <w:rPr>
                      <w:rFonts w:hint="eastAsia"/>
                      <w:color w:val="auto"/>
                      <w:sz w:val="21"/>
                      <w:szCs w:val="21"/>
                      <w:highlight w:val="none"/>
                    </w:rPr>
                    <w:t>活性炭</w:t>
                  </w:r>
                  <w:r>
                    <w:rPr>
                      <w:rFonts w:hint="eastAsia"/>
                      <w:bCs/>
                      <w:color w:val="auto"/>
                      <w:sz w:val="21"/>
                      <w:szCs w:val="21"/>
                      <w:highlight w:val="none"/>
                    </w:rPr>
                    <w:t>装置</w:t>
                  </w:r>
                </w:p>
              </w:tc>
              <w:tc>
                <w:tcPr>
                  <w:tcW w:w="850" w:type="dxa"/>
                  <w:vAlign w:val="center"/>
                </w:tcPr>
                <w:p>
                  <w:pPr>
                    <w:adjustRightInd w:val="0"/>
                    <w:snapToGrid w:val="0"/>
                    <w:jc w:val="center"/>
                    <w:rPr>
                      <w:color w:val="auto"/>
                      <w:sz w:val="21"/>
                      <w:szCs w:val="21"/>
                      <w:highlight w:val="none"/>
                    </w:rPr>
                  </w:pPr>
                  <w:r>
                    <w:rPr>
                      <w:rFonts w:hint="eastAsia"/>
                      <w:color w:val="auto"/>
                      <w:sz w:val="21"/>
                      <w:szCs w:val="21"/>
                      <w:highlight w:val="none"/>
                    </w:rPr>
                    <w:t>132</w:t>
                  </w:r>
                  <w:r>
                    <w:rPr>
                      <w:color w:val="auto"/>
                      <w:sz w:val="21"/>
                      <w:szCs w:val="21"/>
                      <w:highlight w:val="none"/>
                    </w:rPr>
                    <w:t>00</w:t>
                  </w:r>
                </w:p>
              </w:tc>
              <w:tc>
                <w:tcPr>
                  <w:tcW w:w="876" w:type="dxa"/>
                  <w:vAlign w:val="center"/>
                </w:tcPr>
                <w:p>
                  <w:pPr>
                    <w:jc w:val="center"/>
                    <w:rPr>
                      <w:color w:val="auto"/>
                      <w:sz w:val="21"/>
                      <w:szCs w:val="21"/>
                      <w:highlight w:val="none"/>
                    </w:rPr>
                  </w:pPr>
                  <w:r>
                    <w:rPr>
                      <w:rFonts w:hint="eastAsia"/>
                      <w:color w:val="auto"/>
                      <w:sz w:val="21"/>
                      <w:szCs w:val="21"/>
                      <w:highlight w:val="none"/>
                    </w:rPr>
                    <w:t>101.98</w:t>
                  </w:r>
                </w:p>
              </w:tc>
              <w:tc>
                <w:tcPr>
                  <w:tcW w:w="891" w:type="dxa"/>
                  <w:vAlign w:val="center"/>
                </w:tcPr>
                <w:p>
                  <w:pPr>
                    <w:jc w:val="center"/>
                    <w:rPr>
                      <w:color w:val="auto"/>
                      <w:sz w:val="21"/>
                      <w:szCs w:val="21"/>
                      <w:highlight w:val="none"/>
                    </w:rPr>
                  </w:pPr>
                  <w:r>
                    <w:rPr>
                      <w:rFonts w:hint="eastAsia"/>
                      <w:color w:val="auto"/>
                      <w:sz w:val="21"/>
                      <w:szCs w:val="21"/>
                      <w:highlight w:val="none"/>
                    </w:rPr>
                    <w:t>6.898</w:t>
                  </w:r>
                </w:p>
              </w:tc>
              <w:tc>
                <w:tcPr>
                  <w:tcW w:w="899" w:type="dxa"/>
                  <w:vAlign w:val="center"/>
                </w:tcPr>
                <w:p>
                  <w:pPr>
                    <w:jc w:val="center"/>
                    <w:rPr>
                      <w:color w:val="auto"/>
                      <w:sz w:val="22"/>
                      <w:szCs w:val="22"/>
                      <w:highlight w:val="none"/>
                    </w:rPr>
                  </w:pPr>
                  <w:r>
                    <w:rPr>
                      <w:rFonts w:hint="eastAsia"/>
                      <w:bCs/>
                      <w:color w:val="auto"/>
                      <w:sz w:val="22"/>
                      <w:szCs w:val="22"/>
                      <w:highlight w:val="none"/>
                    </w:rPr>
                    <w:t>0.091</w:t>
                  </w:r>
                </w:p>
              </w:tc>
              <w:tc>
                <w:tcPr>
                  <w:tcW w:w="1023" w:type="dxa"/>
                  <w:vAlign w:val="center"/>
                </w:tcPr>
                <w:p>
                  <w:pPr>
                    <w:jc w:val="center"/>
                    <w:rPr>
                      <w:color w:val="auto"/>
                      <w:sz w:val="21"/>
                      <w:szCs w:val="21"/>
                      <w:highlight w:val="none"/>
                    </w:rPr>
                  </w:pPr>
                  <w:r>
                    <w:rPr>
                      <w:rFonts w:hint="eastAsia"/>
                      <w:color w:val="auto"/>
                      <w:sz w:val="21"/>
                      <w:szCs w:val="21"/>
                      <w:highlight w:val="none"/>
                    </w:rPr>
                    <w:t>13.77</w:t>
                  </w:r>
                </w:p>
              </w:tc>
              <w:tc>
                <w:tcPr>
                  <w:tcW w:w="1023" w:type="dxa"/>
                  <w:vAlign w:val="center"/>
                </w:tcPr>
                <w:p>
                  <w:pPr>
                    <w:jc w:val="center"/>
                    <w:rPr>
                      <w:color w:val="auto"/>
                      <w:sz w:val="21"/>
                      <w:szCs w:val="21"/>
                      <w:highlight w:val="none"/>
                    </w:rPr>
                  </w:pPr>
                  <w:r>
                    <w:rPr>
                      <w:rFonts w:hint="eastAsia"/>
                      <w:bCs/>
                      <w:color w:val="auto"/>
                      <w:sz w:val="21"/>
                      <w:szCs w:val="21"/>
                      <w:highlight w:val="none"/>
                    </w:rPr>
                    <w:t>0.93</w:t>
                  </w:r>
                </w:p>
              </w:tc>
              <w:tc>
                <w:tcPr>
                  <w:tcW w:w="808" w:type="dxa"/>
                  <w:vAlign w:val="center"/>
                </w:tcPr>
                <w:p>
                  <w:pPr>
                    <w:jc w:val="center"/>
                    <w:rPr>
                      <w:color w:val="auto"/>
                      <w:sz w:val="21"/>
                      <w:szCs w:val="21"/>
                      <w:highlight w:val="none"/>
                    </w:rPr>
                  </w:pPr>
                  <w:r>
                    <w:rPr>
                      <w:rFonts w:hint="eastAsia"/>
                      <w:bCs/>
                      <w:color w:val="auto"/>
                      <w:sz w:val="21"/>
                      <w:szCs w:val="21"/>
                      <w:highlight w:val="none"/>
                    </w:rPr>
                    <w:t>0.012</w:t>
                  </w:r>
                </w:p>
              </w:tc>
            </w:tr>
          </w:tbl>
          <w:p>
            <w:pPr>
              <w:rPr>
                <w:color w:val="auto"/>
                <w:highlight w:val="none"/>
              </w:rPr>
            </w:pPr>
          </w:p>
          <w:p>
            <w:pPr>
              <w:spacing w:line="360" w:lineRule="auto"/>
              <w:ind w:firstLine="480" w:firstLineChars="200"/>
              <w:rPr>
                <w:color w:val="auto"/>
                <w:sz w:val="24"/>
                <w:highlight w:val="none"/>
              </w:rPr>
            </w:pPr>
            <w:r>
              <w:rPr>
                <w:color w:val="auto"/>
                <w:sz w:val="24"/>
                <w:highlight w:val="none"/>
              </w:rPr>
              <w:t>（</w:t>
            </w:r>
            <w:r>
              <w:rPr>
                <w:rFonts w:hint="eastAsia"/>
                <w:color w:val="auto"/>
                <w:sz w:val="24"/>
                <w:highlight w:val="none"/>
              </w:rPr>
              <w:t>4</w:t>
            </w:r>
            <w:r>
              <w:rPr>
                <w:color w:val="auto"/>
                <w:sz w:val="24"/>
                <w:highlight w:val="none"/>
              </w:rPr>
              <w:t>）固废</w:t>
            </w:r>
          </w:p>
          <w:p>
            <w:pPr>
              <w:spacing w:line="360" w:lineRule="auto"/>
              <w:ind w:firstLine="480" w:firstLineChars="200"/>
              <w:rPr>
                <w:color w:val="auto"/>
                <w:sz w:val="24"/>
                <w:highlight w:val="none"/>
              </w:rPr>
            </w:pPr>
            <w:r>
              <w:rPr>
                <w:color w:val="auto"/>
                <w:sz w:val="24"/>
                <w:highlight w:val="none"/>
              </w:rPr>
              <w:t>本</w:t>
            </w:r>
            <w:r>
              <w:rPr>
                <w:rFonts w:hint="eastAsia"/>
                <w:color w:val="auto"/>
                <w:sz w:val="24"/>
                <w:highlight w:val="none"/>
              </w:rPr>
              <w:t>次</w:t>
            </w:r>
            <w:r>
              <w:rPr>
                <w:color w:val="auto"/>
                <w:sz w:val="24"/>
                <w:highlight w:val="none"/>
              </w:rPr>
              <w:t>项目产生的固体废物主要为</w:t>
            </w:r>
            <w:r>
              <w:rPr>
                <w:rFonts w:hint="eastAsia"/>
                <w:color w:val="auto"/>
                <w:sz w:val="24"/>
                <w:highlight w:val="none"/>
              </w:rPr>
              <w:t>废纸、废油墨桶、废含油抹布、废活性炭、废洗辊液、废机油和生活垃圾</w:t>
            </w:r>
            <w:r>
              <w:rPr>
                <w:color w:val="auto"/>
                <w:sz w:val="24"/>
                <w:highlight w:val="none"/>
              </w:rPr>
              <w:t>。</w:t>
            </w:r>
            <w:r>
              <w:rPr>
                <w:rFonts w:hint="eastAsia"/>
                <w:color w:val="auto"/>
                <w:sz w:val="24"/>
                <w:highlight w:val="none"/>
              </w:rPr>
              <w:t>本项目固体废物产生情况汇总见表5</w:t>
            </w:r>
          </w:p>
          <w:p>
            <w:pPr>
              <w:spacing w:line="360" w:lineRule="auto"/>
              <w:ind w:firstLine="480" w:firstLineChars="200"/>
              <w:rPr>
                <w:color w:val="auto"/>
                <w:sz w:val="24"/>
                <w:highlight w:val="none"/>
              </w:rPr>
            </w:pPr>
            <w:r>
              <w:rPr>
                <w:rFonts w:hint="eastAsia"/>
                <w:color w:val="auto"/>
                <w:sz w:val="24"/>
                <w:highlight w:val="none"/>
              </w:rPr>
              <w:t>①废纸：</w:t>
            </w:r>
            <w:r>
              <w:rPr>
                <w:color w:val="auto"/>
                <w:sz w:val="24"/>
                <w:highlight w:val="none"/>
              </w:rPr>
              <w:t>各类纸张裁切、模切过程中产生的边角料；印刷、质检产生的废纸及不合格品，为一般固废。废纸产生量</w:t>
            </w:r>
            <w:r>
              <w:rPr>
                <w:rFonts w:hint="eastAsia"/>
                <w:color w:val="auto"/>
                <w:sz w:val="24"/>
                <w:highlight w:val="none"/>
              </w:rPr>
              <w:t>0.5</w:t>
            </w:r>
            <w:r>
              <w:rPr>
                <w:color w:val="auto"/>
                <w:sz w:val="24"/>
                <w:highlight w:val="none"/>
              </w:rPr>
              <w:t>t/a，</w:t>
            </w:r>
            <w:r>
              <w:rPr>
                <w:rFonts w:hint="eastAsia"/>
                <w:color w:val="auto"/>
                <w:sz w:val="24"/>
                <w:highlight w:val="none"/>
              </w:rPr>
              <w:t>外售废纸回收单位</w:t>
            </w:r>
            <w:r>
              <w:rPr>
                <w:color w:val="auto"/>
                <w:sz w:val="24"/>
                <w:highlight w:val="none"/>
              </w:rPr>
              <w:t>。</w:t>
            </w:r>
          </w:p>
          <w:p>
            <w:pPr>
              <w:spacing w:line="360" w:lineRule="auto"/>
              <w:ind w:firstLine="480" w:firstLineChars="200"/>
              <w:rPr>
                <w:color w:val="auto"/>
                <w:sz w:val="24"/>
                <w:highlight w:val="none"/>
              </w:rPr>
            </w:pPr>
            <w:r>
              <w:rPr>
                <w:rFonts w:hint="eastAsia"/>
                <w:color w:val="auto"/>
                <w:sz w:val="24"/>
                <w:highlight w:val="none"/>
              </w:rPr>
              <w:t>②废油墨桶：</w:t>
            </w:r>
            <w:r>
              <w:rPr>
                <w:color w:val="auto"/>
                <w:sz w:val="24"/>
                <w:highlight w:val="none"/>
              </w:rPr>
              <w:t>项目运行过程中产生的</w:t>
            </w:r>
            <w:r>
              <w:rPr>
                <w:rFonts w:hint="eastAsia"/>
                <w:color w:val="auto"/>
                <w:sz w:val="24"/>
                <w:highlight w:val="none"/>
              </w:rPr>
              <w:t>废</w:t>
            </w:r>
            <w:r>
              <w:rPr>
                <w:color w:val="auto"/>
                <w:sz w:val="24"/>
                <w:highlight w:val="none"/>
              </w:rPr>
              <w:t>油墨桶</w:t>
            </w:r>
            <w:r>
              <w:rPr>
                <w:rFonts w:hint="eastAsia"/>
                <w:color w:val="auto"/>
                <w:sz w:val="24"/>
                <w:highlight w:val="none"/>
              </w:rPr>
              <w:t>等</w:t>
            </w:r>
            <w:r>
              <w:rPr>
                <w:color w:val="auto"/>
                <w:sz w:val="24"/>
                <w:highlight w:val="none"/>
              </w:rPr>
              <w:t>原料废包装材料量约0.</w:t>
            </w:r>
            <w:r>
              <w:rPr>
                <w:rFonts w:hint="eastAsia"/>
                <w:color w:val="auto"/>
                <w:sz w:val="24"/>
                <w:highlight w:val="none"/>
              </w:rPr>
              <w:t>0</w:t>
            </w:r>
            <w:r>
              <w:rPr>
                <w:color w:val="auto"/>
                <w:sz w:val="24"/>
                <w:highlight w:val="none"/>
              </w:rPr>
              <w:t>2t/a，属于HW49其他废物中900-041-49含有或沾染毒性、感染性危险废物的废弃包装物、容器、过滤吸附介质，采用带盖的塑料桶进行收集，暂存于厂区危险废物暂存间，</w:t>
            </w:r>
            <w:r>
              <w:rPr>
                <w:rFonts w:hint="eastAsia"/>
                <w:color w:val="auto"/>
                <w:sz w:val="24"/>
                <w:highlight w:val="none"/>
              </w:rPr>
              <w:t>定期移交给陕西新天地固体废物综合处置有限公司处理</w:t>
            </w:r>
            <w:r>
              <w:rPr>
                <w:color w:val="auto"/>
                <w:sz w:val="24"/>
                <w:highlight w:val="none"/>
              </w:rPr>
              <w:t>。</w:t>
            </w:r>
          </w:p>
          <w:p>
            <w:pPr>
              <w:spacing w:line="360" w:lineRule="auto"/>
              <w:ind w:firstLine="480" w:firstLineChars="200"/>
              <w:rPr>
                <w:color w:val="auto"/>
                <w:sz w:val="24"/>
                <w:highlight w:val="none"/>
              </w:rPr>
            </w:pPr>
            <w:r>
              <w:rPr>
                <w:rFonts w:hint="eastAsia"/>
                <w:color w:val="auto"/>
                <w:sz w:val="24"/>
                <w:highlight w:val="none"/>
              </w:rPr>
              <w:t>③废含油抹布：</w:t>
            </w:r>
            <w:r>
              <w:rPr>
                <w:color w:val="auto"/>
                <w:sz w:val="24"/>
                <w:highlight w:val="none"/>
              </w:rPr>
              <w:t>日常印刷机清洁产生的废抹布，属于HW12染料、涂料废物中900-041-49油漆、油墨生产、配制和使用过程中产生的含颜料、油墨的有机溶剂废物；产生量为0.01t/a，采用带盖的塑料桶暂存于厂区危险废物暂存间，</w:t>
            </w:r>
            <w:r>
              <w:rPr>
                <w:rFonts w:hint="eastAsia"/>
                <w:color w:val="auto"/>
                <w:sz w:val="24"/>
                <w:highlight w:val="none"/>
              </w:rPr>
              <w:t>定期移交给陕西新天地固体废物综合处置有限公司处理</w:t>
            </w:r>
            <w:r>
              <w:rPr>
                <w:color w:val="auto"/>
                <w:sz w:val="24"/>
                <w:highlight w:val="none"/>
              </w:rPr>
              <w:t>。</w:t>
            </w:r>
          </w:p>
          <w:p>
            <w:pPr>
              <w:pStyle w:val="100"/>
              <w:spacing w:line="360" w:lineRule="auto"/>
              <w:ind w:firstLine="480" w:firstLineChars="200"/>
              <w:jc w:val="both"/>
              <w:rPr>
                <w:rFonts w:ascii="Times New Roman" w:cs="Times New Roman"/>
                <w:color w:val="auto"/>
                <w:kern w:val="2"/>
                <w:highlight w:val="none"/>
              </w:rPr>
            </w:pPr>
            <w:r>
              <w:rPr>
                <w:rFonts w:hint="eastAsia" w:ascii="Times New Roman" w:cs="Times New Roman"/>
                <w:color w:val="auto"/>
                <w:kern w:val="2"/>
                <w:highlight w:val="none"/>
              </w:rPr>
              <w:t>④废活性炭:项目有机废气治理设施活性炭充填量</w:t>
            </w:r>
            <w:r>
              <w:rPr>
                <w:rFonts w:ascii="Times New Roman" w:cs="Times New Roman"/>
                <w:color w:val="auto"/>
                <w:kern w:val="2"/>
                <w:highlight w:val="none"/>
              </w:rPr>
              <w:t>0.04t</w:t>
            </w:r>
            <w:r>
              <w:rPr>
                <w:rFonts w:hint="eastAsia" w:ascii="Times New Roman" w:cs="Times New Roman"/>
                <w:color w:val="auto"/>
                <w:kern w:val="2"/>
                <w:highlight w:val="none"/>
              </w:rPr>
              <w:t>，活性炭每两个月更换一次即可满足使用需求，每年更换产生的废活性炭量约</w:t>
            </w:r>
            <w:r>
              <w:rPr>
                <w:rFonts w:ascii="Times New Roman" w:cs="Times New Roman"/>
                <w:color w:val="auto"/>
                <w:kern w:val="2"/>
                <w:highlight w:val="none"/>
              </w:rPr>
              <w:t>0.24t/a</w:t>
            </w:r>
            <w:r>
              <w:rPr>
                <w:rFonts w:hint="eastAsia" w:ascii="Times New Roman" w:cs="Times New Roman"/>
                <w:color w:val="auto"/>
                <w:kern w:val="2"/>
                <w:highlight w:val="none"/>
              </w:rPr>
              <w:t>。废活性炭属于</w:t>
            </w:r>
            <w:r>
              <w:rPr>
                <w:rFonts w:ascii="Times New Roman" w:cs="Times New Roman"/>
                <w:color w:val="auto"/>
                <w:kern w:val="2"/>
                <w:highlight w:val="none"/>
              </w:rPr>
              <w:t>HW49</w:t>
            </w:r>
            <w:r>
              <w:rPr>
                <w:rFonts w:hint="eastAsia" w:ascii="Times New Roman" w:cs="Times New Roman"/>
                <w:color w:val="auto"/>
                <w:kern w:val="2"/>
                <w:highlight w:val="none"/>
              </w:rPr>
              <w:t>其他废物中</w:t>
            </w:r>
            <w:r>
              <w:rPr>
                <w:rFonts w:ascii="Times New Roman" w:cs="Times New Roman"/>
                <w:color w:val="auto"/>
                <w:kern w:val="2"/>
                <w:highlight w:val="none"/>
              </w:rPr>
              <w:t>900-041-49</w:t>
            </w:r>
            <w:r>
              <w:rPr>
                <w:rFonts w:hint="eastAsia" w:ascii="Times New Roman" w:cs="Times New Roman"/>
                <w:color w:val="auto"/>
                <w:kern w:val="2"/>
                <w:highlight w:val="none"/>
              </w:rPr>
              <w:t>含有或沾染毒性、感染性危险废物的废弃包装物、容器、过滤吸附介质，收集后用塑料袋封装暂存于带盖的塑料桶中，暂存于厂区危险废物暂存间，定期移交给陕西新天地固体废物综合处置有限公司处理。</w:t>
            </w:r>
            <w:r>
              <w:rPr>
                <w:rFonts w:ascii="Times New Roman" w:cs="Times New Roman"/>
                <w:color w:val="auto"/>
                <w:kern w:val="2"/>
                <w:highlight w:val="none"/>
              </w:rPr>
              <w:t xml:space="preserve"> </w:t>
            </w:r>
          </w:p>
          <w:p>
            <w:pPr>
              <w:spacing w:line="360" w:lineRule="auto"/>
              <w:ind w:firstLine="480" w:firstLineChars="200"/>
              <w:rPr>
                <w:color w:val="auto"/>
                <w:sz w:val="24"/>
                <w:highlight w:val="none"/>
              </w:rPr>
            </w:pPr>
            <w:r>
              <w:rPr>
                <w:rFonts w:hint="eastAsia"/>
                <w:color w:val="auto"/>
                <w:sz w:val="24"/>
                <w:highlight w:val="none"/>
              </w:rPr>
              <w:t>⑤废机油:设备养护过程会使用机油,根据建设单位提供的资料,废机油年产生量为0.02t/a, 暂存于带盖的塑料桶中，暂存于厂区危险废物暂存间，定期移交给陕西新天地固体废物综合处置有限公司处理。</w:t>
            </w:r>
          </w:p>
          <w:p>
            <w:pPr>
              <w:spacing w:line="360" w:lineRule="auto"/>
              <w:ind w:firstLine="480" w:firstLineChars="200"/>
              <w:rPr>
                <w:color w:val="auto"/>
                <w:sz w:val="24"/>
                <w:highlight w:val="none"/>
              </w:rPr>
            </w:pPr>
            <w:r>
              <w:rPr>
                <w:rFonts w:hint="eastAsia"/>
                <w:color w:val="auto"/>
                <w:sz w:val="24"/>
                <w:highlight w:val="none"/>
              </w:rPr>
              <w:t>⑥废洗辊液：打印机在使用过程中需要使用润版液，根据生产经验产生的废润版液为0.002t/a，场内危废间暂存后交由陕西新天地固体废物综合处置有限公司处理。</w:t>
            </w:r>
          </w:p>
          <w:p>
            <w:pPr>
              <w:spacing w:line="360" w:lineRule="auto"/>
              <w:ind w:firstLine="480" w:firstLineChars="200"/>
              <w:rPr>
                <w:color w:val="auto"/>
                <w:sz w:val="24"/>
                <w:highlight w:val="none"/>
              </w:rPr>
            </w:pPr>
            <w:r>
              <w:rPr>
                <w:rFonts w:hint="eastAsia"/>
                <w:color w:val="auto"/>
                <w:sz w:val="24"/>
                <w:highlight w:val="none"/>
              </w:rPr>
              <w:t>⑦</w:t>
            </w:r>
            <w:r>
              <w:rPr>
                <w:color w:val="auto"/>
                <w:sz w:val="24"/>
                <w:highlight w:val="none"/>
              </w:rPr>
              <w:t>生活垃圾</w:t>
            </w:r>
            <w:r>
              <w:rPr>
                <w:rFonts w:hint="eastAsia"/>
                <w:color w:val="auto"/>
                <w:sz w:val="24"/>
                <w:highlight w:val="none"/>
              </w:rPr>
              <w:t>:</w:t>
            </w:r>
            <w:r>
              <w:rPr>
                <w:color w:val="auto"/>
                <w:sz w:val="24"/>
                <w:highlight w:val="none"/>
              </w:rPr>
              <w:t>生活垃圾产生量按0.5kg/人·d，</w:t>
            </w:r>
            <w:r>
              <w:rPr>
                <w:rFonts w:hint="eastAsia"/>
                <w:color w:val="auto"/>
                <w:sz w:val="24"/>
                <w:highlight w:val="none"/>
              </w:rPr>
              <w:t>劳动定员15人，年工作140天，</w:t>
            </w:r>
            <w:r>
              <w:rPr>
                <w:color w:val="auto"/>
                <w:sz w:val="24"/>
                <w:highlight w:val="none"/>
              </w:rPr>
              <w:t>则生活垃圾产生量为</w:t>
            </w:r>
            <w:r>
              <w:rPr>
                <w:rFonts w:hint="eastAsia"/>
                <w:color w:val="auto"/>
                <w:sz w:val="24"/>
                <w:highlight w:val="none"/>
              </w:rPr>
              <w:t>7.5</w:t>
            </w:r>
            <w:r>
              <w:rPr>
                <w:color w:val="auto"/>
                <w:sz w:val="24"/>
                <w:highlight w:val="none"/>
              </w:rPr>
              <w:t>kg/d，</w:t>
            </w:r>
            <w:r>
              <w:rPr>
                <w:rFonts w:hint="eastAsia"/>
                <w:color w:val="auto"/>
                <w:sz w:val="24"/>
                <w:highlight w:val="none"/>
              </w:rPr>
              <w:t>1.05</w:t>
            </w:r>
            <w:r>
              <w:rPr>
                <w:color w:val="auto"/>
                <w:sz w:val="24"/>
                <w:highlight w:val="none"/>
              </w:rPr>
              <w:t>t/a。</w:t>
            </w:r>
            <w:r>
              <w:rPr>
                <w:rFonts w:hint="eastAsia"/>
                <w:color w:val="auto"/>
                <w:sz w:val="24"/>
                <w:highlight w:val="none"/>
              </w:rPr>
              <w:t>场内设垃圾桶，由环卫部门定期清运处置。</w:t>
            </w:r>
          </w:p>
          <w:p>
            <w:pPr>
              <w:autoSpaceDE w:val="0"/>
              <w:autoSpaceDN w:val="0"/>
              <w:adjustRightInd w:val="0"/>
              <w:spacing w:line="360" w:lineRule="auto"/>
              <w:ind w:firstLine="480" w:firstLineChars="200"/>
              <w:jc w:val="center"/>
              <w:rPr>
                <w:rFonts w:ascii="黑体" w:hAnsi="黑体" w:eastAsia="黑体"/>
                <w:b/>
                <w:bCs/>
                <w:color w:val="auto"/>
                <w:kern w:val="0"/>
                <w:sz w:val="24"/>
                <w:highlight w:val="none"/>
              </w:rPr>
            </w:pPr>
            <w:r>
              <w:rPr>
                <w:rFonts w:hint="eastAsia" w:ascii="黑体" w:hAnsi="黑体" w:eastAsia="黑体"/>
                <w:bCs/>
                <w:color w:val="auto"/>
                <w:kern w:val="0"/>
                <w:sz w:val="24"/>
                <w:highlight w:val="none"/>
              </w:rPr>
              <w:t>表</w:t>
            </w:r>
            <w:r>
              <w:rPr>
                <w:rFonts w:ascii="黑体" w:hAnsi="黑体" w:eastAsia="黑体"/>
                <w:bCs/>
                <w:color w:val="auto"/>
                <w:kern w:val="0"/>
                <w:sz w:val="24"/>
                <w:highlight w:val="none"/>
              </w:rPr>
              <w:t xml:space="preserve">5-3    </w:t>
            </w:r>
            <w:r>
              <w:rPr>
                <w:rFonts w:hint="eastAsia" w:ascii="黑体" w:hAnsi="黑体" w:eastAsia="黑体"/>
                <w:bCs/>
                <w:color w:val="auto"/>
                <w:kern w:val="0"/>
                <w:sz w:val="24"/>
                <w:highlight w:val="none"/>
              </w:rPr>
              <w:t>项目固体废物产生和处理汇总表</w:t>
            </w:r>
          </w:p>
          <w:tbl>
            <w:tblPr>
              <w:tblStyle w:val="28"/>
              <w:tblW w:w="8363" w:type="dxa"/>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134"/>
              <w:gridCol w:w="1495"/>
              <w:gridCol w:w="915"/>
              <w:gridCol w:w="992"/>
              <w:gridCol w:w="567"/>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567" w:type="dxa"/>
                  <w:vAlign w:val="center"/>
                </w:tcPr>
                <w:p>
                  <w:pPr>
                    <w:jc w:val="center"/>
                    <w:rPr>
                      <w:color w:val="auto"/>
                      <w:sz w:val="21"/>
                      <w:szCs w:val="21"/>
                      <w:highlight w:val="none"/>
                    </w:rPr>
                  </w:pPr>
                  <w:r>
                    <w:rPr>
                      <w:rFonts w:hint="eastAsia"/>
                      <w:color w:val="auto"/>
                      <w:sz w:val="21"/>
                      <w:szCs w:val="21"/>
                      <w:highlight w:val="none"/>
                    </w:rPr>
                    <w:t>序号</w:t>
                  </w:r>
                </w:p>
              </w:tc>
              <w:tc>
                <w:tcPr>
                  <w:tcW w:w="1134" w:type="dxa"/>
                  <w:vAlign w:val="center"/>
                </w:tcPr>
                <w:p>
                  <w:pPr>
                    <w:jc w:val="center"/>
                    <w:rPr>
                      <w:color w:val="auto"/>
                      <w:sz w:val="21"/>
                      <w:szCs w:val="21"/>
                      <w:highlight w:val="none"/>
                    </w:rPr>
                  </w:pPr>
                  <w:r>
                    <w:rPr>
                      <w:rFonts w:hint="eastAsia"/>
                      <w:color w:val="auto"/>
                      <w:sz w:val="21"/>
                      <w:szCs w:val="21"/>
                      <w:highlight w:val="none"/>
                    </w:rPr>
                    <w:t>危险废物名称</w:t>
                  </w:r>
                </w:p>
              </w:tc>
              <w:tc>
                <w:tcPr>
                  <w:tcW w:w="1495" w:type="dxa"/>
                  <w:vAlign w:val="center"/>
                </w:tcPr>
                <w:p>
                  <w:pPr>
                    <w:jc w:val="center"/>
                    <w:rPr>
                      <w:color w:val="auto"/>
                      <w:sz w:val="21"/>
                      <w:szCs w:val="21"/>
                      <w:highlight w:val="none"/>
                    </w:rPr>
                  </w:pPr>
                  <w:r>
                    <w:rPr>
                      <w:rFonts w:hint="eastAsia"/>
                      <w:color w:val="auto"/>
                      <w:sz w:val="21"/>
                      <w:szCs w:val="21"/>
                      <w:highlight w:val="none"/>
                    </w:rPr>
                    <w:t>危险废物代码</w:t>
                  </w:r>
                </w:p>
              </w:tc>
              <w:tc>
                <w:tcPr>
                  <w:tcW w:w="915" w:type="dxa"/>
                  <w:vAlign w:val="center"/>
                </w:tcPr>
                <w:p>
                  <w:pPr>
                    <w:jc w:val="center"/>
                    <w:rPr>
                      <w:color w:val="auto"/>
                      <w:sz w:val="21"/>
                      <w:szCs w:val="21"/>
                      <w:highlight w:val="none"/>
                    </w:rPr>
                  </w:pPr>
                  <w:r>
                    <w:rPr>
                      <w:rFonts w:hint="eastAsia"/>
                      <w:color w:val="auto"/>
                      <w:sz w:val="21"/>
                      <w:szCs w:val="21"/>
                      <w:highlight w:val="none"/>
                    </w:rPr>
                    <w:t>产生量（t/a)</w:t>
                  </w:r>
                </w:p>
              </w:tc>
              <w:tc>
                <w:tcPr>
                  <w:tcW w:w="992" w:type="dxa"/>
                  <w:vAlign w:val="center"/>
                </w:tcPr>
                <w:p>
                  <w:pPr>
                    <w:jc w:val="center"/>
                    <w:rPr>
                      <w:color w:val="auto"/>
                      <w:sz w:val="21"/>
                      <w:szCs w:val="21"/>
                      <w:highlight w:val="none"/>
                    </w:rPr>
                  </w:pPr>
                  <w:r>
                    <w:rPr>
                      <w:rFonts w:hint="eastAsia"/>
                      <w:color w:val="auto"/>
                      <w:sz w:val="21"/>
                      <w:szCs w:val="21"/>
                      <w:highlight w:val="none"/>
                    </w:rPr>
                    <w:t>产生工序及装置</w:t>
                  </w:r>
                </w:p>
              </w:tc>
              <w:tc>
                <w:tcPr>
                  <w:tcW w:w="567" w:type="dxa"/>
                  <w:vAlign w:val="center"/>
                </w:tcPr>
                <w:p>
                  <w:pPr>
                    <w:jc w:val="center"/>
                    <w:rPr>
                      <w:color w:val="auto"/>
                      <w:sz w:val="21"/>
                      <w:szCs w:val="21"/>
                      <w:highlight w:val="none"/>
                    </w:rPr>
                  </w:pPr>
                  <w:r>
                    <w:rPr>
                      <w:rFonts w:hint="eastAsia"/>
                      <w:color w:val="auto"/>
                      <w:sz w:val="21"/>
                      <w:szCs w:val="21"/>
                      <w:highlight w:val="none"/>
                    </w:rPr>
                    <w:t>形态</w:t>
                  </w:r>
                </w:p>
              </w:tc>
              <w:tc>
                <w:tcPr>
                  <w:tcW w:w="1276" w:type="dxa"/>
                  <w:vAlign w:val="center"/>
                </w:tcPr>
                <w:p>
                  <w:pPr>
                    <w:jc w:val="center"/>
                    <w:rPr>
                      <w:color w:val="auto"/>
                      <w:sz w:val="21"/>
                      <w:szCs w:val="21"/>
                      <w:highlight w:val="none"/>
                    </w:rPr>
                  </w:pPr>
                  <w:r>
                    <w:rPr>
                      <w:rFonts w:hint="eastAsia"/>
                      <w:color w:val="auto"/>
                      <w:sz w:val="21"/>
                      <w:szCs w:val="21"/>
                      <w:highlight w:val="none"/>
                    </w:rPr>
                    <w:t>有害成分</w:t>
                  </w:r>
                </w:p>
              </w:tc>
              <w:tc>
                <w:tcPr>
                  <w:tcW w:w="1417" w:type="dxa"/>
                  <w:vAlign w:val="center"/>
                </w:tcPr>
                <w:p>
                  <w:pPr>
                    <w:jc w:val="center"/>
                    <w:rPr>
                      <w:color w:val="auto"/>
                      <w:sz w:val="21"/>
                      <w:szCs w:val="21"/>
                      <w:highlight w:val="none"/>
                    </w:rPr>
                  </w:pPr>
                  <w:r>
                    <w:rPr>
                      <w:rFonts w:hint="eastAsia"/>
                      <w:color w:val="auto"/>
                      <w:sz w:val="21"/>
                      <w:szCs w:val="21"/>
                      <w:highlight w:val="none"/>
                    </w:rPr>
                    <w:t>污染防治措施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567" w:type="dxa"/>
                  <w:vAlign w:val="center"/>
                </w:tcPr>
                <w:p>
                  <w:pPr>
                    <w:jc w:val="center"/>
                    <w:rPr>
                      <w:color w:val="auto"/>
                      <w:sz w:val="21"/>
                      <w:szCs w:val="21"/>
                      <w:highlight w:val="none"/>
                    </w:rPr>
                  </w:pPr>
                  <w:r>
                    <w:rPr>
                      <w:rFonts w:hint="eastAsia"/>
                      <w:color w:val="auto"/>
                      <w:sz w:val="21"/>
                      <w:szCs w:val="21"/>
                      <w:highlight w:val="none"/>
                    </w:rPr>
                    <w:t>1</w:t>
                  </w:r>
                </w:p>
              </w:tc>
              <w:tc>
                <w:tcPr>
                  <w:tcW w:w="1134" w:type="dxa"/>
                  <w:vAlign w:val="center"/>
                </w:tcPr>
                <w:p>
                  <w:pPr>
                    <w:jc w:val="center"/>
                    <w:rPr>
                      <w:color w:val="auto"/>
                      <w:sz w:val="21"/>
                      <w:szCs w:val="21"/>
                      <w:highlight w:val="none"/>
                    </w:rPr>
                  </w:pPr>
                  <w:r>
                    <w:rPr>
                      <w:rFonts w:hint="eastAsia"/>
                      <w:color w:val="auto"/>
                      <w:sz w:val="21"/>
                      <w:szCs w:val="21"/>
                      <w:highlight w:val="none"/>
                    </w:rPr>
                    <w:t>废油墨桶</w:t>
                  </w:r>
                </w:p>
              </w:tc>
              <w:tc>
                <w:tcPr>
                  <w:tcW w:w="1495" w:type="dxa"/>
                  <w:vAlign w:val="center"/>
                </w:tcPr>
                <w:p>
                  <w:pPr>
                    <w:jc w:val="center"/>
                    <w:rPr>
                      <w:color w:val="auto"/>
                      <w:sz w:val="21"/>
                      <w:szCs w:val="21"/>
                      <w:highlight w:val="none"/>
                    </w:rPr>
                  </w:pPr>
                  <w:r>
                    <w:rPr>
                      <w:color w:val="auto"/>
                      <w:sz w:val="21"/>
                      <w:szCs w:val="21"/>
                      <w:highlight w:val="none"/>
                    </w:rPr>
                    <w:t>900-041-49</w:t>
                  </w:r>
                </w:p>
              </w:tc>
              <w:tc>
                <w:tcPr>
                  <w:tcW w:w="915" w:type="dxa"/>
                  <w:vAlign w:val="center"/>
                </w:tcPr>
                <w:p>
                  <w:pPr>
                    <w:jc w:val="center"/>
                    <w:rPr>
                      <w:color w:val="auto"/>
                      <w:sz w:val="21"/>
                      <w:szCs w:val="21"/>
                      <w:highlight w:val="none"/>
                    </w:rPr>
                  </w:pPr>
                  <w:r>
                    <w:rPr>
                      <w:rFonts w:hint="eastAsia"/>
                      <w:color w:val="auto"/>
                      <w:sz w:val="21"/>
                      <w:szCs w:val="21"/>
                      <w:highlight w:val="none"/>
                    </w:rPr>
                    <w:t>0.02 t/a</w:t>
                  </w:r>
                </w:p>
              </w:tc>
              <w:tc>
                <w:tcPr>
                  <w:tcW w:w="992" w:type="dxa"/>
                  <w:vAlign w:val="center"/>
                </w:tcPr>
                <w:p>
                  <w:pPr>
                    <w:jc w:val="center"/>
                    <w:rPr>
                      <w:color w:val="auto"/>
                      <w:sz w:val="21"/>
                      <w:szCs w:val="21"/>
                      <w:highlight w:val="none"/>
                    </w:rPr>
                  </w:pPr>
                  <w:r>
                    <w:rPr>
                      <w:rFonts w:hint="eastAsia"/>
                      <w:color w:val="auto"/>
                      <w:sz w:val="21"/>
                      <w:szCs w:val="21"/>
                      <w:highlight w:val="none"/>
                    </w:rPr>
                    <w:t>原料使用</w:t>
                  </w:r>
                </w:p>
              </w:tc>
              <w:tc>
                <w:tcPr>
                  <w:tcW w:w="567" w:type="dxa"/>
                  <w:vAlign w:val="center"/>
                </w:tcPr>
                <w:p>
                  <w:pPr>
                    <w:jc w:val="center"/>
                    <w:rPr>
                      <w:color w:val="auto"/>
                      <w:sz w:val="21"/>
                      <w:szCs w:val="21"/>
                      <w:highlight w:val="none"/>
                    </w:rPr>
                  </w:pPr>
                  <w:r>
                    <w:rPr>
                      <w:rFonts w:hint="eastAsia"/>
                      <w:color w:val="auto"/>
                      <w:sz w:val="21"/>
                      <w:szCs w:val="21"/>
                      <w:highlight w:val="none"/>
                    </w:rPr>
                    <w:t>固</w:t>
                  </w:r>
                </w:p>
              </w:tc>
              <w:tc>
                <w:tcPr>
                  <w:tcW w:w="1276" w:type="dxa"/>
                  <w:vAlign w:val="center"/>
                </w:tcPr>
                <w:p>
                  <w:pPr>
                    <w:jc w:val="center"/>
                    <w:rPr>
                      <w:color w:val="auto"/>
                      <w:sz w:val="21"/>
                      <w:szCs w:val="21"/>
                      <w:highlight w:val="none"/>
                    </w:rPr>
                  </w:pPr>
                  <w:r>
                    <w:rPr>
                      <w:rFonts w:hint="eastAsia"/>
                      <w:color w:val="auto"/>
                      <w:sz w:val="21"/>
                      <w:szCs w:val="21"/>
                      <w:highlight w:val="none"/>
                    </w:rPr>
                    <w:t>残余油墨</w:t>
                  </w:r>
                </w:p>
              </w:tc>
              <w:tc>
                <w:tcPr>
                  <w:tcW w:w="1417" w:type="dxa"/>
                  <w:vMerge w:val="restart"/>
                  <w:vAlign w:val="center"/>
                </w:tcPr>
                <w:p>
                  <w:pPr>
                    <w:jc w:val="center"/>
                    <w:rPr>
                      <w:color w:val="auto"/>
                      <w:sz w:val="21"/>
                      <w:szCs w:val="21"/>
                      <w:highlight w:val="none"/>
                    </w:rPr>
                  </w:pPr>
                  <w:r>
                    <w:rPr>
                      <w:rFonts w:hint="eastAsia"/>
                      <w:color w:val="auto"/>
                      <w:sz w:val="21"/>
                      <w:szCs w:val="21"/>
                      <w:highlight w:val="none"/>
                    </w:rPr>
                    <w:t>分类收集、危废间存储，定期交由陕西新天地固体废物综合处置有限公司处理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567" w:type="dxa"/>
                  <w:vAlign w:val="center"/>
                </w:tcPr>
                <w:p>
                  <w:pPr>
                    <w:jc w:val="center"/>
                    <w:rPr>
                      <w:color w:val="auto"/>
                      <w:sz w:val="21"/>
                      <w:szCs w:val="21"/>
                      <w:highlight w:val="none"/>
                    </w:rPr>
                  </w:pPr>
                  <w:r>
                    <w:rPr>
                      <w:rFonts w:hint="eastAsia"/>
                      <w:color w:val="auto"/>
                      <w:sz w:val="21"/>
                      <w:szCs w:val="21"/>
                      <w:highlight w:val="none"/>
                    </w:rPr>
                    <w:t>2</w:t>
                  </w:r>
                </w:p>
              </w:tc>
              <w:tc>
                <w:tcPr>
                  <w:tcW w:w="1134" w:type="dxa"/>
                  <w:vAlign w:val="center"/>
                </w:tcPr>
                <w:p>
                  <w:pPr>
                    <w:jc w:val="center"/>
                    <w:rPr>
                      <w:color w:val="auto"/>
                      <w:sz w:val="21"/>
                      <w:szCs w:val="21"/>
                      <w:highlight w:val="none"/>
                    </w:rPr>
                  </w:pPr>
                  <w:r>
                    <w:rPr>
                      <w:rFonts w:hint="eastAsia"/>
                      <w:color w:val="auto"/>
                      <w:sz w:val="21"/>
                      <w:szCs w:val="21"/>
                      <w:highlight w:val="none"/>
                    </w:rPr>
                    <w:t>废含油抹布</w:t>
                  </w:r>
                </w:p>
              </w:tc>
              <w:tc>
                <w:tcPr>
                  <w:tcW w:w="1495" w:type="dxa"/>
                  <w:vAlign w:val="center"/>
                </w:tcPr>
                <w:p>
                  <w:pPr>
                    <w:jc w:val="center"/>
                    <w:rPr>
                      <w:color w:val="auto"/>
                      <w:sz w:val="21"/>
                      <w:szCs w:val="21"/>
                      <w:highlight w:val="none"/>
                    </w:rPr>
                  </w:pPr>
                  <w:r>
                    <w:rPr>
                      <w:color w:val="auto"/>
                      <w:sz w:val="21"/>
                      <w:szCs w:val="21"/>
                      <w:highlight w:val="none"/>
                    </w:rPr>
                    <w:t>900-041-49</w:t>
                  </w:r>
                </w:p>
              </w:tc>
              <w:tc>
                <w:tcPr>
                  <w:tcW w:w="915" w:type="dxa"/>
                  <w:vAlign w:val="center"/>
                </w:tcPr>
                <w:p>
                  <w:pPr>
                    <w:jc w:val="center"/>
                    <w:rPr>
                      <w:color w:val="auto"/>
                      <w:sz w:val="21"/>
                      <w:szCs w:val="21"/>
                      <w:highlight w:val="none"/>
                    </w:rPr>
                  </w:pPr>
                  <w:r>
                    <w:rPr>
                      <w:rFonts w:hint="eastAsia"/>
                      <w:color w:val="auto"/>
                      <w:sz w:val="21"/>
                      <w:szCs w:val="21"/>
                      <w:highlight w:val="none"/>
                    </w:rPr>
                    <w:t>0.01 t/a</w:t>
                  </w:r>
                </w:p>
              </w:tc>
              <w:tc>
                <w:tcPr>
                  <w:tcW w:w="992" w:type="dxa"/>
                  <w:vAlign w:val="center"/>
                </w:tcPr>
                <w:p>
                  <w:pPr>
                    <w:jc w:val="center"/>
                    <w:rPr>
                      <w:color w:val="auto"/>
                      <w:sz w:val="21"/>
                      <w:szCs w:val="21"/>
                      <w:highlight w:val="none"/>
                    </w:rPr>
                  </w:pPr>
                  <w:r>
                    <w:rPr>
                      <w:rFonts w:hint="eastAsia"/>
                      <w:color w:val="auto"/>
                      <w:sz w:val="21"/>
                      <w:szCs w:val="21"/>
                      <w:highlight w:val="none"/>
                    </w:rPr>
                    <w:t>设备维护</w:t>
                  </w:r>
                </w:p>
              </w:tc>
              <w:tc>
                <w:tcPr>
                  <w:tcW w:w="567" w:type="dxa"/>
                  <w:vAlign w:val="center"/>
                </w:tcPr>
                <w:p>
                  <w:pPr>
                    <w:jc w:val="center"/>
                    <w:rPr>
                      <w:color w:val="auto"/>
                      <w:sz w:val="21"/>
                      <w:szCs w:val="21"/>
                      <w:highlight w:val="none"/>
                    </w:rPr>
                  </w:pPr>
                  <w:r>
                    <w:rPr>
                      <w:rFonts w:hint="eastAsia"/>
                      <w:color w:val="auto"/>
                      <w:sz w:val="21"/>
                      <w:szCs w:val="21"/>
                      <w:highlight w:val="none"/>
                    </w:rPr>
                    <w:t>固</w:t>
                  </w:r>
                </w:p>
              </w:tc>
              <w:tc>
                <w:tcPr>
                  <w:tcW w:w="1276" w:type="dxa"/>
                  <w:vAlign w:val="center"/>
                </w:tcPr>
                <w:p>
                  <w:pPr>
                    <w:jc w:val="center"/>
                    <w:rPr>
                      <w:color w:val="auto"/>
                      <w:sz w:val="21"/>
                      <w:szCs w:val="21"/>
                      <w:highlight w:val="none"/>
                    </w:rPr>
                  </w:pPr>
                  <w:r>
                    <w:rPr>
                      <w:rFonts w:hint="eastAsia"/>
                      <w:color w:val="auto"/>
                      <w:sz w:val="21"/>
                      <w:szCs w:val="21"/>
                      <w:highlight w:val="none"/>
                    </w:rPr>
                    <w:t>残余油墨、润滑油</w:t>
                  </w:r>
                </w:p>
              </w:tc>
              <w:tc>
                <w:tcPr>
                  <w:tcW w:w="1417" w:type="dxa"/>
                  <w:vMerge w:val="continue"/>
                  <w:vAlign w:val="center"/>
                </w:tcPr>
                <w:p>
                  <w:pPr>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567" w:type="dxa"/>
                  <w:vAlign w:val="center"/>
                </w:tcPr>
                <w:p>
                  <w:pPr>
                    <w:jc w:val="center"/>
                    <w:rPr>
                      <w:color w:val="auto"/>
                      <w:sz w:val="21"/>
                      <w:szCs w:val="21"/>
                      <w:highlight w:val="none"/>
                    </w:rPr>
                  </w:pPr>
                  <w:r>
                    <w:rPr>
                      <w:rFonts w:hint="eastAsia"/>
                      <w:color w:val="auto"/>
                      <w:sz w:val="21"/>
                      <w:szCs w:val="21"/>
                      <w:highlight w:val="none"/>
                    </w:rPr>
                    <w:t>3</w:t>
                  </w:r>
                </w:p>
              </w:tc>
              <w:tc>
                <w:tcPr>
                  <w:tcW w:w="1134" w:type="dxa"/>
                  <w:vAlign w:val="center"/>
                </w:tcPr>
                <w:p>
                  <w:pPr>
                    <w:jc w:val="center"/>
                    <w:rPr>
                      <w:color w:val="auto"/>
                      <w:sz w:val="21"/>
                      <w:szCs w:val="21"/>
                      <w:highlight w:val="none"/>
                    </w:rPr>
                  </w:pPr>
                  <w:r>
                    <w:rPr>
                      <w:rFonts w:hint="eastAsia"/>
                      <w:color w:val="auto"/>
                      <w:sz w:val="21"/>
                      <w:szCs w:val="21"/>
                      <w:highlight w:val="none"/>
                    </w:rPr>
                    <w:t>废活性炭</w:t>
                  </w:r>
                </w:p>
              </w:tc>
              <w:tc>
                <w:tcPr>
                  <w:tcW w:w="1495" w:type="dxa"/>
                  <w:vAlign w:val="center"/>
                </w:tcPr>
                <w:p>
                  <w:pPr>
                    <w:jc w:val="center"/>
                    <w:rPr>
                      <w:color w:val="auto"/>
                      <w:sz w:val="21"/>
                      <w:szCs w:val="21"/>
                      <w:highlight w:val="none"/>
                    </w:rPr>
                  </w:pPr>
                  <w:r>
                    <w:rPr>
                      <w:color w:val="auto"/>
                      <w:sz w:val="21"/>
                      <w:szCs w:val="21"/>
                      <w:highlight w:val="none"/>
                    </w:rPr>
                    <w:t>900-041-49</w:t>
                  </w:r>
                </w:p>
              </w:tc>
              <w:tc>
                <w:tcPr>
                  <w:tcW w:w="915" w:type="dxa"/>
                  <w:vAlign w:val="center"/>
                </w:tcPr>
                <w:p>
                  <w:pPr>
                    <w:jc w:val="center"/>
                    <w:rPr>
                      <w:color w:val="auto"/>
                      <w:sz w:val="21"/>
                      <w:szCs w:val="21"/>
                      <w:highlight w:val="none"/>
                    </w:rPr>
                  </w:pPr>
                  <w:r>
                    <w:rPr>
                      <w:rFonts w:hint="eastAsia"/>
                      <w:color w:val="auto"/>
                      <w:sz w:val="21"/>
                      <w:szCs w:val="21"/>
                      <w:highlight w:val="none"/>
                    </w:rPr>
                    <w:t>0.24t/a</w:t>
                  </w:r>
                </w:p>
              </w:tc>
              <w:tc>
                <w:tcPr>
                  <w:tcW w:w="992" w:type="dxa"/>
                  <w:vAlign w:val="center"/>
                </w:tcPr>
                <w:p>
                  <w:pPr>
                    <w:jc w:val="center"/>
                    <w:rPr>
                      <w:color w:val="auto"/>
                      <w:sz w:val="21"/>
                      <w:szCs w:val="21"/>
                      <w:highlight w:val="none"/>
                    </w:rPr>
                  </w:pPr>
                  <w:r>
                    <w:rPr>
                      <w:rFonts w:hint="eastAsia"/>
                      <w:color w:val="auto"/>
                      <w:sz w:val="21"/>
                      <w:szCs w:val="21"/>
                      <w:highlight w:val="none"/>
                    </w:rPr>
                    <w:t>废气治理</w:t>
                  </w:r>
                </w:p>
              </w:tc>
              <w:tc>
                <w:tcPr>
                  <w:tcW w:w="567" w:type="dxa"/>
                  <w:vAlign w:val="center"/>
                </w:tcPr>
                <w:p>
                  <w:pPr>
                    <w:jc w:val="center"/>
                    <w:rPr>
                      <w:color w:val="auto"/>
                      <w:sz w:val="21"/>
                      <w:szCs w:val="21"/>
                      <w:highlight w:val="none"/>
                    </w:rPr>
                  </w:pPr>
                  <w:r>
                    <w:rPr>
                      <w:rFonts w:hint="eastAsia"/>
                      <w:color w:val="auto"/>
                      <w:sz w:val="21"/>
                      <w:szCs w:val="21"/>
                      <w:highlight w:val="none"/>
                    </w:rPr>
                    <w:t>固</w:t>
                  </w:r>
                </w:p>
              </w:tc>
              <w:tc>
                <w:tcPr>
                  <w:tcW w:w="1276" w:type="dxa"/>
                  <w:vAlign w:val="center"/>
                </w:tcPr>
                <w:p>
                  <w:pPr>
                    <w:jc w:val="center"/>
                    <w:rPr>
                      <w:color w:val="auto"/>
                      <w:sz w:val="21"/>
                      <w:szCs w:val="21"/>
                      <w:highlight w:val="none"/>
                    </w:rPr>
                  </w:pPr>
                  <w:r>
                    <w:rPr>
                      <w:color w:val="auto"/>
                      <w:sz w:val="21"/>
                      <w:szCs w:val="21"/>
                      <w:highlight w:val="none"/>
                    </w:rPr>
                    <w:t>VOC</w:t>
                  </w:r>
                  <w:r>
                    <w:rPr>
                      <w:rFonts w:hint="eastAsia"/>
                      <w:color w:val="auto"/>
                      <w:sz w:val="21"/>
                      <w:szCs w:val="21"/>
                      <w:highlight w:val="none"/>
                    </w:rPr>
                    <w:t>s</w:t>
                  </w:r>
                </w:p>
              </w:tc>
              <w:tc>
                <w:tcPr>
                  <w:tcW w:w="1417" w:type="dxa"/>
                  <w:vMerge w:val="continue"/>
                  <w:vAlign w:val="center"/>
                </w:tcPr>
                <w:p>
                  <w:pPr>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567" w:type="dxa"/>
                  <w:vAlign w:val="center"/>
                </w:tcPr>
                <w:p>
                  <w:pPr>
                    <w:jc w:val="center"/>
                    <w:rPr>
                      <w:color w:val="auto"/>
                      <w:sz w:val="21"/>
                      <w:szCs w:val="21"/>
                      <w:highlight w:val="none"/>
                    </w:rPr>
                  </w:pPr>
                  <w:r>
                    <w:rPr>
                      <w:rFonts w:hint="eastAsia"/>
                      <w:color w:val="auto"/>
                      <w:sz w:val="21"/>
                      <w:szCs w:val="21"/>
                      <w:highlight w:val="none"/>
                    </w:rPr>
                    <w:t>4</w:t>
                  </w:r>
                </w:p>
              </w:tc>
              <w:tc>
                <w:tcPr>
                  <w:tcW w:w="1134" w:type="dxa"/>
                  <w:vAlign w:val="center"/>
                </w:tcPr>
                <w:p>
                  <w:pPr>
                    <w:jc w:val="center"/>
                    <w:rPr>
                      <w:color w:val="auto"/>
                      <w:sz w:val="21"/>
                      <w:szCs w:val="21"/>
                      <w:highlight w:val="none"/>
                    </w:rPr>
                  </w:pPr>
                  <w:r>
                    <w:rPr>
                      <w:rFonts w:hint="eastAsia"/>
                      <w:color w:val="auto"/>
                      <w:sz w:val="21"/>
                      <w:szCs w:val="21"/>
                      <w:highlight w:val="none"/>
                    </w:rPr>
                    <w:t>废机油</w:t>
                  </w:r>
                </w:p>
              </w:tc>
              <w:tc>
                <w:tcPr>
                  <w:tcW w:w="1495" w:type="dxa"/>
                  <w:vAlign w:val="center"/>
                </w:tcPr>
                <w:p>
                  <w:pPr>
                    <w:jc w:val="center"/>
                    <w:rPr>
                      <w:color w:val="auto"/>
                      <w:sz w:val="21"/>
                      <w:szCs w:val="21"/>
                      <w:highlight w:val="none"/>
                    </w:rPr>
                  </w:pPr>
                  <w:r>
                    <w:rPr>
                      <w:rFonts w:hint="eastAsia"/>
                      <w:color w:val="auto"/>
                      <w:sz w:val="21"/>
                      <w:szCs w:val="21"/>
                      <w:highlight w:val="none"/>
                    </w:rPr>
                    <w:t>900-249-08</w:t>
                  </w:r>
                </w:p>
              </w:tc>
              <w:tc>
                <w:tcPr>
                  <w:tcW w:w="915" w:type="dxa"/>
                  <w:vAlign w:val="center"/>
                </w:tcPr>
                <w:p>
                  <w:pPr>
                    <w:jc w:val="center"/>
                    <w:rPr>
                      <w:color w:val="auto"/>
                      <w:sz w:val="21"/>
                      <w:szCs w:val="21"/>
                      <w:highlight w:val="none"/>
                    </w:rPr>
                  </w:pPr>
                  <w:r>
                    <w:rPr>
                      <w:rFonts w:hint="eastAsia"/>
                      <w:color w:val="auto"/>
                      <w:sz w:val="21"/>
                      <w:szCs w:val="21"/>
                      <w:highlight w:val="none"/>
                    </w:rPr>
                    <w:t>0.02</w:t>
                  </w:r>
                </w:p>
              </w:tc>
              <w:tc>
                <w:tcPr>
                  <w:tcW w:w="992" w:type="dxa"/>
                  <w:vAlign w:val="center"/>
                </w:tcPr>
                <w:p>
                  <w:pPr>
                    <w:jc w:val="center"/>
                    <w:rPr>
                      <w:color w:val="auto"/>
                      <w:sz w:val="21"/>
                      <w:szCs w:val="21"/>
                      <w:highlight w:val="none"/>
                    </w:rPr>
                  </w:pPr>
                  <w:r>
                    <w:rPr>
                      <w:rFonts w:hint="eastAsia"/>
                      <w:color w:val="auto"/>
                      <w:sz w:val="21"/>
                      <w:szCs w:val="21"/>
                      <w:highlight w:val="none"/>
                    </w:rPr>
                    <w:t>设备养护</w:t>
                  </w:r>
                </w:p>
              </w:tc>
              <w:tc>
                <w:tcPr>
                  <w:tcW w:w="567" w:type="dxa"/>
                  <w:vAlign w:val="center"/>
                </w:tcPr>
                <w:p>
                  <w:pPr>
                    <w:jc w:val="center"/>
                    <w:rPr>
                      <w:color w:val="auto"/>
                      <w:sz w:val="21"/>
                      <w:szCs w:val="21"/>
                      <w:highlight w:val="none"/>
                    </w:rPr>
                  </w:pPr>
                  <w:r>
                    <w:rPr>
                      <w:rFonts w:hint="eastAsia"/>
                      <w:color w:val="auto"/>
                      <w:sz w:val="21"/>
                      <w:szCs w:val="21"/>
                      <w:highlight w:val="none"/>
                    </w:rPr>
                    <w:t>液</w:t>
                  </w:r>
                </w:p>
              </w:tc>
              <w:tc>
                <w:tcPr>
                  <w:tcW w:w="1276" w:type="dxa"/>
                  <w:vAlign w:val="center"/>
                </w:tcPr>
                <w:p>
                  <w:pPr>
                    <w:jc w:val="center"/>
                    <w:rPr>
                      <w:color w:val="auto"/>
                      <w:sz w:val="21"/>
                      <w:szCs w:val="21"/>
                      <w:highlight w:val="none"/>
                    </w:rPr>
                  </w:pPr>
                  <w:r>
                    <w:rPr>
                      <w:rFonts w:hint="eastAsia"/>
                      <w:color w:val="auto"/>
                      <w:sz w:val="21"/>
                      <w:szCs w:val="21"/>
                      <w:highlight w:val="none"/>
                    </w:rPr>
                    <w:t>矿物油</w:t>
                  </w:r>
                </w:p>
              </w:tc>
              <w:tc>
                <w:tcPr>
                  <w:tcW w:w="1417" w:type="dxa"/>
                  <w:vMerge w:val="continue"/>
                  <w:vAlign w:val="center"/>
                </w:tcPr>
                <w:p>
                  <w:pPr>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567" w:type="dxa"/>
                  <w:vAlign w:val="center"/>
                </w:tcPr>
                <w:p>
                  <w:pPr>
                    <w:jc w:val="center"/>
                    <w:rPr>
                      <w:color w:val="auto"/>
                      <w:sz w:val="21"/>
                      <w:szCs w:val="21"/>
                      <w:highlight w:val="none"/>
                    </w:rPr>
                  </w:pPr>
                  <w:r>
                    <w:rPr>
                      <w:rFonts w:hint="eastAsia"/>
                      <w:color w:val="auto"/>
                      <w:sz w:val="21"/>
                      <w:szCs w:val="21"/>
                      <w:highlight w:val="none"/>
                    </w:rPr>
                    <w:t>5</w:t>
                  </w:r>
                </w:p>
              </w:tc>
              <w:tc>
                <w:tcPr>
                  <w:tcW w:w="1134" w:type="dxa"/>
                  <w:vAlign w:val="center"/>
                </w:tcPr>
                <w:p>
                  <w:pPr>
                    <w:jc w:val="center"/>
                    <w:rPr>
                      <w:color w:val="auto"/>
                      <w:sz w:val="21"/>
                      <w:szCs w:val="21"/>
                      <w:highlight w:val="none"/>
                    </w:rPr>
                  </w:pPr>
                  <w:r>
                    <w:rPr>
                      <w:rFonts w:hint="eastAsia"/>
                      <w:color w:val="auto"/>
                      <w:sz w:val="21"/>
                      <w:szCs w:val="21"/>
                      <w:highlight w:val="none"/>
                    </w:rPr>
                    <w:t>废洗辊液</w:t>
                  </w:r>
                </w:p>
              </w:tc>
              <w:tc>
                <w:tcPr>
                  <w:tcW w:w="1495" w:type="dxa"/>
                  <w:vAlign w:val="center"/>
                </w:tcPr>
                <w:p>
                  <w:pPr>
                    <w:jc w:val="center"/>
                    <w:rPr>
                      <w:color w:val="auto"/>
                      <w:sz w:val="21"/>
                      <w:szCs w:val="21"/>
                      <w:highlight w:val="none"/>
                    </w:rPr>
                  </w:pPr>
                  <w:r>
                    <w:rPr>
                      <w:color w:val="auto"/>
                      <w:sz w:val="21"/>
                      <w:szCs w:val="21"/>
                      <w:highlight w:val="none"/>
                    </w:rPr>
                    <w:t>900-041-49</w:t>
                  </w:r>
                </w:p>
              </w:tc>
              <w:tc>
                <w:tcPr>
                  <w:tcW w:w="915" w:type="dxa"/>
                  <w:vAlign w:val="center"/>
                </w:tcPr>
                <w:p>
                  <w:pPr>
                    <w:jc w:val="center"/>
                    <w:rPr>
                      <w:color w:val="auto"/>
                      <w:sz w:val="21"/>
                      <w:szCs w:val="21"/>
                      <w:highlight w:val="none"/>
                    </w:rPr>
                  </w:pPr>
                  <w:r>
                    <w:rPr>
                      <w:rFonts w:hint="eastAsia"/>
                      <w:color w:val="auto"/>
                      <w:sz w:val="21"/>
                      <w:szCs w:val="21"/>
                      <w:highlight w:val="none"/>
                    </w:rPr>
                    <w:t>0.002 t/a</w:t>
                  </w:r>
                </w:p>
              </w:tc>
              <w:tc>
                <w:tcPr>
                  <w:tcW w:w="992" w:type="dxa"/>
                  <w:vAlign w:val="center"/>
                </w:tcPr>
                <w:p>
                  <w:pPr>
                    <w:jc w:val="center"/>
                    <w:rPr>
                      <w:color w:val="auto"/>
                      <w:sz w:val="21"/>
                      <w:szCs w:val="21"/>
                      <w:highlight w:val="none"/>
                    </w:rPr>
                  </w:pPr>
                  <w:r>
                    <w:rPr>
                      <w:rFonts w:hint="eastAsia"/>
                      <w:color w:val="auto"/>
                      <w:sz w:val="21"/>
                      <w:szCs w:val="21"/>
                      <w:highlight w:val="none"/>
                    </w:rPr>
                    <w:t>生产</w:t>
                  </w:r>
                </w:p>
              </w:tc>
              <w:tc>
                <w:tcPr>
                  <w:tcW w:w="567" w:type="dxa"/>
                  <w:vAlign w:val="center"/>
                </w:tcPr>
                <w:p>
                  <w:pPr>
                    <w:jc w:val="center"/>
                    <w:rPr>
                      <w:color w:val="auto"/>
                      <w:sz w:val="21"/>
                      <w:szCs w:val="21"/>
                      <w:highlight w:val="none"/>
                    </w:rPr>
                  </w:pPr>
                  <w:r>
                    <w:rPr>
                      <w:rFonts w:hint="eastAsia"/>
                      <w:color w:val="auto"/>
                      <w:sz w:val="21"/>
                      <w:szCs w:val="21"/>
                      <w:highlight w:val="none"/>
                    </w:rPr>
                    <w:t>固</w:t>
                  </w:r>
                </w:p>
              </w:tc>
              <w:tc>
                <w:tcPr>
                  <w:tcW w:w="1276" w:type="dxa"/>
                  <w:vAlign w:val="center"/>
                </w:tcPr>
                <w:p>
                  <w:pPr>
                    <w:jc w:val="center"/>
                    <w:rPr>
                      <w:color w:val="auto"/>
                      <w:sz w:val="21"/>
                      <w:szCs w:val="21"/>
                      <w:highlight w:val="none"/>
                    </w:rPr>
                  </w:pPr>
                  <w:r>
                    <w:rPr>
                      <w:rFonts w:hint="eastAsia"/>
                      <w:color w:val="auto"/>
                      <w:sz w:val="21"/>
                      <w:szCs w:val="21"/>
                      <w:highlight w:val="none"/>
                    </w:rPr>
                    <w:t>残余洗辊液</w:t>
                  </w:r>
                </w:p>
              </w:tc>
              <w:tc>
                <w:tcPr>
                  <w:tcW w:w="1417" w:type="dxa"/>
                  <w:vMerge w:val="continue"/>
                  <w:vAlign w:val="center"/>
                </w:tcPr>
                <w:p>
                  <w:pPr>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567" w:type="dxa"/>
                  <w:vAlign w:val="center"/>
                </w:tcPr>
                <w:p>
                  <w:pPr>
                    <w:jc w:val="center"/>
                    <w:rPr>
                      <w:color w:val="auto"/>
                      <w:sz w:val="21"/>
                      <w:szCs w:val="21"/>
                      <w:highlight w:val="none"/>
                    </w:rPr>
                  </w:pPr>
                  <w:r>
                    <w:rPr>
                      <w:rFonts w:hint="eastAsia"/>
                      <w:color w:val="auto"/>
                      <w:sz w:val="21"/>
                      <w:szCs w:val="21"/>
                      <w:highlight w:val="none"/>
                    </w:rPr>
                    <w:t>6</w:t>
                  </w:r>
                </w:p>
              </w:tc>
              <w:tc>
                <w:tcPr>
                  <w:tcW w:w="1134" w:type="dxa"/>
                  <w:vAlign w:val="center"/>
                </w:tcPr>
                <w:p>
                  <w:pPr>
                    <w:jc w:val="center"/>
                    <w:rPr>
                      <w:color w:val="auto"/>
                      <w:sz w:val="21"/>
                      <w:szCs w:val="21"/>
                      <w:highlight w:val="none"/>
                    </w:rPr>
                  </w:pPr>
                  <w:r>
                    <w:rPr>
                      <w:rFonts w:hint="eastAsia"/>
                      <w:color w:val="auto"/>
                      <w:sz w:val="21"/>
                      <w:szCs w:val="21"/>
                      <w:highlight w:val="none"/>
                    </w:rPr>
                    <w:t>废纸</w:t>
                  </w:r>
                </w:p>
              </w:tc>
              <w:tc>
                <w:tcPr>
                  <w:tcW w:w="1495" w:type="dxa"/>
                  <w:vAlign w:val="center"/>
                </w:tcPr>
                <w:p>
                  <w:pPr>
                    <w:jc w:val="center"/>
                    <w:rPr>
                      <w:color w:val="auto"/>
                      <w:sz w:val="21"/>
                      <w:szCs w:val="21"/>
                      <w:highlight w:val="none"/>
                    </w:rPr>
                  </w:pPr>
                  <w:r>
                    <w:rPr>
                      <w:rFonts w:hint="eastAsia"/>
                      <w:color w:val="auto"/>
                      <w:sz w:val="21"/>
                      <w:szCs w:val="21"/>
                      <w:highlight w:val="none"/>
                    </w:rPr>
                    <w:t>/</w:t>
                  </w:r>
                </w:p>
              </w:tc>
              <w:tc>
                <w:tcPr>
                  <w:tcW w:w="915" w:type="dxa"/>
                  <w:vAlign w:val="center"/>
                </w:tcPr>
                <w:p>
                  <w:pPr>
                    <w:jc w:val="center"/>
                    <w:rPr>
                      <w:color w:val="auto"/>
                      <w:sz w:val="21"/>
                      <w:szCs w:val="21"/>
                      <w:highlight w:val="none"/>
                    </w:rPr>
                  </w:pPr>
                  <w:r>
                    <w:rPr>
                      <w:rFonts w:hint="eastAsia"/>
                      <w:color w:val="auto"/>
                      <w:sz w:val="21"/>
                      <w:szCs w:val="21"/>
                      <w:highlight w:val="none"/>
                    </w:rPr>
                    <w:t>0.5t/a</w:t>
                  </w:r>
                </w:p>
              </w:tc>
              <w:tc>
                <w:tcPr>
                  <w:tcW w:w="992" w:type="dxa"/>
                  <w:vAlign w:val="center"/>
                </w:tcPr>
                <w:p>
                  <w:pPr>
                    <w:jc w:val="center"/>
                    <w:rPr>
                      <w:color w:val="auto"/>
                      <w:sz w:val="21"/>
                      <w:szCs w:val="21"/>
                      <w:highlight w:val="none"/>
                    </w:rPr>
                  </w:pPr>
                  <w:r>
                    <w:rPr>
                      <w:rFonts w:hint="eastAsia"/>
                      <w:color w:val="auto"/>
                      <w:sz w:val="21"/>
                      <w:szCs w:val="21"/>
                      <w:highlight w:val="none"/>
                    </w:rPr>
                    <w:t>裁切、不合格品</w:t>
                  </w:r>
                </w:p>
              </w:tc>
              <w:tc>
                <w:tcPr>
                  <w:tcW w:w="567" w:type="dxa"/>
                  <w:vAlign w:val="center"/>
                </w:tcPr>
                <w:p>
                  <w:pPr>
                    <w:jc w:val="center"/>
                    <w:rPr>
                      <w:color w:val="auto"/>
                      <w:sz w:val="21"/>
                      <w:szCs w:val="21"/>
                      <w:highlight w:val="none"/>
                    </w:rPr>
                  </w:pPr>
                  <w:r>
                    <w:rPr>
                      <w:rFonts w:hint="eastAsia"/>
                      <w:color w:val="auto"/>
                      <w:sz w:val="21"/>
                      <w:szCs w:val="21"/>
                      <w:highlight w:val="none"/>
                    </w:rPr>
                    <w:t>固</w:t>
                  </w:r>
                </w:p>
              </w:tc>
              <w:tc>
                <w:tcPr>
                  <w:tcW w:w="1276" w:type="dxa"/>
                  <w:vAlign w:val="center"/>
                </w:tcPr>
                <w:p>
                  <w:pPr>
                    <w:jc w:val="center"/>
                    <w:rPr>
                      <w:color w:val="auto"/>
                      <w:sz w:val="21"/>
                      <w:szCs w:val="21"/>
                      <w:highlight w:val="none"/>
                    </w:rPr>
                  </w:pPr>
                  <w:r>
                    <w:rPr>
                      <w:rFonts w:hint="eastAsia"/>
                      <w:color w:val="auto"/>
                      <w:sz w:val="21"/>
                      <w:szCs w:val="21"/>
                      <w:highlight w:val="none"/>
                    </w:rPr>
                    <w:t>/</w:t>
                  </w:r>
                </w:p>
              </w:tc>
              <w:tc>
                <w:tcPr>
                  <w:tcW w:w="1417" w:type="dxa"/>
                  <w:vAlign w:val="center"/>
                </w:tcPr>
                <w:p>
                  <w:pPr>
                    <w:jc w:val="center"/>
                    <w:rPr>
                      <w:color w:val="auto"/>
                      <w:sz w:val="21"/>
                      <w:szCs w:val="21"/>
                      <w:highlight w:val="none"/>
                    </w:rPr>
                  </w:pPr>
                  <w:r>
                    <w:rPr>
                      <w:rFonts w:hint="eastAsia"/>
                      <w:color w:val="auto"/>
                      <w:sz w:val="21"/>
                      <w:szCs w:val="21"/>
                      <w:highlight w:val="none"/>
                    </w:rPr>
                    <w:t>外售回收单位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567" w:type="dxa"/>
                  <w:vAlign w:val="center"/>
                </w:tcPr>
                <w:p>
                  <w:pPr>
                    <w:jc w:val="center"/>
                    <w:rPr>
                      <w:color w:val="auto"/>
                      <w:sz w:val="21"/>
                      <w:szCs w:val="21"/>
                      <w:highlight w:val="none"/>
                    </w:rPr>
                  </w:pPr>
                  <w:r>
                    <w:rPr>
                      <w:rFonts w:hint="eastAsia"/>
                      <w:color w:val="auto"/>
                      <w:sz w:val="21"/>
                      <w:szCs w:val="21"/>
                      <w:highlight w:val="none"/>
                    </w:rPr>
                    <w:t>7</w:t>
                  </w:r>
                </w:p>
              </w:tc>
              <w:tc>
                <w:tcPr>
                  <w:tcW w:w="1134" w:type="dxa"/>
                  <w:vAlign w:val="center"/>
                </w:tcPr>
                <w:p>
                  <w:pPr>
                    <w:jc w:val="center"/>
                    <w:rPr>
                      <w:color w:val="auto"/>
                      <w:sz w:val="21"/>
                      <w:szCs w:val="21"/>
                      <w:highlight w:val="none"/>
                    </w:rPr>
                  </w:pPr>
                  <w:r>
                    <w:rPr>
                      <w:rFonts w:hint="eastAsia"/>
                      <w:color w:val="auto"/>
                      <w:sz w:val="21"/>
                      <w:szCs w:val="21"/>
                      <w:highlight w:val="none"/>
                    </w:rPr>
                    <w:t>生活垃圾</w:t>
                  </w:r>
                </w:p>
              </w:tc>
              <w:tc>
                <w:tcPr>
                  <w:tcW w:w="1495" w:type="dxa"/>
                  <w:vAlign w:val="center"/>
                </w:tcPr>
                <w:p>
                  <w:pPr>
                    <w:jc w:val="center"/>
                    <w:rPr>
                      <w:color w:val="auto"/>
                      <w:sz w:val="21"/>
                      <w:szCs w:val="21"/>
                      <w:highlight w:val="none"/>
                    </w:rPr>
                  </w:pPr>
                  <w:r>
                    <w:rPr>
                      <w:rFonts w:hint="eastAsia"/>
                      <w:color w:val="auto"/>
                      <w:sz w:val="21"/>
                      <w:szCs w:val="21"/>
                      <w:highlight w:val="none"/>
                    </w:rPr>
                    <w:t>/</w:t>
                  </w:r>
                </w:p>
              </w:tc>
              <w:tc>
                <w:tcPr>
                  <w:tcW w:w="915" w:type="dxa"/>
                  <w:vAlign w:val="center"/>
                </w:tcPr>
                <w:p>
                  <w:pPr>
                    <w:jc w:val="center"/>
                    <w:rPr>
                      <w:color w:val="auto"/>
                      <w:sz w:val="21"/>
                      <w:szCs w:val="21"/>
                      <w:highlight w:val="none"/>
                    </w:rPr>
                  </w:pPr>
                  <w:r>
                    <w:rPr>
                      <w:rFonts w:hint="eastAsia"/>
                      <w:color w:val="auto"/>
                      <w:sz w:val="21"/>
                      <w:szCs w:val="21"/>
                      <w:highlight w:val="none"/>
                    </w:rPr>
                    <w:t>1.05</w:t>
                  </w:r>
                </w:p>
              </w:tc>
              <w:tc>
                <w:tcPr>
                  <w:tcW w:w="992" w:type="dxa"/>
                  <w:vAlign w:val="center"/>
                </w:tcPr>
                <w:p>
                  <w:pPr>
                    <w:jc w:val="center"/>
                    <w:rPr>
                      <w:color w:val="auto"/>
                      <w:sz w:val="21"/>
                      <w:szCs w:val="21"/>
                      <w:highlight w:val="none"/>
                    </w:rPr>
                  </w:pPr>
                  <w:r>
                    <w:rPr>
                      <w:rFonts w:hint="eastAsia"/>
                      <w:color w:val="auto"/>
                      <w:sz w:val="21"/>
                      <w:szCs w:val="21"/>
                      <w:highlight w:val="none"/>
                    </w:rPr>
                    <w:t>办公生活</w:t>
                  </w:r>
                </w:p>
              </w:tc>
              <w:tc>
                <w:tcPr>
                  <w:tcW w:w="567" w:type="dxa"/>
                  <w:vAlign w:val="center"/>
                </w:tcPr>
                <w:p>
                  <w:pPr>
                    <w:jc w:val="center"/>
                    <w:rPr>
                      <w:color w:val="auto"/>
                      <w:sz w:val="21"/>
                      <w:szCs w:val="21"/>
                      <w:highlight w:val="none"/>
                    </w:rPr>
                  </w:pPr>
                  <w:r>
                    <w:rPr>
                      <w:rFonts w:hint="eastAsia"/>
                      <w:color w:val="auto"/>
                      <w:sz w:val="21"/>
                      <w:szCs w:val="21"/>
                      <w:highlight w:val="none"/>
                    </w:rPr>
                    <w:t>固</w:t>
                  </w:r>
                </w:p>
              </w:tc>
              <w:tc>
                <w:tcPr>
                  <w:tcW w:w="1276" w:type="dxa"/>
                  <w:vAlign w:val="center"/>
                </w:tcPr>
                <w:p>
                  <w:pPr>
                    <w:jc w:val="center"/>
                    <w:rPr>
                      <w:color w:val="auto"/>
                      <w:sz w:val="21"/>
                      <w:szCs w:val="21"/>
                      <w:highlight w:val="none"/>
                    </w:rPr>
                  </w:pPr>
                  <w:r>
                    <w:rPr>
                      <w:rFonts w:hint="eastAsia"/>
                      <w:color w:val="auto"/>
                      <w:sz w:val="21"/>
                      <w:szCs w:val="21"/>
                      <w:highlight w:val="none"/>
                    </w:rPr>
                    <w:t>/</w:t>
                  </w:r>
                </w:p>
              </w:tc>
              <w:tc>
                <w:tcPr>
                  <w:tcW w:w="1417" w:type="dxa"/>
                  <w:vAlign w:val="center"/>
                </w:tcPr>
                <w:p>
                  <w:pPr>
                    <w:jc w:val="center"/>
                    <w:rPr>
                      <w:color w:val="auto"/>
                      <w:sz w:val="21"/>
                      <w:szCs w:val="21"/>
                      <w:highlight w:val="none"/>
                    </w:rPr>
                  </w:pPr>
                  <w:r>
                    <w:rPr>
                      <w:rFonts w:hint="eastAsia"/>
                      <w:color w:val="auto"/>
                      <w:sz w:val="21"/>
                      <w:szCs w:val="21"/>
                      <w:highlight w:val="none"/>
                    </w:rPr>
                    <w:t>场内收集，交由环卫部门清运</w:t>
                  </w:r>
                </w:p>
              </w:tc>
            </w:tr>
          </w:tbl>
          <w:p>
            <w:pPr>
              <w:pStyle w:val="2"/>
              <w:spacing w:line="360" w:lineRule="auto"/>
              <w:ind w:firstLine="480" w:firstLineChars="200"/>
              <w:rPr>
                <w:rFonts w:ascii="Times New Roman" w:hAnsi="Times New Roman" w:eastAsia="宋体"/>
                <w:b w:val="0"/>
                <w:bCs w:val="0"/>
                <w:color w:val="auto"/>
                <w:sz w:val="24"/>
                <w:szCs w:val="24"/>
                <w:highlight w:val="none"/>
              </w:rPr>
            </w:pPr>
          </w:p>
          <w:p>
            <w:pPr>
              <w:ind w:firstLine="562"/>
              <w:rPr>
                <w:b/>
                <w:bCs/>
                <w:color w:val="auto"/>
                <w:highlight w:val="none"/>
              </w:rPr>
            </w:pPr>
          </w:p>
        </w:tc>
      </w:tr>
    </w:tbl>
    <w:p>
      <w:pPr>
        <w:spacing w:line="312" w:lineRule="auto"/>
        <w:rPr>
          <w:b/>
          <w:color w:val="auto"/>
          <w:highlight w:val="none"/>
        </w:rPr>
        <w:sectPr>
          <w:pgSz w:w="11906" w:h="16838"/>
          <w:pgMar w:top="1440" w:right="1418" w:bottom="873" w:left="1797" w:header="851" w:footer="992" w:gutter="0"/>
          <w:cols w:space="720" w:num="1"/>
          <w:docGrid w:linePitch="381" w:charSpace="0"/>
        </w:sectPr>
      </w:pPr>
    </w:p>
    <w:p>
      <w:pPr>
        <w:spacing w:line="312" w:lineRule="auto"/>
        <w:rPr>
          <w:rFonts w:eastAsia="黑体"/>
          <w:color w:val="auto"/>
          <w:highlight w:val="none"/>
        </w:rPr>
      </w:pPr>
      <w:r>
        <w:rPr>
          <w:rFonts w:eastAsia="黑体"/>
          <w:color w:val="auto"/>
          <w:highlight w:val="none"/>
        </w:rPr>
        <w:t>6项目主要污染物产生及预计排放情况</w:t>
      </w:r>
    </w:p>
    <w:tbl>
      <w:tblPr>
        <w:tblStyle w:val="27"/>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17"/>
        <w:gridCol w:w="1276"/>
        <w:gridCol w:w="709"/>
        <w:gridCol w:w="992"/>
        <w:gridCol w:w="2551"/>
        <w:gridCol w:w="256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17" w:hRule="atLeast"/>
        </w:trPr>
        <w:tc>
          <w:tcPr>
            <w:tcW w:w="817" w:type="dxa"/>
            <w:vAlign w:val="center"/>
          </w:tcPr>
          <w:p>
            <w:pPr>
              <w:spacing w:line="400" w:lineRule="exact"/>
              <w:jc w:val="center"/>
              <w:rPr>
                <w:b/>
                <w:color w:val="auto"/>
                <w:sz w:val="24"/>
                <w:highlight w:val="none"/>
              </w:rPr>
            </w:pPr>
            <w:r>
              <w:rPr>
                <w:b/>
                <w:color w:val="auto"/>
                <w:sz w:val="24"/>
                <w:highlight w:val="none"/>
              </w:rPr>
              <w:t>内容</w:t>
            </w:r>
          </w:p>
          <w:p>
            <w:pPr>
              <w:spacing w:line="400" w:lineRule="exact"/>
              <w:jc w:val="center"/>
              <w:rPr>
                <w:b/>
                <w:color w:val="auto"/>
                <w:sz w:val="24"/>
                <w:highlight w:val="none"/>
              </w:rPr>
            </w:pPr>
            <w:r>
              <w:rPr>
                <w:b/>
                <w:color w:val="auto"/>
                <w:sz w:val="24"/>
                <w:highlight w:val="none"/>
              </w:rPr>
              <w:t>类型</w:t>
            </w:r>
          </w:p>
        </w:tc>
        <w:tc>
          <w:tcPr>
            <w:tcW w:w="1276" w:type="dxa"/>
            <w:vAlign w:val="center"/>
          </w:tcPr>
          <w:p>
            <w:pPr>
              <w:spacing w:line="400" w:lineRule="exact"/>
              <w:jc w:val="center"/>
              <w:rPr>
                <w:b/>
                <w:color w:val="auto"/>
                <w:sz w:val="24"/>
                <w:highlight w:val="none"/>
              </w:rPr>
            </w:pPr>
            <w:r>
              <w:rPr>
                <w:b/>
                <w:color w:val="auto"/>
                <w:sz w:val="24"/>
                <w:highlight w:val="none"/>
              </w:rPr>
              <w:t>排放源</w:t>
            </w:r>
          </w:p>
        </w:tc>
        <w:tc>
          <w:tcPr>
            <w:tcW w:w="1701" w:type="dxa"/>
            <w:gridSpan w:val="2"/>
            <w:vAlign w:val="center"/>
          </w:tcPr>
          <w:p>
            <w:pPr>
              <w:spacing w:line="400" w:lineRule="exact"/>
              <w:jc w:val="center"/>
              <w:rPr>
                <w:b/>
                <w:color w:val="auto"/>
                <w:sz w:val="24"/>
                <w:highlight w:val="none"/>
              </w:rPr>
            </w:pPr>
            <w:r>
              <w:rPr>
                <w:b/>
                <w:color w:val="auto"/>
                <w:sz w:val="24"/>
                <w:highlight w:val="none"/>
              </w:rPr>
              <w:t>污染物</w:t>
            </w:r>
          </w:p>
          <w:p>
            <w:pPr>
              <w:spacing w:line="400" w:lineRule="exact"/>
              <w:jc w:val="center"/>
              <w:rPr>
                <w:b/>
                <w:color w:val="auto"/>
                <w:sz w:val="24"/>
                <w:highlight w:val="none"/>
              </w:rPr>
            </w:pPr>
            <w:r>
              <w:rPr>
                <w:b/>
                <w:color w:val="auto"/>
                <w:sz w:val="24"/>
                <w:highlight w:val="none"/>
              </w:rPr>
              <w:t>名称</w:t>
            </w:r>
          </w:p>
        </w:tc>
        <w:tc>
          <w:tcPr>
            <w:tcW w:w="2551" w:type="dxa"/>
            <w:vAlign w:val="center"/>
          </w:tcPr>
          <w:p>
            <w:pPr>
              <w:spacing w:line="400" w:lineRule="exact"/>
              <w:jc w:val="center"/>
              <w:rPr>
                <w:b/>
                <w:color w:val="auto"/>
                <w:sz w:val="24"/>
                <w:highlight w:val="none"/>
              </w:rPr>
            </w:pPr>
            <w:r>
              <w:rPr>
                <w:b/>
                <w:color w:val="auto"/>
                <w:sz w:val="24"/>
                <w:highlight w:val="none"/>
              </w:rPr>
              <w:t>产生浓度及产生量</w:t>
            </w:r>
          </w:p>
        </w:tc>
        <w:tc>
          <w:tcPr>
            <w:tcW w:w="2562" w:type="dxa"/>
            <w:tcBorders>
              <w:bottom w:val="single" w:color="auto" w:sz="4" w:space="0"/>
            </w:tcBorders>
            <w:vAlign w:val="center"/>
          </w:tcPr>
          <w:p>
            <w:pPr>
              <w:spacing w:line="400" w:lineRule="exact"/>
              <w:jc w:val="center"/>
              <w:rPr>
                <w:b/>
                <w:color w:val="auto"/>
                <w:sz w:val="24"/>
                <w:highlight w:val="none"/>
              </w:rPr>
            </w:pPr>
            <w:r>
              <w:rPr>
                <w:b/>
                <w:color w:val="auto"/>
                <w:sz w:val="24"/>
                <w:highlight w:val="none"/>
              </w:rPr>
              <w:t>排放浓度及排放量</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081" w:hRule="atLeast"/>
        </w:trPr>
        <w:tc>
          <w:tcPr>
            <w:tcW w:w="817" w:type="dxa"/>
            <w:vMerge w:val="restart"/>
            <w:vAlign w:val="center"/>
          </w:tcPr>
          <w:p>
            <w:pPr>
              <w:spacing w:line="400" w:lineRule="exact"/>
              <w:jc w:val="center"/>
              <w:rPr>
                <w:b/>
                <w:color w:val="auto"/>
                <w:sz w:val="24"/>
                <w:highlight w:val="none"/>
              </w:rPr>
            </w:pPr>
            <w:r>
              <w:rPr>
                <w:b/>
                <w:color w:val="auto"/>
                <w:sz w:val="24"/>
                <w:highlight w:val="none"/>
              </w:rPr>
              <w:t>大</w:t>
            </w:r>
          </w:p>
          <w:p>
            <w:pPr>
              <w:spacing w:line="400" w:lineRule="exact"/>
              <w:jc w:val="center"/>
              <w:rPr>
                <w:b/>
                <w:color w:val="auto"/>
                <w:sz w:val="24"/>
                <w:highlight w:val="none"/>
              </w:rPr>
            </w:pPr>
            <w:r>
              <w:rPr>
                <w:b/>
                <w:color w:val="auto"/>
                <w:sz w:val="24"/>
                <w:highlight w:val="none"/>
              </w:rPr>
              <w:t>气</w:t>
            </w:r>
          </w:p>
          <w:p>
            <w:pPr>
              <w:spacing w:line="400" w:lineRule="exact"/>
              <w:jc w:val="center"/>
              <w:rPr>
                <w:b/>
                <w:color w:val="auto"/>
                <w:sz w:val="24"/>
                <w:highlight w:val="none"/>
              </w:rPr>
            </w:pPr>
            <w:r>
              <w:rPr>
                <w:b/>
                <w:color w:val="auto"/>
                <w:sz w:val="24"/>
                <w:highlight w:val="none"/>
              </w:rPr>
              <w:t>污</w:t>
            </w:r>
          </w:p>
          <w:p>
            <w:pPr>
              <w:spacing w:line="400" w:lineRule="exact"/>
              <w:jc w:val="center"/>
              <w:rPr>
                <w:b/>
                <w:color w:val="auto"/>
                <w:sz w:val="24"/>
                <w:highlight w:val="none"/>
              </w:rPr>
            </w:pPr>
            <w:r>
              <w:rPr>
                <w:b/>
                <w:color w:val="auto"/>
                <w:sz w:val="24"/>
                <w:highlight w:val="none"/>
              </w:rPr>
              <w:t>染</w:t>
            </w:r>
          </w:p>
          <w:p>
            <w:pPr>
              <w:spacing w:line="400" w:lineRule="exact"/>
              <w:jc w:val="center"/>
              <w:rPr>
                <w:b/>
                <w:color w:val="auto"/>
                <w:sz w:val="24"/>
                <w:highlight w:val="none"/>
              </w:rPr>
            </w:pPr>
            <w:r>
              <w:rPr>
                <w:b/>
                <w:color w:val="auto"/>
                <w:sz w:val="24"/>
                <w:highlight w:val="none"/>
              </w:rPr>
              <w:t>物</w:t>
            </w:r>
          </w:p>
        </w:tc>
        <w:tc>
          <w:tcPr>
            <w:tcW w:w="1276" w:type="dxa"/>
            <w:vMerge w:val="restart"/>
            <w:vAlign w:val="center"/>
          </w:tcPr>
          <w:p>
            <w:pPr>
              <w:jc w:val="center"/>
              <w:rPr>
                <w:rFonts w:eastAsia="黑体"/>
                <w:b/>
                <w:bCs/>
                <w:color w:val="auto"/>
                <w:sz w:val="24"/>
                <w:highlight w:val="none"/>
              </w:rPr>
            </w:pPr>
            <w:r>
              <w:rPr>
                <w:rFonts w:hint="eastAsia"/>
                <w:color w:val="auto"/>
                <w:sz w:val="24"/>
                <w:highlight w:val="none"/>
              </w:rPr>
              <w:t>印刷机</w:t>
            </w:r>
          </w:p>
        </w:tc>
        <w:tc>
          <w:tcPr>
            <w:tcW w:w="709" w:type="dxa"/>
            <w:vMerge w:val="restart"/>
            <w:vAlign w:val="center"/>
          </w:tcPr>
          <w:p>
            <w:pPr>
              <w:jc w:val="center"/>
              <w:rPr>
                <w:color w:val="auto"/>
                <w:sz w:val="24"/>
                <w:highlight w:val="none"/>
              </w:rPr>
            </w:pPr>
            <w:r>
              <w:rPr>
                <w:rFonts w:hint="eastAsia"/>
                <w:color w:val="auto"/>
                <w:sz w:val="24"/>
                <w:highlight w:val="none"/>
              </w:rPr>
              <w:t>VOCs</w:t>
            </w:r>
          </w:p>
        </w:tc>
        <w:tc>
          <w:tcPr>
            <w:tcW w:w="992" w:type="dxa"/>
            <w:vAlign w:val="center"/>
          </w:tcPr>
          <w:p>
            <w:pPr>
              <w:jc w:val="center"/>
              <w:rPr>
                <w:color w:val="auto"/>
                <w:sz w:val="24"/>
                <w:highlight w:val="none"/>
              </w:rPr>
            </w:pPr>
            <w:r>
              <w:rPr>
                <w:rFonts w:hint="eastAsia"/>
                <w:color w:val="auto"/>
                <w:sz w:val="24"/>
                <w:highlight w:val="none"/>
              </w:rPr>
              <w:t>有组织</w:t>
            </w:r>
          </w:p>
        </w:tc>
        <w:tc>
          <w:tcPr>
            <w:tcW w:w="2551" w:type="dxa"/>
            <w:vAlign w:val="center"/>
          </w:tcPr>
          <w:p>
            <w:pPr>
              <w:ind w:firstLine="120" w:firstLineChars="50"/>
              <w:jc w:val="center"/>
              <w:rPr>
                <w:color w:val="auto"/>
                <w:sz w:val="24"/>
                <w:highlight w:val="none"/>
              </w:rPr>
            </w:pPr>
            <w:r>
              <w:rPr>
                <w:rFonts w:hint="eastAsia"/>
                <w:bCs/>
                <w:color w:val="auto"/>
                <w:sz w:val="24"/>
                <w:highlight w:val="none"/>
              </w:rPr>
              <w:t>6.898</w:t>
            </w:r>
            <w:r>
              <w:rPr>
                <w:bCs/>
                <w:color w:val="auto"/>
                <w:sz w:val="24"/>
                <w:highlight w:val="none"/>
              </w:rPr>
              <w:t>mg/m</w:t>
            </w:r>
            <w:r>
              <w:rPr>
                <w:bCs/>
                <w:color w:val="auto"/>
                <w:sz w:val="24"/>
                <w:highlight w:val="none"/>
                <w:vertAlign w:val="superscript"/>
              </w:rPr>
              <w:t>3</w:t>
            </w:r>
            <w:r>
              <w:rPr>
                <w:rFonts w:hint="eastAsia"/>
                <w:color w:val="auto"/>
                <w:sz w:val="24"/>
                <w:highlight w:val="none"/>
              </w:rPr>
              <w:t>，101.98</w:t>
            </w:r>
            <w:r>
              <w:rPr>
                <w:color w:val="auto"/>
                <w:sz w:val="24"/>
                <w:highlight w:val="none"/>
              </w:rPr>
              <w:t>kg/a</w:t>
            </w:r>
          </w:p>
        </w:tc>
        <w:tc>
          <w:tcPr>
            <w:tcW w:w="2562" w:type="dxa"/>
            <w:vAlign w:val="center"/>
          </w:tcPr>
          <w:p>
            <w:pPr>
              <w:jc w:val="center"/>
              <w:rPr>
                <w:color w:val="auto"/>
                <w:sz w:val="24"/>
                <w:highlight w:val="none"/>
              </w:rPr>
            </w:pPr>
            <w:r>
              <w:rPr>
                <w:rFonts w:hint="eastAsia"/>
                <w:color w:val="auto"/>
                <w:sz w:val="24"/>
                <w:highlight w:val="none"/>
              </w:rPr>
              <w:t>0.93</w:t>
            </w:r>
            <w:r>
              <w:rPr>
                <w:color w:val="auto"/>
                <w:spacing w:val="-16"/>
                <w:sz w:val="24"/>
                <w:highlight w:val="none"/>
              </w:rPr>
              <w:t>mg/m</w:t>
            </w:r>
            <w:r>
              <w:rPr>
                <w:color w:val="auto"/>
                <w:spacing w:val="-16"/>
                <w:sz w:val="24"/>
                <w:highlight w:val="none"/>
                <w:vertAlign w:val="superscript"/>
              </w:rPr>
              <w:t>3</w:t>
            </w:r>
            <w:r>
              <w:rPr>
                <w:rFonts w:hint="eastAsia"/>
                <w:color w:val="auto"/>
                <w:sz w:val="24"/>
                <w:highlight w:val="none"/>
              </w:rPr>
              <w:t>，13.77</w:t>
            </w:r>
            <w:r>
              <w:rPr>
                <w:color w:val="auto"/>
                <w:sz w:val="24"/>
                <w:highlight w:val="none"/>
              </w:rPr>
              <w:t>kg/a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84" w:hRule="atLeast"/>
        </w:trPr>
        <w:tc>
          <w:tcPr>
            <w:tcW w:w="817" w:type="dxa"/>
            <w:vMerge w:val="continue"/>
            <w:vAlign w:val="center"/>
          </w:tcPr>
          <w:p>
            <w:pPr>
              <w:spacing w:line="400" w:lineRule="exact"/>
              <w:jc w:val="center"/>
              <w:rPr>
                <w:b/>
                <w:color w:val="auto"/>
                <w:sz w:val="24"/>
                <w:highlight w:val="none"/>
              </w:rPr>
            </w:pPr>
          </w:p>
        </w:tc>
        <w:tc>
          <w:tcPr>
            <w:tcW w:w="1276" w:type="dxa"/>
            <w:vMerge w:val="continue"/>
            <w:vAlign w:val="center"/>
          </w:tcPr>
          <w:p>
            <w:pPr>
              <w:jc w:val="center"/>
              <w:rPr>
                <w:color w:val="auto"/>
                <w:sz w:val="24"/>
                <w:highlight w:val="none"/>
              </w:rPr>
            </w:pPr>
          </w:p>
        </w:tc>
        <w:tc>
          <w:tcPr>
            <w:tcW w:w="709" w:type="dxa"/>
            <w:vMerge w:val="continue"/>
            <w:vAlign w:val="center"/>
          </w:tcPr>
          <w:p>
            <w:pPr>
              <w:jc w:val="center"/>
              <w:rPr>
                <w:color w:val="auto"/>
                <w:sz w:val="24"/>
                <w:highlight w:val="none"/>
              </w:rPr>
            </w:pPr>
          </w:p>
        </w:tc>
        <w:tc>
          <w:tcPr>
            <w:tcW w:w="992" w:type="dxa"/>
            <w:vAlign w:val="center"/>
          </w:tcPr>
          <w:p>
            <w:pPr>
              <w:jc w:val="center"/>
              <w:rPr>
                <w:color w:val="auto"/>
                <w:sz w:val="24"/>
                <w:highlight w:val="none"/>
              </w:rPr>
            </w:pPr>
            <w:r>
              <w:rPr>
                <w:rFonts w:hint="eastAsia"/>
                <w:color w:val="auto"/>
                <w:sz w:val="24"/>
                <w:highlight w:val="none"/>
              </w:rPr>
              <w:t>无组织</w:t>
            </w:r>
          </w:p>
        </w:tc>
        <w:tc>
          <w:tcPr>
            <w:tcW w:w="2551" w:type="dxa"/>
            <w:vAlign w:val="center"/>
          </w:tcPr>
          <w:p>
            <w:pPr>
              <w:ind w:firstLine="120" w:firstLineChars="50"/>
              <w:jc w:val="center"/>
              <w:rPr>
                <w:bCs/>
                <w:color w:val="auto"/>
                <w:sz w:val="24"/>
                <w:highlight w:val="none"/>
              </w:rPr>
            </w:pPr>
            <w:r>
              <w:rPr>
                <w:rFonts w:hint="eastAsia"/>
                <w:bCs/>
                <w:color w:val="auto"/>
                <w:sz w:val="24"/>
                <w:highlight w:val="none"/>
              </w:rPr>
              <w:t>10.20</w:t>
            </w:r>
            <w:r>
              <w:rPr>
                <w:color w:val="auto"/>
                <w:sz w:val="24"/>
                <w:highlight w:val="none"/>
              </w:rPr>
              <w:t>kg/a</w:t>
            </w:r>
          </w:p>
        </w:tc>
        <w:tc>
          <w:tcPr>
            <w:tcW w:w="2562" w:type="dxa"/>
            <w:vAlign w:val="center"/>
          </w:tcPr>
          <w:p>
            <w:pPr>
              <w:jc w:val="center"/>
              <w:rPr>
                <w:color w:val="auto"/>
                <w:sz w:val="24"/>
                <w:highlight w:val="none"/>
              </w:rPr>
            </w:pPr>
            <w:r>
              <w:rPr>
                <w:rFonts w:hint="eastAsia"/>
                <w:bCs/>
                <w:color w:val="auto"/>
                <w:sz w:val="24"/>
                <w:highlight w:val="none"/>
              </w:rPr>
              <w:t>10.20</w:t>
            </w:r>
            <w:r>
              <w:rPr>
                <w:color w:val="auto"/>
                <w:sz w:val="24"/>
                <w:highlight w:val="none"/>
              </w:rPr>
              <w:t xml:space="preserve"> kg/a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2" w:hRule="atLeast"/>
        </w:trPr>
        <w:tc>
          <w:tcPr>
            <w:tcW w:w="817" w:type="dxa"/>
            <w:vMerge w:val="restart"/>
            <w:vAlign w:val="center"/>
          </w:tcPr>
          <w:p>
            <w:pPr>
              <w:spacing w:line="400" w:lineRule="exact"/>
              <w:jc w:val="center"/>
              <w:rPr>
                <w:b/>
                <w:color w:val="auto"/>
                <w:sz w:val="24"/>
                <w:highlight w:val="none"/>
              </w:rPr>
            </w:pPr>
            <w:r>
              <w:rPr>
                <w:b/>
                <w:color w:val="auto"/>
                <w:sz w:val="24"/>
                <w:highlight w:val="none"/>
              </w:rPr>
              <w:t>水</w:t>
            </w:r>
          </w:p>
          <w:p>
            <w:pPr>
              <w:spacing w:line="400" w:lineRule="exact"/>
              <w:jc w:val="center"/>
              <w:rPr>
                <w:b/>
                <w:color w:val="auto"/>
                <w:sz w:val="24"/>
                <w:highlight w:val="none"/>
              </w:rPr>
            </w:pPr>
            <w:r>
              <w:rPr>
                <w:b/>
                <w:color w:val="auto"/>
                <w:sz w:val="24"/>
                <w:highlight w:val="none"/>
              </w:rPr>
              <w:t>污</w:t>
            </w:r>
          </w:p>
          <w:p>
            <w:pPr>
              <w:spacing w:line="400" w:lineRule="exact"/>
              <w:jc w:val="center"/>
              <w:rPr>
                <w:b/>
                <w:color w:val="auto"/>
                <w:sz w:val="24"/>
                <w:highlight w:val="none"/>
              </w:rPr>
            </w:pPr>
            <w:r>
              <w:rPr>
                <w:b/>
                <w:color w:val="auto"/>
                <w:sz w:val="24"/>
                <w:highlight w:val="none"/>
              </w:rPr>
              <w:t>染</w:t>
            </w:r>
          </w:p>
          <w:p>
            <w:pPr>
              <w:spacing w:line="400" w:lineRule="exact"/>
              <w:jc w:val="center"/>
              <w:rPr>
                <w:b/>
                <w:color w:val="auto"/>
                <w:sz w:val="24"/>
                <w:highlight w:val="none"/>
              </w:rPr>
            </w:pPr>
            <w:r>
              <w:rPr>
                <w:b/>
                <w:color w:val="auto"/>
                <w:sz w:val="24"/>
                <w:highlight w:val="none"/>
              </w:rPr>
              <w:t>物</w:t>
            </w:r>
          </w:p>
        </w:tc>
        <w:tc>
          <w:tcPr>
            <w:tcW w:w="1276" w:type="dxa"/>
            <w:vMerge w:val="restart"/>
            <w:tcBorders>
              <w:top w:val="single" w:color="auto" w:sz="4" w:space="0"/>
            </w:tcBorders>
            <w:vAlign w:val="center"/>
          </w:tcPr>
          <w:p>
            <w:pPr>
              <w:spacing w:line="400" w:lineRule="exact"/>
              <w:jc w:val="center"/>
              <w:rPr>
                <w:color w:val="auto"/>
                <w:sz w:val="24"/>
                <w:highlight w:val="none"/>
              </w:rPr>
            </w:pPr>
            <w:r>
              <w:rPr>
                <w:rFonts w:hint="eastAsia"/>
                <w:color w:val="auto"/>
                <w:sz w:val="24"/>
                <w:highlight w:val="none"/>
              </w:rPr>
              <w:t>职工生活</w:t>
            </w:r>
          </w:p>
        </w:tc>
        <w:tc>
          <w:tcPr>
            <w:tcW w:w="1701" w:type="dxa"/>
            <w:gridSpan w:val="2"/>
            <w:tcBorders>
              <w:top w:val="single" w:color="auto" w:sz="4" w:space="0"/>
              <w:bottom w:val="single" w:color="auto" w:sz="4" w:space="0"/>
            </w:tcBorders>
            <w:vAlign w:val="center"/>
          </w:tcPr>
          <w:p>
            <w:pPr>
              <w:jc w:val="center"/>
              <w:rPr>
                <w:color w:val="auto"/>
                <w:sz w:val="24"/>
                <w:highlight w:val="none"/>
              </w:rPr>
            </w:pPr>
            <w:r>
              <w:rPr>
                <w:rFonts w:hint="eastAsia"/>
                <w:color w:val="auto"/>
                <w:sz w:val="24"/>
                <w:highlight w:val="none"/>
              </w:rPr>
              <w:t>生活污水</w:t>
            </w:r>
          </w:p>
        </w:tc>
        <w:tc>
          <w:tcPr>
            <w:tcW w:w="2551" w:type="dxa"/>
            <w:tcBorders>
              <w:top w:val="single" w:color="auto" w:sz="4" w:space="0"/>
              <w:bottom w:val="single" w:color="auto" w:sz="4" w:space="0"/>
            </w:tcBorders>
            <w:vAlign w:val="center"/>
          </w:tcPr>
          <w:p>
            <w:pPr>
              <w:ind w:left="1460" w:leftChars="50" w:hanging="1320" w:hangingChars="550"/>
              <w:jc w:val="center"/>
              <w:rPr>
                <w:color w:val="auto"/>
                <w:sz w:val="24"/>
                <w:highlight w:val="none"/>
              </w:rPr>
            </w:pPr>
            <w:r>
              <w:rPr>
                <w:color w:val="auto"/>
                <w:sz w:val="24"/>
                <w:highlight w:val="none"/>
              </w:rPr>
              <w:t>58.8m</w:t>
            </w:r>
            <w:r>
              <w:rPr>
                <w:color w:val="auto"/>
                <w:sz w:val="24"/>
                <w:highlight w:val="none"/>
                <w:vertAlign w:val="superscript"/>
              </w:rPr>
              <w:t>3</w:t>
            </w:r>
            <w:r>
              <w:rPr>
                <w:color w:val="auto"/>
                <w:sz w:val="24"/>
                <w:highlight w:val="none"/>
              </w:rPr>
              <w:t>/a</w:t>
            </w:r>
          </w:p>
        </w:tc>
        <w:tc>
          <w:tcPr>
            <w:tcW w:w="2562" w:type="dxa"/>
            <w:tcBorders>
              <w:bottom w:val="single" w:color="auto" w:sz="4" w:space="0"/>
            </w:tcBorders>
            <w:vAlign w:val="center"/>
          </w:tcPr>
          <w:p>
            <w:pPr>
              <w:ind w:left="1460" w:leftChars="50" w:hanging="1320" w:hangingChars="550"/>
              <w:jc w:val="center"/>
              <w:rPr>
                <w:color w:val="auto"/>
                <w:sz w:val="24"/>
                <w:highlight w:val="none"/>
              </w:rPr>
            </w:pPr>
            <w:r>
              <w:rPr>
                <w:color w:val="auto"/>
                <w:sz w:val="24"/>
                <w:highlight w:val="none"/>
              </w:rPr>
              <w:t>58.8m</w:t>
            </w:r>
            <w:r>
              <w:rPr>
                <w:color w:val="auto"/>
                <w:sz w:val="24"/>
                <w:highlight w:val="none"/>
                <w:vertAlign w:val="superscript"/>
              </w:rPr>
              <w:t>3</w:t>
            </w:r>
            <w:r>
              <w:rPr>
                <w:color w:val="auto"/>
                <w:sz w:val="24"/>
                <w:highlight w:val="none"/>
              </w:rPr>
              <w:t>/a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10" w:hRule="atLeast"/>
        </w:trPr>
        <w:tc>
          <w:tcPr>
            <w:tcW w:w="817" w:type="dxa"/>
            <w:vMerge w:val="continue"/>
            <w:vAlign w:val="center"/>
          </w:tcPr>
          <w:p>
            <w:pPr>
              <w:spacing w:line="400" w:lineRule="exact"/>
              <w:jc w:val="center"/>
              <w:rPr>
                <w:b/>
                <w:color w:val="auto"/>
                <w:sz w:val="24"/>
                <w:highlight w:val="none"/>
              </w:rPr>
            </w:pPr>
          </w:p>
        </w:tc>
        <w:tc>
          <w:tcPr>
            <w:tcW w:w="1276" w:type="dxa"/>
            <w:vMerge w:val="continue"/>
            <w:vAlign w:val="center"/>
          </w:tcPr>
          <w:p>
            <w:pPr>
              <w:spacing w:line="400" w:lineRule="exact"/>
              <w:jc w:val="center"/>
              <w:rPr>
                <w:color w:val="auto"/>
                <w:sz w:val="24"/>
                <w:highlight w:val="none"/>
              </w:rPr>
            </w:pPr>
          </w:p>
        </w:tc>
        <w:tc>
          <w:tcPr>
            <w:tcW w:w="1701" w:type="dxa"/>
            <w:gridSpan w:val="2"/>
            <w:tcBorders>
              <w:top w:val="single" w:color="auto" w:sz="4" w:space="0"/>
              <w:bottom w:val="single" w:color="auto" w:sz="4" w:space="0"/>
            </w:tcBorders>
            <w:vAlign w:val="center"/>
          </w:tcPr>
          <w:p>
            <w:pPr>
              <w:jc w:val="center"/>
              <w:rPr>
                <w:color w:val="auto"/>
                <w:sz w:val="24"/>
                <w:highlight w:val="none"/>
              </w:rPr>
            </w:pPr>
            <w:r>
              <w:rPr>
                <w:color w:val="auto"/>
                <w:sz w:val="24"/>
                <w:highlight w:val="none"/>
              </w:rPr>
              <w:t>COD</w:t>
            </w:r>
          </w:p>
        </w:tc>
        <w:tc>
          <w:tcPr>
            <w:tcW w:w="2551" w:type="dxa"/>
            <w:tcBorders>
              <w:top w:val="single" w:color="auto" w:sz="4" w:space="0"/>
              <w:bottom w:val="single" w:color="auto" w:sz="4" w:space="0"/>
            </w:tcBorders>
            <w:vAlign w:val="center"/>
          </w:tcPr>
          <w:p>
            <w:pPr>
              <w:ind w:left="1460" w:leftChars="50" w:hanging="1320" w:hangingChars="550"/>
              <w:jc w:val="center"/>
              <w:rPr>
                <w:color w:val="auto"/>
                <w:sz w:val="24"/>
                <w:highlight w:val="none"/>
              </w:rPr>
            </w:pPr>
            <w:r>
              <w:rPr>
                <w:color w:val="auto"/>
                <w:sz w:val="24"/>
                <w:highlight w:val="none"/>
              </w:rPr>
              <w:t>400 mg/L</w:t>
            </w:r>
            <w:r>
              <w:rPr>
                <w:rFonts w:hint="eastAsia"/>
                <w:color w:val="auto"/>
                <w:sz w:val="24"/>
                <w:highlight w:val="none"/>
              </w:rPr>
              <w:t>，</w:t>
            </w:r>
            <w:r>
              <w:rPr>
                <w:color w:val="auto"/>
                <w:sz w:val="24"/>
                <w:highlight w:val="none"/>
              </w:rPr>
              <w:t>0.0235 t/a</w:t>
            </w:r>
          </w:p>
        </w:tc>
        <w:tc>
          <w:tcPr>
            <w:tcW w:w="2562" w:type="dxa"/>
            <w:tcBorders>
              <w:bottom w:val="single" w:color="auto" w:sz="4" w:space="0"/>
            </w:tcBorders>
            <w:vAlign w:val="center"/>
          </w:tcPr>
          <w:p>
            <w:pPr>
              <w:ind w:left="1460" w:leftChars="50" w:hanging="1320" w:hangingChars="550"/>
              <w:jc w:val="center"/>
              <w:rPr>
                <w:color w:val="auto"/>
                <w:sz w:val="24"/>
                <w:highlight w:val="none"/>
              </w:rPr>
            </w:pPr>
            <w:r>
              <w:rPr>
                <w:color w:val="auto"/>
                <w:sz w:val="24"/>
                <w:highlight w:val="none"/>
              </w:rPr>
              <w:t>340 mg/L</w:t>
            </w:r>
            <w:r>
              <w:rPr>
                <w:rFonts w:hint="eastAsia"/>
                <w:color w:val="auto"/>
                <w:sz w:val="24"/>
                <w:highlight w:val="none"/>
              </w:rPr>
              <w:t>，</w:t>
            </w:r>
            <w:r>
              <w:rPr>
                <w:color w:val="auto"/>
                <w:sz w:val="24"/>
                <w:highlight w:val="none"/>
              </w:rPr>
              <w:t>0.02 t/a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30" w:hRule="atLeast"/>
        </w:trPr>
        <w:tc>
          <w:tcPr>
            <w:tcW w:w="817" w:type="dxa"/>
            <w:vMerge w:val="continue"/>
            <w:vAlign w:val="center"/>
          </w:tcPr>
          <w:p>
            <w:pPr>
              <w:spacing w:line="400" w:lineRule="exact"/>
              <w:jc w:val="center"/>
              <w:rPr>
                <w:b/>
                <w:color w:val="auto"/>
                <w:sz w:val="24"/>
                <w:highlight w:val="none"/>
              </w:rPr>
            </w:pPr>
          </w:p>
        </w:tc>
        <w:tc>
          <w:tcPr>
            <w:tcW w:w="1276" w:type="dxa"/>
            <w:vMerge w:val="continue"/>
            <w:vAlign w:val="center"/>
          </w:tcPr>
          <w:p>
            <w:pPr>
              <w:spacing w:line="400" w:lineRule="exact"/>
              <w:jc w:val="center"/>
              <w:rPr>
                <w:color w:val="auto"/>
                <w:sz w:val="24"/>
                <w:highlight w:val="none"/>
              </w:rPr>
            </w:pPr>
          </w:p>
        </w:tc>
        <w:tc>
          <w:tcPr>
            <w:tcW w:w="1701" w:type="dxa"/>
            <w:gridSpan w:val="2"/>
            <w:tcBorders>
              <w:top w:val="single" w:color="auto" w:sz="4" w:space="0"/>
              <w:bottom w:val="single" w:color="auto" w:sz="4" w:space="0"/>
            </w:tcBorders>
            <w:vAlign w:val="center"/>
          </w:tcPr>
          <w:p>
            <w:pPr>
              <w:jc w:val="center"/>
              <w:rPr>
                <w:color w:val="auto"/>
                <w:sz w:val="24"/>
                <w:highlight w:val="none"/>
              </w:rPr>
            </w:pPr>
            <w:r>
              <w:rPr>
                <w:color w:val="auto"/>
                <w:sz w:val="24"/>
                <w:highlight w:val="none"/>
              </w:rPr>
              <w:t>BOD</w:t>
            </w:r>
            <w:r>
              <w:rPr>
                <w:color w:val="auto"/>
                <w:sz w:val="24"/>
                <w:highlight w:val="none"/>
                <w:vertAlign w:val="subscript"/>
              </w:rPr>
              <w:t>5</w:t>
            </w:r>
          </w:p>
        </w:tc>
        <w:tc>
          <w:tcPr>
            <w:tcW w:w="2551" w:type="dxa"/>
            <w:tcBorders>
              <w:top w:val="single" w:color="auto" w:sz="4" w:space="0"/>
              <w:bottom w:val="single" w:color="auto" w:sz="4" w:space="0"/>
            </w:tcBorders>
            <w:vAlign w:val="center"/>
          </w:tcPr>
          <w:p>
            <w:pPr>
              <w:ind w:left="1460" w:leftChars="50" w:hanging="1320" w:hangingChars="550"/>
              <w:jc w:val="center"/>
              <w:rPr>
                <w:color w:val="auto"/>
                <w:sz w:val="24"/>
                <w:highlight w:val="none"/>
              </w:rPr>
            </w:pPr>
            <w:r>
              <w:rPr>
                <w:color w:val="auto"/>
                <w:sz w:val="24"/>
                <w:highlight w:val="none"/>
              </w:rPr>
              <w:t>200 mg/L</w:t>
            </w:r>
            <w:r>
              <w:rPr>
                <w:rFonts w:hint="eastAsia"/>
                <w:color w:val="auto"/>
                <w:sz w:val="24"/>
                <w:highlight w:val="none"/>
              </w:rPr>
              <w:t>，</w:t>
            </w:r>
            <w:r>
              <w:rPr>
                <w:color w:val="auto"/>
                <w:sz w:val="24"/>
                <w:highlight w:val="none"/>
              </w:rPr>
              <w:t>0.0118 t/a</w:t>
            </w:r>
          </w:p>
        </w:tc>
        <w:tc>
          <w:tcPr>
            <w:tcW w:w="2562" w:type="dxa"/>
            <w:tcBorders>
              <w:bottom w:val="single" w:color="auto" w:sz="4" w:space="0"/>
            </w:tcBorders>
            <w:vAlign w:val="center"/>
          </w:tcPr>
          <w:p>
            <w:pPr>
              <w:ind w:left="1460" w:leftChars="50" w:hanging="1320" w:hangingChars="550"/>
              <w:jc w:val="center"/>
              <w:rPr>
                <w:color w:val="auto"/>
                <w:sz w:val="24"/>
                <w:highlight w:val="none"/>
              </w:rPr>
            </w:pPr>
            <w:r>
              <w:rPr>
                <w:color w:val="auto"/>
                <w:sz w:val="24"/>
                <w:highlight w:val="none"/>
              </w:rPr>
              <w:t>180 mg/L</w:t>
            </w:r>
            <w:r>
              <w:rPr>
                <w:rFonts w:hint="eastAsia"/>
                <w:color w:val="auto"/>
                <w:sz w:val="24"/>
                <w:highlight w:val="none"/>
              </w:rPr>
              <w:t>，</w:t>
            </w:r>
            <w:r>
              <w:rPr>
                <w:color w:val="auto"/>
                <w:sz w:val="24"/>
                <w:highlight w:val="none"/>
              </w:rPr>
              <w:t>0.0106 t/a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30" w:hRule="atLeast"/>
        </w:trPr>
        <w:tc>
          <w:tcPr>
            <w:tcW w:w="817" w:type="dxa"/>
            <w:vMerge w:val="continue"/>
            <w:vAlign w:val="center"/>
          </w:tcPr>
          <w:p>
            <w:pPr>
              <w:spacing w:line="400" w:lineRule="exact"/>
              <w:jc w:val="center"/>
              <w:rPr>
                <w:b/>
                <w:color w:val="auto"/>
                <w:sz w:val="24"/>
                <w:highlight w:val="none"/>
              </w:rPr>
            </w:pPr>
          </w:p>
        </w:tc>
        <w:tc>
          <w:tcPr>
            <w:tcW w:w="1276" w:type="dxa"/>
            <w:vMerge w:val="continue"/>
            <w:vAlign w:val="center"/>
          </w:tcPr>
          <w:p>
            <w:pPr>
              <w:spacing w:line="400" w:lineRule="exact"/>
              <w:jc w:val="center"/>
              <w:rPr>
                <w:color w:val="auto"/>
                <w:sz w:val="24"/>
                <w:highlight w:val="none"/>
              </w:rPr>
            </w:pPr>
          </w:p>
        </w:tc>
        <w:tc>
          <w:tcPr>
            <w:tcW w:w="1701" w:type="dxa"/>
            <w:gridSpan w:val="2"/>
            <w:tcBorders>
              <w:top w:val="single" w:color="auto" w:sz="4" w:space="0"/>
              <w:bottom w:val="single" w:color="auto" w:sz="4" w:space="0"/>
            </w:tcBorders>
            <w:vAlign w:val="center"/>
          </w:tcPr>
          <w:p>
            <w:pPr>
              <w:jc w:val="center"/>
              <w:rPr>
                <w:color w:val="auto"/>
                <w:sz w:val="24"/>
                <w:highlight w:val="none"/>
              </w:rPr>
            </w:pPr>
            <w:r>
              <w:rPr>
                <w:color w:val="auto"/>
                <w:sz w:val="24"/>
                <w:highlight w:val="none"/>
              </w:rPr>
              <w:t>SS</w:t>
            </w:r>
          </w:p>
        </w:tc>
        <w:tc>
          <w:tcPr>
            <w:tcW w:w="2551" w:type="dxa"/>
            <w:tcBorders>
              <w:top w:val="single" w:color="auto" w:sz="4" w:space="0"/>
              <w:bottom w:val="single" w:color="auto" w:sz="4" w:space="0"/>
            </w:tcBorders>
            <w:vAlign w:val="center"/>
          </w:tcPr>
          <w:p>
            <w:pPr>
              <w:ind w:left="1460" w:leftChars="50" w:hanging="1320" w:hangingChars="550"/>
              <w:jc w:val="center"/>
              <w:rPr>
                <w:color w:val="auto"/>
                <w:sz w:val="24"/>
                <w:highlight w:val="none"/>
              </w:rPr>
            </w:pPr>
            <w:r>
              <w:rPr>
                <w:color w:val="auto"/>
                <w:sz w:val="24"/>
                <w:highlight w:val="none"/>
              </w:rPr>
              <w:t>200 mg/L</w:t>
            </w:r>
            <w:r>
              <w:rPr>
                <w:rFonts w:hint="eastAsia"/>
                <w:color w:val="auto"/>
                <w:sz w:val="24"/>
                <w:highlight w:val="none"/>
              </w:rPr>
              <w:t>，</w:t>
            </w:r>
            <w:r>
              <w:rPr>
                <w:color w:val="auto"/>
                <w:sz w:val="24"/>
                <w:highlight w:val="none"/>
              </w:rPr>
              <w:t>0.0118 t/a</w:t>
            </w:r>
          </w:p>
        </w:tc>
        <w:tc>
          <w:tcPr>
            <w:tcW w:w="2562" w:type="dxa"/>
            <w:tcBorders>
              <w:bottom w:val="single" w:color="auto" w:sz="4" w:space="0"/>
            </w:tcBorders>
            <w:vAlign w:val="center"/>
          </w:tcPr>
          <w:p>
            <w:pPr>
              <w:ind w:left="1460" w:leftChars="50" w:hanging="1320" w:hangingChars="550"/>
              <w:jc w:val="center"/>
              <w:rPr>
                <w:color w:val="auto"/>
                <w:sz w:val="24"/>
                <w:highlight w:val="none"/>
              </w:rPr>
            </w:pPr>
            <w:r>
              <w:rPr>
                <w:color w:val="auto"/>
                <w:sz w:val="24"/>
                <w:highlight w:val="none"/>
              </w:rPr>
              <w:t>160 mg/L</w:t>
            </w:r>
            <w:r>
              <w:rPr>
                <w:rFonts w:hint="eastAsia"/>
                <w:color w:val="auto"/>
                <w:sz w:val="24"/>
                <w:highlight w:val="none"/>
              </w:rPr>
              <w:t>，</w:t>
            </w:r>
            <w:r>
              <w:rPr>
                <w:color w:val="auto"/>
                <w:sz w:val="24"/>
                <w:highlight w:val="none"/>
              </w:rPr>
              <w:t>0.0094 t/a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30" w:hRule="atLeast"/>
        </w:trPr>
        <w:tc>
          <w:tcPr>
            <w:tcW w:w="817" w:type="dxa"/>
            <w:vMerge w:val="continue"/>
            <w:vAlign w:val="center"/>
          </w:tcPr>
          <w:p>
            <w:pPr>
              <w:spacing w:line="400" w:lineRule="exact"/>
              <w:jc w:val="center"/>
              <w:rPr>
                <w:b/>
                <w:color w:val="auto"/>
                <w:sz w:val="24"/>
                <w:highlight w:val="none"/>
              </w:rPr>
            </w:pPr>
          </w:p>
        </w:tc>
        <w:tc>
          <w:tcPr>
            <w:tcW w:w="1276" w:type="dxa"/>
            <w:vMerge w:val="continue"/>
            <w:vAlign w:val="center"/>
          </w:tcPr>
          <w:p>
            <w:pPr>
              <w:spacing w:line="400" w:lineRule="exact"/>
              <w:jc w:val="center"/>
              <w:rPr>
                <w:color w:val="auto"/>
                <w:sz w:val="24"/>
                <w:highlight w:val="none"/>
              </w:rPr>
            </w:pPr>
          </w:p>
        </w:tc>
        <w:tc>
          <w:tcPr>
            <w:tcW w:w="1701" w:type="dxa"/>
            <w:gridSpan w:val="2"/>
            <w:tcBorders>
              <w:top w:val="single" w:color="auto" w:sz="4" w:space="0"/>
              <w:bottom w:val="single" w:color="auto" w:sz="4" w:space="0"/>
            </w:tcBorders>
            <w:vAlign w:val="center"/>
          </w:tcPr>
          <w:p>
            <w:pPr>
              <w:jc w:val="center"/>
              <w:rPr>
                <w:color w:val="auto"/>
                <w:sz w:val="24"/>
                <w:highlight w:val="none"/>
              </w:rPr>
            </w:pPr>
            <w:r>
              <w:rPr>
                <w:rFonts w:hint="eastAsia"/>
                <w:color w:val="auto"/>
                <w:sz w:val="24"/>
                <w:highlight w:val="none"/>
              </w:rPr>
              <w:t>氨氮</w:t>
            </w:r>
          </w:p>
        </w:tc>
        <w:tc>
          <w:tcPr>
            <w:tcW w:w="2551" w:type="dxa"/>
            <w:tcBorders>
              <w:top w:val="single" w:color="auto" w:sz="4" w:space="0"/>
              <w:bottom w:val="single" w:color="auto" w:sz="4" w:space="0"/>
            </w:tcBorders>
            <w:vAlign w:val="center"/>
          </w:tcPr>
          <w:p>
            <w:pPr>
              <w:ind w:left="1460" w:leftChars="50" w:hanging="1320" w:hangingChars="550"/>
              <w:jc w:val="center"/>
              <w:rPr>
                <w:color w:val="auto"/>
                <w:sz w:val="24"/>
                <w:highlight w:val="none"/>
              </w:rPr>
            </w:pPr>
            <w:r>
              <w:rPr>
                <w:color w:val="auto"/>
                <w:sz w:val="24"/>
                <w:highlight w:val="none"/>
              </w:rPr>
              <w:t>45 mg/L</w:t>
            </w:r>
            <w:r>
              <w:rPr>
                <w:rFonts w:hint="eastAsia"/>
                <w:color w:val="auto"/>
                <w:sz w:val="24"/>
                <w:highlight w:val="none"/>
              </w:rPr>
              <w:t>，</w:t>
            </w:r>
            <w:r>
              <w:rPr>
                <w:color w:val="auto"/>
                <w:sz w:val="24"/>
                <w:highlight w:val="none"/>
              </w:rPr>
              <w:t>0.0026 t/a</w:t>
            </w:r>
          </w:p>
        </w:tc>
        <w:tc>
          <w:tcPr>
            <w:tcW w:w="2562" w:type="dxa"/>
            <w:tcBorders>
              <w:bottom w:val="single" w:color="auto" w:sz="4" w:space="0"/>
            </w:tcBorders>
            <w:vAlign w:val="center"/>
          </w:tcPr>
          <w:p>
            <w:pPr>
              <w:ind w:left="1460" w:leftChars="50" w:hanging="1320" w:hangingChars="550"/>
              <w:jc w:val="center"/>
              <w:rPr>
                <w:color w:val="auto"/>
                <w:sz w:val="24"/>
                <w:highlight w:val="none"/>
              </w:rPr>
            </w:pPr>
            <w:r>
              <w:rPr>
                <w:color w:val="auto"/>
                <w:sz w:val="24"/>
                <w:highlight w:val="none"/>
              </w:rPr>
              <w:t>45 mg/L</w:t>
            </w:r>
            <w:r>
              <w:rPr>
                <w:rFonts w:hint="eastAsia"/>
                <w:color w:val="auto"/>
                <w:sz w:val="24"/>
                <w:highlight w:val="none"/>
              </w:rPr>
              <w:t>，</w:t>
            </w:r>
            <w:r>
              <w:rPr>
                <w:color w:val="auto"/>
                <w:sz w:val="24"/>
                <w:highlight w:val="none"/>
              </w:rPr>
              <w:t>0.0026 t/a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3" w:hRule="atLeast"/>
        </w:trPr>
        <w:tc>
          <w:tcPr>
            <w:tcW w:w="817" w:type="dxa"/>
            <w:vMerge w:val="continue"/>
            <w:vAlign w:val="center"/>
          </w:tcPr>
          <w:p>
            <w:pPr>
              <w:spacing w:line="400" w:lineRule="exact"/>
              <w:jc w:val="center"/>
              <w:rPr>
                <w:b/>
                <w:color w:val="auto"/>
                <w:sz w:val="24"/>
                <w:highlight w:val="none"/>
              </w:rPr>
            </w:pPr>
          </w:p>
        </w:tc>
        <w:tc>
          <w:tcPr>
            <w:tcW w:w="1276" w:type="dxa"/>
            <w:vMerge w:val="continue"/>
            <w:vAlign w:val="center"/>
          </w:tcPr>
          <w:p>
            <w:pPr>
              <w:spacing w:line="400" w:lineRule="exact"/>
              <w:jc w:val="center"/>
              <w:rPr>
                <w:color w:val="auto"/>
                <w:sz w:val="24"/>
                <w:highlight w:val="none"/>
              </w:rPr>
            </w:pPr>
          </w:p>
        </w:tc>
        <w:tc>
          <w:tcPr>
            <w:tcW w:w="1701" w:type="dxa"/>
            <w:gridSpan w:val="2"/>
            <w:tcBorders>
              <w:top w:val="single" w:color="auto" w:sz="4" w:space="0"/>
              <w:bottom w:val="single" w:color="auto" w:sz="4" w:space="0"/>
            </w:tcBorders>
            <w:vAlign w:val="center"/>
          </w:tcPr>
          <w:p>
            <w:pPr>
              <w:jc w:val="center"/>
              <w:rPr>
                <w:color w:val="auto"/>
                <w:sz w:val="24"/>
                <w:highlight w:val="none"/>
              </w:rPr>
            </w:pPr>
            <w:r>
              <w:rPr>
                <w:rFonts w:hint="eastAsia"/>
                <w:color w:val="auto"/>
                <w:sz w:val="24"/>
                <w:highlight w:val="none"/>
              </w:rPr>
              <w:t>总磷</w:t>
            </w:r>
          </w:p>
        </w:tc>
        <w:tc>
          <w:tcPr>
            <w:tcW w:w="2551" w:type="dxa"/>
            <w:tcBorders>
              <w:top w:val="single" w:color="auto" w:sz="4" w:space="0"/>
              <w:bottom w:val="single" w:color="auto" w:sz="4" w:space="0"/>
            </w:tcBorders>
            <w:vAlign w:val="center"/>
          </w:tcPr>
          <w:p>
            <w:pPr>
              <w:ind w:left="1460" w:leftChars="50" w:hanging="1320" w:hangingChars="550"/>
              <w:jc w:val="center"/>
              <w:rPr>
                <w:color w:val="auto"/>
                <w:sz w:val="24"/>
                <w:highlight w:val="none"/>
              </w:rPr>
            </w:pPr>
            <w:r>
              <w:rPr>
                <w:color w:val="auto"/>
                <w:sz w:val="24"/>
                <w:highlight w:val="none"/>
              </w:rPr>
              <w:t>8.4 mg/L</w:t>
            </w:r>
            <w:r>
              <w:rPr>
                <w:rFonts w:hint="eastAsia"/>
                <w:color w:val="auto"/>
                <w:sz w:val="24"/>
                <w:highlight w:val="none"/>
              </w:rPr>
              <w:t>，</w:t>
            </w:r>
            <w:r>
              <w:rPr>
                <w:color w:val="auto"/>
                <w:sz w:val="24"/>
                <w:highlight w:val="none"/>
              </w:rPr>
              <w:t>0.0005 t/a</w:t>
            </w:r>
          </w:p>
        </w:tc>
        <w:tc>
          <w:tcPr>
            <w:tcW w:w="2562" w:type="dxa"/>
            <w:tcBorders>
              <w:bottom w:val="single" w:color="auto" w:sz="4" w:space="0"/>
            </w:tcBorders>
            <w:vAlign w:val="center"/>
          </w:tcPr>
          <w:p>
            <w:pPr>
              <w:ind w:left="1460" w:leftChars="50" w:hanging="1320" w:hangingChars="550"/>
              <w:jc w:val="center"/>
              <w:rPr>
                <w:color w:val="auto"/>
                <w:sz w:val="24"/>
                <w:highlight w:val="none"/>
              </w:rPr>
            </w:pPr>
            <w:r>
              <w:rPr>
                <w:color w:val="auto"/>
                <w:sz w:val="24"/>
                <w:highlight w:val="none"/>
              </w:rPr>
              <w:t>6.72 mg/L</w:t>
            </w:r>
            <w:r>
              <w:rPr>
                <w:rFonts w:hint="eastAsia"/>
                <w:color w:val="auto"/>
                <w:sz w:val="24"/>
                <w:highlight w:val="none"/>
              </w:rPr>
              <w:t>，</w:t>
            </w:r>
            <w:r>
              <w:rPr>
                <w:color w:val="auto"/>
                <w:sz w:val="24"/>
                <w:highlight w:val="none"/>
              </w:rPr>
              <w:t>0.0004 t/a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3" w:hRule="atLeast"/>
        </w:trPr>
        <w:tc>
          <w:tcPr>
            <w:tcW w:w="817" w:type="dxa"/>
            <w:vMerge w:val="continue"/>
            <w:vAlign w:val="center"/>
          </w:tcPr>
          <w:p>
            <w:pPr>
              <w:spacing w:line="400" w:lineRule="exact"/>
              <w:jc w:val="center"/>
              <w:rPr>
                <w:b/>
                <w:color w:val="auto"/>
                <w:sz w:val="24"/>
                <w:highlight w:val="none"/>
              </w:rPr>
            </w:pPr>
          </w:p>
        </w:tc>
        <w:tc>
          <w:tcPr>
            <w:tcW w:w="1276" w:type="dxa"/>
            <w:vMerge w:val="continue"/>
            <w:tcBorders>
              <w:bottom w:val="single" w:color="auto" w:sz="4" w:space="0"/>
            </w:tcBorders>
            <w:vAlign w:val="center"/>
          </w:tcPr>
          <w:p>
            <w:pPr>
              <w:spacing w:line="400" w:lineRule="exact"/>
              <w:jc w:val="center"/>
              <w:rPr>
                <w:color w:val="auto"/>
                <w:sz w:val="24"/>
                <w:highlight w:val="none"/>
              </w:rPr>
            </w:pPr>
          </w:p>
        </w:tc>
        <w:tc>
          <w:tcPr>
            <w:tcW w:w="1701" w:type="dxa"/>
            <w:gridSpan w:val="2"/>
            <w:tcBorders>
              <w:top w:val="single" w:color="auto" w:sz="4" w:space="0"/>
              <w:bottom w:val="single" w:color="auto" w:sz="4" w:space="0"/>
            </w:tcBorders>
            <w:vAlign w:val="center"/>
          </w:tcPr>
          <w:p>
            <w:pPr>
              <w:jc w:val="center"/>
              <w:rPr>
                <w:color w:val="auto"/>
                <w:sz w:val="24"/>
                <w:highlight w:val="none"/>
              </w:rPr>
            </w:pPr>
            <w:r>
              <w:rPr>
                <w:rFonts w:hint="eastAsia"/>
                <w:color w:val="auto"/>
                <w:sz w:val="24"/>
                <w:highlight w:val="none"/>
              </w:rPr>
              <w:t>总氮</w:t>
            </w:r>
          </w:p>
        </w:tc>
        <w:tc>
          <w:tcPr>
            <w:tcW w:w="2551" w:type="dxa"/>
            <w:tcBorders>
              <w:top w:val="single" w:color="auto" w:sz="4" w:space="0"/>
              <w:bottom w:val="single" w:color="auto" w:sz="4" w:space="0"/>
            </w:tcBorders>
            <w:vAlign w:val="center"/>
          </w:tcPr>
          <w:p>
            <w:pPr>
              <w:ind w:left="1460" w:leftChars="50" w:hanging="1320" w:hangingChars="550"/>
              <w:jc w:val="center"/>
              <w:rPr>
                <w:color w:val="auto"/>
                <w:sz w:val="24"/>
                <w:highlight w:val="none"/>
              </w:rPr>
            </w:pPr>
            <w:r>
              <w:rPr>
                <w:color w:val="auto"/>
                <w:sz w:val="24"/>
                <w:highlight w:val="none"/>
              </w:rPr>
              <w:t>94.4 mg/L</w:t>
            </w:r>
            <w:r>
              <w:rPr>
                <w:rFonts w:hint="eastAsia"/>
                <w:color w:val="auto"/>
                <w:sz w:val="24"/>
                <w:highlight w:val="none"/>
              </w:rPr>
              <w:t>，</w:t>
            </w:r>
            <w:r>
              <w:rPr>
                <w:color w:val="auto"/>
                <w:sz w:val="24"/>
                <w:highlight w:val="none"/>
              </w:rPr>
              <w:t>0.0056 t/a</w:t>
            </w:r>
          </w:p>
        </w:tc>
        <w:tc>
          <w:tcPr>
            <w:tcW w:w="2562" w:type="dxa"/>
            <w:tcBorders>
              <w:bottom w:val="single" w:color="auto" w:sz="4" w:space="0"/>
            </w:tcBorders>
            <w:vAlign w:val="center"/>
          </w:tcPr>
          <w:p>
            <w:pPr>
              <w:ind w:left="1460" w:leftChars="50" w:hanging="1320" w:hangingChars="550"/>
              <w:jc w:val="center"/>
              <w:rPr>
                <w:color w:val="auto"/>
                <w:sz w:val="24"/>
                <w:highlight w:val="none"/>
              </w:rPr>
            </w:pPr>
            <w:r>
              <w:rPr>
                <w:color w:val="auto"/>
                <w:sz w:val="24"/>
                <w:highlight w:val="none"/>
              </w:rPr>
              <w:t>75.52 mg/L</w:t>
            </w:r>
            <w:r>
              <w:rPr>
                <w:rFonts w:hint="eastAsia"/>
                <w:color w:val="auto"/>
                <w:sz w:val="24"/>
                <w:highlight w:val="none"/>
              </w:rPr>
              <w:t>，</w:t>
            </w:r>
            <w:r>
              <w:rPr>
                <w:color w:val="auto"/>
                <w:sz w:val="24"/>
                <w:highlight w:val="none"/>
              </w:rPr>
              <w:t>0.0044 t/a</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0" w:hRule="atLeast"/>
        </w:trPr>
        <w:tc>
          <w:tcPr>
            <w:tcW w:w="817" w:type="dxa"/>
            <w:vMerge w:val="restart"/>
            <w:vAlign w:val="center"/>
          </w:tcPr>
          <w:p>
            <w:pPr>
              <w:spacing w:line="400" w:lineRule="exact"/>
              <w:jc w:val="center"/>
              <w:rPr>
                <w:b/>
                <w:color w:val="auto"/>
                <w:sz w:val="24"/>
                <w:highlight w:val="none"/>
              </w:rPr>
            </w:pPr>
            <w:r>
              <w:rPr>
                <w:b/>
                <w:color w:val="auto"/>
                <w:sz w:val="24"/>
                <w:highlight w:val="none"/>
              </w:rPr>
              <w:t>固</w:t>
            </w:r>
          </w:p>
          <w:p>
            <w:pPr>
              <w:spacing w:line="400" w:lineRule="exact"/>
              <w:jc w:val="center"/>
              <w:rPr>
                <w:b/>
                <w:color w:val="auto"/>
                <w:sz w:val="24"/>
                <w:highlight w:val="none"/>
              </w:rPr>
            </w:pPr>
            <w:r>
              <w:rPr>
                <w:b/>
                <w:color w:val="auto"/>
                <w:sz w:val="24"/>
                <w:highlight w:val="none"/>
              </w:rPr>
              <w:t>体</w:t>
            </w:r>
          </w:p>
          <w:p>
            <w:pPr>
              <w:spacing w:line="400" w:lineRule="exact"/>
              <w:jc w:val="center"/>
              <w:rPr>
                <w:b/>
                <w:color w:val="auto"/>
                <w:sz w:val="24"/>
                <w:highlight w:val="none"/>
              </w:rPr>
            </w:pPr>
            <w:r>
              <w:rPr>
                <w:b/>
                <w:color w:val="auto"/>
                <w:sz w:val="24"/>
                <w:highlight w:val="none"/>
              </w:rPr>
              <w:t>废</w:t>
            </w:r>
          </w:p>
          <w:p>
            <w:pPr>
              <w:spacing w:line="400" w:lineRule="exact"/>
              <w:jc w:val="center"/>
              <w:rPr>
                <w:b/>
                <w:color w:val="auto"/>
                <w:sz w:val="24"/>
                <w:highlight w:val="none"/>
              </w:rPr>
            </w:pPr>
            <w:r>
              <w:rPr>
                <w:b/>
                <w:color w:val="auto"/>
                <w:sz w:val="24"/>
                <w:highlight w:val="none"/>
              </w:rPr>
              <w:t>物</w:t>
            </w:r>
          </w:p>
        </w:tc>
        <w:tc>
          <w:tcPr>
            <w:tcW w:w="1276" w:type="dxa"/>
            <w:vAlign w:val="center"/>
          </w:tcPr>
          <w:p>
            <w:pPr>
              <w:jc w:val="center"/>
              <w:rPr>
                <w:color w:val="auto"/>
                <w:sz w:val="24"/>
                <w:highlight w:val="none"/>
              </w:rPr>
            </w:pPr>
            <w:r>
              <w:rPr>
                <w:rFonts w:hint="eastAsia"/>
                <w:color w:val="auto"/>
                <w:sz w:val="24"/>
                <w:highlight w:val="none"/>
              </w:rPr>
              <w:t>职工生活</w:t>
            </w:r>
          </w:p>
        </w:tc>
        <w:tc>
          <w:tcPr>
            <w:tcW w:w="1701" w:type="dxa"/>
            <w:gridSpan w:val="2"/>
            <w:vAlign w:val="center"/>
          </w:tcPr>
          <w:p>
            <w:pPr>
              <w:jc w:val="center"/>
              <w:rPr>
                <w:color w:val="auto"/>
                <w:sz w:val="24"/>
                <w:highlight w:val="none"/>
              </w:rPr>
            </w:pPr>
            <w:r>
              <w:rPr>
                <w:rFonts w:hint="eastAsia"/>
                <w:color w:val="auto"/>
                <w:sz w:val="24"/>
                <w:highlight w:val="none"/>
              </w:rPr>
              <w:t>生活垃圾</w:t>
            </w:r>
          </w:p>
        </w:tc>
        <w:tc>
          <w:tcPr>
            <w:tcW w:w="2551" w:type="dxa"/>
            <w:shd w:val="clear" w:color="auto" w:fill="auto"/>
            <w:vAlign w:val="center"/>
          </w:tcPr>
          <w:p>
            <w:pPr>
              <w:spacing w:line="280" w:lineRule="exact"/>
              <w:jc w:val="center"/>
              <w:rPr>
                <w:color w:val="auto"/>
                <w:sz w:val="24"/>
                <w:highlight w:val="none"/>
              </w:rPr>
            </w:pPr>
            <w:r>
              <w:rPr>
                <w:color w:val="auto"/>
                <w:sz w:val="24"/>
                <w:highlight w:val="none"/>
              </w:rPr>
              <w:t>1.05t/a</w:t>
            </w:r>
          </w:p>
        </w:tc>
        <w:tc>
          <w:tcPr>
            <w:tcW w:w="2562" w:type="dxa"/>
            <w:vAlign w:val="center"/>
          </w:tcPr>
          <w:p>
            <w:pPr>
              <w:jc w:val="center"/>
              <w:rPr>
                <w:b/>
                <w:bCs/>
                <w:color w:val="auto"/>
                <w:sz w:val="24"/>
                <w:highlight w:val="none"/>
              </w:rPr>
            </w:pPr>
            <w:r>
              <w:rPr>
                <w:color w:val="auto"/>
                <w:sz w:val="24"/>
                <w:highlight w:val="none"/>
              </w:rPr>
              <w:t>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817" w:type="dxa"/>
            <w:vMerge w:val="continue"/>
            <w:vAlign w:val="center"/>
          </w:tcPr>
          <w:p>
            <w:pPr>
              <w:spacing w:line="400" w:lineRule="exact"/>
              <w:jc w:val="center"/>
              <w:rPr>
                <w:b/>
                <w:color w:val="auto"/>
                <w:sz w:val="24"/>
                <w:highlight w:val="none"/>
              </w:rPr>
            </w:pPr>
          </w:p>
        </w:tc>
        <w:tc>
          <w:tcPr>
            <w:tcW w:w="1276" w:type="dxa"/>
            <w:vAlign w:val="center"/>
          </w:tcPr>
          <w:p>
            <w:pPr>
              <w:jc w:val="center"/>
              <w:rPr>
                <w:color w:val="auto"/>
                <w:sz w:val="24"/>
                <w:highlight w:val="none"/>
              </w:rPr>
            </w:pPr>
            <w:r>
              <w:rPr>
                <w:rFonts w:hint="eastAsia"/>
                <w:color w:val="auto"/>
                <w:sz w:val="24"/>
                <w:highlight w:val="none"/>
              </w:rPr>
              <w:t>生产</w:t>
            </w:r>
          </w:p>
        </w:tc>
        <w:tc>
          <w:tcPr>
            <w:tcW w:w="1701" w:type="dxa"/>
            <w:gridSpan w:val="2"/>
            <w:vAlign w:val="center"/>
          </w:tcPr>
          <w:p>
            <w:pPr>
              <w:jc w:val="center"/>
              <w:rPr>
                <w:color w:val="auto"/>
                <w:sz w:val="24"/>
                <w:highlight w:val="none"/>
              </w:rPr>
            </w:pPr>
            <w:r>
              <w:rPr>
                <w:rFonts w:hint="eastAsia"/>
                <w:color w:val="auto"/>
                <w:sz w:val="24"/>
                <w:highlight w:val="none"/>
              </w:rPr>
              <w:t>废纸</w:t>
            </w:r>
          </w:p>
        </w:tc>
        <w:tc>
          <w:tcPr>
            <w:tcW w:w="2551" w:type="dxa"/>
            <w:shd w:val="clear" w:color="auto" w:fill="auto"/>
            <w:vAlign w:val="center"/>
          </w:tcPr>
          <w:p>
            <w:pPr>
              <w:spacing w:line="280" w:lineRule="exact"/>
              <w:jc w:val="center"/>
              <w:rPr>
                <w:color w:val="auto"/>
                <w:sz w:val="24"/>
                <w:highlight w:val="none"/>
              </w:rPr>
            </w:pPr>
            <w:r>
              <w:rPr>
                <w:color w:val="auto"/>
                <w:sz w:val="24"/>
                <w:highlight w:val="none"/>
              </w:rPr>
              <w:t>0.5t/a</w:t>
            </w:r>
          </w:p>
        </w:tc>
        <w:tc>
          <w:tcPr>
            <w:tcW w:w="2562" w:type="dxa"/>
            <w:vAlign w:val="center"/>
          </w:tcPr>
          <w:p>
            <w:pPr>
              <w:jc w:val="center"/>
              <w:rPr>
                <w:color w:val="auto"/>
                <w:sz w:val="24"/>
                <w:highlight w:val="none"/>
              </w:rPr>
            </w:pPr>
            <w:r>
              <w:rPr>
                <w:color w:val="auto"/>
                <w:sz w:val="24"/>
                <w:highlight w:val="none"/>
              </w:rPr>
              <w:t>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817" w:type="dxa"/>
            <w:vMerge w:val="continue"/>
            <w:vAlign w:val="center"/>
          </w:tcPr>
          <w:p>
            <w:pPr>
              <w:spacing w:line="400" w:lineRule="exact"/>
              <w:jc w:val="center"/>
              <w:rPr>
                <w:b/>
                <w:color w:val="auto"/>
                <w:sz w:val="24"/>
                <w:highlight w:val="none"/>
              </w:rPr>
            </w:pPr>
          </w:p>
        </w:tc>
        <w:tc>
          <w:tcPr>
            <w:tcW w:w="1276" w:type="dxa"/>
            <w:vAlign w:val="center"/>
          </w:tcPr>
          <w:p>
            <w:pPr>
              <w:jc w:val="center"/>
              <w:rPr>
                <w:color w:val="auto"/>
                <w:sz w:val="24"/>
                <w:highlight w:val="none"/>
              </w:rPr>
            </w:pPr>
            <w:r>
              <w:rPr>
                <w:rFonts w:hint="eastAsia"/>
                <w:color w:val="auto"/>
                <w:sz w:val="24"/>
                <w:highlight w:val="none"/>
              </w:rPr>
              <w:t>生产</w:t>
            </w:r>
          </w:p>
        </w:tc>
        <w:tc>
          <w:tcPr>
            <w:tcW w:w="1701" w:type="dxa"/>
            <w:gridSpan w:val="2"/>
            <w:vAlign w:val="center"/>
          </w:tcPr>
          <w:p>
            <w:pPr>
              <w:jc w:val="center"/>
              <w:rPr>
                <w:color w:val="auto"/>
                <w:sz w:val="24"/>
                <w:highlight w:val="none"/>
              </w:rPr>
            </w:pPr>
            <w:r>
              <w:rPr>
                <w:rFonts w:hint="eastAsia"/>
                <w:color w:val="auto"/>
                <w:sz w:val="24"/>
                <w:highlight w:val="none"/>
              </w:rPr>
              <w:t>废油墨桶</w:t>
            </w:r>
          </w:p>
        </w:tc>
        <w:tc>
          <w:tcPr>
            <w:tcW w:w="2551" w:type="dxa"/>
            <w:shd w:val="clear" w:color="auto" w:fill="auto"/>
            <w:vAlign w:val="center"/>
          </w:tcPr>
          <w:p>
            <w:pPr>
              <w:spacing w:line="280" w:lineRule="exact"/>
              <w:jc w:val="center"/>
              <w:rPr>
                <w:color w:val="auto"/>
                <w:sz w:val="24"/>
                <w:highlight w:val="none"/>
              </w:rPr>
            </w:pPr>
            <w:r>
              <w:rPr>
                <w:color w:val="auto"/>
                <w:sz w:val="24"/>
                <w:highlight w:val="none"/>
              </w:rPr>
              <w:t>0.02 t/a</w:t>
            </w:r>
          </w:p>
        </w:tc>
        <w:tc>
          <w:tcPr>
            <w:tcW w:w="2562" w:type="dxa"/>
            <w:vAlign w:val="center"/>
          </w:tcPr>
          <w:p>
            <w:pPr>
              <w:jc w:val="center"/>
              <w:rPr>
                <w:color w:val="auto"/>
                <w:sz w:val="24"/>
                <w:highlight w:val="none"/>
              </w:rPr>
            </w:pPr>
            <w:r>
              <w:rPr>
                <w:color w:val="auto"/>
                <w:sz w:val="24"/>
                <w:highlight w:val="none"/>
              </w:rPr>
              <w:t>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817" w:type="dxa"/>
            <w:vMerge w:val="continue"/>
            <w:vAlign w:val="center"/>
          </w:tcPr>
          <w:p>
            <w:pPr>
              <w:spacing w:line="400" w:lineRule="exact"/>
              <w:jc w:val="center"/>
              <w:rPr>
                <w:b/>
                <w:color w:val="auto"/>
                <w:sz w:val="24"/>
                <w:highlight w:val="none"/>
              </w:rPr>
            </w:pPr>
          </w:p>
        </w:tc>
        <w:tc>
          <w:tcPr>
            <w:tcW w:w="1276" w:type="dxa"/>
            <w:vAlign w:val="center"/>
          </w:tcPr>
          <w:p>
            <w:pPr>
              <w:jc w:val="center"/>
              <w:rPr>
                <w:color w:val="auto"/>
                <w:sz w:val="24"/>
                <w:highlight w:val="none"/>
              </w:rPr>
            </w:pPr>
            <w:r>
              <w:rPr>
                <w:rFonts w:hint="eastAsia"/>
                <w:color w:val="auto"/>
                <w:sz w:val="24"/>
                <w:highlight w:val="none"/>
              </w:rPr>
              <w:t>设备养护</w:t>
            </w:r>
          </w:p>
        </w:tc>
        <w:tc>
          <w:tcPr>
            <w:tcW w:w="1701" w:type="dxa"/>
            <w:gridSpan w:val="2"/>
            <w:vAlign w:val="center"/>
          </w:tcPr>
          <w:p>
            <w:pPr>
              <w:jc w:val="center"/>
              <w:rPr>
                <w:color w:val="auto"/>
                <w:sz w:val="24"/>
                <w:highlight w:val="none"/>
              </w:rPr>
            </w:pPr>
            <w:r>
              <w:rPr>
                <w:rFonts w:hint="eastAsia"/>
                <w:color w:val="auto"/>
                <w:sz w:val="24"/>
                <w:highlight w:val="none"/>
              </w:rPr>
              <w:t>废含油抹布</w:t>
            </w:r>
          </w:p>
        </w:tc>
        <w:tc>
          <w:tcPr>
            <w:tcW w:w="2551" w:type="dxa"/>
            <w:shd w:val="clear" w:color="auto" w:fill="auto"/>
            <w:vAlign w:val="center"/>
          </w:tcPr>
          <w:p>
            <w:pPr>
              <w:spacing w:line="280" w:lineRule="exact"/>
              <w:jc w:val="center"/>
              <w:rPr>
                <w:color w:val="auto"/>
                <w:sz w:val="24"/>
                <w:highlight w:val="none"/>
              </w:rPr>
            </w:pPr>
            <w:r>
              <w:rPr>
                <w:color w:val="auto"/>
                <w:sz w:val="24"/>
                <w:highlight w:val="none"/>
              </w:rPr>
              <w:t>0.01 t/a</w:t>
            </w:r>
          </w:p>
        </w:tc>
        <w:tc>
          <w:tcPr>
            <w:tcW w:w="2562" w:type="dxa"/>
            <w:vAlign w:val="center"/>
          </w:tcPr>
          <w:p>
            <w:pPr>
              <w:jc w:val="center"/>
              <w:rPr>
                <w:color w:val="auto"/>
                <w:sz w:val="24"/>
                <w:highlight w:val="none"/>
              </w:rPr>
            </w:pPr>
            <w:r>
              <w:rPr>
                <w:color w:val="auto"/>
                <w:sz w:val="24"/>
                <w:highlight w:val="none"/>
              </w:rPr>
              <w:t>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817" w:type="dxa"/>
            <w:vMerge w:val="continue"/>
            <w:vAlign w:val="center"/>
          </w:tcPr>
          <w:p>
            <w:pPr>
              <w:spacing w:line="400" w:lineRule="exact"/>
              <w:jc w:val="center"/>
              <w:rPr>
                <w:b/>
                <w:color w:val="auto"/>
                <w:sz w:val="24"/>
                <w:highlight w:val="none"/>
              </w:rPr>
            </w:pPr>
          </w:p>
        </w:tc>
        <w:tc>
          <w:tcPr>
            <w:tcW w:w="1276" w:type="dxa"/>
            <w:vAlign w:val="center"/>
          </w:tcPr>
          <w:p>
            <w:pPr>
              <w:jc w:val="center"/>
              <w:rPr>
                <w:color w:val="auto"/>
                <w:sz w:val="24"/>
                <w:highlight w:val="none"/>
              </w:rPr>
            </w:pPr>
            <w:r>
              <w:rPr>
                <w:rFonts w:hint="eastAsia"/>
                <w:color w:val="auto"/>
                <w:sz w:val="24"/>
                <w:highlight w:val="none"/>
              </w:rPr>
              <w:t>设备养护</w:t>
            </w:r>
          </w:p>
        </w:tc>
        <w:tc>
          <w:tcPr>
            <w:tcW w:w="1701" w:type="dxa"/>
            <w:gridSpan w:val="2"/>
            <w:vAlign w:val="center"/>
          </w:tcPr>
          <w:p>
            <w:pPr>
              <w:jc w:val="center"/>
              <w:rPr>
                <w:color w:val="auto"/>
                <w:sz w:val="24"/>
                <w:highlight w:val="none"/>
              </w:rPr>
            </w:pPr>
            <w:r>
              <w:rPr>
                <w:rFonts w:hint="eastAsia"/>
                <w:color w:val="auto"/>
                <w:sz w:val="24"/>
                <w:highlight w:val="none"/>
              </w:rPr>
              <w:t>废机油</w:t>
            </w:r>
          </w:p>
        </w:tc>
        <w:tc>
          <w:tcPr>
            <w:tcW w:w="2551" w:type="dxa"/>
            <w:shd w:val="clear" w:color="auto" w:fill="auto"/>
            <w:vAlign w:val="center"/>
          </w:tcPr>
          <w:p>
            <w:pPr>
              <w:spacing w:line="280" w:lineRule="exact"/>
              <w:jc w:val="center"/>
              <w:rPr>
                <w:color w:val="auto"/>
                <w:sz w:val="24"/>
                <w:highlight w:val="none"/>
              </w:rPr>
            </w:pPr>
            <w:r>
              <w:rPr>
                <w:color w:val="auto"/>
                <w:sz w:val="24"/>
                <w:highlight w:val="none"/>
              </w:rPr>
              <w:t>0.02 t/a</w:t>
            </w:r>
          </w:p>
        </w:tc>
        <w:tc>
          <w:tcPr>
            <w:tcW w:w="2562" w:type="dxa"/>
            <w:vAlign w:val="center"/>
          </w:tcPr>
          <w:p>
            <w:pPr>
              <w:jc w:val="center"/>
              <w:rPr>
                <w:color w:val="auto"/>
                <w:sz w:val="24"/>
                <w:highlight w:val="none"/>
              </w:rPr>
            </w:pPr>
            <w:r>
              <w:rPr>
                <w:color w:val="auto"/>
                <w:sz w:val="24"/>
                <w:highlight w:val="none"/>
              </w:rPr>
              <w:t>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817" w:type="dxa"/>
            <w:vMerge w:val="continue"/>
            <w:vAlign w:val="center"/>
          </w:tcPr>
          <w:p>
            <w:pPr>
              <w:spacing w:line="400" w:lineRule="exact"/>
              <w:jc w:val="center"/>
              <w:rPr>
                <w:b/>
                <w:color w:val="auto"/>
                <w:sz w:val="24"/>
                <w:highlight w:val="none"/>
              </w:rPr>
            </w:pPr>
          </w:p>
        </w:tc>
        <w:tc>
          <w:tcPr>
            <w:tcW w:w="1276" w:type="dxa"/>
            <w:vAlign w:val="center"/>
          </w:tcPr>
          <w:p>
            <w:pPr>
              <w:jc w:val="center"/>
              <w:rPr>
                <w:color w:val="auto"/>
                <w:sz w:val="24"/>
                <w:highlight w:val="none"/>
              </w:rPr>
            </w:pPr>
            <w:r>
              <w:rPr>
                <w:rFonts w:hint="eastAsia"/>
                <w:color w:val="auto"/>
                <w:sz w:val="24"/>
                <w:highlight w:val="none"/>
              </w:rPr>
              <w:t>生产</w:t>
            </w:r>
          </w:p>
        </w:tc>
        <w:tc>
          <w:tcPr>
            <w:tcW w:w="1701" w:type="dxa"/>
            <w:gridSpan w:val="2"/>
            <w:vAlign w:val="center"/>
          </w:tcPr>
          <w:p>
            <w:pPr>
              <w:jc w:val="center"/>
              <w:rPr>
                <w:color w:val="auto"/>
                <w:sz w:val="24"/>
                <w:highlight w:val="none"/>
              </w:rPr>
            </w:pPr>
            <w:r>
              <w:rPr>
                <w:rFonts w:hint="eastAsia"/>
                <w:color w:val="auto"/>
                <w:sz w:val="24"/>
                <w:highlight w:val="none"/>
              </w:rPr>
              <w:t>废洗辊液</w:t>
            </w:r>
          </w:p>
        </w:tc>
        <w:tc>
          <w:tcPr>
            <w:tcW w:w="2551" w:type="dxa"/>
            <w:shd w:val="clear" w:color="auto" w:fill="auto"/>
            <w:vAlign w:val="center"/>
          </w:tcPr>
          <w:p>
            <w:pPr>
              <w:spacing w:line="280" w:lineRule="exact"/>
              <w:jc w:val="center"/>
              <w:rPr>
                <w:color w:val="auto"/>
                <w:sz w:val="24"/>
                <w:highlight w:val="none"/>
              </w:rPr>
            </w:pPr>
          </w:p>
        </w:tc>
        <w:tc>
          <w:tcPr>
            <w:tcW w:w="2562" w:type="dxa"/>
            <w:vAlign w:val="center"/>
          </w:tcPr>
          <w:p>
            <w:pPr>
              <w:jc w:val="center"/>
              <w:rPr>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817" w:type="dxa"/>
            <w:vMerge w:val="continue"/>
            <w:vAlign w:val="center"/>
          </w:tcPr>
          <w:p>
            <w:pPr>
              <w:spacing w:line="400" w:lineRule="exact"/>
              <w:jc w:val="center"/>
              <w:rPr>
                <w:b/>
                <w:color w:val="auto"/>
                <w:sz w:val="24"/>
                <w:highlight w:val="none"/>
              </w:rPr>
            </w:pPr>
          </w:p>
        </w:tc>
        <w:tc>
          <w:tcPr>
            <w:tcW w:w="1276" w:type="dxa"/>
            <w:vAlign w:val="center"/>
          </w:tcPr>
          <w:p>
            <w:pPr>
              <w:jc w:val="center"/>
              <w:rPr>
                <w:color w:val="auto"/>
                <w:sz w:val="24"/>
                <w:highlight w:val="none"/>
              </w:rPr>
            </w:pPr>
            <w:r>
              <w:rPr>
                <w:rFonts w:hint="eastAsia"/>
                <w:color w:val="auto"/>
                <w:sz w:val="24"/>
                <w:highlight w:val="none"/>
              </w:rPr>
              <w:t>废气处理</w:t>
            </w:r>
          </w:p>
        </w:tc>
        <w:tc>
          <w:tcPr>
            <w:tcW w:w="1701" w:type="dxa"/>
            <w:gridSpan w:val="2"/>
            <w:vAlign w:val="center"/>
          </w:tcPr>
          <w:p>
            <w:pPr>
              <w:jc w:val="center"/>
              <w:rPr>
                <w:color w:val="auto"/>
                <w:sz w:val="24"/>
                <w:highlight w:val="none"/>
              </w:rPr>
            </w:pPr>
            <w:r>
              <w:rPr>
                <w:rFonts w:hint="eastAsia"/>
                <w:color w:val="auto"/>
                <w:sz w:val="24"/>
                <w:highlight w:val="none"/>
              </w:rPr>
              <w:t>废活性炭</w:t>
            </w:r>
          </w:p>
        </w:tc>
        <w:tc>
          <w:tcPr>
            <w:tcW w:w="2551" w:type="dxa"/>
            <w:shd w:val="clear" w:color="auto" w:fill="auto"/>
            <w:vAlign w:val="center"/>
          </w:tcPr>
          <w:p>
            <w:pPr>
              <w:spacing w:line="280" w:lineRule="exact"/>
              <w:jc w:val="center"/>
              <w:rPr>
                <w:color w:val="auto"/>
                <w:sz w:val="24"/>
                <w:highlight w:val="none"/>
              </w:rPr>
            </w:pPr>
            <w:r>
              <w:rPr>
                <w:color w:val="auto"/>
                <w:sz w:val="24"/>
                <w:highlight w:val="none"/>
              </w:rPr>
              <w:t>0.024t/a</w:t>
            </w:r>
          </w:p>
        </w:tc>
        <w:tc>
          <w:tcPr>
            <w:tcW w:w="2562" w:type="dxa"/>
            <w:vAlign w:val="center"/>
          </w:tcPr>
          <w:p>
            <w:pPr>
              <w:jc w:val="center"/>
              <w:rPr>
                <w:color w:val="auto"/>
                <w:sz w:val="24"/>
                <w:highlight w:val="none"/>
              </w:rPr>
            </w:pPr>
            <w:r>
              <w:rPr>
                <w:color w:val="auto"/>
                <w:sz w:val="24"/>
                <w:highlight w:val="none"/>
              </w:rPr>
              <w:t>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612" w:hRule="atLeast"/>
        </w:trPr>
        <w:tc>
          <w:tcPr>
            <w:tcW w:w="817" w:type="dxa"/>
            <w:tcBorders>
              <w:top w:val="single" w:color="auto" w:sz="4" w:space="0"/>
              <w:bottom w:val="single" w:color="auto" w:sz="4" w:space="0"/>
            </w:tcBorders>
            <w:vAlign w:val="center"/>
          </w:tcPr>
          <w:p>
            <w:pPr>
              <w:spacing w:line="400" w:lineRule="exact"/>
              <w:jc w:val="center"/>
              <w:rPr>
                <w:b/>
                <w:color w:val="auto"/>
                <w:sz w:val="24"/>
                <w:highlight w:val="none"/>
              </w:rPr>
            </w:pPr>
            <w:r>
              <w:rPr>
                <w:b/>
                <w:color w:val="auto"/>
                <w:sz w:val="24"/>
                <w:highlight w:val="none"/>
              </w:rPr>
              <w:t>噪声</w:t>
            </w:r>
          </w:p>
        </w:tc>
        <w:tc>
          <w:tcPr>
            <w:tcW w:w="8090" w:type="dxa"/>
            <w:gridSpan w:val="5"/>
            <w:tcBorders>
              <w:top w:val="single" w:color="auto" w:sz="4" w:space="0"/>
              <w:bottom w:val="single" w:color="auto" w:sz="4" w:space="0"/>
            </w:tcBorders>
            <w:vAlign w:val="center"/>
          </w:tcPr>
          <w:p>
            <w:pPr>
              <w:spacing w:line="360" w:lineRule="auto"/>
              <w:ind w:firstLine="588" w:firstLineChars="245"/>
              <w:rPr>
                <w:color w:val="auto"/>
                <w:sz w:val="24"/>
                <w:highlight w:val="none"/>
              </w:rPr>
            </w:pPr>
            <w:r>
              <w:rPr>
                <w:rFonts w:hint="eastAsia"/>
                <w:bCs/>
                <w:color w:val="auto"/>
                <w:sz w:val="24"/>
                <w:highlight w:val="none"/>
              </w:rPr>
              <w:t>本次项目噪声源是</w:t>
            </w:r>
            <w:r>
              <w:rPr>
                <w:rFonts w:hint="eastAsia"/>
                <w:color w:val="auto"/>
                <w:sz w:val="24"/>
                <w:highlight w:val="none"/>
              </w:rPr>
              <w:t>印刷机、切纸机等设备工作时产生的噪声，噪声源强约为</w:t>
            </w:r>
            <w:r>
              <w:rPr>
                <w:color w:val="auto"/>
                <w:sz w:val="24"/>
                <w:highlight w:val="none"/>
              </w:rPr>
              <w:t>70</w:t>
            </w:r>
            <w:r>
              <w:rPr>
                <w:rFonts w:hint="eastAsia"/>
                <w:color w:val="auto"/>
                <w:sz w:val="24"/>
                <w:highlight w:val="none"/>
              </w:rPr>
              <w:t>～</w:t>
            </w:r>
            <w:r>
              <w:rPr>
                <w:color w:val="auto"/>
                <w:sz w:val="24"/>
                <w:highlight w:val="none"/>
              </w:rPr>
              <w:t>80dB(A)</w:t>
            </w:r>
            <w:r>
              <w:rPr>
                <w:rFonts w:hint="eastAsia"/>
                <w:color w:val="auto"/>
                <w:sz w:val="24"/>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809" w:hRule="atLeast"/>
        </w:trPr>
        <w:tc>
          <w:tcPr>
            <w:tcW w:w="8907" w:type="dxa"/>
            <w:gridSpan w:val="6"/>
            <w:tcBorders>
              <w:top w:val="single" w:color="auto" w:sz="4" w:space="0"/>
            </w:tcBorders>
            <w:vAlign w:val="center"/>
          </w:tcPr>
          <w:p>
            <w:pPr>
              <w:spacing w:line="400" w:lineRule="exact"/>
              <w:rPr>
                <w:b/>
                <w:color w:val="auto"/>
                <w:sz w:val="24"/>
                <w:highlight w:val="none"/>
              </w:rPr>
            </w:pPr>
            <w:r>
              <w:rPr>
                <w:b/>
                <w:color w:val="auto"/>
                <w:sz w:val="24"/>
                <w:highlight w:val="none"/>
              </w:rPr>
              <w:t>主要生态影响（不够时可附另页）</w:t>
            </w:r>
          </w:p>
          <w:p>
            <w:pPr>
              <w:spacing w:line="360" w:lineRule="auto"/>
              <w:ind w:firstLine="480" w:firstLineChars="200"/>
              <w:jc w:val="left"/>
              <w:rPr>
                <w:color w:val="auto"/>
                <w:sz w:val="24"/>
                <w:highlight w:val="none"/>
              </w:rPr>
            </w:pPr>
            <w:r>
              <w:rPr>
                <w:rFonts w:hint="eastAsia"/>
                <w:color w:val="auto"/>
                <w:sz w:val="24"/>
                <w:highlight w:val="none"/>
              </w:rPr>
              <w:t>本项目租用已建成厂房，不进行土建施工，对生态环境影响较小。</w:t>
            </w:r>
          </w:p>
        </w:tc>
      </w:tr>
    </w:tbl>
    <w:p>
      <w:pPr>
        <w:spacing w:line="400" w:lineRule="exact"/>
        <w:rPr>
          <w:rFonts w:eastAsia="黑体"/>
          <w:color w:val="auto"/>
          <w:highlight w:val="none"/>
        </w:rPr>
        <w:sectPr>
          <w:pgSz w:w="11906" w:h="16838"/>
          <w:pgMar w:top="1440" w:right="1418" w:bottom="873" w:left="1797" w:header="851" w:footer="992" w:gutter="0"/>
          <w:cols w:space="720" w:num="1"/>
          <w:docGrid w:linePitch="381" w:charSpace="0"/>
        </w:sectPr>
      </w:pPr>
    </w:p>
    <w:p>
      <w:pPr>
        <w:spacing w:line="400" w:lineRule="exact"/>
        <w:rPr>
          <w:rFonts w:eastAsia="黑体"/>
          <w:color w:val="auto"/>
          <w:highlight w:val="none"/>
        </w:rPr>
      </w:pPr>
      <w:r>
        <w:rPr>
          <w:rFonts w:eastAsia="黑体"/>
          <w:color w:val="auto"/>
          <w:highlight w:val="none"/>
        </w:rPr>
        <w:t>7环境影响分析</w:t>
      </w:r>
    </w:p>
    <w:tbl>
      <w:tblPr>
        <w:tblStyle w:val="27"/>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89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1594" w:hRule="atLeast"/>
        </w:trPr>
        <w:tc>
          <w:tcPr>
            <w:tcW w:w="8897" w:type="dxa"/>
          </w:tcPr>
          <w:p>
            <w:pPr>
              <w:spacing w:line="360" w:lineRule="auto"/>
              <w:rPr>
                <w:rFonts w:eastAsia="黑体"/>
                <w:bCs/>
                <w:color w:val="auto"/>
                <w:sz w:val="24"/>
                <w:highlight w:val="none"/>
              </w:rPr>
            </w:pPr>
            <w:r>
              <w:rPr>
                <w:rFonts w:eastAsia="黑体"/>
                <w:bCs/>
                <w:color w:val="auto"/>
                <w:sz w:val="24"/>
                <w:highlight w:val="none"/>
              </w:rPr>
              <w:t xml:space="preserve">7.1施工期环境影响分析及污染防治措施 </w:t>
            </w:r>
          </w:p>
          <w:p>
            <w:pPr>
              <w:spacing w:line="360" w:lineRule="auto"/>
              <w:ind w:firstLine="464" w:firstLineChars="200"/>
              <w:rPr>
                <w:color w:val="auto"/>
                <w:spacing w:val="-4"/>
                <w:sz w:val="24"/>
                <w:highlight w:val="none"/>
              </w:rPr>
            </w:pPr>
            <w:r>
              <w:rPr>
                <w:rFonts w:hint="eastAsia"/>
                <w:color w:val="auto"/>
                <w:spacing w:val="-4"/>
                <w:sz w:val="24"/>
                <w:highlight w:val="none"/>
              </w:rPr>
              <w:t>项目已于2012年开始在此生产，施工期早已结束，未遗留施工期环境问题,施工期的环境影响已随之消失，因此本次环评不分析施工期环境影响。</w:t>
            </w:r>
          </w:p>
          <w:p>
            <w:pPr>
              <w:spacing w:line="360" w:lineRule="auto"/>
              <w:rPr>
                <w:rFonts w:eastAsia="黑体"/>
                <w:bCs/>
                <w:color w:val="auto"/>
                <w:sz w:val="24"/>
                <w:highlight w:val="none"/>
              </w:rPr>
            </w:pPr>
            <w:r>
              <w:rPr>
                <w:rFonts w:eastAsia="黑体"/>
                <w:bCs/>
                <w:color w:val="auto"/>
                <w:sz w:val="24"/>
                <w:highlight w:val="none"/>
              </w:rPr>
              <w:t xml:space="preserve">7.2营运期环境影响分析 </w:t>
            </w:r>
          </w:p>
          <w:p>
            <w:pPr>
              <w:spacing w:line="360" w:lineRule="auto"/>
              <w:rPr>
                <w:rFonts w:eastAsia="黑体"/>
                <w:bCs/>
                <w:color w:val="auto"/>
                <w:sz w:val="24"/>
                <w:szCs w:val="28"/>
                <w:highlight w:val="none"/>
              </w:rPr>
            </w:pPr>
            <w:r>
              <w:rPr>
                <w:rFonts w:eastAsia="黑体"/>
                <w:bCs/>
                <w:color w:val="auto"/>
                <w:sz w:val="24"/>
                <w:szCs w:val="28"/>
                <w:highlight w:val="none"/>
              </w:rPr>
              <w:t>7.2.1环境空气影响分析</w:t>
            </w:r>
          </w:p>
          <w:p>
            <w:pPr>
              <w:pageBreakBefore w:val="0"/>
              <w:kinsoku/>
              <w:wordWrap/>
              <w:overflowPunct/>
              <w:topLinePunct w:val="0"/>
              <w:bidi w:val="0"/>
              <w:snapToGrid w:val="0"/>
              <w:spacing w:line="440" w:lineRule="exact"/>
              <w:ind w:firstLine="480" w:firstLineChars="200"/>
              <w:rPr>
                <w:color w:val="auto"/>
                <w:sz w:val="24"/>
                <w:szCs w:val="20"/>
                <w:highlight w:val="none"/>
              </w:rPr>
            </w:pPr>
            <w:r>
              <w:rPr>
                <w:rFonts w:hint="eastAsia"/>
                <w:color w:val="auto"/>
                <w:sz w:val="24"/>
                <w:szCs w:val="20"/>
                <w:highlight w:val="none"/>
              </w:rPr>
              <w:t>1、有组织排放影响分析</w:t>
            </w:r>
          </w:p>
          <w:p>
            <w:pPr>
              <w:pageBreakBefore w:val="0"/>
              <w:kinsoku/>
              <w:wordWrap/>
              <w:overflowPunct/>
              <w:topLinePunct w:val="0"/>
              <w:bidi w:val="0"/>
              <w:snapToGrid w:val="0"/>
              <w:spacing w:line="440" w:lineRule="exact"/>
              <w:ind w:firstLine="480" w:firstLineChars="200"/>
              <w:rPr>
                <w:color w:val="auto"/>
                <w:sz w:val="24"/>
                <w:highlight w:val="none"/>
              </w:rPr>
            </w:pPr>
            <w:r>
              <w:rPr>
                <w:rFonts w:hint="eastAsia"/>
                <w:color w:val="auto"/>
                <w:sz w:val="24"/>
                <w:szCs w:val="20"/>
                <w:highlight w:val="none"/>
              </w:rPr>
              <w:t>项目大气环境影响分析与</w:t>
            </w:r>
            <w:r>
              <w:rPr>
                <w:color w:val="auto"/>
                <w:sz w:val="24"/>
                <w:szCs w:val="20"/>
                <w:highlight w:val="none"/>
              </w:rPr>
              <w:t>评价采用 HJ2.2－20</w:t>
            </w:r>
            <w:r>
              <w:rPr>
                <w:rFonts w:hint="eastAsia"/>
                <w:color w:val="auto"/>
                <w:sz w:val="24"/>
                <w:szCs w:val="20"/>
                <w:highlight w:val="none"/>
              </w:rPr>
              <w:t>18</w:t>
            </w:r>
            <w:r>
              <w:rPr>
                <w:color w:val="auto"/>
                <w:sz w:val="24"/>
                <w:szCs w:val="20"/>
                <w:highlight w:val="none"/>
              </w:rPr>
              <w:t>推荐的</w:t>
            </w:r>
            <w:r>
              <w:rPr>
                <w:rFonts w:hint="eastAsia"/>
                <w:color w:val="auto"/>
                <w:sz w:val="24"/>
                <w:szCs w:val="20"/>
                <w:highlight w:val="none"/>
              </w:rPr>
              <w:t>AER</w:t>
            </w:r>
            <w:r>
              <w:rPr>
                <w:color w:val="auto"/>
                <w:sz w:val="24"/>
                <w:szCs w:val="20"/>
                <w:highlight w:val="none"/>
              </w:rPr>
              <w:t>SCREEN模式计算项目</w:t>
            </w:r>
            <w:r>
              <w:rPr>
                <w:rFonts w:hint="eastAsia"/>
                <w:color w:val="auto"/>
                <w:sz w:val="24"/>
                <w:szCs w:val="20"/>
                <w:highlight w:val="none"/>
              </w:rPr>
              <w:t>有组织</w:t>
            </w:r>
            <w:r>
              <w:rPr>
                <w:color w:val="auto"/>
                <w:sz w:val="24"/>
                <w:szCs w:val="20"/>
                <w:highlight w:val="none"/>
              </w:rPr>
              <w:t>排放废气污染物的</w:t>
            </w:r>
            <w:r>
              <w:rPr>
                <w:rFonts w:hint="eastAsia"/>
                <w:color w:val="auto"/>
                <w:sz w:val="24"/>
                <w:szCs w:val="20"/>
                <w:highlight w:val="none"/>
              </w:rPr>
              <w:t>1小时最大浓度及其占标率和其出现的位置</w:t>
            </w:r>
            <w:r>
              <w:rPr>
                <w:color w:val="auto"/>
                <w:sz w:val="24"/>
                <w:szCs w:val="20"/>
                <w:highlight w:val="none"/>
              </w:rPr>
              <w:t>。</w:t>
            </w:r>
            <w:r>
              <w:rPr>
                <w:rFonts w:hint="eastAsia"/>
                <w:color w:val="auto"/>
                <w:sz w:val="24"/>
                <w:highlight w:val="none"/>
              </w:rPr>
              <w:t>项目大气污染物估算模式参数见表7-1，</w:t>
            </w:r>
            <w:r>
              <w:rPr>
                <w:color w:val="auto"/>
                <w:sz w:val="24"/>
                <w:highlight w:val="none"/>
              </w:rPr>
              <w:t>各污染</w:t>
            </w:r>
            <w:r>
              <w:rPr>
                <w:rFonts w:hint="eastAsia"/>
                <w:color w:val="auto"/>
                <w:sz w:val="24"/>
                <w:highlight w:val="none"/>
              </w:rPr>
              <w:t>源</w:t>
            </w:r>
            <w:r>
              <w:rPr>
                <w:color w:val="auto"/>
                <w:sz w:val="24"/>
                <w:highlight w:val="none"/>
              </w:rPr>
              <w:t>的排放参数见表</w:t>
            </w:r>
            <w:r>
              <w:rPr>
                <w:rFonts w:hint="eastAsia"/>
                <w:color w:val="auto"/>
                <w:sz w:val="24"/>
                <w:highlight w:val="none"/>
              </w:rPr>
              <w:t>7-2</w:t>
            </w:r>
            <w:r>
              <w:rPr>
                <w:color w:val="auto"/>
                <w:sz w:val="24"/>
                <w:highlight w:val="none"/>
              </w:rPr>
              <w:t>，</w:t>
            </w:r>
            <w:r>
              <w:rPr>
                <w:rFonts w:hint="eastAsia"/>
                <w:color w:val="auto"/>
                <w:sz w:val="24"/>
                <w:highlight w:val="none"/>
              </w:rPr>
              <w:t>计算</w:t>
            </w:r>
            <w:r>
              <w:rPr>
                <w:color w:val="auto"/>
                <w:sz w:val="24"/>
                <w:highlight w:val="none"/>
              </w:rPr>
              <w:t>结果见表7</w:t>
            </w:r>
            <w:r>
              <w:rPr>
                <w:rFonts w:hint="eastAsia"/>
                <w:color w:val="auto"/>
                <w:sz w:val="24"/>
                <w:highlight w:val="none"/>
              </w:rPr>
              <w:t>-3</w:t>
            </w:r>
            <w:r>
              <w:rPr>
                <w:color w:val="auto"/>
                <w:sz w:val="24"/>
                <w:highlight w:val="none"/>
              </w:rPr>
              <w:t>。</w:t>
            </w:r>
          </w:p>
          <w:p>
            <w:pPr>
              <w:pageBreakBefore w:val="0"/>
              <w:kinsoku/>
              <w:wordWrap/>
              <w:overflowPunct/>
              <w:topLinePunct w:val="0"/>
              <w:bidi w:val="0"/>
              <w:snapToGrid w:val="0"/>
              <w:spacing w:line="360" w:lineRule="auto"/>
              <w:ind w:firstLine="482"/>
              <w:jc w:val="center"/>
              <w:rPr>
                <w:rFonts w:eastAsia="黑体"/>
                <w:color w:val="auto"/>
                <w:sz w:val="24"/>
                <w:highlight w:val="none"/>
              </w:rPr>
            </w:pPr>
            <w:r>
              <w:rPr>
                <w:rFonts w:eastAsia="黑体"/>
                <w:color w:val="auto"/>
                <w:sz w:val="24"/>
                <w:highlight w:val="none"/>
              </w:rPr>
              <w:t>表7</w:t>
            </w:r>
            <w:r>
              <w:rPr>
                <w:rFonts w:hint="eastAsia" w:eastAsia="黑体"/>
                <w:color w:val="auto"/>
                <w:sz w:val="24"/>
                <w:highlight w:val="none"/>
              </w:rPr>
              <w:t>-1</w:t>
            </w:r>
            <w:r>
              <w:rPr>
                <w:rFonts w:eastAsia="黑体"/>
                <w:color w:val="auto"/>
                <w:sz w:val="24"/>
                <w:highlight w:val="none"/>
              </w:rPr>
              <w:t xml:space="preserve">  大气污染物</w:t>
            </w:r>
            <w:r>
              <w:rPr>
                <w:rFonts w:hint="eastAsia" w:eastAsia="黑体"/>
                <w:color w:val="auto"/>
                <w:sz w:val="24"/>
                <w:highlight w:val="none"/>
              </w:rPr>
              <w:t>估算模型</w:t>
            </w:r>
            <w:r>
              <w:rPr>
                <w:rFonts w:eastAsia="黑体"/>
                <w:color w:val="auto"/>
                <w:sz w:val="24"/>
                <w:highlight w:val="none"/>
              </w:rPr>
              <w:t>参数</w:t>
            </w:r>
            <w:r>
              <w:rPr>
                <w:rFonts w:hint="eastAsia" w:eastAsia="黑体"/>
                <w:color w:val="auto"/>
                <w:sz w:val="24"/>
                <w:highlight w:val="none"/>
              </w:rPr>
              <w:t>表</w:t>
            </w:r>
          </w:p>
          <w:tbl>
            <w:tblPr>
              <w:tblStyle w:val="27"/>
              <w:tblW w:w="408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2512"/>
              <w:gridCol w:w="27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79"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参数</w:t>
                  </w:r>
                </w:p>
              </w:tc>
              <w:tc>
                <w:tcPr>
                  <w:tcW w:w="279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取值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67" w:type="dxa"/>
                  <w:vMerge w:val="restart"/>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城市/农村选项</w:t>
                  </w:r>
                </w:p>
              </w:tc>
              <w:tc>
                <w:tcPr>
                  <w:tcW w:w="2512"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城市/农村</w:t>
                  </w:r>
                </w:p>
              </w:tc>
              <w:tc>
                <w:tcPr>
                  <w:tcW w:w="279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城市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67"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p>
              </w:tc>
              <w:tc>
                <w:tcPr>
                  <w:tcW w:w="2512"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人口数（城市选项时）</w:t>
                  </w:r>
                </w:p>
              </w:tc>
              <w:tc>
                <w:tcPr>
                  <w:tcW w:w="279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79"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最高环境温度/℃</w:t>
                  </w:r>
                </w:p>
              </w:tc>
              <w:tc>
                <w:tcPr>
                  <w:tcW w:w="279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41.7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79"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最低环境温度/℃</w:t>
                  </w:r>
                </w:p>
              </w:tc>
              <w:tc>
                <w:tcPr>
                  <w:tcW w:w="279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-20.6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79"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土地利用类型</w:t>
                  </w:r>
                </w:p>
              </w:tc>
              <w:tc>
                <w:tcPr>
                  <w:tcW w:w="279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城市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79" w:type="dxa"/>
                  <w:gridSpan w:val="2"/>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区域湿度条件</w:t>
                  </w:r>
                </w:p>
              </w:tc>
              <w:tc>
                <w:tcPr>
                  <w:tcW w:w="279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中等湿度气候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67" w:type="dxa"/>
                  <w:vMerge w:val="restart"/>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是否考虑地形</w:t>
                  </w:r>
                </w:p>
              </w:tc>
              <w:tc>
                <w:tcPr>
                  <w:tcW w:w="2512"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考虑地形</w:t>
                  </w:r>
                </w:p>
              </w:tc>
              <w:tc>
                <w:tcPr>
                  <w:tcW w:w="279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67"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p>
              </w:tc>
              <w:tc>
                <w:tcPr>
                  <w:tcW w:w="2512"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地形数据分辨率/m</w:t>
                  </w:r>
                </w:p>
              </w:tc>
              <w:tc>
                <w:tcPr>
                  <w:tcW w:w="279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67" w:type="dxa"/>
                  <w:vMerge w:val="restart"/>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是否考虑安闲熏烟</w:t>
                  </w:r>
                </w:p>
              </w:tc>
              <w:tc>
                <w:tcPr>
                  <w:tcW w:w="2512"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考虑岸线熏烟</w:t>
                  </w:r>
                </w:p>
              </w:tc>
              <w:tc>
                <w:tcPr>
                  <w:tcW w:w="279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67"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p>
              </w:tc>
              <w:tc>
                <w:tcPr>
                  <w:tcW w:w="2512"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岸线距离/m</w:t>
                  </w:r>
                </w:p>
              </w:tc>
              <w:tc>
                <w:tcPr>
                  <w:tcW w:w="279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67"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p>
              </w:tc>
              <w:tc>
                <w:tcPr>
                  <w:tcW w:w="2512"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岸线方向/ °</w:t>
                  </w:r>
                </w:p>
              </w:tc>
              <w:tc>
                <w:tcPr>
                  <w:tcW w:w="279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w:t>
                  </w:r>
                </w:p>
              </w:tc>
            </w:tr>
          </w:tbl>
          <w:p>
            <w:pPr>
              <w:pageBreakBefore w:val="0"/>
              <w:kinsoku/>
              <w:wordWrap/>
              <w:overflowPunct/>
              <w:topLinePunct w:val="0"/>
              <w:bidi w:val="0"/>
              <w:snapToGrid w:val="0"/>
              <w:spacing w:line="360" w:lineRule="auto"/>
              <w:ind w:firstLine="482"/>
              <w:jc w:val="center"/>
              <w:rPr>
                <w:rFonts w:eastAsia="黑体"/>
                <w:color w:val="auto"/>
                <w:sz w:val="24"/>
                <w:highlight w:val="none"/>
              </w:rPr>
            </w:pPr>
          </w:p>
          <w:p>
            <w:pPr>
              <w:pageBreakBefore w:val="0"/>
              <w:kinsoku/>
              <w:wordWrap/>
              <w:overflowPunct/>
              <w:topLinePunct w:val="0"/>
              <w:bidi w:val="0"/>
              <w:snapToGrid w:val="0"/>
              <w:spacing w:line="360" w:lineRule="auto"/>
              <w:ind w:firstLine="482"/>
              <w:jc w:val="center"/>
              <w:rPr>
                <w:rFonts w:eastAsia="黑体"/>
                <w:color w:val="auto"/>
                <w:sz w:val="24"/>
                <w:highlight w:val="none"/>
              </w:rPr>
            </w:pPr>
            <w:r>
              <w:rPr>
                <w:rFonts w:eastAsia="黑体"/>
                <w:color w:val="auto"/>
                <w:sz w:val="24"/>
                <w:highlight w:val="none"/>
              </w:rPr>
              <w:t>表</w:t>
            </w:r>
            <w:r>
              <w:rPr>
                <w:rFonts w:hint="eastAsia" w:eastAsia="黑体"/>
                <w:color w:val="auto"/>
                <w:sz w:val="24"/>
                <w:highlight w:val="none"/>
              </w:rPr>
              <w:t>7-2</w:t>
            </w:r>
            <w:r>
              <w:rPr>
                <w:rFonts w:eastAsia="黑体"/>
                <w:color w:val="auto"/>
                <w:sz w:val="24"/>
                <w:highlight w:val="none"/>
              </w:rPr>
              <w:t xml:space="preserve">  大气污染物</w:t>
            </w:r>
            <w:r>
              <w:rPr>
                <w:rFonts w:hint="eastAsia" w:eastAsia="黑体"/>
                <w:color w:val="auto"/>
                <w:sz w:val="24"/>
                <w:highlight w:val="none"/>
              </w:rPr>
              <w:t>有组织</w:t>
            </w:r>
            <w:r>
              <w:rPr>
                <w:rFonts w:eastAsia="黑体"/>
                <w:color w:val="auto"/>
                <w:sz w:val="24"/>
                <w:highlight w:val="none"/>
              </w:rPr>
              <w:t>排放</w:t>
            </w:r>
            <w:r>
              <w:rPr>
                <w:rFonts w:hint="eastAsia" w:eastAsia="黑体"/>
                <w:color w:val="auto"/>
                <w:sz w:val="24"/>
                <w:highlight w:val="none"/>
              </w:rPr>
              <w:t>计算</w:t>
            </w:r>
            <w:r>
              <w:rPr>
                <w:rFonts w:eastAsia="黑体"/>
                <w:color w:val="auto"/>
                <w:sz w:val="24"/>
                <w:highlight w:val="none"/>
              </w:rPr>
              <w:t>参数</w:t>
            </w:r>
          </w:p>
          <w:tbl>
            <w:tblPr>
              <w:tblStyle w:val="27"/>
              <w:tblW w:w="41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6"/>
              <w:gridCol w:w="3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781" w:type="dxa"/>
                  <w:tcBorders>
                    <w:top w:val="single" w:color="auto" w:sz="12" w:space="0"/>
                    <w:left w:val="single" w:color="auto" w:sz="12" w:space="0"/>
                  </w:tcBorders>
                  <w:vAlign w:val="center"/>
                </w:tcPr>
                <w:p>
                  <w:pPr>
                    <w:pageBreakBefore w:val="0"/>
                    <w:kinsoku/>
                    <w:wordWrap/>
                    <w:overflowPunct/>
                    <w:topLinePunct w:val="0"/>
                    <w:bidi w:val="0"/>
                    <w:snapToGrid w:val="0"/>
                    <w:jc w:val="center"/>
                    <w:rPr>
                      <w:color w:val="auto"/>
                      <w:sz w:val="21"/>
                      <w:szCs w:val="21"/>
                      <w:highlight w:val="none"/>
                    </w:rPr>
                  </w:pPr>
                  <w:r>
                    <w:rPr>
                      <w:color w:val="auto"/>
                      <w:sz w:val="21"/>
                      <w:szCs w:val="21"/>
                      <w:highlight w:val="none"/>
                    </w:rPr>
                    <w:t>污染源</w:t>
                  </w:r>
                </w:p>
              </w:tc>
              <w:tc>
                <w:tcPr>
                  <w:tcW w:w="3412" w:type="dxa"/>
                  <w:tcBorders>
                    <w:top w:val="single" w:color="auto" w:sz="12" w:space="0"/>
                    <w:left w:val="single" w:color="auto" w:sz="4" w:space="0"/>
                    <w:right w:val="single" w:color="auto" w:sz="6" w:space="0"/>
                  </w:tcBorders>
                  <w:vAlign w:val="center"/>
                </w:tcPr>
                <w:p>
                  <w:pPr>
                    <w:pageBreakBefore w:val="0"/>
                    <w:kinsoku/>
                    <w:wordWrap/>
                    <w:overflowPunct/>
                    <w:topLinePunct w:val="0"/>
                    <w:bidi w:val="0"/>
                    <w:snapToGrid w:val="0"/>
                    <w:jc w:val="center"/>
                    <w:rPr>
                      <w:color w:val="auto"/>
                      <w:sz w:val="21"/>
                      <w:szCs w:val="21"/>
                      <w:highlight w:val="none"/>
                    </w:rPr>
                  </w:pPr>
                  <w:r>
                    <w:rPr>
                      <w:rFonts w:hint="eastAsia"/>
                      <w:color w:val="auto"/>
                      <w:sz w:val="21"/>
                      <w:szCs w:val="21"/>
                      <w:highlight w:val="none"/>
                    </w:rPr>
                    <w:t>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781" w:type="dxa"/>
                  <w:tcBorders>
                    <w:left w:val="single" w:color="auto" w:sz="12" w:space="0"/>
                  </w:tcBorders>
                  <w:vAlign w:val="center"/>
                </w:tcPr>
                <w:p>
                  <w:pPr>
                    <w:pageBreakBefore w:val="0"/>
                    <w:kinsoku/>
                    <w:wordWrap/>
                    <w:overflowPunct/>
                    <w:topLinePunct w:val="0"/>
                    <w:bidi w:val="0"/>
                    <w:snapToGrid w:val="0"/>
                    <w:jc w:val="center"/>
                    <w:rPr>
                      <w:color w:val="auto"/>
                      <w:sz w:val="21"/>
                      <w:szCs w:val="21"/>
                      <w:highlight w:val="none"/>
                    </w:rPr>
                  </w:pPr>
                  <w:r>
                    <w:rPr>
                      <w:color w:val="auto"/>
                      <w:sz w:val="21"/>
                      <w:szCs w:val="21"/>
                      <w:highlight w:val="none"/>
                    </w:rPr>
                    <w:t>参数名称</w:t>
                  </w:r>
                </w:p>
              </w:tc>
              <w:tc>
                <w:tcPr>
                  <w:tcW w:w="3412" w:type="dxa"/>
                  <w:tcBorders>
                    <w:right w:val="single" w:color="auto" w:sz="6" w:space="0"/>
                  </w:tcBorders>
                  <w:vAlign w:val="center"/>
                </w:tcPr>
                <w:p>
                  <w:pPr>
                    <w:pageBreakBefore w:val="0"/>
                    <w:kinsoku/>
                    <w:wordWrap/>
                    <w:overflowPunct/>
                    <w:topLinePunct w:val="0"/>
                    <w:bidi w:val="0"/>
                    <w:snapToGrid w:val="0"/>
                    <w:jc w:val="center"/>
                    <w:rPr>
                      <w:color w:val="auto"/>
                      <w:sz w:val="21"/>
                      <w:szCs w:val="21"/>
                      <w:highlight w:val="none"/>
                    </w:rPr>
                  </w:pPr>
                  <w:r>
                    <w:rPr>
                      <w:rFonts w:hint="eastAsia"/>
                      <w:color w:val="auto"/>
                      <w:sz w:val="21"/>
                      <w:szCs w:val="21"/>
                      <w:highlight w:val="none"/>
                    </w:rPr>
                    <w:t>VOCs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781" w:type="dxa"/>
                  <w:tcBorders>
                    <w:left w:val="single" w:color="auto" w:sz="12" w:space="0"/>
                  </w:tcBorders>
                  <w:vAlign w:val="center"/>
                </w:tcPr>
                <w:p>
                  <w:pPr>
                    <w:pageBreakBefore w:val="0"/>
                    <w:kinsoku/>
                    <w:wordWrap/>
                    <w:overflowPunct/>
                    <w:topLinePunct w:val="0"/>
                    <w:bidi w:val="0"/>
                    <w:snapToGrid w:val="0"/>
                    <w:jc w:val="center"/>
                    <w:rPr>
                      <w:color w:val="auto"/>
                      <w:sz w:val="21"/>
                      <w:szCs w:val="21"/>
                      <w:highlight w:val="none"/>
                    </w:rPr>
                  </w:pPr>
                  <w:r>
                    <w:rPr>
                      <w:color w:val="auto"/>
                      <w:sz w:val="21"/>
                      <w:szCs w:val="21"/>
                      <w:highlight w:val="none"/>
                    </w:rPr>
                    <w:t>污染源类型</w:t>
                  </w:r>
                </w:p>
              </w:tc>
              <w:tc>
                <w:tcPr>
                  <w:tcW w:w="3412" w:type="dxa"/>
                  <w:tcBorders>
                    <w:left w:val="single" w:color="auto" w:sz="4" w:space="0"/>
                    <w:right w:val="single" w:color="auto" w:sz="6" w:space="0"/>
                  </w:tcBorders>
                  <w:vAlign w:val="center"/>
                </w:tcPr>
                <w:p>
                  <w:pPr>
                    <w:pageBreakBefore w:val="0"/>
                    <w:kinsoku/>
                    <w:wordWrap/>
                    <w:overflowPunct/>
                    <w:topLinePunct w:val="0"/>
                    <w:bidi w:val="0"/>
                    <w:snapToGrid w:val="0"/>
                    <w:jc w:val="center"/>
                    <w:rPr>
                      <w:color w:val="auto"/>
                      <w:sz w:val="21"/>
                      <w:szCs w:val="21"/>
                      <w:highlight w:val="none"/>
                    </w:rPr>
                  </w:pPr>
                  <w:r>
                    <w:rPr>
                      <w:color w:val="auto"/>
                      <w:sz w:val="21"/>
                      <w:szCs w:val="21"/>
                      <w:highlight w:val="none"/>
                    </w:rPr>
                    <w:t>点源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781" w:type="dxa"/>
                  <w:tcBorders>
                    <w:left w:val="single" w:color="auto" w:sz="12" w:space="0"/>
                  </w:tcBorders>
                  <w:vAlign w:val="center"/>
                </w:tcPr>
                <w:p>
                  <w:pPr>
                    <w:pageBreakBefore w:val="0"/>
                    <w:kinsoku/>
                    <w:wordWrap/>
                    <w:overflowPunct/>
                    <w:topLinePunct w:val="0"/>
                    <w:bidi w:val="0"/>
                    <w:snapToGrid w:val="0"/>
                    <w:jc w:val="center"/>
                    <w:rPr>
                      <w:color w:val="auto"/>
                      <w:sz w:val="21"/>
                      <w:szCs w:val="21"/>
                      <w:highlight w:val="none"/>
                    </w:rPr>
                  </w:pPr>
                  <w:r>
                    <w:rPr>
                      <w:color w:val="auto"/>
                      <w:sz w:val="21"/>
                      <w:szCs w:val="21"/>
                      <w:highlight w:val="none"/>
                    </w:rPr>
                    <w:t>烟囱高度(m)</w:t>
                  </w:r>
                </w:p>
              </w:tc>
              <w:tc>
                <w:tcPr>
                  <w:tcW w:w="3412" w:type="dxa"/>
                  <w:tcBorders>
                    <w:left w:val="single" w:color="auto" w:sz="4" w:space="0"/>
                    <w:right w:val="single" w:color="auto" w:sz="6" w:space="0"/>
                  </w:tcBorders>
                  <w:vAlign w:val="center"/>
                </w:tcPr>
                <w:p>
                  <w:pPr>
                    <w:pageBreakBefore w:val="0"/>
                    <w:kinsoku/>
                    <w:wordWrap/>
                    <w:overflowPunct/>
                    <w:topLinePunct w:val="0"/>
                    <w:bidi w:val="0"/>
                    <w:snapToGrid w:val="0"/>
                    <w:jc w:val="center"/>
                    <w:rPr>
                      <w:color w:val="auto"/>
                      <w:sz w:val="21"/>
                      <w:szCs w:val="21"/>
                      <w:highlight w:val="none"/>
                    </w:rPr>
                  </w:pPr>
                  <w:r>
                    <w:rPr>
                      <w:rFonts w:hint="eastAsia"/>
                      <w:color w:val="auto"/>
                      <w:sz w:val="21"/>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781" w:type="dxa"/>
                  <w:tcBorders>
                    <w:left w:val="single" w:color="auto" w:sz="12" w:space="0"/>
                  </w:tcBorders>
                  <w:vAlign w:val="center"/>
                </w:tcPr>
                <w:p>
                  <w:pPr>
                    <w:pageBreakBefore w:val="0"/>
                    <w:kinsoku/>
                    <w:wordWrap/>
                    <w:overflowPunct/>
                    <w:topLinePunct w:val="0"/>
                    <w:bidi w:val="0"/>
                    <w:snapToGrid w:val="0"/>
                    <w:jc w:val="center"/>
                    <w:rPr>
                      <w:color w:val="auto"/>
                      <w:sz w:val="21"/>
                      <w:szCs w:val="21"/>
                      <w:highlight w:val="none"/>
                    </w:rPr>
                  </w:pPr>
                  <w:r>
                    <w:rPr>
                      <w:color w:val="auto"/>
                      <w:sz w:val="21"/>
                      <w:szCs w:val="21"/>
                      <w:highlight w:val="none"/>
                    </w:rPr>
                    <w:t>烟囱出口内径(m)</w:t>
                  </w:r>
                </w:p>
              </w:tc>
              <w:tc>
                <w:tcPr>
                  <w:tcW w:w="3412" w:type="dxa"/>
                  <w:tcBorders>
                    <w:left w:val="single" w:color="auto" w:sz="4" w:space="0"/>
                    <w:right w:val="single" w:color="auto" w:sz="6" w:space="0"/>
                  </w:tcBorders>
                  <w:vAlign w:val="center"/>
                </w:tcPr>
                <w:p>
                  <w:pPr>
                    <w:pageBreakBefore w:val="0"/>
                    <w:kinsoku/>
                    <w:wordWrap/>
                    <w:overflowPunct/>
                    <w:topLinePunct w:val="0"/>
                    <w:bidi w:val="0"/>
                    <w:snapToGrid w:val="0"/>
                    <w:jc w:val="center"/>
                    <w:rPr>
                      <w:color w:val="auto"/>
                      <w:sz w:val="21"/>
                      <w:szCs w:val="21"/>
                      <w:highlight w:val="none"/>
                    </w:rPr>
                  </w:pPr>
                  <w:r>
                    <w:rPr>
                      <w:color w:val="auto"/>
                      <w:sz w:val="21"/>
                      <w:szCs w:val="21"/>
                      <w:highlight w:val="none"/>
                    </w:rPr>
                    <w:t>0.</w:t>
                  </w:r>
                  <w:r>
                    <w:rPr>
                      <w:rFonts w:hint="eastAsia"/>
                      <w:color w:val="auto"/>
                      <w:sz w:val="21"/>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781" w:type="dxa"/>
                  <w:tcBorders>
                    <w:left w:val="single" w:color="auto" w:sz="12" w:space="0"/>
                  </w:tcBorders>
                  <w:vAlign w:val="center"/>
                </w:tcPr>
                <w:p>
                  <w:pPr>
                    <w:pageBreakBefore w:val="0"/>
                    <w:kinsoku/>
                    <w:wordWrap/>
                    <w:overflowPunct/>
                    <w:topLinePunct w:val="0"/>
                    <w:bidi w:val="0"/>
                    <w:snapToGrid w:val="0"/>
                    <w:jc w:val="center"/>
                    <w:rPr>
                      <w:color w:val="auto"/>
                      <w:sz w:val="21"/>
                      <w:szCs w:val="21"/>
                      <w:highlight w:val="none"/>
                    </w:rPr>
                  </w:pPr>
                  <w:r>
                    <w:rPr>
                      <w:color w:val="auto"/>
                      <w:sz w:val="21"/>
                      <w:szCs w:val="21"/>
                      <w:highlight w:val="none"/>
                    </w:rPr>
                    <w:t>烟气流</w:t>
                  </w:r>
                  <w:r>
                    <w:rPr>
                      <w:rFonts w:hint="eastAsia"/>
                      <w:color w:val="auto"/>
                      <w:sz w:val="21"/>
                      <w:szCs w:val="21"/>
                      <w:highlight w:val="none"/>
                    </w:rPr>
                    <w:t>量</w:t>
                  </w:r>
                  <w:r>
                    <w:rPr>
                      <w:color w:val="auto"/>
                      <w:sz w:val="21"/>
                      <w:szCs w:val="21"/>
                      <w:highlight w:val="none"/>
                    </w:rPr>
                    <w:t>(m</w:t>
                  </w:r>
                  <w:r>
                    <w:rPr>
                      <w:rFonts w:hint="eastAsia"/>
                      <w:color w:val="auto"/>
                      <w:sz w:val="21"/>
                      <w:szCs w:val="21"/>
                      <w:highlight w:val="none"/>
                      <w:vertAlign w:val="superscript"/>
                    </w:rPr>
                    <w:t>3</w:t>
                  </w:r>
                  <w:r>
                    <w:rPr>
                      <w:color w:val="auto"/>
                      <w:sz w:val="21"/>
                      <w:szCs w:val="21"/>
                      <w:highlight w:val="none"/>
                    </w:rPr>
                    <w:t>/</w:t>
                  </w:r>
                  <w:r>
                    <w:rPr>
                      <w:rFonts w:hint="eastAsia"/>
                      <w:color w:val="auto"/>
                      <w:sz w:val="21"/>
                      <w:szCs w:val="21"/>
                      <w:highlight w:val="none"/>
                    </w:rPr>
                    <w:t>h</w:t>
                  </w:r>
                  <w:r>
                    <w:rPr>
                      <w:color w:val="auto"/>
                      <w:sz w:val="21"/>
                      <w:szCs w:val="21"/>
                      <w:highlight w:val="none"/>
                    </w:rPr>
                    <w:t>)</w:t>
                  </w:r>
                </w:p>
              </w:tc>
              <w:tc>
                <w:tcPr>
                  <w:tcW w:w="3412" w:type="dxa"/>
                  <w:tcBorders>
                    <w:left w:val="single" w:color="auto" w:sz="4" w:space="0"/>
                    <w:right w:val="single" w:color="auto" w:sz="6" w:space="0"/>
                  </w:tcBorders>
                  <w:vAlign w:val="center"/>
                </w:tcPr>
                <w:p>
                  <w:pPr>
                    <w:pageBreakBefore w:val="0"/>
                    <w:kinsoku/>
                    <w:wordWrap/>
                    <w:overflowPunct/>
                    <w:topLinePunct w:val="0"/>
                    <w:bidi w:val="0"/>
                    <w:snapToGrid w:val="0"/>
                    <w:jc w:val="center"/>
                    <w:rPr>
                      <w:color w:val="auto"/>
                      <w:sz w:val="21"/>
                      <w:szCs w:val="21"/>
                      <w:highlight w:val="none"/>
                    </w:rPr>
                  </w:pPr>
                  <w:r>
                    <w:rPr>
                      <w:rFonts w:hint="eastAsia"/>
                      <w:color w:val="auto"/>
                      <w:sz w:val="21"/>
                      <w:szCs w:val="21"/>
                      <w:highlight w:val="none"/>
                    </w:rPr>
                    <w:t>13200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781" w:type="dxa"/>
                  <w:tcBorders>
                    <w:left w:val="single" w:color="auto" w:sz="12" w:space="0"/>
                  </w:tcBorders>
                  <w:vAlign w:val="center"/>
                </w:tcPr>
                <w:p>
                  <w:pPr>
                    <w:pageBreakBefore w:val="0"/>
                    <w:kinsoku/>
                    <w:wordWrap/>
                    <w:overflowPunct/>
                    <w:topLinePunct w:val="0"/>
                    <w:bidi w:val="0"/>
                    <w:snapToGrid w:val="0"/>
                    <w:jc w:val="center"/>
                    <w:rPr>
                      <w:color w:val="auto"/>
                      <w:sz w:val="21"/>
                      <w:szCs w:val="21"/>
                      <w:highlight w:val="none"/>
                    </w:rPr>
                  </w:pPr>
                  <w:r>
                    <w:rPr>
                      <w:color w:val="auto"/>
                      <w:sz w:val="21"/>
                      <w:szCs w:val="21"/>
                      <w:highlight w:val="none"/>
                    </w:rPr>
                    <w:t>烟气温度(</w:t>
                  </w:r>
                  <w:r>
                    <w:rPr>
                      <w:rFonts w:hint="eastAsia" w:ascii="宋体" w:hAnsi="宋体" w:cs="宋体"/>
                      <w:color w:val="auto"/>
                      <w:sz w:val="21"/>
                      <w:szCs w:val="21"/>
                      <w:highlight w:val="none"/>
                    </w:rPr>
                    <w:t>℃</w:t>
                  </w:r>
                  <w:r>
                    <w:rPr>
                      <w:color w:val="auto"/>
                      <w:sz w:val="21"/>
                      <w:szCs w:val="21"/>
                      <w:highlight w:val="none"/>
                    </w:rPr>
                    <w:t>)</w:t>
                  </w:r>
                </w:p>
              </w:tc>
              <w:tc>
                <w:tcPr>
                  <w:tcW w:w="3412" w:type="dxa"/>
                  <w:tcBorders>
                    <w:left w:val="single" w:color="auto" w:sz="4" w:space="0"/>
                    <w:right w:val="single" w:color="auto" w:sz="6" w:space="0"/>
                  </w:tcBorders>
                  <w:vAlign w:val="center"/>
                </w:tcPr>
                <w:p>
                  <w:pPr>
                    <w:pageBreakBefore w:val="0"/>
                    <w:kinsoku/>
                    <w:wordWrap/>
                    <w:overflowPunct/>
                    <w:topLinePunct w:val="0"/>
                    <w:bidi w:val="0"/>
                    <w:snapToGrid w:val="0"/>
                    <w:jc w:val="center"/>
                    <w:rPr>
                      <w:color w:val="auto"/>
                      <w:sz w:val="21"/>
                      <w:szCs w:val="21"/>
                      <w:highlight w:val="none"/>
                    </w:rPr>
                  </w:pPr>
                  <w:r>
                    <w:rPr>
                      <w:rFonts w:hint="eastAsia"/>
                      <w:color w:val="auto"/>
                      <w:sz w:val="21"/>
                      <w:szCs w:val="21"/>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781" w:type="dxa"/>
                  <w:tcBorders>
                    <w:left w:val="single" w:color="auto" w:sz="12" w:space="0"/>
                  </w:tcBorders>
                  <w:vAlign w:val="center"/>
                </w:tcPr>
                <w:p>
                  <w:pPr>
                    <w:pageBreakBefore w:val="0"/>
                    <w:kinsoku/>
                    <w:wordWrap/>
                    <w:overflowPunct/>
                    <w:topLinePunct w:val="0"/>
                    <w:bidi w:val="0"/>
                    <w:snapToGrid w:val="0"/>
                    <w:jc w:val="center"/>
                    <w:rPr>
                      <w:color w:val="auto"/>
                      <w:sz w:val="21"/>
                      <w:szCs w:val="21"/>
                      <w:highlight w:val="none"/>
                    </w:rPr>
                  </w:pPr>
                  <w:r>
                    <w:rPr>
                      <w:color w:val="auto"/>
                      <w:sz w:val="21"/>
                      <w:szCs w:val="21"/>
                      <w:highlight w:val="none"/>
                    </w:rPr>
                    <w:t>排放速率(kg/h)</w:t>
                  </w:r>
                </w:p>
              </w:tc>
              <w:tc>
                <w:tcPr>
                  <w:tcW w:w="3412" w:type="dxa"/>
                  <w:vAlign w:val="center"/>
                </w:tcPr>
                <w:p>
                  <w:pPr>
                    <w:pageBreakBefore w:val="0"/>
                    <w:kinsoku/>
                    <w:wordWrap/>
                    <w:overflowPunct/>
                    <w:topLinePunct w:val="0"/>
                    <w:bidi w:val="0"/>
                    <w:snapToGrid w:val="0"/>
                    <w:jc w:val="center"/>
                    <w:rPr>
                      <w:color w:val="auto"/>
                      <w:sz w:val="21"/>
                      <w:szCs w:val="21"/>
                      <w:highlight w:val="none"/>
                    </w:rPr>
                  </w:pPr>
                  <w:r>
                    <w:rPr>
                      <w:rFonts w:hint="eastAsia"/>
                      <w:bCs/>
                      <w:color w:val="auto"/>
                      <w:sz w:val="21"/>
                      <w:szCs w:val="21"/>
                      <w:highlight w:val="none"/>
                    </w:rPr>
                    <w:t>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781" w:type="dxa"/>
                  <w:tcBorders>
                    <w:left w:val="single" w:color="auto" w:sz="12" w:space="0"/>
                    <w:bottom w:val="single" w:color="auto" w:sz="12" w:space="0"/>
                  </w:tcBorders>
                  <w:vAlign w:val="center"/>
                </w:tcPr>
                <w:p>
                  <w:pPr>
                    <w:pageBreakBefore w:val="0"/>
                    <w:kinsoku/>
                    <w:wordWrap/>
                    <w:overflowPunct/>
                    <w:topLinePunct w:val="0"/>
                    <w:bidi w:val="0"/>
                    <w:snapToGrid w:val="0"/>
                    <w:jc w:val="center"/>
                    <w:rPr>
                      <w:color w:val="auto"/>
                      <w:sz w:val="21"/>
                      <w:szCs w:val="21"/>
                      <w:highlight w:val="none"/>
                    </w:rPr>
                  </w:pPr>
                  <w:r>
                    <w:rPr>
                      <w:color w:val="auto"/>
                      <w:sz w:val="21"/>
                      <w:szCs w:val="21"/>
                      <w:highlight w:val="none"/>
                    </w:rPr>
                    <w:t>环境标准（mg/m</w:t>
                  </w:r>
                  <w:r>
                    <w:rPr>
                      <w:color w:val="auto"/>
                      <w:sz w:val="21"/>
                      <w:szCs w:val="21"/>
                      <w:highlight w:val="none"/>
                      <w:vertAlign w:val="superscript"/>
                    </w:rPr>
                    <w:t>3</w:t>
                  </w:r>
                  <w:r>
                    <w:rPr>
                      <w:color w:val="auto"/>
                      <w:sz w:val="21"/>
                      <w:szCs w:val="21"/>
                      <w:highlight w:val="none"/>
                    </w:rPr>
                    <w:t>）</w:t>
                  </w:r>
                </w:p>
              </w:tc>
              <w:tc>
                <w:tcPr>
                  <w:tcW w:w="3412" w:type="dxa"/>
                  <w:tcBorders>
                    <w:bottom w:val="single" w:color="auto" w:sz="12" w:space="0"/>
                  </w:tcBorders>
                  <w:vAlign w:val="center"/>
                </w:tcPr>
                <w:p>
                  <w:pPr>
                    <w:pageBreakBefore w:val="0"/>
                    <w:kinsoku/>
                    <w:wordWrap/>
                    <w:overflowPunct/>
                    <w:topLinePunct w:val="0"/>
                    <w:bidi w:val="0"/>
                    <w:snapToGrid w:val="0"/>
                    <w:jc w:val="center"/>
                    <w:rPr>
                      <w:color w:val="auto"/>
                      <w:sz w:val="21"/>
                      <w:szCs w:val="21"/>
                      <w:highlight w:val="none"/>
                    </w:rPr>
                  </w:pPr>
                  <w:r>
                    <w:rPr>
                      <w:rFonts w:hint="eastAsia"/>
                      <w:color w:val="auto"/>
                      <w:sz w:val="21"/>
                      <w:szCs w:val="21"/>
                      <w:highlight w:val="none"/>
                    </w:rPr>
                    <w:t>2.0</w:t>
                  </w:r>
                </w:p>
              </w:tc>
            </w:tr>
          </w:tbl>
          <w:p>
            <w:pPr>
              <w:pageBreakBefore w:val="0"/>
              <w:kinsoku/>
              <w:wordWrap/>
              <w:overflowPunct/>
              <w:topLinePunct w:val="0"/>
              <w:bidi w:val="0"/>
              <w:snapToGrid w:val="0"/>
              <w:rPr>
                <w:b/>
                <w:color w:val="auto"/>
                <w:sz w:val="21"/>
                <w:szCs w:val="21"/>
                <w:highlight w:val="none"/>
              </w:rPr>
            </w:pPr>
          </w:p>
          <w:p>
            <w:pPr>
              <w:pageBreakBefore w:val="0"/>
              <w:kinsoku/>
              <w:wordWrap/>
              <w:overflowPunct/>
              <w:topLinePunct w:val="0"/>
              <w:bidi w:val="0"/>
              <w:snapToGrid w:val="0"/>
              <w:spacing w:line="360" w:lineRule="auto"/>
              <w:ind w:firstLine="482"/>
              <w:jc w:val="center"/>
              <w:rPr>
                <w:rFonts w:eastAsia="黑体"/>
                <w:color w:val="auto"/>
                <w:sz w:val="24"/>
                <w:highlight w:val="none"/>
              </w:rPr>
            </w:pPr>
            <w:r>
              <w:rPr>
                <w:rFonts w:eastAsia="黑体"/>
                <w:color w:val="auto"/>
                <w:sz w:val="24"/>
                <w:highlight w:val="none"/>
              </w:rPr>
              <w:t>表</w:t>
            </w:r>
            <w:r>
              <w:rPr>
                <w:rFonts w:hint="eastAsia" w:eastAsia="黑体"/>
                <w:color w:val="auto"/>
                <w:sz w:val="24"/>
                <w:highlight w:val="none"/>
              </w:rPr>
              <w:t>7-3</w:t>
            </w:r>
            <w:r>
              <w:rPr>
                <w:rFonts w:eastAsia="黑体"/>
                <w:color w:val="auto"/>
                <w:sz w:val="24"/>
                <w:highlight w:val="none"/>
              </w:rPr>
              <w:t xml:space="preserve">  </w:t>
            </w:r>
            <w:r>
              <w:rPr>
                <w:rFonts w:hint="eastAsia"/>
                <w:color w:val="auto"/>
                <w:sz w:val="24"/>
                <w:highlight w:val="none"/>
              </w:rPr>
              <w:t>VOCs</w:t>
            </w:r>
            <w:r>
              <w:rPr>
                <w:rFonts w:hint="eastAsia" w:eastAsia="黑体"/>
                <w:color w:val="auto"/>
                <w:sz w:val="24"/>
                <w:highlight w:val="none"/>
              </w:rPr>
              <w:t>有组织排放</w:t>
            </w:r>
            <w:r>
              <w:rPr>
                <w:rFonts w:eastAsia="黑体"/>
                <w:color w:val="auto"/>
                <w:sz w:val="24"/>
                <w:highlight w:val="none"/>
              </w:rPr>
              <w:t>估算模式计算结果</w:t>
            </w:r>
          </w:p>
          <w:tbl>
            <w:tblPr>
              <w:tblStyle w:val="27"/>
              <w:tblW w:w="422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557"/>
              <w:gridCol w:w="1979"/>
              <w:gridCol w:w="27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vMerge w:val="restart"/>
                  <w:vAlign w:val="center"/>
                </w:tcPr>
                <w:p>
                  <w:pPr>
                    <w:pageBreakBefore w:val="0"/>
                    <w:widowControl/>
                    <w:kinsoku/>
                    <w:wordWrap/>
                    <w:overflowPunct/>
                    <w:topLinePunct w:val="0"/>
                    <w:bidi w:val="0"/>
                    <w:snapToGrid w:val="0"/>
                    <w:jc w:val="center"/>
                    <w:rPr>
                      <w:color w:val="auto"/>
                      <w:kern w:val="0"/>
                      <w:sz w:val="21"/>
                      <w:szCs w:val="21"/>
                      <w:highlight w:val="none"/>
                    </w:rPr>
                  </w:pPr>
                  <w:r>
                    <w:rPr>
                      <w:color w:val="auto"/>
                      <w:kern w:val="0"/>
                      <w:sz w:val="21"/>
                      <w:szCs w:val="21"/>
                      <w:highlight w:val="none"/>
                    </w:rPr>
                    <w:t>距源中心下风向距离(m)</w:t>
                  </w:r>
                </w:p>
              </w:tc>
              <w:tc>
                <w:tcPr>
                  <w:tcW w:w="4744" w:type="dxa"/>
                  <w:gridSpan w:val="2"/>
                  <w:vAlign w:val="center"/>
                </w:tcPr>
                <w:p>
                  <w:pPr>
                    <w:pageBreakBefore w:val="0"/>
                    <w:kinsoku/>
                    <w:wordWrap/>
                    <w:overflowPunct/>
                    <w:topLinePunct w:val="0"/>
                    <w:bidi w:val="0"/>
                    <w:snapToGrid w:val="0"/>
                    <w:jc w:val="center"/>
                    <w:rPr>
                      <w:color w:val="auto"/>
                      <w:sz w:val="21"/>
                      <w:szCs w:val="21"/>
                      <w:highlight w:val="none"/>
                    </w:rPr>
                  </w:pPr>
                  <w:r>
                    <w:rPr>
                      <w:rFonts w:hint="eastAsia"/>
                      <w:color w:val="auto"/>
                      <w:sz w:val="21"/>
                      <w:szCs w:val="21"/>
                      <w:highlight w:val="none"/>
                    </w:rPr>
                    <w:t>VOCs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vMerge w:val="continue"/>
                  <w:vAlign w:val="center"/>
                </w:tcPr>
                <w:p>
                  <w:pPr>
                    <w:pageBreakBefore w:val="0"/>
                    <w:widowControl/>
                    <w:kinsoku/>
                    <w:wordWrap/>
                    <w:overflowPunct/>
                    <w:topLinePunct w:val="0"/>
                    <w:bidi w:val="0"/>
                    <w:snapToGrid w:val="0"/>
                    <w:jc w:val="center"/>
                    <w:rPr>
                      <w:color w:val="auto"/>
                      <w:kern w:val="0"/>
                      <w:sz w:val="21"/>
                      <w:szCs w:val="21"/>
                      <w:highlight w:val="none"/>
                    </w:rPr>
                  </w:pPr>
                </w:p>
              </w:tc>
              <w:tc>
                <w:tcPr>
                  <w:tcW w:w="1979" w:type="dxa"/>
                  <w:vAlign w:val="center"/>
                </w:tcPr>
                <w:p>
                  <w:pPr>
                    <w:pageBreakBefore w:val="0"/>
                    <w:kinsoku/>
                    <w:wordWrap/>
                    <w:overflowPunct/>
                    <w:topLinePunct w:val="0"/>
                    <w:bidi w:val="0"/>
                    <w:snapToGrid w:val="0"/>
                    <w:jc w:val="center"/>
                    <w:rPr>
                      <w:color w:val="auto"/>
                      <w:kern w:val="0"/>
                      <w:sz w:val="21"/>
                      <w:szCs w:val="21"/>
                      <w:highlight w:val="none"/>
                    </w:rPr>
                  </w:pPr>
                  <w:r>
                    <w:rPr>
                      <w:rFonts w:hint="eastAsia"/>
                      <w:color w:val="auto"/>
                      <w:kern w:val="0"/>
                      <w:sz w:val="21"/>
                      <w:szCs w:val="21"/>
                      <w:highlight w:val="none"/>
                    </w:rPr>
                    <w:t>1小时最大浓度</w:t>
                  </w:r>
                  <w:r>
                    <w:rPr>
                      <w:color w:val="auto"/>
                      <w:kern w:val="0"/>
                      <w:sz w:val="21"/>
                      <w:szCs w:val="21"/>
                      <w:highlight w:val="none"/>
                    </w:rPr>
                    <w:t>（mg/m</w:t>
                  </w:r>
                  <w:r>
                    <w:rPr>
                      <w:color w:val="auto"/>
                      <w:kern w:val="0"/>
                      <w:sz w:val="21"/>
                      <w:szCs w:val="21"/>
                      <w:highlight w:val="none"/>
                      <w:vertAlign w:val="superscript"/>
                    </w:rPr>
                    <w:t>3</w:t>
                  </w:r>
                  <w:r>
                    <w:rPr>
                      <w:color w:val="auto"/>
                      <w:kern w:val="0"/>
                      <w:sz w:val="21"/>
                      <w:szCs w:val="21"/>
                      <w:highlight w:val="none"/>
                    </w:rPr>
                    <w:t>）</w:t>
                  </w:r>
                </w:p>
              </w:tc>
              <w:tc>
                <w:tcPr>
                  <w:tcW w:w="2765" w:type="dxa"/>
                  <w:vAlign w:val="center"/>
                </w:tcPr>
                <w:p>
                  <w:pPr>
                    <w:pageBreakBefore w:val="0"/>
                    <w:kinsoku/>
                    <w:wordWrap/>
                    <w:overflowPunct/>
                    <w:topLinePunct w:val="0"/>
                    <w:bidi w:val="0"/>
                    <w:snapToGrid w:val="0"/>
                    <w:jc w:val="center"/>
                    <w:rPr>
                      <w:color w:val="auto"/>
                      <w:kern w:val="0"/>
                      <w:sz w:val="21"/>
                      <w:szCs w:val="21"/>
                      <w:highlight w:val="none"/>
                    </w:rPr>
                  </w:pPr>
                  <w:r>
                    <w:rPr>
                      <w:rFonts w:hint="eastAsia"/>
                      <w:color w:val="auto"/>
                      <w:kern w:val="0"/>
                      <w:sz w:val="21"/>
                      <w:szCs w:val="21"/>
                      <w:highlight w:val="none"/>
                    </w:rPr>
                    <w:t>1小时最大浓度</w:t>
                  </w:r>
                  <w:r>
                    <w:rPr>
                      <w:color w:val="auto"/>
                      <w:kern w:val="0"/>
                      <w:sz w:val="21"/>
                      <w:szCs w:val="21"/>
                      <w:highlight w:val="none"/>
                    </w:rPr>
                    <w:t>占标率</w:t>
                  </w:r>
                  <w:r>
                    <w:rPr>
                      <w:rFonts w:hint="eastAsia"/>
                      <w:color w:val="auto"/>
                      <w:kern w:val="0"/>
                      <w:sz w:val="21"/>
                      <w:szCs w:val="21"/>
                      <w:highlight w:val="none"/>
                    </w:rPr>
                    <w:t>（</w:t>
                  </w:r>
                  <w:r>
                    <w:rPr>
                      <w:color w:val="auto"/>
                      <w:kern w:val="0"/>
                      <w:sz w:val="21"/>
                      <w:szCs w:val="21"/>
                      <w:highlight w:val="none"/>
                    </w:rPr>
                    <w:t>%</w:t>
                  </w:r>
                  <w:r>
                    <w:rPr>
                      <w:rFonts w:hint="eastAsia"/>
                      <w:color w:val="auto"/>
                      <w:kern w:val="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10</w:t>
                  </w:r>
                </w:p>
              </w:tc>
              <w:tc>
                <w:tcPr>
                  <w:tcW w:w="1979"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0.0001 </w:t>
                  </w:r>
                </w:p>
              </w:tc>
              <w:tc>
                <w:tcPr>
                  <w:tcW w:w="2765"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25</w:t>
                  </w:r>
                </w:p>
              </w:tc>
              <w:tc>
                <w:tcPr>
                  <w:tcW w:w="1979"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0.0004 </w:t>
                  </w:r>
                </w:p>
              </w:tc>
              <w:tc>
                <w:tcPr>
                  <w:tcW w:w="2765"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tcBorders>
                    <w:bottom w:val="single" w:color="auto" w:sz="4" w:space="0"/>
                  </w:tcBorders>
                  <w:shd w:val="clear" w:color="auto" w:fill="92D050"/>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33</w:t>
                  </w:r>
                </w:p>
              </w:tc>
              <w:tc>
                <w:tcPr>
                  <w:tcW w:w="1979" w:type="dxa"/>
                  <w:tcBorders>
                    <w:bottom w:val="single" w:color="auto" w:sz="4" w:space="0"/>
                  </w:tcBorders>
                  <w:shd w:val="clear" w:color="auto" w:fill="92D050"/>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0.0006 </w:t>
                  </w:r>
                </w:p>
              </w:tc>
              <w:tc>
                <w:tcPr>
                  <w:tcW w:w="2765" w:type="dxa"/>
                  <w:tcBorders>
                    <w:bottom w:val="single" w:color="auto" w:sz="4" w:space="0"/>
                  </w:tcBorders>
                  <w:shd w:val="clear" w:color="auto" w:fill="92D050"/>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tcBorders>
                    <w:top w:val="single" w:color="auto" w:sz="4" w:space="0"/>
                    <w:bottom w:val="single" w:color="auto" w:sz="4" w:space="0"/>
                  </w:tcBorders>
                  <w:shd w:val="clear" w:color="auto" w:fill="auto"/>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50</w:t>
                  </w:r>
                </w:p>
              </w:tc>
              <w:tc>
                <w:tcPr>
                  <w:tcW w:w="1979" w:type="dxa"/>
                  <w:tcBorders>
                    <w:top w:val="single" w:color="auto" w:sz="4" w:space="0"/>
                    <w:bottom w:val="single" w:color="auto" w:sz="4" w:space="0"/>
                  </w:tcBorders>
                  <w:shd w:val="clear" w:color="auto" w:fill="auto"/>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0.0005 </w:t>
                  </w:r>
                </w:p>
              </w:tc>
              <w:tc>
                <w:tcPr>
                  <w:tcW w:w="2765" w:type="dxa"/>
                  <w:tcBorders>
                    <w:top w:val="single" w:color="auto" w:sz="4" w:space="0"/>
                    <w:bottom w:val="single" w:color="auto" w:sz="4" w:space="0"/>
                  </w:tcBorders>
                  <w:shd w:val="clear" w:color="auto" w:fill="auto"/>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tcBorders>
                    <w:top w:val="single" w:color="auto" w:sz="4" w:space="0"/>
                  </w:tcBorders>
                  <w:shd w:val="clear" w:color="auto" w:fill="auto"/>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75</w:t>
                  </w:r>
                </w:p>
              </w:tc>
              <w:tc>
                <w:tcPr>
                  <w:tcW w:w="1979" w:type="dxa"/>
                  <w:tcBorders>
                    <w:top w:val="single" w:color="auto" w:sz="4" w:space="0"/>
                  </w:tcBorders>
                  <w:shd w:val="clear" w:color="auto" w:fill="auto"/>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0.0003 </w:t>
                  </w:r>
                </w:p>
              </w:tc>
              <w:tc>
                <w:tcPr>
                  <w:tcW w:w="2765" w:type="dxa"/>
                  <w:tcBorders>
                    <w:top w:val="single" w:color="auto" w:sz="4" w:space="0"/>
                  </w:tcBorders>
                  <w:shd w:val="clear" w:color="auto" w:fill="auto"/>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shd w:val="clear" w:color="auto" w:fill="auto"/>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100</w:t>
                  </w:r>
                </w:p>
              </w:tc>
              <w:tc>
                <w:tcPr>
                  <w:tcW w:w="1979" w:type="dxa"/>
                  <w:shd w:val="clear" w:color="auto" w:fill="auto"/>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0.0002 </w:t>
                  </w:r>
                </w:p>
              </w:tc>
              <w:tc>
                <w:tcPr>
                  <w:tcW w:w="2765" w:type="dxa"/>
                  <w:shd w:val="clear" w:color="auto" w:fill="auto"/>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125</w:t>
                  </w:r>
                </w:p>
              </w:tc>
              <w:tc>
                <w:tcPr>
                  <w:tcW w:w="1979"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0.0001 </w:t>
                  </w:r>
                </w:p>
              </w:tc>
              <w:tc>
                <w:tcPr>
                  <w:tcW w:w="2765"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150</w:t>
                  </w:r>
                </w:p>
              </w:tc>
              <w:tc>
                <w:tcPr>
                  <w:tcW w:w="1979"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0.0001 </w:t>
                  </w:r>
                </w:p>
              </w:tc>
              <w:tc>
                <w:tcPr>
                  <w:tcW w:w="2765"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175</w:t>
                  </w:r>
                </w:p>
              </w:tc>
              <w:tc>
                <w:tcPr>
                  <w:tcW w:w="1979"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0.0001 </w:t>
                  </w:r>
                </w:p>
              </w:tc>
              <w:tc>
                <w:tcPr>
                  <w:tcW w:w="2765"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200</w:t>
                  </w:r>
                </w:p>
              </w:tc>
              <w:tc>
                <w:tcPr>
                  <w:tcW w:w="1979"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0.0001 </w:t>
                  </w:r>
                </w:p>
              </w:tc>
              <w:tc>
                <w:tcPr>
                  <w:tcW w:w="2765"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225</w:t>
                  </w:r>
                </w:p>
              </w:tc>
              <w:tc>
                <w:tcPr>
                  <w:tcW w:w="1979"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0.0001 </w:t>
                  </w:r>
                </w:p>
              </w:tc>
              <w:tc>
                <w:tcPr>
                  <w:tcW w:w="2765"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250</w:t>
                  </w:r>
                </w:p>
              </w:tc>
              <w:tc>
                <w:tcPr>
                  <w:tcW w:w="1979"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0.0000 </w:t>
                  </w:r>
                </w:p>
              </w:tc>
              <w:tc>
                <w:tcPr>
                  <w:tcW w:w="2765"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275</w:t>
                  </w:r>
                </w:p>
              </w:tc>
              <w:tc>
                <w:tcPr>
                  <w:tcW w:w="1979"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0.0000 </w:t>
                  </w:r>
                </w:p>
              </w:tc>
              <w:tc>
                <w:tcPr>
                  <w:tcW w:w="2765"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300</w:t>
                  </w:r>
                </w:p>
              </w:tc>
              <w:tc>
                <w:tcPr>
                  <w:tcW w:w="1979"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0.0000 </w:t>
                  </w:r>
                </w:p>
              </w:tc>
              <w:tc>
                <w:tcPr>
                  <w:tcW w:w="2765"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325</w:t>
                  </w:r>
                </w:p>
              </w:tc>
              <w:tc>
                <w:tcPr>
                  <w:tcW w:w="1979"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0.0000 </w:t>
                  </w:r>
                </w:p>
              </w:tc>
              <w:tc>
                <w:tcPr>
                  <w:tcW w:w="2765"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350</w:t>
                  </w:r>
                </w:p>
              </w:tc>
              <w:tc>
                <w:tcPr>
                  <w:tcW w:w="1979"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0.0000 </w:t>
                  </w:r>
                </w:p>
              </w:tc>
              <w:tc>
                <w:tcPr>
                  <w:tcW w:w="2765"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375</w:t>
                  </w:r>
                </w:p>
              </w:tc>
              <w:tc>
                <w:tcPr>
                  <w:tcW w:w="1979"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0.0000 </w:t>
                  </w:r>
                </w:p>
              </w:tc>
              <w:tc>
                <w:tcPr>
                  <w:tcW w:w="2765"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400</w:t>
                  </w:r>
                </w:p>
              </w:tc>
              <w:tc>
                <w:tcPr>
                  <w:tcW w:w="1979"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0.0000 </w:t>
                  </w:r>
                </w:p>
              </w:tc>
              <w:tc>
                <w:tcPr>
                  <w:tcW w:w="2765"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425</w:t>
                  </w:r>
                </w:p>
              </w:tc>
              <w:tc>
                <w:tcPr>
                  <w:tcW w:w="1979"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0.0000 </w:t>
                  </w:r>
                </w:p>
              </w:tc>
              <w:tc>
                <w:tcPr>
                  <w:tcW w:w="2765"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450</w:t>
                  </w:r>
                </w:p>
              </w:tc>
              <w:tc>
                <w:tcPr>
                  <w:tcW w:w="1979"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0.0000 </w:t>
                  </w:r>
                </w:p>
              </w:tc>
              <w:tc>
                <w:tcPr>
                  <w:tcW w:w="2765"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475</w:t>
                  </w:r>
                </w:p>
              </w:tc>
              <w:tc>
                <w:tcPr>
                  <w:tcW w:w="1979"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0.0000 </w:t>
                  </w:r>
                </w:p>
              </w:tc>
              <w:tc>
                <w:tcPr>
                  <w:tcW w:w="2765"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500</w:t>
                  </w:r>
                </w:p>
              </w:tc>
              <w:tc>
                <w:tcPr>
                  <w:tcW w:w="1979"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0.0000 </w:t>
                  </w:r>
                </w:p>
              </w:tc>
              <w:tc>
                <w:tcPr>
                  <w:tcW w:w="2765"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w:t>
                  </w:r>
                </w:p>
              </w:tc>
            </w:tr>
          </w:tbl>
          <w:p>
            <w:pPr>
              <w:pageBreakBefore w:val="0"/>
              <w:kinsoku/>
              <w:wordWrap/>
              <w:overflowPunct/>
              <w:topLinePunct w:val="0"/>
              <w:autoSpaceDE w:val="0"/>
              <w:autoSpaceDN w:val="0"/>
              <w:bidi w:val="0"/>
              <w:adjustRightInd w:val="0"/>
              <w:snapToGrid w:val="0"/>
              <w:spacing w:line="360" w:lineRule="auto"/>
              <w:ind w:firstLine="470" w:firstLineChars="196"/>
              <w:jc w:val="left"/>
              <w:rPr>
                <w:rFonts w:eastAsia="黑体"/>
                <w:bCs/>
                <w:color w:val="auto"/>
                <w:sz w:val="24"/>
                <w:szCs w:val="28"/>
                <w:highlight w:val="none"/>
              </w:rPr>
            </w:pPr>
          </w:p>
          <w:p>
            <w:pPr>
              <w:pageBreakBefore w:val="0"/>
              <w:kinsoku/>
              <w:wordWrap/>
              <w:overflowPunct/>
              <w:topLinePunct w:val="0"/>
              <w:bidi w:val="0"/>
              <w:snapToGrid w:val="0"/>
              <w:spacing w:line="360" w:lineRule="auto"/>
              <w:ind w:firstLine="480"/>
              <w:rPr>
                <w:color w:val="auto"/>
                <w:sz w:val="24"/>
                <w:highlight w:val="none"/>
              </w:rPr>
            </w:pPr>
            <w:r>
              <w:rPr>
                <w:rFonts w:hint="eastAsia"/>
                <w:color w:val="auto"/>
                <w:sz w:val="24"/>
                <w:highlight w:val="none"/>
              </w:rPr>
              <w:t>由表</w:t>
            </w:r>
            <w:r>
              <w:rPr>
                <w:color w:val="auto"/>
                <w:sz w:val="24"/>
                <w:highlight w:val="none"/>
              </w:rPr>
              <w:t>7-3</w:t>
            </w:r>
            <w:r>
              <w:rPr>
                <w:rFonts w:hint="eastAsia"/>
                <w:color w:val="auto"/>
                <w:sz w:val="24"/>
                <w:highlight w:val="none"/>
              </w:rPr>
              <w:t>可以看出</w:t>
            </w:r>
            <w:r>
              <w:rPr>
                <w:color w:val="auto"/>
                <w:sz w:val="24"/>
                <w:highlight w:val="none"/>
              </w:rPr>
              <w:t>VOCs1</w:t>
            </w:r>
            <w:r>
              <w:rPr>
                <w:rFonts w:hint="eastAsia"/>
                <w:color w:val="auto"/>
                <w:sz w:val="24"/>
                <w:highlight w:val="none"/>
              </w:rPr>
              <w:t>小时最大落地浓度值出现在下风向33</w:t>
            </w:r>
            <w:r>
              <w:rPr>
                <w:color w:val="auto"/>
                <w:sz w:val="24"/>
                <w:highlight w:val="none"/>
              </w:rPr>
              <w:t>m</w:t>
            </w:r>
            <w:r>
              <w:rPr>
                <w:rFonts w:hint="eastAsia"/>
                <w:color w:val="auto"/>
                <w:sz w:val="24"/>
                <w:highlight w:val="none"/>
              </w:rPr>
              <w:t>处，最大地面浓度占标率分别为</w:t>
            </w:r>
            <w:r>
              <w:rPr>
                <w:color w:val="auto"/>
                <w:sz w:val="24"/>
                <w:highlight w:val="none"/>
              </w:rPr>
              <w:t>0.0</w:t>
            </w:r>
            <w:r>
              <w:rPr>
                <w:rFonts w:hint="eastAsia"/>
                <w:color w:val="auto"/>
                <w:sz w:val="24"/>
                <w:highlight w:val="none"/>
              </w:rPr>
              <w:t>3</w:t>
            </w:r>
            <w:r>
              <w:rPr>
                <w:color w:val="auto"/>
                <w:sz w:val="24"/>
                <w:highlight w:val="none"/>
              </w:rPr>
              <w:t>%</w:t>
            </w:r>
            <w:r>
              <w:rPr>
                <w:rFonts w:hint="eastAsia"/>
                <w:color w:val="auto"/>
                <w:sz w:val="24"/>
                <w:highlight w:val="none"/>
              </w:rPr>
              <w:t>，</w:t>
            </w:r>
            <w:r>
              <w:rPr>
                <w:color w:val="auto"/>
                <w:sz w:val="24"/>
                <w:highlight w:val="none"/>
              </w:rPr>
              <w:t>1</w:t>
            </w:r>
            <w:r>
              <w:rPr>
                <w:rFonts w:hint="eastAsia"/>
                <w:color w:val="auto"/>
                <w:sz w:val="24"/>
                <w:highlight w:val="none"/>
              </w:rPr>
              <w:t>小时最大落地浓度分别为</w:t>
            </w:r>
            <w:r>
              <w:rPr>
                <w:color w:val="auto"/>
                <w:sz w:val="24"/>
                <w:highlight w:val="none"/>
              </w:rPr>
              <w:t>0.000</w:t>
            </w:r>
            <w:r>
              <w:rPr>
                <w:rFonts w:hint="eastAsia"/>
                <w:color w:val="auto"/>
                <w:sz w:val="24"/>
                <w:highlight w:val="none"/>
              </w:rPr>
              <w:t>6</w:t>
            </w:r>
            <w:r>
              <w:rPr>
                <w:color w:val="auto"/>
                <w:sz w:val="24"/>
                <w:highlight w:val="none"/>
              </w:rPr>
              <w:t>mg/m</w:t>
            </w:r>
            <w:r>
              <w:rPr>
                <w:color w:val="auto"/>
                <w:sz w:val="24"/>
                <w:highlight w:val="none"/>
                <w:vertAlign w:val="superscript"/>
              </w:rPr>
              <w:t>3</w:t>
            </w:r>
            <w:r>
              <w:rPr>
                <w:rFonts w:hint="eastAsia"/>
                <w:color w:val="auto"/>
                <w:sz w:val="24"/>
                <w:highlight w:val="none"/>
              </w:rPr>
              <w:t>。</w:t>
            </w:r>
          </w:p>
          <w:p>
            <w:pPr>
              <w:pageBreakBefore w:val="0"/>
              <w:kinsoku/>
              <w:wordWrap/>
              <w:overflowPunct/>
              <w:topLinePunct w:val="0"/>
              <w:bidi w:val="0"/>
              <w:snapToGrid w:val="0"/>
              <w:spacing w:line="360" w:lineRule="auto"/>
              <w:ind w:firstLine="480"/>
              <w:rPr>
                <w:color w:val="auto"/>
                <w:sz w:val="24"/>
                <w:highlight w:val="none"/>
              </w:rPr>
            </w:pPr>
            <w:r>
              <w:rPr>
                <w:color w:val="auto"/>
                <w:sz w:val="24"/>
                <w:highlight w:val="none"/>
              </w:rPr>
              <w:t xml:space="preserve">   </w:t>
            </w:r>
            <w:r>
              <w:rPr>
                <w:rFonts w:hint="eastAsia"/>
                <w:color w:val="auto"/>
                <w:sz w:val="24"/>
                <w:highlight w:val="none"/>
              </w:rPr>
              <w:t>2、无组织排放影响分析</w:t>
            </w:r>
          </w:p>
          <w:p>
            <w:pPr>
              <w:pageBreakBefore w:val="0"/>
              <w:kinsoku/>
              <w:wordWrap/>
              <w:overflowPunct/>
              <w:topLinePunct w:val="0"/>
              <w:bidi w:val="0"/>
              <w:snapToGrid w:val="0"/>
              <w:spacing w:line="360" w:lineRule="auto"/>
              <w:ind w:firstLine="480" w:firstLineChars="200"/>
              <w:rPr>
                <w:color w:val="auto"/>
                <w:sz w:val="24"/>
                <w:highlight w:val="none"/>
              </w:rPr>
            </w:pPr>
            <w:r>
              <w:rPr>
                <w:rFonts w:hint="eastAsia"/>
                <w:color w:val="auto"/>
                <w:sz w:val="24"/>
                <w:highlight w:val="none"/>
              </w:rPr>
              <w:t>项目无组织排放主要来自打印机未被收集的</w:t>
            </w:r>
            <w:r>
              <w:rPr>
                <w:color w:val="auto"/>
                <w:sz w:val="24"/>
                <w:highlight w:val="none"/>
              </w:rPr>
              <w:t>VOCs</w:t>
            </w:r>
            <w:r>
              <w:rPr>
                <w:rFonts w:hint="eastAsia"/>
                <w:color w:val="auto"/>
                <w:sz w:val="24"/>
                <w:highlight w:val="none"/>
              </w:rPr>
              <w:t>，排放量为10.20kg/a，根据《环境影响评估技术导则－大气环境》（</w:t>
            </w:r>
            <w:r>
              <w:rPr>
                <w:color w:val="auto"/>
                <w:sz w:val="24"/>
                <w:highlight w:val="none"/>
              </w:rPr>
              <w:t>HJ2.2-2018</w:t>
            </w:r>
            <w:r>
              <w:rPr>
                <w:rFonts w:hint="eastAsia"/>
                <w:color w:val="auto"/>
                <w:sz w:val="24"/>
                <w:highlight w:val="none"/>
              </w:rPr>
              <w:t>），采用</w:t>
            </w:r>
            <w:r>
              <w:rPr>
                <w:color w:val="auto"/>
                <w:sz w:val="24"/>
                <w:highlight w:val="none"/>
              </w:rPr>
              <w:t>A</w:t>
            </w:r>
            <w:r>
              <w:rPr>
                <w:color w:val="auto"/>
                <w:sz w:val="24"/>
                <w:szCs w:val="20"/>
                <w:highlight w:val="none"/>
              </w:rPr>
              <w:t>ERSCREEN</w:t>
            </w:r>
            <w:r>
              <w:rPr>
                <w:rFonts w:hint="eastAsia"/>
                <w:color w:val="auto"/>
                <w:sz w:val="24"/>
                <w:szCs w:val="20"/>
                <w:highlight w:val="none"/>
              </w:rPr>
              <w:t>模式计算</w:t>
            </w:r>
            <w:r>
              <w:rPr>
                <w:rFonts w:hint="eastAsia"/>
                <w:color w:val="auto"/>
                <w:sz w:val="24"/>
                <w:highlight w:val="none"/>
              </w:rPr>
              <w:t>项目无组织排放下风向影响程度进行预测，计算参数见表7-4，预测结果见下图。</w:t>
            </w:r>
          </w:p>
          <w:p>
            <w:pPr>
              <w:pageBreakBefore w:val="0"/>
              <w:kinsoku/>
              <w:wordWrap/>
              <w:overflowPunct/>
              <w:topLinePunct w:val="0"/>
              <w:bidi w:val="0"/>
              <w:snapToGrid w:val="0"/>
              <w:spacing w:line="360" w:lineRule="auto"/>
              <w:ind w:firstLine="480" w:firstLineChars="200"/>
              <w:jc w:val="center"/>
              <w:rPr>
                <w:rFonts w:eastAsia="黑体"/>
                <w:color w:val="auto"/>
                <w:sz w:val="24"/>
                <w:szCs w:val="22"/>
                <w:highlight w:val="none"/>
              </w:rPr>
            </w:pPr>
            <w:r>
              <w:rPr>
                <w:rFonts w:hint="eastAsia" w:eastAsia="黑体"/>
                <w:color w:val="auto"/>
                <w:sz w:val="24"/>
                <w:szCs w:val="22"/>
                <w:highlight w:val="none"/>
              </w:rPr>
              <w:t xml:space="preserve">表7-4 </w:t>
            </w:r>
            <w:r>
              <w:rPr>
                <w:rFonts w:eastAsia="黑体"/>
                <w:color w:val="auto"/>
                <w:sz w:val="24"/>
                <w:szCs w:val="22"/>
                <w:highlight w:val="none"/>
              </w:rPr>
              <w:t xml:space="preserve">  </w:t>
            </w:r>
            <w:r>
              <w:rPr>
                <w:rFonts w:hint="eastAsia" w:eastAsia="黑体"/>
                <w:color w:val="auto"/>
                <w:sz w:val="24"/>
                <w:szCs w:val="22"/>
                <w:highlight w:val="none"/>
              </w:rPr>
              <w:t>场区无组织非甲烷总烃污染源参数</w:t>
            </w:r>
          </w:p>
          <w:tbl>
            <w:tblPr>
              <w:tblStyle w:val="27"/>
              <w:tblW w:w="4113"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857"/>
              <w:gridCol w:w="1236"/>
              <w:gridCol w:w="20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858" w:type="dxa"/>
                  <w:vAlign w:val="center"/>
                </w:tcPr>
                <w:p>
                  <w:pPr>
                    <w:pageBreakBefore w:val="0"/>
                    <w:kinsoku/>
                    <w:wordWrap/>
                    <w:overflowPunct/>
                    <w:topLinePunct w:val="0"/>
                    <w:bidi w:val="0"/>
                    <w:snapToGrid w:val="0"/>
                    <w:ind w:firstLine="420" w:firstLineChars="200"/>
                    <w:jc w:val="center"/>
                    <w:rPr>
                      <w:color w:val="auto"/>
                      <w:sz w:val="21"/>
                      <w:szCs w:val="21"/>
                      <w:highlight w:val="none"/>
                    </w:rPr>
                  </w:pPr>
                  <w:r>
                    <w:rPr>
                      <w:color w:val="auto"/>
                      <w:sz w:val="21"/>
                      <w:szCs w:val="21"/>
                      <w:highlight w:val="none"/>
                    </w:rPr>
                    <w:t>参数名称</w:t>
                  </w:r>
                </w:p>
              </w:tc>
              <w:tc>
                <w:tcPr>
                  <w:tcW w:w="1236" w:type="dxa"/>
                  <w:vAlign w:val="center"/>
                </w:tcPr>
                <w:p>
                  <w:pPr>
                    <w:pageBreakBefore w:val="0"/>
                    <w:kinsoku/>
                    <w:wordWrap/>
                    <w:overflowPunct/>
                    <w:topLinePunct w:val="0"/>
                    <w:bidi w:val="0"/>
                    <w:snapToGrid w:val="0"/>
                    <w:jc w:val="center"/>
                    <w:rPr>
                      <w:color w:val="auto"/>
                      <w:sz w:val="21"/>
                      <w:szCs w:val="21"/>
                      <w:highlight w:val="none"/>
                    </w:rPr>
                  </w:pPr>
                  <w:r>
                    <w:rPr>
                      <w:color w:val="auto"/>
                      <w:sz w:val="21"/>
                      <w:szCs w:val="21"/>
                      <w:highlight w:val="none"/>
                    </w:rPr>
                    <w:t>单位</w:t>
                  </w:r>
                </w:p>
              </w:tc>
              <w:tc>
                <w:tcPr>
                  <w:tcW w:w="2024" w:type="dxa"/>
                </w:tcPr>
                <w:p>
                  <w:pPr>
                    <w:pageBreakBefore w:val="0"/>
                    <w:kinsoku/>
                    <w:wordWrap/>
                    <w:overflowPunct/>
                    <w:topLinePunct w:val="0"/>
                    <w:bidi w:val="0"/>
                    <w:snapToGrid w:val="0"/>
                    <w:jc w:val="center"/>
                    <w:rPr>
                      <w:color w:val="auto"/>
                      <w:sz w:val="21"/>
                      <w:szCs w:val="21"/>
                      <w:highlight w:val="none"/>
                    </w:rPr>
                  </w:pPr>
                  <w:r>
                    <w:rPr>
                      <w:rFonts w:hint="eastAsia"/>
                      <w:color w:val="auto"/>
                      <w:sz w:val="21"/>
                      <w:szCs w:val="21"/>
                      <w:highlight w:val="none"/>
                    </w:rPr>
                    <w:t>非甲烷总烃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3858" w:type="dxa"/>
                  <w:vAlign w:val="center"/>
                </w:tcPr>
                <w:p>
                  <w:pPr>
                    <w:pageBreakBefore w:val="0"/>
                    <w:kinsoku/>
                    <w:wordWrap/>
                    <w:overflowPunct/>
                    <w:topLinePunct w:val="0"/>
                    <w:bidi w:val="0"/>
                    <w:snapToGrid w:val="0"/>
                    <w:jc w:val="center"/>
                    <w:rPr>
                      <w:color w:val="auto"/>
                      <w:sz w:val="21"/>
                      <w:szCs w:val="21"/>
                      <w:highlight w:val="none"/>
                    </w:rPr>
                  </w:pPr>
                  <w:r>
                    <w:rPr>
                      <w:color w:val="auto"/>
                      <w:sz w:val="21"/>
                      <w:szCs w:val="21"/>
                      <w:highlight w:val="none"/>
                    </w:rPr>
                    <w:t>污染源</w:t>
                  </w:r>
                  <w:r>
                    <w:rPr>
                      <w:rFonts w:hint="eastAsia"/>
                      <w:color w:val="auto"/>
                      <w:sz w:val="21"/>
                      <w:szCs w:val="21"/>
                      <w:highlight w:val="none"/>
                    </w:rPr>
                    <w:t>名称</w:t>
                  </w:r>
                </w:p>
              </w:tc>
              <w:tc>
                <w:tcPr>
                  <w:tcW w:w="1236" w:type="dxa"/>
                  <w:vAlign w:val="center"/>
                </w:tcPr>
                <w:p>
                  <w:pPr>
                    <w:pageBreakBefore w:val="0"/>
                    <w:kinsoku/>
                    <w:wordWrap/>
                    <w:overflowPunct/>
                    <w:topLinePunct w:val="0"/>
                    <w:bidi w:val="0"/>
                    <w:snapToGrid w:val="0"/>
                    <w:jc w:val="center"/>
                    <w:rPr>
                      <w:color w:val="auto"/>
                      <w:sz w:val="21"/>
                      <w:szCs w:val="21"/>
                      <w:highlight w:val="none"/>
                    </w:rPr>
                  </w:pPr>
                  <w:r>
                    <w:rPr>
                      <w:color w:val="auto"/>
                      <w:sz w:val="21"/>
                      <w:szCs w:val="21"/>
                      <w:highlight w:val="none"/>
                    </w:rPr>
                    <w:t>/</w:t>
                  </w:r>
                </w:p>
              </w:tc>
              <w:tc>
                <w:tcPr>
                  <w:tcW w:w="2024" w:type="dxa"/>
                </w:tcPr>
                <w:p>
                  <w:pPr>
                    <w:pageBreakBefore w:val="0"/>
                    <w:kinsoku/>
                    <w:wordWrap/>
                    <w:overflowPunct/>
                    <w:topLinePunct w:val="0"/>
                    <w:bidi w:val="0"/>
                    <w:snapToGrid w:val="0"/>
                    <w:jc w:val="center"/>
                    <w:rPr>
                      <w:color w:val="auto"/>
                      <w:sz w:val="21"/>
                      <w:szCs w:val="21"/>
                      <w:highlight w:val="none"/>
                    </w:rPr>
                  </w:pPr>
                  <w:r>
                    <w:rPr>
                      <w:rFonts w:hint="eastAsia"/>
                      <w:color w:val="auto"/>
                      <w:sz w:val="21"/>
                      <w:szCs w:val="21"/>
                      <w:highlight w:val="none"/>
                    </w:rPr>
                    <w:t>生产区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3858" w:type="dxa"/>
                  <w:vAlign w:val="center"/>
                </w:tcPr>
                <w:p>
                  <w:pPr>
                    <w:pageBreakBefore w:val="0"/>
                    <w:kinsoku/>
                    <w:wordWrap/>
                    <w:overflowPunct/>
                    <w:topLinePunct w:val="0"/>
                    <w:bidi w:val="0"/>
                    <w:snapToGrid w:val="0"/>
                    <w:jc w:val="center"/>
                    <w:rPr>
                      <w:color w:val="auto"/>
                      <w:sz w:val="21"/>
                      <w:szCs w:val="21"/>
                      <w:highlight w:val="none"/>
                    </w:rPr>
                  </w:pPr>
                  <w:r>
                    <w:rPr>
                      <w:color w:val="auto"/>
                      <w:sz w:val="21"/>
                      <w:szCs w:val="21"/>
                      <w:highlight w:val="none"/>
                    </w:rPr>
                    <w:t>排放速率</w:t>
                  </w:r>
                </w:p>
              </w:tc>
              <w:tc>
                <w:tcPr>
                  <w:tcW w:w="1236" w:type="dxa"/>
                  <w:vAlign w:val="center"/>
                </w:tcPr>
                <w:p>
                  <w:pPr>
                    <w:pageBreakBefore w:val="0"/>
                    <w:kinsoku/>
                    <w:wordWrap/>
                    <w:overflowPunct/>
                    <w:topLinePunct w:val="0"/>
                    <w:bidi w:val="0"/>
                    <w:snapToGrid w:val="0"/>
                    <w:jc w:val="center"/>
                    <w:rPr>
                      <w:color w:val="auto"/>
                      <w:sz w:val="21"/>
                      <w:szCs w:val="21"/>
                      <w:highlight w:val="none"/>
                    </w:rPr>
                  </w:pPr>
                  <w:r>
                    <w:rPr>
                      <w:rFonts w:hint="eastAsia"/>
                      <w:color w:val="auto"/>
                      <w:sz w:val="21"/>
                      <w:szCs w:val="21"/>
                      <w:highlight w:val="none"/>
                    </w:rPr>
                    <w:t>t</w:t>
                  </w:r>
                  <w:r>
                    <w:rPr>
                      <w:color w:val="auto"/>
                      <w:sz w:val="21"/>
                      <w:szCs w:val="21"/>
                      <w:highlight w:val="none"/>
                    </w:rPr>
                    <w:t>/</w:t>
                  </w:r>
                  <w:r>
                    <w:rPr>
                      <w:rFonts w:hint="eastAsia"/>
                      <w:color w:val="auto"/>
                      <w:sz w:val="21"/>
                      <w:szCs w:val="21"/>
                      <w:highlight w:val="none"/>
                    </w:rPr>
                    <w:t>a</w:t>
                  </w:r>
                </w:p>
              </w:tc>
              <w:tc>
                <w:tcPr>
                  <w:tcW w:w="2024" w:type="dxa"/>
                </w:tcPr>
                <w:p>
                  <w:pPr>
                    <w:pageBreakBefore w:val="0"/>
                    <w:kinsoku/>
                    <w:wordWrap/>
                    <w:overflowPunct/>
                    <w:topLinePunct w:val="0"/>
                    <w:bidi w:val="0"/>
                    <w:snapToGrid w:val="0"/>
                    <w:jc w:val="center"/>
                    <w:rPr>
                      <w:color w:val="auto"/>
                      <w:sz w:val="21"/>
                      <w:szCs w:val="21"/>
                      <w:highlight w:val="none"/>
                    </w:rPr>
                  </w:pPr>
                  <w:r>
                    <w:rPr>
                      <w:rFonts w:hint="eastAsia"/>
                      <w:color w:val="auto"/>
                      <w:sz w:val="21"/>
                      <w:szCs w:val="21"/>
                      <w:highlight w:val="none"/>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3858" w:type="dxa"/>
                  <w:vAlign w:val="center"/>
                </w:tcPr>
                <w:p>
                  <w:pPr>
                    <w:pageBreakBefore w:val="0"/>
                    <w:kinsoku/>
                    <w:wordWrap/>
                    <w:overflowPunct/>
                    <w:topLinePunct w:val="0"/>
                    <w:bidi w:val="0"/>
                    <w:snapToGrid w:val="0"/>
                    <w:jc w:val="center"/>
                    <w:rPr>
                      <w:color w:val="auto"/>
                      <w:sz w:val="21"/>
                      <w:szCs w:val="21"/>
                      <w:highlight w:val="none"/>
                    </w:rPr>
                  </w:pPr>
                  <w:r>
                    <w:rPr>
                      <w:color w:val="auto"/>
                      <w:sz w:val="21"/>
                      <w:szCs w:val="21"/>
                      <w:highlight w:val="none"/>
                    </w:rPr>
                    <w:t>面源</w:t>
                  </w:r>
                  <w:r>
                    <w:rPr>
                      <w:rFonts w:hint="eastAsia"/>
                      <w:color w:val="auto"/>
                      <w:sz w:val="21"/>
                      <w:szCs w:val="21"/>
                      <w:highlight w:val="none"/>
                    </w:rPr>
                    <w:t>宽度</w:t>
                  </w:r>
                </w:p>
              </w:tc>
              <w:tc>
                <w:tcPr>
                  <w:tcW w:w="1236" w:type="dxa"/>
                  <w:vAlign w:val="center"/>
                </w:tcPr>
                <w:p>
                  <w:pPr>
                    <w:pageBreakBefore w:val="0"/>
                    <w:kinsoku/>
                    <w:wordWrap/>
                    <w:overflowPunct/>
                    <w:topLinePunct w:val="0"/>
                    <w:bidi w:val="0"/>
                    <w:snapToGrid w:val="0"/>
                    <w:jc w:val="center"/>
                    <w:rPr>
                      <w:color w:val="auto"/>
                      <w:sz w:val="21"/>
                      <w:szCs w:val="21"/>
                      <w:highlight w:val="none"/>
                    </w:rPr>
                  </w:pPr>
                  <w:r>
                    <w:rPr>
                      <w:color w:val="auto"/>
                      <w:sz w:val="21"/>
                      <w:szCs w:val="21"/>
                      <w:highlight w:val="none"/>
                    </w:rPr>
                    <w:t>m</w:t>
                  </w:r>
                </w:p>
              </w:tc>
              <w:tc>
                <w:tcPr>
                  <w:tcW w:w="2024" w:type="dxa"/>
                </w:tcPr>
                <w:p>
                  <w:pPr>
                    <w:pageBreakBefore w:val="0"/>
                    <w:kinsoku/>
                    <w:wordWrap/>
                    <w:overflowPunct/>
                    <w:topLinePunct w:val="0"/>
                    <w:bidi w:val="0"/>
                    <w:snapToGrid w:val="0"/>
                    <w:jc w:val="center"/>
                    <w:rPr>
                      <w:color w:val="auto"/>
                      <w:sz w:val="21"/>
                      <w:szCs w:val="21"/>
                      <w:highlight w:val="none"/>
                    </w:rPr>
                  </w:pPr>
                  <w:r>
                    <w:rPr>
                      <w:rFonts w:hint="eastAsia"/>
                      <w:color w:val="auto"/>
                      <w:sz w:val="21"/>
                      <w:szCs w:val="21"/>
                      <w:highlight w:val="none"/>
                    </w:rPr>
                    <w:t>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3858" w:type="dxa"/>
                  <w:vAlign w:val="center"/>
                </w:tcPr>
                <w:p>
                  <w:pPr>
                    <w:pageBreakBefore w:val="0"/>
                    <w:kinsoku/>
                    <w:wordWrap/>
                    <w:overflowPunct/>
                    <w:topLinePunct w:val="0"/>
                    <w:bidi w:val="0"/>
                    <w:snapToGrid w:val="0"/>
                    <w:jc w:val="center"/>
                    <w:rPr>
                      <w:color w:val="auto"/>
                      <w:sz w:val="21"/>
                      <w:szCs w:val="21"/>
                      <w:highlight w:val="none"/>
                    </w:rPr>
                  </w:pPr>
                  <w:r>
                    <w:rPr>
                      <w:color w:val="auto"/>
                      <w:sz w:val="21"/>
                      <w:szCs w:val="21"/>
                      <w:highlight w:val="none"/>
                    </w:rPr>
                    <w:t>面源长</w:t>
                  </w:r>
                  <w:r>
                    <w:rPr>
                      <w:rFonts w:hint="eastAsia"/>
                      <w:color w:val="auto"/>
                      <w:sz w:val="21"/>
                      <w:szCs w:val="21"/>
                      <w:highlight w:val="none"/>
                    </w:rPr>
                    <w:t>度</w:t>
                  </w:r>
                </w:p>
              </w:tc>
              <w:tc>
                <w:tcPr>
                  <w:tcW w:w="1236" w:type="dxa"/>
                  <w:vAlign w:val="center"/>
                </w:tcPr>
                <w:p>
                  <w:pPr>
                    <w:pageBreakBefore w:val="0"/>
                    <w:kinsoku/>
                    <w:wordWrap/>
                    <w:overflowPunct/>
                    <w:topLinePunct w:val="0"/>
                    <w:bidi w:val="0"/>
                    <w:snapToGrid w:val="0"/>
                    <w:jc w:val="center"/>
                    <w:rPr>
                      <w:color w:val="auto"/>
                      <w:sz w:val="21"/>
                      <w:szCs w:val="21"/>
                      <w:highlight w:val="none"/>
                    </w:rPr>
                  </w:pPr>
                  <w:r>
                    <w:rPr>
                      <w:color w:val="auto"/>
                      <w:sz w:val="21"/>
                      <w:szCs w:val="21"/>
                      <w:highlight w:val="none"/>
                    </w:rPr>
                    <w:t>m</w:t>
                  </w:r>
                </w:p>
              </w:tc>
              <w:tc>
                <w:tcPr>
                  <w:tcW w:w="2024" w:type="dxa"/>
                </w:tcPr>
                <w:p>
                  <w:pPr>
                    <w:pageBreakBefore w:val="0"/>
                    <w:kinsoku/>
                    <w:wordWrap/>
                    <w:overflowPunct/>
                    <w:topLinePunct w:val="0"/>
                    <w:bidi w:val="0"/>
                    <w:snapToGrid w:val="0"/>
                    <w:jc w:val="center"/>
                    <w:rPr>
                      <w:color w:val="auto"/>
                      <w:sz w:val="21"/>
                      <w:szCs w:val="21"/>
                      <w:highlight w:val="none"/>
                    </w:rPr>
                  </w:pPr>
                  <w:r>
                    <w:rPr>
                      <w:rFonts w:hint="eastAsia"/>
                      <w:color w:val="auto"/>
                      <w:sz w:val="21"/>
                      <w:szCs w:val="21"/>
                      <w:highlight w:val="none"/>
                    </w:rPr>
                    <w:t>13.1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3858" w:type="dxa"/>
                  <w:vAlign w:val="center"/>
                </w:tcPr>
                <w:p>
                  <w:pPr>
                    <w:pageBreakBefore w:val="0"/>
                    <w:kinsoku/>
                    <w:wordWrap/>
                    <w:overflowPunct/>
                    <w:topLinePunct w:val="0"/>
                    <w:bidi w:val="0"/>
                    <w:snapToGrid w:val="0"/>
                    <w:jc w:val="center"/>
                    <w:rPr>
                      <w:color w:val="auto"/>
                      <w:sz w:val="21"/>
                      <w:szCs w:val="21"/>
                      <w:highlight w:val="none"/>
                    </w:rPr>
                  </w:pPr>
                  <w:r>
                    <w:rPr>
                      <w:rFonts w:hint="eastAsia"/>
                      <w:color w:val="auto"/>
                      <w:sz w:val="21"/>
                      <w:szCs w:val="21"/>
                      <w:highlight w:val="none"/>
                    </w:rPr>
                    <w:t>平均释放高度</w:t>
                  </w:r>
                </w:p>
              </w:tc>
              <w:tc>
                <w:tcPr>
                  <w:tcW w:w="1236" w:type="dxa"/>
                  <w:vAlign w:val="center"/>
                </w:tcPr>
                <w:p>
                  <w:pPr>
                    <w:pageBreakBefore w:val="0"/>
                    <w:kinsoku/>
                    <w:wordWrap/>
                    <w:overflowPunct/>
                    <w:topLinePunct w:val="0"/>
                    <w:bidi w:val="0"/>
                    <w:snapToGrid w:val="0"/>
                    <w:jc w:val="center"/>
                    <w:rPr>
                      <w:color w:val="auto"/>
                      <w:sz w:val="21"/>
                      <w:szCs w:val="21"/>
                      <w:highlight w:val="none"/>
                    </w:rPr>
                  </w:pPr>
                  <w:r>
                    <w:rPr>
                      <w:color w:val="auto"/>
                      <w:sz w:val="21"/>
                      <w:szCs w:val="21"/>
                      <w:highlight w:val="none"/>
                    </w:rPr>
                    <w:t>m</w:t>
                  </w:r>
                </w:p>
              </w:tc>
              <w:tc>
                <w:tcPr>
                  <w:tcW w:w="2024" w:type="dxa"/>
                </w:tcPr>
                <w:p>
                  <w:pPr>
                    <w:pageBreakBefore w:val="0"/>
                    <w:kinsoku/>
                    <w:wordWrap/>
                    <w:overflowPunct/>
                    <w:topLinePunct w:val="0"/>
                    <w:bidi w:val="0"/>
                    <w:snapToGrid w:val="0"/>
                    <w:jc w:val="center"/>
                    <w:rPr>
                      <w:color w:val="auto"/>
                      <w:sz w:val="21"/>
                      <w:szCs w:val="21"/>
                      <w:highlight w:val="none"/>
                    </w:rPr>
                  </w:pPr>
                  <w:r>
                    <w:rPr>
                      <w:rFonts w:hint="eastAsia"/>
                      <w:color w:val="auto"/>
                      <w:sz w:val="21"/>
                      <w:szCs w:val="21"/>
                      <w:highlight w:val="none"/>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3858" w:type="dxa"/>
                  <w:vAlign w:val="center"/>
                </w:tcPr>
                <w:p>
                  <w:pPr>
                    <w:pageBreakBefore w:val="0"/>
                    <w:kinsoku/>
                    <w:wordWrap/>
                    <w:overflowPunct/>
                    <w:topLinePunct w:val="0"/>
                    <w:bidi w:val="0"/>
                    <w:snapToGrid w:val="0"/>
                    <w:jc w:val="center"/>
                    <w:rPr>
                      <w:color w:val="auto"/>
                      <w:sz w:val="21"/>
                      <w:szCs w:val="21"/>
                      <w:highlight w:val="none"/>
                    </w:rPr>
                  </w:pPr>
                  <w:r>
                    <w:rPr>
                      <w:rFonts w:hint="eastAsia"/>
                      <w:color w:val="auto"/>
                      <w:sz w:val="21"/>
                      <w:szCs w:val="21"/>
                      <w:highlight w:val="none"/>
                    </w:rPr>
                    <w:t>评价标准</w:t>
                  </w:r>
                </w:p>
              </w:tc>
              <w:tc>
                <w:tcPr>
                  <w:tcW w:w="1236" w:type="dxa"/>
                  <w:vAlign w:val="center"/>
                </w:tcPr>
                <w:p>
                  <w:pPr>
                    <w:pageBreakBefore w:val="0"/>
                    <w:kinsoku/>
                    <w:wordWrap/>
                    <w:overflowPunct/>
                    <w:topLinePunct w:val="0"/>
                    <w:bidi w:val="0"/>
                    <w:snapToGrid w:val="0"/>
                    <w:jc w:val="center"/>
                    <w:rPr>
                      <w:color w:val="auto"/>
                      <w:sz w:val="21"/>
                      <w:szCs w:val="21"/>
                      <w:highlight w:val="none"/>
                    </w:rPr>
                  </w:pPr>
                  <w:r>
                    <w:rPr>
                      <w:rFonts w:hint="eastAsia"/>
                      <w:color w:val="auto"/>
                      <w:kern w:val="0"/>
                      <w:sz w:val="24"/>
                      <w:highlight w:val="none"/>
                    </w:rPr>
                    <w:t>μ</w:t>
                  </w:r>
                  <w:r>
                    <w:rPr>
                      <w:color w:val="auto"/>
                      <w:sz w:val="21"/>
                      <w:szCs w:val="21"/>
                      <w:highlight w:val="none"/>
                    </w:rPr>
                    <w:t>g/m</w:t>
                  </w:r>
                  <w:r>
                    <w:rPr>
                      <w:color w:val="auto"/>
                      <w:sz w:val="21"/>
                      <w:szCs w:val="21"/>
                      <w:highlight w:val="none"/>
                      <w:vertAlign w:val="superscript"/>
                    </w:rPr>
                    <w:t>3</w:t>
                  </w:r>
                </w:p>
              </w:tc>
              <w:tc>
                <w:tcPr>
                  <w:tcW w:w="2024" w:type="dxa"/>
                </w:tcPr>
                <w:p>
                  <w:pPr>
                    <w:pageBreakBefore w:val="0"/>
                    <w:kinsoku/>
                    <w:wordWrap/>
                    <w:overflowPunct/>
                    <w:topLinePunct w:val="0"/>
                    <w:bidi w:val="0"/>
                    <w:snapToGrid w:val="0"/>
                    <w:jc w:val="center"/>
                    <w:rPr>
                      <w:color w:val="auto"/>
                      <w:sz w:val="21"/>
                      <w:szCs w:val="21"/>
                      <w:highlight w:val="none"/>
                    </w:rPr>
                  </w:pPr>
                  <w:r>
                    <w:rPr>
                      <w:color w:val="auto"/>
                      <w:sz w:val="21"/>
                      <w:szCs w:val="21"/>
                      <w:highlight w:val="none"/>
                    </w:rPr>
                    <w:t>2000</w:t>
                  </w:r>
                </w:p>
              </w:tc>
            </w:tr>
          </w:tbl>
          <w:p>
            <w:pPr>
              <w:pageBreakBefore w:val="0"/>
              <w:kinsoku/>
              <w:wordWrap/>
              <w:overflowPunct/>
              <w:topLinePunct w:val="0"/>
              <w:bidi w:val="0"/>
              <w:snapToGrid w:val="0"/>
              <w:spacing w:line="360" w:lineRule="auto"/>
              <w:ind w:firstLine="482"/>
              <w:jc w:val="center"/>
              <w:rPr>
                <w:rFonts w:eastAsia="黑体"/>
                <w:color w:val="auto"/>
                <w:sz w:val="24"/>
                <w:highlight w:val="none"/>
              </w:rPr>
            </w:pPr>
            <w:r>
              <w:rPr>
                <w:color w:val="auto"/>
                <w:sz w:val="24"/>
                <w:highlight w:val="none"/>
              </w:rPr>
              <w:t xml:space="preserve">  </w:t>
            </w:r>
            <w:r>
              <w:rPr>
                <w:rFonts w:eastAsia="黑体"/>
                <w:color w:val="auto"/>
                <w:sz w:val="24"/>
                <w:highlight w:val="none"/>
              </w:rPr>
              <w:t>表</w:t>
            </w:r>
            <w:r>
              <w:rPr>
                <w:rFonts w:hint="eastAsia" w:eastAsia="黑体"/>
                <w:color w:val="auto"/>
                <w:sz w:val="24"/>
                <w:highlight w:val="none"/>
              </w:rPr>
              <w:t>7-3</w:t>
            </w:r>
            <w:r>
              <w:rPr>
                <w:rFonts w:eastAsia="黑体"/>
                <w:color w:val="auto"/>
                <w:sz w:val="24"/>
                <w:highlight w:val="none"/>
              </w:rPr>
              <w:t xml:space="preserve">  </w:t>
            </w:r>
            <w:r>
              <w:rPr>
                <w:rFonts w:hint="eastAsia"/>
                <w:color w:val="auto"/>
                <w:sz w:val="24"/>
                <w:highlight w:val="none"/>
              </w:rPr>
              <w:t>VOCs</w:t>
            </w:r>
            <w:r>
              <w:rPr>
                <w:rFonts w:hint="eastAsia" w:eastAsia="黑体"/>
                <w:color w:val="auto"/>
                <w:sz w:val="24"/>
                <w:highlight w:val="none"/>
              </w:rPr>
              <w:t>无组织排放</w:t>
            </w:r>
            <w:r>
              <w:rPr>
                <w:rFonts w:eastAsia="黑体"/>
                <w:color w:val="auto"/>
                <w:sz w:val="24"/>
                <w:highlight w:val="none"/>
              </w:rPr>
              <w:t>估算模式计算结果</w:t>
            </w:r>
          </w:p>
          <w:tbl>
            <w:tblPr>
              <w:tblStyle w:val="27"/>
              <w:tblW w:w="422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557"/>
              <w:gridCol w:w="1979"/>
              <w:gridCol w:w="27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vMerge w:val="restart"/>
                  <w:vAlign w:val="center"/>
                </w:tcPr>
                <w:p>
                  <w:pPr>
                    <w:pageBreakBefore w:val="0"/>
                    <w:widowControl/>
                    <w:kinsoku/>
                    <w:wordWrap/>
                    <w:overflowPunct/>
                    <w:topLinePunct w:val="0"/>
                    <w:bidi w:val="0"/>
                    <w:snapToGrid w:val="0"/>
                    <w:jc w:val="center"/>
                    <w:rPr>
                      <w:color w:val="auto"/>
                      <w:kern w:val="0"/>
                      <w:sz w:val="21"/>
                      <w:szCs w:val="21"/>
                      <w:highlight w:val="none"/>
                    </w:rPr>
                  </w:pPr>
                  <w:r>
                    <w:rPr>
                      <w:color w:val="auto"/>
                      <w:kern w:val="0"/>
                      <w:sz w:val="21"/>
                      <w:szCs w:val="21"/>
                      <w:highlight w:val="none"/>
                    </w:rPr>
                    <w:t>距源中心下风向距离(m)</w:t>
                  </w:r>
                </w:p>
              </w:tc>
              <w:tc>
                <w:tcPr>
                  <w:tcW w:w="4744" w:type="dxa"/>
                  <w:gridSpan w:val="2"/>
                  <w:vAlign w:val="center"/>
                </w:tcPr>
                <w:p>
                  <w:pPr>
                    <w:pageBreakBefore w:val="0"/>
                    <w:kinsoku/>
                    <w:wordWrap/>
                    <w:overflowPunct/>
                    <w:topLinePunct w:val="0"/>
                    <w:bidi w:val="0"/>
                    <w:snapToGrid w:val="0"/>
                    <w:jc w:val="center"/>
                    <w:rPr>
                      <w:color w:val="auto"/>
                      <w:sz w:val="21"/>
                      <w:szCs w:val="21"/>
                      <w:highlight w:val="none"/>
                    </w:rPr>
                  </w:pPr>
                  <w:r>
                    <w:rPr>
                      <w:rFonts w:hint="eastAsia"/>
                      <w:color w:val="auto"/>
                      <w:sz w:val="21"/>
                      <w:szCs w:val="21"/>
                      <w:highlight w:val="none"/>
                    </w:rPr>
                    <w:t>VOCs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vMerge w:val="continue"/>
                  <w:vAlign w:val="center"/>
                </w:tcPr>
                <w:p>
                  <w:pPr>
                    <w:pageBreakBefore w:val="0"/>
                    <w:widowControl/>
                    <w:kinsoku/>
                    <w:wordWrap/>
                    <w:overflowPunct/>
                    <w:topLinePunct w:val="0"/>
                    <w:bidi w:val="0"/>
                    <w:snapToGrid w:val="0"/>
                    <w:jc w:val="center"/>
                    <w:rPr>
                      <w:color w:val="auto"/>
                      <w:kern w:val="0"/>
                      <w:sz w:val="21"/>
                      <w:szCs w:val="21"/>
                      <w:highlight w:val="none"/>
                    </w:rPr>
                  </w:pPr>
                </w:p>
              </w:tc>
              <w:tc>
                <w:tcPr>
                  <w:tcW w:w="1979" w:type="dxa"/>
                  <w:vAlign w:val="center"/>
                </w:tcPr>
                <w:p>
                  <w:pPr>
                    <w:pageBreakBefore w:val="0"/>
                    <w:kinsoku/>
                    <w:wordWrap/>
                    <w:overflowPunct/>
                    <w:topLinePunct w:val="0"/>
                    <w:bidi w:val="0"/>
                    <w:snapToGrid w:val="0"/>
                    <w:jc w:val="center"/>
                    <w:rPr>
                      <w:color w:val="auto"/>
                      <w:kern w:val="0"/>
                      <w:sz w:val="21"/>
                      <w:szCs w:val="21"/>
                      <w:highlight w:val="none"/>
                    </w:rPr>
                  </w:pPr>
                  <w:r>
                    <w:rPr>
                      <w:rFonts w:hint="eastAsia"/>
                      <w:color w:val="auto"/>
                      <w:kern w:val="0"/>
                      <w:sz w:val="21"/>
                      <w:szCs w:val="21"/>
                      <w:highlight w:val="none"/>
                    </w:rPr>
                    <w:t>1小时最大浓度</w:t>
                  </w:r>
                  <w:r>
                    <w:rPr>
                      <w:color w:val="auto"/>
                      <w:kern w:val="0"/>
                      <w:sz w:val="21"/>
                      <w:szCs w:val="21"/>
                      <w:highlight w:val="none"/>
                    </w:rPr>
                    <w:t>（mg/m</w:t>
                  </w:r>
                  <w:r>
                    <w:rPr>
                      <w:color w:val="auto"/>
                      <w:kern w:val="0"/>
                      <w:sz w:val="21"/>
                      <w:szCs w:val="21"/>
                      <w:highlight w:val="none"/>
                      <w:vertAlign w:val="superscript"/>
                    </w:rPr>
                    <w:t>3</w:t>
                  </w:r>
                  <w:r>
                    <w:rPr>
                      <w:color w:val="auto"/>
                      <w:kern w:val="0"/>
                      <w:sz w:val="21"/>
                      <w:szCs w:val="21"/>
                      <w:highlight w:val="none"/>
                    </w:rPr>
                    <w:t>）</w:t>
                  </w:r>
                </w:p>
              </w:tc>
              <w:tc>
                <w:tcPr>
                  <w:tcW w:w="2765" w:type="dxa"/>
                  <w:vAlign w:val="center"/>
                </w:tcPr>
                <w:p>
                  <w:pPr>
                    <w:pageBreakBefore w:val="0"/>
                    <w:kinsoku/>
                    <w:wordWrap/>
                    <w:overflowPunct/>
                    <w:topLinePunct w:val="0"/>
                    <w:bidi w:val="0"/>
                    <w:snapToGrid w:val="0"/>
                    <w:jc w:val="center"/>
                    <w:rPr>
                      <w:color w:val="auto"/>
                      <w:kern w:val="0"/>
                      <w:sz w:val="21"/>
                      <w:szCs w:val="21"/>
                      <w:highlight w:val="none"/>
                    </w:rPr>
                  </w:pPr>
                  <w:r>
                    <w:rPr>
                      <w:rFonts w:hint="eastAsia"/>
                      <w:color w:val="auto"/>
                      <w:kern w:val="0"/>
                      <w:sz w:val="21"/>
                      <w:szCs w:val="21"/>
                      <w:highlight w:val="none"/>
                    </w:rPr>
                    <w:t>1小时最大浓度</w:t>
                  </w:r>
                  <w:r>
                    <w:rPr>
                      <w:color w:val="auto"/>
                      <w:kern w:val="0"/>
                      <w:sz w:val="21"/>
                      <w:szCs w:val="21"/>
                      <w:highlight w:val="none"/>
                    </w:rPr>
                    <w:t>占标率</w:t>
                  </w:r>
                  <w:r>
                    <w:rPr>
                      <w:rFonts w:hint="eastAsia"/>
                      <w:color w:val="auto"/>
                      <w:kern w:val="0"/>
                      <w:sz w:val="21"/>
                      <w:szCs w:val="21"/>
                      <w:highlight w:val="none"/>
                    </w:rPr>
                    <w:t>（</w:t>
                  </w:r>
                  <w:r>
                    <w:rPr>
                      <w:color w:val="auto"/>
                      <w:kern w:val="0"/>
                      <w:sz w:val="21"/>
                      <w:szCs w:val="21"/>
                      <w:highlight w:val="none"/>
                    </w:rPr>
                    <w:t>%</w:t>
                  </w:r>
                  <w:r>
                    <w:rPr>
                      <w:rFonts w:hint="eastAsia"/>
                      <w:color w:val="auto"/>
                      <w:kern w:val="0"/>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10</w:t>
                  </w:r>
                </w:p>
              </w:tc>
              <w:tc>
                <w:tcPr>
                  <w:tcW w:w="1979"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0.0017 </w:t>
                  </w:r>
                </w:p>
              </w:tc>
              <w:tc>
                <w:tcPr>
                  <w:tcW w:w="2765"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tcBorders>
                    <w:bottom w:val="single" w:color="auto" w:sz="4" w:space="0"/>
                  </w:tcBorders>
                  <w:shd w:val="clear" w:color="auto" w:fill="92D050"/>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19</w:t>
                  </w:r>
                </w:p>
              </w:tc>
              <w:tc>
                <w:tcPr>
                  <w:tcW w:w="1979" w:type="dxa"/>
                  <w:tcBorders>
                    <w:bottom w:val="single" w:color="auto" w:sz="4" w:space="0"/>
                  </w:tcBorders>
                  <w:shd w:val="clear" w:color="auto" w:fill="92D050"/>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0.0018 </w:t>
                  </w:r>
                </w:p>
              </w:tc>
              <w:tc>
                <w:tcPr>
                  <w:tcW w:w="2765" w:type="dxa"/>
                  <w:tcBorders>
                    <w:bottom w:val="single" w:color="auto" w:sz="4" w:space="0"/>
                  </w:tcBorders>
                  <w:shd w:val="clear" w:color="auto" w:fill="92D050"/>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tcBorders>
                    <w:top w:val="single" w:color="auto" w:sz="4" w:space="0"/>
                    <w:bottom w:val="single" w:color="auto" w:sz="4" w:space="0"/>
                  </w:tcBorders>
                  <w:shd w:val="clear" w:color="auto" w:fill="auto"/>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25</w:t>
                  </w:r>
                </w:p>
              </w:tc>
              <w:tc>
                <w:tcPr>
                  <w:tcW w:w="1979" w:type="dxa"/>
                  <w:tcBorders>
                    <w:top w:val="single" w:color="auto" w:sz="4" w:space="0"/>
                    <w:bottom w:val="single" w:color="auto" w:sz="4" w:space="0"/>
                  </w:tcBorders>
                  <w:shd w:val="clear" w:color="auto" w:fill="auto"/>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0.0014 </w:t>
                  </w:r>
                </w:p>
              </w:tc>
              <w:tc>
                <w:tcPr>
                  <w:tcW w:w="2765" w:type="dxa"/>
                  <w:tcBorders>
                    <w:top w:val="single" w:color="auto" w:sz="4" w:space="0"/>
                    <w:bottom w:val="single" w:color="auto" w:sz="4" w:space="0"/>
                  </w:tcBorders>
                  <w:shd w:val="clear" w:color="auto" w:fill="auto"/>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tcBorders>
                    <w:top w:val="single" w:color="auto" w:sz="4" w:space="0"/>
                    <w:bottom w:val="single" w:color="auto" w:sz="4" w:space="0"/>
                  </w:tcBorders>
                  <w:shd w:val="clear" w:color="auto" w:fill="auto"/>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50</w:t>
                  </w:r>
                </w:p>
              </w:tc>
              <w:tc>
                <w:tcPr>
                  <w:tcW w:w="1979" w:type="dxa"/>
                  <w:tcBorders>
                    <w:top w:val="single" w:color="auto" w:sz="4" w:space="0"/>
                    <w:bottom w:val="single" w:color="auto" w:sz="4" w:space="0"/>
                  </w:tcBorders>
                  <w:shd w:val="clear" w:color="auto" w:fill="auto"/>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0.0004 </w:t>
                  </w:r>
                </w:p>
              </w:tc>
              <w:tc>
                <w:tcPr>
                  <w:tcW w:w="2765" w:type="dxa"/>
                  <w:tcBorders>
                    <w:top w:val="single" w:color="auto" w:sz="4" w:space="0"/>
                    <w:bottom w:val="single" w:color="auto" w:sz="4" w:space="0"/>
                  </w:tcBorders>
                  <w:shd w:val="clear" w:color="auto" w:fill="auto"/>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tcBorders>
                    <w:top w:val="single" w:color="auto" w:sz="4" w:space="0"/>
                  </w:tcBorders>
                  <w:shd w:val="clear" w:color="auto" w:fill="auto"/>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75</w:t>
                  </w:r>
                </w:p>
              </w:tc>
              <w:tc>
                <w:tcPr>
                  <w:tcW w:w="1979" w:type="dxa"/>
                  <w:tcBorders>
                    <w:top w:val="single" w:color="auto" w:sz="4" w:space="0"/>
                  </w:tcBorders>
                  <w:shd w:val="clear" w:color="auto" w:fill="auto"/>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0.0002 </w:t>
                  </w:r>
                </w:p>
              </w:tc>
              <w:tc>
                <w:tcPr>
                  <w:tcW w:w="2765" w:type="dxa"/>
                  <w:tcBorders>
                    <w:top w:val="single" w:color="auto" w:sz="4" w:space="0"/>
                  </w:tcBorders>
                  <w:shd w:val="clear" w:color="auto" w:fill="auto"/>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shd w:val="clear" w:color="auto" w:fill="auto"/>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100</w:t>
                  </w:r>
                </w:p>
              </w:tc>
              <w:tc>
                <w:tcPr>
                  <w:tcW w:w="1979" w:type="dxa"/>
                  <w:shd w:val="clear" w:color="auto" w:fill="auto"/>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0.0001 </w:t>
                  </w:r>
                </w:p>
              </w:tc>
              <w:tc>
                <w:tcPr>
                  <w:tcW w:w="2765" w:type="dxa"/>
                  <w:shd w:val="clear" w:color="auto" w:fill="auto"/>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125</w:t>
                  </w:r>
                </w:p>
              </w:tc>
              <w:tc>
                <w:tcPr>
                  <w:tcW w:w="1979"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0.0001 </w:t>
                  </w:r>
                </w:p>
              </w:tc>
              <w:tc>
                <w:tcPr>
                  <w:tcW w:w="2765"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150</w:t>
                  </w:r>
                </w:p>
              </w:tc>
              <w:tc>
                <w:tcPr>
                  <w:tcW w:w="1979"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0.0001 </w:t>
                  </w:r>
                </w:p>
              </w:tc>
              <w:tc>
                <w:tcPr>
                  <w:tcW w:w="2765"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175</w:t>
                  </w:r>
                </w:p>
              </w:tc>
              <w:tc>
                <w:tcPr>
                  <w:tcW w:w="1979"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0.0001 </w:t>
                  </w:r>
                </w:p>
              </w:tc>
              <w:tc>
                <w:tcPr>
                  <w:tcW w:w="2765"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200</w:t>
                  </w:r>
                </w:p>
              </w:tc>
              <w:tc>
                <w:tcPr>
                  <w:tcW w:w="1979"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0.0000 </w:t>
                  </w:r>
                </w:p>
              </w:tc>
              <w:tc>
                <w:tcPr>
                  <w:tcW w:w="2765"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225</w:t>
                  </w:r>
                </w:p>
              </w:tc>
              <w:tc>
                <w:tcPr>
                  <w:tcW w:w="1979"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0.0000 </w:t>
                  </w:r>
                </w:p>
              </w:tc>
              <w:tc>
                <w:tcPr>
                  <w:tcW w:w="2765"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250</w:t>
                  </w:r>
                </w:p>
              </w:tc>
              <w:tc>
                <w:tcPr>
                  <w:tcW w:w="1979"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0.0000 </w:t>
                  </w:r>
                </w:p>
              </w:tc>
              <w:tc>
                <w:tcPr>
                  <w:tcW w:w="2765"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275</w:t>
                  </w:r>
                </w:p>
              </w:tc>
              <w:tc>
                <w:tcPr>
                  <w:tcW w:w="1979"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0.0000 </w:t>
                  </w:r>
                </w:p>
              </w:tc>
              <w:tc>
                <w:tcPr>
                  <w:tcW w:w="2765"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300</w:t>
                  </w:r>
                </w:p>
              </w:tc>
              <w:tc>
                <w:tcPr>
                  <w:tcW w:w="1979"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0.0000 </w:t>
                  </w:r>
                </w:p>
              </w:tc>
              <w:tc>
                <w:tcPr>
                  <w:tcW w:w="2765"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325</w:t>
                  </w:r>
                </w:p>
              </w:tc>
              <w:tc>
                <w:tcPr>
                  <w:tcW w:w="1979"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0.0000 </w:t>
                  </w:r>
                </w:p>
              </w:tc>
              <w:tc>
                <w:tcPr>
                  <w:tcW w:w="2765"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350</w:t>
                  </w:r>
                </w:p>
              </w:tc>
              <w:tc>
                <w:tcPr>
                  <w:tcW w:w="1979"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0.0000 </w:t>
                  </w:r>
                </w:p>
              </w:tc>
              <w:tc>
                <w:tcPr>
                  <w:tcW w:w="2765"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375</w:t>
                  </w:r>
                </w:p>
              </w:tc>
              <w:tc>
                <w:tcPr>
                  <w:tcW w:w="1979"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0.0000 </w:t>
                  </w:r>
                </w:p>
              </w:tc>
              <w:tc>
                <w:tcPr>
                  <w:tcW w:w="2765"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400</w:t>
                  </w:r>
                </w:p>
              </w:tc>
              <w:tc>
                <w:tcPr>
                  <w:tcW w:w="1979"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0.0000 </w:t>
                  </w:r>
                </w:p>
              </w:tc>
              <w:tc>
                <w:tcPr>
                  <w:tcW w:w="2765"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425</w:t>
                  </w:r>
                </w:p>
              </w:tc>
              <w:tc>
                <w:tcPr>
                  <w:tcW w:w="1979"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0.0000 </w:t>
                  </w:r>
                </w:p>
              </w:tc>
              <w:tc>
                <w:tcPr>
                  <w:tcW w:w="2765"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450</w:t>
                  </w:r>
                </w:p>
              </w:tc>
              <w:tc>
                <w:tcPr>
                  <w:tcW w:w="1979"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0.0000 </w:t>
                  </w:r>
                </w:p>
              </w:tc>
              <w:tc>
                <w:tcPr>
                  <w:tcW w:w="2765"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475</w:t>
                  </w:r>
                </w:p>
              </w:tc>
              <w:tc>
                <w:tcPr>
                  <w:tcW w:w="1979"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0.0000 </w:t>
                  </w:r>
                </w:p>
              </w:tc>
              <w:tc>
                <w:tcPr>
                  <w:tcW w:w="2765"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57"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500</w:t>
                  </w:r>
                </w:p>
              </w:tc>
              <w:tc>
                <w:tcPr>
                  <w:tcW w:w="1979"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0.0000 </w:t>
                  </w:r>
                </w:p>
              </w:tc>
              <w:tc>
                <w:tcPr>
                  <w:tcW w:w="2765"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w:t>
                  </w:r>
                </w:p>
              </w:tc>
            </w:tr>
          </w:tbl>
          <w:p>
            <w:pPr>
              <w:pageBreakBefore w:val="0"/>
              <w:kinsoku/>
              <w:wordWrap/>
              <w:overflowPunct/>
              <w:topLinePunct w:val="0"/>
              <w:bidi w:val="0"/>
              <w:snapToGrid w:val="0"/>
              <w:spacing w:line="360" w:lineRule="auto"/>
              <w:rPr>
                <w:color w:val="auto"/>
                <w:sz w:val="24"/>
                <w:highlight w:val="none"/>
              </w:rPr>
            </w:pPr>
            <w:r>
              <w:rPr>
                <w:color w:val="auto"/>
                <w:sz w:val="24"/>
                <w:highlight w:val="none"/>
              </w:rPr>
              <w:t xml:space="preserve"> </w:t>
            </w:r>
            <w:r>
              <w:rPr>
                <w:rFonts w:hint="eastAsia"/>
                <w:color w:val="auto"/>
                <w:sz w:val="24"/>
                <w:highlight w:val="none"/>
              </w:rPr>
              <w:t>3、大气环境影响评价结果表达</w:t>
            </w:r>
          </w:p>
          <w:p>
            <w:pPr>
              <w:pageBreakBefore w:val="0"/>
              <w:kinsoku/>
              <w:wordWrap/>
              <w:overflowPunct/>
              <w:topLinePunct w:val="0"/>
              <w:bidi w:val="0"/>
              <w:snapToGrid w:val="0"/>
              <w:spacing w:line="360" w:lineRule="auto"/>
              <w:rPr>
                <w:color w:val="auto"/>
                <w:sz w:val="24"/>
                <w:highlight w:val="none"/>
              </w:rPr>
            </w:pPr>
            <w:r>
              <w:rPr>
                <w:color w:val="auto"/>
                <w:sz w:val="24"/>
                <w:highlight w:val="none"/>
              </w:rPr>
              <w:t xml:space="preserve">    </w:t>
            </w:r>
            <w:r>
              <w:rPr>
                <w:rFonts w:hint="eastAsia"/>
                <w:color w:val="auto"/>
                <w:sz w:val="24"/>
                <w:highlight w:val="none"/>
              </w:rPr>
              <w:t>项目运营期产生的大气污染物主要为</w:t>
            </w:r>
            <w:r>
              <w:rPr>
                <w:color w:val="auto"/>
                <w:sz w:val="24"/>
                <w:highlight w:val="none"/>
              </w:rPr>
              <w:t>VOCs</w:t>
            </w:r>
            <w:r>
              <w:rPr>
                <w:rFonts w:hint="eastAsia"/>
                <w:color w:val="auto"/>
                <w:sz w:val="24"/>
                <w:highlight w:val="none"/>
              </w:rPr>
              <w:t>，根据《环境影响评估技术导则－大气环境》（</w:t>
            </w:r>
            <w:r>
              <w:rPr>
                <w:color w:val="auto"/>
                <w:sz w:val="24"/>
                <w:highlight w:val="none"/>
              </w:rPr>
              <w:t>HJ2.2-2018</w:t>
            </w:r>
            <w:r>
              <w:rPr>
                <w:rFonts w:hint="eastAsia"/>
                <w:color w:val="auto"/>
                <w:sz w:val="24"/>
                <w:highlight w:val="none"/>
              </w:rPr>
              <w:t>），采用</w:t>
            </w:r>
            <w:r>
              <w:rPr>
                <w:color w:val="auto"/>
                <w:sz w:val="24"/>
                <w:highlight w:val="none"/>
              </w:rPr>
              <w:t>AERSCREEN</w:t>
            </w:r>
            <w:r>
              <w:rPr>
                <w:rFonts w:hint="eastAsia"/>
                <w:color w:val="auto"/>
                <w:sz w:val="24"/>
                <w:highlight w:val="none"/>
              </w:rPr>
              <w:t>模式计算项目各个大气污染源</w:t>
            </w:r>
            <w:r>
              <w:rPr>
                <w:color w:val="auto"/>
                <w:sz w:val="24"/>
                <w:highlight w:val="none"/>
              </w:rPr>
              <w:t>VOCs</w:t>
            </w:r>
            <w:r>
              <w:rPr>
                <w:rFonts w:hint="eastAsia"/>
                <w:color w:val="auto"/>
                <w:sz w:val="24"/>
                <w:highlight w:val="none"/>
              </w:rPr>
              <w:t>的最大地面空气质量浓度占标率，经计算，项目最大地面空气质量浓度占标率最大值</w:t>
            </w:r>
            <w:r>
              <w:rPr>
                <w:color w:val="auto"/>
                <w:sz w:val="24"/>
                <w:highlight w:val="none"/>
              </w:rPr>
              <w:t>Pmax</w:t>
            </w:r>
            <w:r>
              <w:rPr>
                <w:rFonts w:hint="eastAsia"/>
                <w:color w:val="auto"/>
                <w:sz w:val="24"/>
                <w:highlight w:val="none"/>
              </w:rPr>
              <w:t>为</w:t>
            </w:r>
            <w:r>
              <w:rPr>
                <w:color w:val="auto"/>
                <w:sz w:val="24"/>
                <w:highlight w:val="none"/>
              </w:rPr>
              <w:t>0.0</w:t>
            </w:r>
            <w:r>
              <w:rPr>
                <w:rFonts w:hint="eastAsia"/>
                <w:color w:val="auto"/>
                <w:sz w:val="24"/>
                <w:highlight w:val="none"/>
              </w:rPr>
              <w:t>9</w:t>
            </w:r>
            <w:r>
              <w:rPr>
                <w:color w:val="auto"/>
                <w:sz w:val="24"/>
                <w:highlight w:val="none"/>
              </w:rPr>
              <w:t>%</w:t>
            </w:r>
            <w:r>
              <w:rPr>
                <w:rFonts w:hint="eastAsia"/>
                <w:color w:val="auto"/>
                <w:sz w:val="24"/>
                <w:highlight w:val="none"/>
              </w:rPr>
              <w:t>，因此，本项目大气环境影响评价为三级评价。</w:t>
            </w:r>
          </w:p>
          <w:p>
            <w:pPr>
              <w:pStyle w:val="2"/>
              <w:pageBreakBefore w:val="0"/>
              <w:kinsoku/>
              <w:wordWrap/>
              <w:overflowPunct/>
              <w:topLinePunct w:val="0"/>
              <w:bidi w:val="0"/>
              <w:snapToGrid w:val="0"/>
              <w:rPr>
                <w:color w:val="auto"/>
                <w:highlight w:val="none"/>
              </w:rPr>
            </w:pPr>
            <w:r>
              <w:rPr>
                <w:b w:val="0"/>
                <w:bCs w:val="0"/>
                <w:color w:val="auto"/>
                <w:highlight w:val="none"/>
              </w:rPr>
              <w:drawing>
                <wp:inline distT="0" distB="0" distL="0" distR="0">
                  <wp:extent cx="5400675" cy="405892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a:srcRect l="8045" t="14286" r="49850" b="29461"/>
                          <a:stretch>
                            <a:fillRect/>
                          </a:stretch>
                        </pic:blipFill>
                        <pic:spPr>
                          <a:xfrm>
                            <a:off x="0" y="0"/>
                            <a:ext cx="5400675" cy="4059106"/>
                          </a:xfrm>
                          <a:prstGeom prst="rect">
                            <a:avLst/>
                          </a:prstGeom>
                          <a:noFill/>
                          <a:ln w="9525">
                            <a:noFill/>
                            <a:miter lim="800000"/>
                            <a:headEnd/>
                            <a:tailEnd/>
                          </a:ln>
                        </pic:spPr>
                      </pic:pic>
                    </a:graphicData>
                  </a:graphic>
                </wp:inline>
              </w:drawing>
            </w:r>
          </w:p>
          <w:p>
            <w:pPr>
              <w:pageBreakBefore w:val="0"/>
              <w:kinsoku/>
              <w:wordWrap/>
              <w:overflowPunct/>
              <w:topLinePunct w:val="0"/>
              <w:bidi w:val="0"/>
              <w:snapToGrid w:val="0"/>
              <w:spacing w:line="360" w:lineRule="auto"/>
              <w:ind w:firstLine="480"/>
              <w:rPr>
                <w:rFonts w:ascii="宋体" w:hAnsi="宋体"/>
                <w:color w:val="auto"/>
                <w:sz w:val="24"/>
                <w:highlight w:val="none"/>
              </w:rPr>
            </w:pPr>
            <w:r>
              <w:rPr>
                <w:rFonts w:hint="eastAsia" w:ascii="宋体" w:hAnsi="宋体"/>
                <w:color w:val="auto"/>
                <w:sz w:val="24"/>
                <w:highlight w:val="none"/>
              </w:rPr>
              <w:t>4、大气污染物排放量核算</w:t>
            </w:r>
          </w:p>
          <w:p>
            <w:pPr>
              <w:pageBreakBefore w:val="0"/>
              <w:kinsoku/>
              <w:wordWrap/>
              <w:overflowPunct/>
              <w:topLinePunct w:val="0"/>
              <w:bidi w:val="0"/>
              <w:snapToGrid w:val="0"/>
              <w:spacing w:line="360" w:lineRule="auto"/>
              <w:ind w:firstLine="480"/>
              <w:rPr>
                <w:rFonts w:ascii="宋体" w:hAnsi="宋体"/>
                <w:color w:val="auto"/>
                <w:sz w:val="24"/>
                <w:highlight w:val="none"/>
              </w:rPr>
            </w:pPr>
            <w:r>
              <w:rPr>
                <w:rFonts w:hint="eastAsia" w:ascii="宋体" w:hAnsi="宋体"/>
                <w:color w:val="auto"/>
                <w:sz w:val="24"/>
                <w:highlight w:val="none"/>
              </w:rPr>
              <w:t>项目大气污染物排放量核算见表7-5。</w:t>
            </w:r>
          </w:p>
          <w:p>
            <w:pPr>
              <w:pageBreakBefore w:val="0"/>
              <w:kinsoku/>
              <w:wordWrap/>
              <w:overflowPunct/>
              <w:topLinePunct w:val="0"/>
              <w:bidi w:val="0"/>
              <w:snapToGrid w:val="0"/>
              <w:spacing w:line="360" w:lineRule="auto"/>
              <w:ind w:firstLine="480"/>
              <w:jc w:val="center"/>
              <w:rPr>
                <w:rFonts w:ascii="黑体" w:hAnsi="黑体" w:eastAsia="黑体"/>
                <w:color w:val="auto"/>
                <w:sz w:val="24"/>
                <w:highlight w:val="none"/>
              </w:rPr>
            </w:pPr>
            <w:r>
              <w:rPr>
                <w:rFonts w:hint="eastAsia" w:ascii="黑体" w:hAnsi="黑体" w:eastAsia="黑体"/>
                <w:color w:val="auto"/>
                <w:sz w:val="24"/>
                <w:highlight w:val="none"/>
              </w:rPr>
              <w:t>表</w:t>
            </w:r>
            <w:r>
              <w:rPr>
                <w:rFonts w:ascii="黑体" w:hAnsi="黑体" w:eastAsia="黑体"/>
                <w:color w:val="auto"/>
                <w:sz w:val="24"/>
                <w:highlight w:val="none"/>
              </w:rPr>
              <w:t>7-</w:t>
            </w:r>
            <w:r>
              <w:rPr>
                <w:rFonts w:hint="eastAsia" w:ascii="黑体" w:hAnsi="黑体" w:eastAsia="黑体"/>
                <w:color w:val="auto"/>
                <w:sz w:val="24"/>
                <w:highlight w:val="none"/>
              </w:rPr>
              <w:t>5</w:t>
            </w:r>
            <w:r>
              <w:rPr>
                <w:rFonts w:ascii="黑体" w:hAnsi="黑体" w:eastAsia="黑体"/>
                <w:color w:val="auto"/>
                <w:sz w:val="24"/>
                <w:highlight w:val="none"/>
              </w:rPr>
              <w:t xml:space="preserve">  大气污染物排放量核算表</w:t>
            </w:r>
          </w:p>
          <w:tbl>
            <w:tblPr>
              <w:tblStyle w:val="27"/>
              <w:tblW w:w="765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938"/>
              <w:gridCol w:w="1417"/>
              <w:gridCol w:w="1364"/>
              <w:gridCol w:w="1471"/>
              <w:gridCol w:w="13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039" w:type="dxa"/>
                  <w:gridSpan w:val="2"/>
                  <w:tcBorders>
                    <w:top w:val="single" w:color="auto" w:sz="12" w:space="0"/>
                    <w:left w:val="single" w:color="auto" w:sz="12" w:space="0"/>
                    <w:bottom w:val="single" w:color="auto" w:sz="4" w:space="0"/>
                    <w:right w:val="single" w:color="auto" w:sz="4" w:space="0"/>
                  </w:tcBorders>
                  <w:vAlign w:val="center"/>
                </w:tcPr>
                <w:p>
                  <w:pPr>
                    <w:pageBreakBefore w:val="0"/>
                    <w:kinsoku/>
                    <w:wordWrap/>
                    <w:overflowPunct/>
                    <w:topLinePunct w:val="0"/>
                    <w:bidi w:val="0"/>
                    <w:adjustRightInd w:val="0"/>
                    <w:snapToGrid w:val="0"/>
                    <w:jc w:val="center"/>
                    <w:rPr>
                      <w:color w:val="auto"/>
                      <w:sz w:val="21"/>
                      <w:szCs w:val="21"/>
                      <w:highlight w:val="none"/>
                    </w:rPr>
                  </w:pPr>
                  <w:r>
                    <w:rPr>
                      <w:color w:val="auto"/>
                      <w:sz w:val="21"/>
                      <w:szCs w:val="21"/>
                      <w:highlight w:val="none"/>
                    </w:rPr>
                    <w:t>污染源</w:t>
                  </w:r>
                </w:p>
              </w:tc>
              <w:tc>
                <w:tcPr>
                  <w:tcW w:w="1417" w:type="dxa"/>
                  <w:tcBorders>
                    <w:top w:val="single" w:color="auto" w:sz="12" w:space="0"/>
                    <w:left w:val="single" w:color="auto" w:sz="4" w:space="0"/>
                    <w:bottom w:val="single" w:color="auto" w:sz="4" w:space="0"/>
                    <w:right w:val="single" w:color="auto" w:sz="4" w:space="0"/>
                  </w:tcBorders>
                  <w:vAlign w:val="center"/>
                </w:tcPr>
                <w:p>
                  <w:pPr>
                    <w:pageBreakBefore w:val="0"/>
                    <w:kinsoku/>
                    <w:wordWrap/>
                    <w:overflowPunct/>
                    <w:topLinePunct w:val="0"/>
                    <w:bidi w:val="0"/>
                    <w:adjustRightInd w:val="0"/>
                    <w:snapToGrid w:val="0"/>
                    <w:jc w:val="center"/>
                    <w:rPr>
                      <w:color w:val="auto"/>
                      <w:sz w:val="21"/>
                      <w:szCs w:val="21"/>
                      <w:highlight w:val="none"/>
                    </w:rPr>
                  </w:pPr>
                  <w:r>
                    <w:rPr>
                      <w:color w:val="auto"/>
                      <w:sz w:val="21"/>
                      <w:szCs w:val="21"/>
                      <w:highlight w:val="none"/>
                    </w:rPr>
                    <w:t>污染物</w:t>
                  </w:r>
                </w:p>
              </w:tc>
              <w:tc>
                <w:tcPr>
                  <w:tcW w:w="1364" w:type="dxa"/>
                  <w:tcBorders>
                    <w:top w:val="single" w:color="auto" w:sz="12" w:space="0"/>
                    <w:left w:val="single" w:color="auto" w:sz="4" w:space="0"/>
                    <w:bottom w:val="single" w:color="auto" w:sz="4" w:space="0"/>
                    <w:right w:val="single" w:color="auto" w:sz="4" w:space="0"/>
                  </w:tcBorders>
                  <w:vAlign w:val="center"/>
                </w:tcPr>
                <w:p>
                  <w:pPr>
                    <w:pageBreakBefore w:val="0"/>
                    <w:kinsoku/>
                    <w:wordWrap/>
                    <w:overflowPunct/>
                    <w:topLinePunct w:val="0"/>
                    <w:bidi w:val="0"/>
                    <w:adjustRightInd w:val="0"/>
                    <w:snapToGrid w:val="0"/>
                    <w:jc w:val="center"/>
                    <w:rPr>
                      <w:color w:val="auto"/>
                      <w:sz w:val="21"/>
                      <w:szCs w:val="21"/>
                      <w:highlight w:val="none"/>
                    </w:rPr>
                  </w:pPr>
                  <w:r>
                    <w:rPr>
                      <w:color w:val="auto"/>
                      <w:sz w:val="21"/>
                      <w:szCs w:val="21"/>
                      <w:highlight w:val="none"/>
                    </w:rPr>
                    <w:t>排放浓度</w:t>
                  </w:r>
                </w:p>
                <w:p>
                  <w:pPr>
                    <w:pageBreakBefore w:val="0"/>
                    <w:kinsoku/>
                    <w:wordWrap/>
                    <w:overflowPunct/>
                    <w:topLinePunct w:val="0"/>
                    <w:bidi w:val="0"/>
                    <w:adjustRightInd w:val="0"/>
                    <w:snapToGrid w:val="0"/>
                    <w:jc w:val="center"/>
                    <w:rPr>
                      <w:color w:val="auto"/>
                      <w:sz w:val="21"/>
                      <w:szCs w:val="21"/>
                      <w:highlight w:val="none"/>
                    </w:rPr>
                  </w:pPr>
                  <w:r>
                    <w:rPr>
                      <w:color w:val="auto"/>
                      <w:sz w:val="21"/>
                      <w:szCs w:val="21"/>
                      <w:highlight w:val="none"/>
                    </w:rPr>
                    <w:t>(</w:t>
                  </w:r>
                  <w:r>
                    <w:rPr>
                      <w:rFonts w:hint="eastAsia"/>
                      <w:color w:val="auto"/>
                      <w:sz w:val="21"/>
                      <w:szCs w:val="21"/>
                      <w:highlight w:val="none"/>
                    </w:rPr>
                    <w:t>μ</w:t>
                  </w:r>
                  <w:r>
                    <w:rPr>
                      <w:color w:val="auto"/>
                      <w:sz w:val="21"/>
                      <w:szCs w:val="21"/>
                      <w:highlight w:val="none"/>
                    </w:rPr>
                    <w:t>g/m</w:t>
                  </w:r>
                  <w:r>
                    <w:rPr>
                      <w:color w:val="auto"/>
                      <w:sz w:val="21"/>
                      <w:szCs w:val="21"/>
                      <w:highlight w:val="none"/>
                      <w:vertAlign w:val="superscript"/>
                    </w:rPr>
                    <w:t>3</w:t>
                  </w:r>
                  <w:r>
                    <w:rPr>
                      <w:color w:val="auto"/>
                      <w:sz w:val="21"/>
                      <w:szCs w:val="21"/>
                      <w:highlight w:val="none"/>
                    </w:rPr>
                    <w:t>)</w:t>
                  </w:r>
                </w:p>
              </w:tc>
              <w:tc>
                <w:tcPr>
                  <w:tcW w:w="1471" w:type="dxa"/>
                  <w:tcBorders>
                    <w:top w:val="single" w:color="auto" w:sz="12" w:space="0"/>
                    <w:left w:val="single" w:color="auto" w:sz="4" w:space="0"/>
                    <w:bottom w:val="single" w:color="auto" w:sz="4" w:space="0"/>
                    <w:right w:val="single" w:color="auto" w:sz="4" w:space="0"/>
                  </w:tcBorders>
                  <w:vAlign w:val="center"/>
                </w:tcPr>
                <w:p>
                  <w:pPr>
                    <w:pageBreakBefore w:val="0"/>
                    <w:kinsoku/>
                    <w:wordWrap/>
                    <w:overflowPunct/>
                    <w:topLinePunct w:val="0"/>
                    <w:bidi w:val="0"/>
                    <w:adjustRightInd w:val="0"/>
                    <w:snapToGrid w:val="0"/>
                    <w:jc w:val="center"/>
                    <w:rPr>
                      <w:color w:val="auto"/>
                      <w:sz w:val="21"/>
                      <w:szCs w:val="21"/>
                      <w:highlight w:val="none"/>
                    </w:rPr>
                  </w:pPr>
                  <w:r>
                    <w:rPr>
                      <w:color w:val="auto"/>
                      <w:sz w:val="21"/>
                      <w:szCs w:val="21"/>
                      <w:highlight w:val="none"/>
                    </w:rPr>
                    <w:t>排放速率（kg/h</w:t>
                  </w:r>
                  <w:r>
                    <w:rPr>
                      <w:rFonts w:ascii="宋体" w:hAnsi="宋体"/>
                      <w:color w:val="auto"/>
                      <w:sz w:val="21"/>
                      <w:szCs w:val="21"/>
                      <w:highlight w:val="none"/>
                    </w:rPr>
                    <w:t>）</w:t>
                  </w:r>
                </w:p>
              </w:tc>
              <w:tc>
                <w:tcPr>
                  <w:tcW w:w="1364" w:type="dxa"/>
                  <w:tcBorders>
                    <w:top w:val="single" w:color="auto" w:sz="12" w:space="0"/>
                    <w:left w:val="single" w:color="auto" w:sz="4" w:space="0"/>
                    <w:bottom w:val="single" w:color="auto" w:sz="4" w:space="0"/>
                    <w:right w:val="single" w:color="auto" w:sz="12" w:space="0"/>
                  </w:tcBorders>
                  <w:vAlign w:val="center"/>
                </w:tcPr>
                <w:p>
                  <w:pPr>
                    <w:pageBreakBefore w:val="0"/>
                    <w:kinsoku/>
                    <w:wordWrap/>
                    <w:overflowPunct/>
                    <w:topLinePunct w:val="0"/>
                    <w:bidi w:val="0"/>
                    <w:snapToGrid w:val="0"/>
                    <w:jc w:val="center"/>
                    <w:rPr>
                      <w:rFonts w:ascii="宋体" w:hAnsi="宋体"/>
                      <w:color w:val="auto"/>
                      <w:sz w:val="21"/>
                      <w:szCs w:val="21"/>
                      <w:highlight w:val="none"/>
                    </w:rPr>
                  </w:pPr>
                  <w:r>
                    <w:rPr>
                      <w:rFonts w:hint="eastAsia" w:ascii="宋体" w:hAnsi="宋体"/>
                      <w:color w:val="auto"/>
                      <w:sz w:val="21"/>
                      <w:szCs w:val="21"/>
                      <w:highlight w:val="none"/>
                    </w:rPr>
                    <w:t>年排放量</w:t>
                  </w:r>
                </w:p>
                <w:p>
                  <w:pPr>
                    <w:pageBreakBefore w:val="0"/>
                    <w:kinsoku/>
                    <w:wordWrap/>
                    <w:overflowPunct/>
                    <w:topLinePunct w:val="0"/>
                    <w:bidi w:val="0"/>
                    <w:snapToGrid w:val="0"/>
                    <w:jc w:val="center"/>
                    <w:rPr>
                      <w:color w:val="auto"/>
                      <w:sz w:val="21"/>
                      <w:szCs w:val="21"/>
                      <w:highlight w:val="none"/>
                    </w:rPr>
                  </w:pPr>
                  <w:r>
                    <w:rPr>
                      <w:rFonts w:hint="eastAsia" w:ascii="宋体" w:hAnsi="宋体"/>
                      <w:color w:val="auto"/>
                      <w:sz w:val="21"/>
                      <w:szCs w:val="21"/>
                      <w:highlight w:val="none"/>
                    </w:rPr>
                    <w:t>（</w:t>
                  </w:r>
                  <w:r>
                    <w:rPr>
                      <w:rFonts w:hint="eastAsia"/>
                      <w:color w:val="auto"/>
                      <w:sz w:val="21"/>
                      <w:szCs w:val="21"/>
                      <w:highlight w:val="none"/>
                      <w:lang w:val="en-US" w:eastAsia="zh-CN"/>
                    </w:rPr>
                    <w:t>kg</w:t>
                  </w:r>
                  <w:r>
                    <w:rPr>
                      <w:rFonts w:hint="eastAsia"/>
                      <w:color w:val="auto"/>
                      <w:sz w:val="21"/>
                      <w:szCs w:val="21"/>
                      <w:highlight w:val="none"/>
                    </w:rPr>
                    <w:t>/a</w:t>
                  </w:r>
                  <w:r>
                    <w:rPr>
                      <w:rFonts w:hint="eastAsia" w:ascii="宋体" w:hAnsi="宋体"/>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101" w:type="dxa"/>
                  <w:tcBorders>
                    <w:top w:val="single" w:color="auto" w:sz="12" w:space="0"/>
                    <w:left w:val="single" w:color="auto" w:sz="12" w:space="0"/>
                    <w:bottom w:val="single" w:color="auto" w:sz="12" w:space="0"/>
                    <w:right w:val="single" w:color="auto" w:sz="4" w:space="0"/>
                  </w:tcBorders>
                  <w:vAlign w:val="center"/>
                </w:tcPr>
                <w:p>
                  <w:pPr>
                    <w:pageBreakBefore w:val="0"/>
                    <w:kinsoku/>
                    <w:wordWrap/>
                    <w:overflowPunct/>
                    <w:topLinePunct w:val="0"/>
                    <w:bidi w:val="0"/>
                    <w:adjustRightInd w:val="0"/>
                    <w:snapToGrid w:val="0"/>
                    <w:jc w:val="center"/>
                    <w:rPr>
                      <w:color w:val="auto"/>
                      <w:sz w:val="21"/>
                      <w:szCs w:val="21"/>
                      <w:highlight w:val="none"/>
                    </w:rPr>
                  </w:pPr>
                  <w:r>
                    <w:rPr>
                      <w:rFonts w:hint="eastAsia" w:ascii="宋体" w:hAnsi="宋体"/>
                      <w:color w:val="auto"/>
                      <w:sz w:val="21"/>
                      <w:szCs w:val="21"/>
                      <w:highlight w:val="none"/>
                    </w:rPr>
                    <w:t>有组织</w:t>
                  </w:r>
                </w:p>
              </w:tc>
              <w:tc>
                <w:tcPr>
                  <w:tcW w:w="938" w:type="dxa"/>
                  <w:tcBorders>
                    <w:top w:val="single" w:color="auto" w:sz="12" w:space="0"/>
                    <w:left w:val="single" w:color="auto" w:sz="12" w:space="0"/>
                    <w:bottom w:val="single" w:color="auto" w:sz="12" w:space="0"/>
                    <w:right w:val="single" w:color="auto" w:sz="4" w:space="0"/>
                  </w:tcBorders>
                  <w:vAlign w:val="center"/>
                </w:tcPr>
                <w:p>
                  <w:pPr>
                    <w:pageBreakBefore w:val="0"/>
                    <w:kinsoku/>
                    <w:wordWrap/>
                    <w:overflowPunct/>
                    <w:topLinePunct w:val="0"/>
                    <w:bidi w:val="0"/>
                    <w:adjustRightInd w:val="0"/>
                    <w:snapToGrid w:val="0"/>
                    <w:jc w:val="center"/>
                    <w:rPr>
                      <w:color w:val="auto"/>
                      <w:sz w:val="21"/>
                      <w:szCs w:val="21"/>
                      <w:highlight w:val="none"/>
                    </w:rPr>
                  </w:pPr>
                  <w:r>
                    <w:rPr>
                      <w:rFonts w:hint="eastAsia" w:ascii="宋体" w:hAnsi="宋体"/>
                      <w:color w:val="auto"/>
                      <w:sz w:val="21"/>
                      <w:szCs w:val="21"/>
                      <w:highlight w:val="none"/>
                    </w:rPr>
                    <w:t>排气筒</w:t>
                  </w:r>
                </w:p>
              </w:tc>
              <w:tc>
                <w:tcPr>
                  <w:tcW w:w="1417" w:type="dxa"/>
                  <w:tcBorders>
                    <w:top w:val="single" w:color="auto" w:sz="12" w:space="0"/>
                    <w:left w:val="single" w:color="auto" w:sz="4" w:space="0"/>
                    <w:bottom w:val="single" w:color="auto" w:sz="12" w:space="0"/>
                    <w:right w:val="single" w:color="auto" w:sz="4" w:space="0"/>
                  </w:tcBorders>
                  <w:vAlign w:val="center"/>
                </w:tcPr>
                <w:p>
                  <w:pPr>
                    <w:pageBreakBefore w:val="0"/>
                    <w:kinsoku/>
                    <w:wordWrap/>
                    <w:overflowPunct/>
                    <w:topLinePunct w:val="0"/>
                    <w:bidi w:val="0"/>
                    <w:adjustRightInd w:val="0"/>
                    <w:snapToGrid w:val="0"/>
                    <w:jc w:val="center"/>
                    <w:rPr>
                      <w:color w:val="auto"/>
                      <w:sz w:val="21"/>
                      <w:szCs w:val="21"/>
                      <w:highlight w:val="none"/>
                    </w:rPr>
                  </w:pPr>
                  <w:r>
                    <w:rPr>
                      <w:rFonts w:hint="eastAsia"/>
                      <w:color w:val="auto"/>
                      <w:sz w:val="21"/>
                      <w:szCs w:val="21"/>
                      <w:highlight w:val="none"/>
                    </w:rPr>
                    <w:t>VOCs</w:t>
                  </w:r>
                </w:p>
              </w:tc>
              <w:tc>
                <w:tcPr>
                  <w:tcW w:w="1364" w:type="dxa"/>
                  <w:tcBorders>
                    <w:top w:val="single" w:color="auto" w:sz="12" w:space="0"/>
                    <w:left w:val="single" w:color="auto" w:sz="4" w:space="0"/>
                    <w:bottom w:val="single" w:color="auto" w:sz="12" w:space="0"/>
                    <w:right w:val="single" w:color="auto" w:sz="4" w:space="0"/>
                  </w:tcBorders>
                  <w:vAlign w:val="center"/>
                </w:tcPr>
                <w:p>
                  <w:pPr>
                    <w:pageBreakBefore w:val="0"/>
                    <w:kinsoku/>
                    <w:wordWrap/>
                    <w:overflowPunct/>
                    <w:topLinePunct w:val="0"/>
                    <w:bidi w:val="0"/>
                    <w:adjustRightInd w:val="0"/>
                    <w:snapToGrid w:val="0"/>
                    <w:jc w:val="center"/>
                    <w:rPr>
                      <w:color w:val="auto"/>
                      <w:sz w:val="21"/>
                      <w:szCs w:val="21"/>
                      <w:highlight w:val="none"/>
                    </w:rPr>
                  </w:pPr>
                  <w:r>
                    <w:rPr>
                      <w:rFonts w:hint="eastAsia"/>
                      <w:bCs/>
                      <w:color w:val="auto"/>
                      <w:sz w:val="21"/>
                      <w:szCs w:val="21"/>
                      <w:highlight w:val="none"/>
                    </w:rPr>
                    <w:t>930</w:t>
                  </w:r>
                </w:p>
              </w:tc>
              <w:tc>
                <w:tcPr>
                  <w:tcW w:w="1471" w:type="dxa"/>
                  <w:tcBorders>
                    <w:top w:val="single" w:color="auto" w:sz="12" w:space="0"/>
                    <w:left w:val="single" w:color="auto" w:sz="4" w:space="0"/>
                    <w:bottom w:val="single" w:color="auto" w:sz="12" w:space="0"/>
                    <w:right w:val="single" w:color="auto" w:sz="4" w:space="0"/>
                  </w:tcBorders>
                  <w:vAlign w:val="center"/>
                </w:tcPr>
                <w:p>
                  <w:pPr>
                    <w:pageBreakBefore w:val="0"/>
                    <w:kinsoku/>
                    <w:wordWrap/>
                    <w:overflowPunct/>
                    <w:topLinePunct w:val="0"/>
                    <w:bidi w:val="0"/>
                    <w:adjustRightInd w:val="0"/>
                    <w:snapToGrid w:val="0"/>
                    <w:jc w:val="center"/>
                    <w:rPr>
                      <w:color w:val="auto"/>
                      <w:sz w:val="21"/>
                      <w:szCs w:val="21"/>
                      <w:highlight w:val="none"/>
                    </w:rPr>
                  </w:pPr>
                  <w:r>
                    <w:rPr>
                      <w:rFonts w:hint="eastAsia"/>
                      <w:bCs/>
                      <w:color w:val="auto"/>
                      <w:sz w:val="21"/>
                      <w:szCs w:val="21"/>
                      <w:highlight w:val="none"/>
                    </w:rPr>
                    <w:t>0.012</w:t>
                  </w:r>
                </w:p>
              </w:tc>
              <w:tc>
                <w:tcPr>
                  <w:tcW w:w="1364" w:type="dxa"/>
                  <w:tcBorders>
                    <w:top w:val="single" w:color="auto" w:sz="12" w:space="0"/>
                    <w:left w:val="single" w:color="auto" w:sz="4" w:space="0"/>
                    <w:bottom w:val="single" w:color="auto" w:sz="12" w:space="0"/>
                    <w:right w:val="single" w:color="auto" w:sz="12" w:space="0"/>
                  </w:tcBorders>
                  <w:vAlign w:val="center"/>
                </w:tcPr>
                <w:p>
                  <w:pPr>
                    <w:pageBreakBefore w:val="0"/>
                    <w:kinsoku/>
                    <w:wordWrap/>
                    <w:overflowPunct/>
                    <w:topLinePunct w:val="0"/>
                    <w:bidi w:val="0"/>
                    <w:snapToGrid w:val="0"/>
                    <w:jc w:val="center"/>
                    <w:rPr>
                      <w:rFonts w:ascii="宋体" w:hAnsi="宋体"/>
                      <w:color w:val="auto"/>
                      <w:sz w:val="21"/>
                      <w:szCs w:val="21"/>
                      <w:highlight w:val="none"/>
                    </w:rPr>
                  </w:pPr>
                  <w:r>
                    <w:rPr>
                      <w:rFonts w:hint="eastAsia"/>
                      <w:color w:val="auto"/>
                      <w:sz w:val="21"/>
                      <w:szCs w:val="21"/>
                      <w:highlight w:val="none"/>
                    </w:rPr>
                    <w:t>13.77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101" w:type="dxa"/>
                  <w:tcBorders>
                    <w:top w:val="single" w:color="auto" w:sz="12" w:space="0"/>
                    <w:left w:val="single" w:color="auto" w:sz="12" w:space="0"/>
                    <w:bottom w:val="single" w:color="auto" w:sz="12" w:space="0"/>
                    <w:right w:val="single" w:color="auto" w:sz="4" w:space="0"/>
                  </w:tcBorders>
                  <w:vAlign w:val="center"/>
                </w:tcPr>
                <w:p>
                  <w:pPr>
                    <w:pageBreakBefore w:val="0"/>
                    <w:kinsoku/>
                    <w:wordWrap/>
                    <w:overflowPunct/>
                    <w:topLinePunct w:val="0"/>
                    <w:bidi w:val="0"/>
                    <w:adjustRightInd w:val="0"/>
                    <w:snapToGrid w:val="0"/>
                    <w:jc w:val="center"/>
                    <w:rPr>
                      <w:rFonts w:ascii="宋体" w:hAnsi="宋体"/>
                      <w:color w:val="auto"/>
                      <w:sz w:val="21"/>
                      <w:szCs w:val="21"/>
                      <w:highlight w:val="none"/>
                    </w:rPr>
                  </w:pPr>
                  <w:r>
                    <w:rPr>
                      <w:rFonts w:hint="eastAsia" w:ascii="宋体" w:hAnsi="宋体"/>
                      <w:color w:val="auto"/>
                      <w:sz w:val="21"/>
                      <w:szCs w:val="21"/>
                      <w:highlight w:val="none"/>
                    </w:rPr>
                    <w:t>无组织</w:t>
                  </w:r>
                </w:p>
              </w:tc>
              <w:tc>
                <w:tcPr>
                  <w:tcW w:w="938" w:type="dxa"/>
                  <w:tcBorders>
                    <w:top w:val="single" w:color="auto" w:sz="12" w:space="0"/>
                    <w:left w:val="single" w:color="auto" w:sz="12" w:space="0"/>
                    <w:bottom w:val="single" w:color="auto" w:sz="12" w:space="0"/>
                    <w:right w:val="single" w:color="auto" w:sz="4" w:space="0"/>
                  </w:tcBorders>
                  <w:vAlign w:val="center"/>
                </w:tcPr>
                <w:p>
                  <w:pPr>
                    <w:pageBreakBefore w:val="0"/>
                    <w:kinsoku/>
                    <w:wordWrap/>
                    <w:overflowPunct/>
                    <w:topLinePunct w:val="0"/>
                    <w:bidi w:val="0"/>
                    <w:adjustRightInd w:val="0"/>
                    <w:snapToGrid w:val="0"/>
                    <w:jc w:val="center"/>
                    <w:rPr>
                      <w:rFonts w:ascii="宋体" w:hAnsi="宋体"/>
                      <w:color w:val="auto"/>
                      <w:sz w:val="21"/>
                      <w:szCs w:val="21"/>
                      <w:highlight w:val="none"/>
                    </w:rPr>
                  </w:pPr>
                  <w:r>
                    <w:rPr>
                      <w:rFonts w:hint="eastAsia" w:ascii="宋体" w:hAnsi="宋体"/>
                      <w:color w:val="auto"/>
                      <w:sz w:val="21"/>
                      <w:szCs w:val="21"/>
                      <w:highlight w:val="none"/>
                    </w:rPr>
                    <w:t>/</w:t>
                  </w:r>
                </w:p>
              </w:tc>
              <w:tc>
                <w:tcPr>
                  <w:tcW w:w="1417" w:type="dxa"/>
                  <w:tcBorders>
                    <w:top w:val="single" w:color="auto" w:sz="12" w:space="0"/>
                    <w:left w:val="single" w:color="auto" w:sz="4" w:space="0"/>
                    <w:bottom w:val="single" w:color="auto" w:sz="12" w:space="0"/>
                    <w:right w:val="single" w:color="auto" w:sz="4" w:space="0"/>
                  </w:tcBorders>
                  <w:vAlign w:val="center"/>
                </w:tcPr>
                <w:p>
                  <w:pPr>
                    <w:pageBreakBefore w:val="0"/>
                    <w:kinsoku/>
                    <w:wordWrap/>
                    <w:overflowPunct/>
                    <w:topLinePunct w:val="0"/>
                    <w:bidi w:val="0"/>
                    <w:adjustRightInd w:val="0"/>
                    <w:snapToGrid w:val="0"/>
                    <w:jc w:val="center"/>
                    <w:rPr>
                      <w:color w:val="auto"/>
                      <w:sz w:val="21"/>
                      <w:szCs w:val="21"/>
                      <w:highlight w:val="none"/>
                    </w:rPr>
                  </w:pPr>
                  <w:r>
                    <w:rPr>
                      <w:rFonts w:hint="eastAsia"/>
                      <w:color w:val="auto"/>
                      <w:sz w:val="21"/>
                      <w:szCs w:val="21"/>
                      <w:highlight w:val="none"/>
                    </w:rPr>
                    <w:t>/</w:t>
                  </w:r>
                </w:p>
              </w:tc>
              <w:tc>
                <w:tcPr>
                  <w:tcW w:w="1364" w:type="dxa"/>
                  <w:tcBorders>
                    <w:top w:val="single" w:color="auto" w:sz="12" w:space="0"/>
                    <w:left w:val="single" w:color="auto" w:sz="4" w:space="0"/>
                    <w:bottom w:val="single" w:color="auto" w:sz="12" w:space="0"/>
                    <w:right w:val="single" w:color="auto" w:sz="4" w:space="0"/>
                  </w:tcBorders>
                  <w:vAlign w:val="center"/>
                </w:tcPr>
                <w:p>
                  <w:pPr>
                    <w:pageBreakBefore w:val="0"/>
                    <w:kinsoku/>
                    <w:wordWrap/>
                    <w:overflowPunct/>
                    <w:topLinePunct w:val="0"/>
                    <w:bidi w:val="0"/>
                    <w:adjustRightInd w:val="0"/>
                    <w:snapToGrid w:val="0"/>
                    <w:jc w:val="center"/>
                    <w:rPr>
                      <w:bCs/>
                      <w:color w:val="auto"/>
                      <w:sz w:val="21"/>
                      <w:szCs w:val="21"/>
                      <w:highlight w:val="none"/>
                    </w:rPr>
                  </w:pPr>
                  <w:r>
                    <w:rPr>
                      <w:rFonts w:hint="eastAsia"/>
                      <w:bCs/>
                      <w:color w:val="auto"/>
                      <w:sz w:val="21"/>
                      <w:szCs w:val="21"/>
                      <w:highlight w:val="none"/>
                    </w:rPr>
                    <w:t>/</w:t>
                  </w:r>
                </w:p>
              </w:tc>
              <w:tc>
                <w:tcPr>
                  <w:tcW w:w="1471" w:type="dxa"/>
                  <w:tcBorders>
                    <w:top w:val="single" w:color="auto" w:sz="12" w:space="0"/>
                    <w:left w:val="single" w:color="auto" w:sz="4" w:space="0"/>
                    <w:bottom w:val="single" w:color="auto" w:sz="12" w:space="0"/>
                    <w:right w:val="single" w:color="auto" w:sz="4" w:space="0"/>
                  </w:tcBorders>
                  <w:vAlign w:val="center"/>
                </w:tcPr>
                <w:p>
                  <w:pPr>
                    <w:pageBreakBefore w:val="0"/>
                    <w:kinsoku/>
                    <w:wordWrap/>
                    <w:overflowPunct/>
                    <w:topLinePunct w:val="0"/>
                    <w:bidi w:val="0"/>
                    <w:adjustRightInd w:val="0"/>
                    <w:snapToGrid w:val="0"/>
                    <w:jc w:val="center"/>
                    <w:rPr>
                      <w:bCs/>
                      <w:color w:val="auto"/>
                      <w:sz w:val="21"/>
                      <w:szCs w:val="21"/>
                      <w:highlight w:val="none"/>
                    </w:rPr>
                  </w:pPr>
                  <w:r>
                    <w:rPr>
                      <w:rFonts w:hint="eastAsia"/>
                      <w:bCs/>
                      <w:color w:val="auto"/>
                      <w:sz w:val="21"/>
                      <w:szCs w:val="21"/>
                      <w:highlight w:val="none"/>
                    </w:rPr>
                    <w:t>/</w:t>
                  </w:r>
                </w:p>
              </w:tc>
              <w:tc>
                <w:tcPr>
                  <w:tcW w:w="1364" w:type="dxa"/>
                  <w:tcBorders>
                    <w:top w:val="single" w:color="auto" w:sz="12" w:space="0"/>
                    <w:left w:val="single" w:color="auto" w:sz="4" w:space="0"/>
                    <w:bottom w:val="single" w:color="auto" w:sz="12" w:space="0"/>
                    <w:right w:val="single" w:color="auto" w:sz="12" w:space="0"/>
                  </w:tcBorders>
                  <w:vAlign w:val="center"/>
                </w:tcPr>
                <w:p>
                  <w:pPr>
                    <w:pageBreakBefore w:val="0"/>
                    <w:kinsoku/>
                    <w:wordWrap/>
                    <w:overflowPunct/>
                    <w:topLinePunct w:val="0"/>
                    <w:bidi w:val="0"/>
                    <w:snapToGrid w:val="0"/>
                    <w:jc w:val="center"/>
                    <w:rPr>
                      <w:color w:val="auto"/>
                      <w:sz w:val="21"/>
                      <w:szCs w:val="21"/>
                      <w:highlight w:val="none"/>
                    </w:rPr>
                  </w:pPr>
                  <w:r>
                    <w:rPr>
                      <w:rFonts w:hint="eastAsia"/>
                      <w:color w:val="auto"/>
                      <w:sz w:val="21"/>
                      <w:szCs w:val="21"/>
                      <w:highlight w:val="none"/>
                    </w:rPr>
                    <w:t>10.20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101" w:type="dxa"/>
                  <w:tcBorders>
                    <w:top w:val="single" w:color="auto" w:sz="12" w:space="0"/>
                    <w:left w:val="single" w:color="auto" w:sz="12" w:space="0"/>
                    <w:bottom w:val="single" w:color="auto" w:sz="12" w:space="0"/>
                    <w:right w:val="single" w:color="auto" w:sz="4" w:space="0"/>
                  </w:tcBorders>
                  <w:vAlign w:val="center"/>
                </w:tcPr>
                <w:p>
                  <w:pPr>
                    <w:pageBreakBefore w:val="0"/>
                    <w:kinsoku/>
                    <w:wordWrap/>
                    <w:overflowPunct/>
                    <w:topLinePunct w:val="0"/>
                    <w:bidi w:val="0"/>
                    <w:adjustRightInd w:val="0"/>
                    <w:snapToGrid w:val="0"/>
                    <w:jc w:val="center"/>
                    <w:rPr>
                      <w:rFonts w:ascii="宋体" w:hAnsi="宋体"/>
                      <w:color w:val="auto"/>
                      <w:sz w:val="21"/>
                      <w:szCs w:val="21"/>
                      <w:highlight w:val="none"/>
                    </w:rPr>
                  </w:pPr>
                  <w:r>
                    <w:rPr>
                      <w:rFonts w:hint="eastAsia" w:ascii="宋体" w:hAnsi="宋体"/>
                      <w:color w:val="auto"/>
                      <w:sz w:val="21"/>
                      <w:szCs w:val="21"/>
                      <w:highlight w:val="none"/>
                    </w:rPr>
                    <w:t>合计</w:t>
                  </w:r>
                </w:p>
              </w:tc>
              <w:tc>
                <w:tcPr>
                  <w:tcW w:w="938" w:type="dxa"/>
                  <w:tcBorders>
                    <w:top w:val="single" w:color="auto" w:sz="12" w:space="0"/>
                    <w:left w:val="single" w:color="auto" w:sz="12" w:space="0"/>
                    <w:bottom w:val="single" w:color="auto" w:sz="12" w:space="0"/>
                    <w:right w:val="single" w:color="auto" w:sz="4" w:space="0"/>
                  </w:tcBorders>
                  <w:vAlign w:val="center"/>
                </w:tcPr>
                <w:p>
                  <w:pPr>
                    <w:pageBreakBefore w:val="0"/>
                    <w:kinsoku/>
                    <w:wordWrap/>
                    <w:overflowPunct/>
                    <w:topLinePunct w:val="0"/>
                    <w:bidi w:val="0"/>
                    <w:adjustRightInd w:val="0"/>
                    <w:snapToGrid w:val="0"/>
                    <w:jc w:val="center"/>
                    <w:rPr>
                      <w:rFonts w:ascii="宋体" w:hAnsi="宋体"/>
                      <w:color w:val="auto"/>
                      <w:sz w:val="21"/>
                      <w:szCs w:val="21"/>
                      <w:highlight w:val="none"/>
                    </w:rPr>
                  </w:pPr>
                </w:p>
              </w:tc>
              <w:tc>
                <w:tcPr>
                  <w:tcW w:w="1417" w:type="dxa"/>
                  <w:tcBorders>
                    <w:top w:val="single" w:color="auto" w:sz="12" w:space="0"/>
                    <w:left w:val="single" w:color="auto" w:sz="4" w:space="0"/>
                    <w:bottom w:val="single" w:color="auto" w:sz="12" w:space="0"/>
                    <w:right w:val="single" w:color="auto" w:sz="4" w:space="0"/>
                  </w:tcBorders>
                  <w:vAlign w:val="center"/>
                </w:tcPr>
                <w:p>
                  <w:pPr>
                    <w:pageBreakBefore w:val="0"/>
                    <w:kinsoku/>
                    <w:wordWrap/>
                    <w:overflowPunct/>
                    <w:topLinePunct w:val="0"/>
                    <w:bidi w:val="0"/>
                    <w:adjustRightInd w:val="0"/>
                    <w:snapToGrid w:val="0"/>
                    <w:jc w:val="center"/>
                    <w:rPr>
                      <w:color w:val="auto"/>
                      <w:sz w:val="21"/>
                      <w:szCs w:val="21"/>
                      <w:highlight w:val="none"/>
                    </w:rPr>
                  </w:pPr>
                  <w:r>
                    <w:rPr>
                      <w:rFonts w:hint="eastAsia"/>
                      <w:color w:val="auto"/>
                      <w:sz w:val="21"/>
                      <w:szCs w:val="21"/>
                      <w:highlight w:val="none"/>
                    </w:rPr>
                    <w:t>VOCs</w:t>
                  </w:r>
                </w:p>
              </w:tc>
              <w:tc>
                <w:tcPr>
                  <w:tcW w:w="1364" w:type="dxa"/>
                  <w:tcBorders>
                    <w:top w:val="single" w:color="auto" w:sz="12" w:space="0"/>
                    <w:left w:val="single" w:color="auto" w:sz="4" w:space="0"/>
                    <w:bottom w:val="single" w:color="auto" w:sz="12" w:space="0"/>
                    <w:right w:val="single" w:color="auto" w:sz="4" w:space="0"/>
                  </w:tcBorders>
                  <w:vAlign w:val="center"/>
                </w:tcPr>
                <w:p>
                  <w:pPr>
                    <w:pageBreakBefore w:val="0"/>
                    <w:kinsoku/>
                    <w:wordWrap/>
                    <w:overflowPunct/>
                    <w:topLinePunct w:val="0"/>
                    <w:bidi w:val="0"/>
                    <w:adjustRightInd w:val="0"/>
                    <w:snapToGrid w:val="0"/>
                    <w:jc w:val="center"/>
                    <w:rPr>
                      <w:color w:val="auto"/>
                      <w:sz w:val="21"/>
                      <w:szCs w:val="21"/>
                      <w:highlight w:val="none"/>
                    </w:rPr>
                  </w:pPr>
                  <w:r>
                    <w:rPr>
                      <w:rFonts w:hint="eastAsia"/>
                      <w:bCs/>
                      <w:color w:val="auto"/>
                      <w:sz w:val="21"/>
                      <w:szCs w:val="21"/>
                      <w:highlight w:val="none"/>
                    </w:rPr>
                    <w:t>/</w:t>
                  </w:r>
                </w:p>
              </w:tc>
              <w:tc>
                <w:tcPr>
                  <w:tcW w:w="1471" w:type="dxa"/>
                  <w:tcBorders>
                    <w:top w:val="single" w:color="auto" w:sz="12" w:space="0"/>
                    <w:left w:val="single" w:color="auto" w:sz="4" w:space="0"/>
                    <w:bottom w:val="single" w:color="auto" w:sz="12" w:space="0"/>
                    <w:right w:val="single" w:color="auto" w:sz="4" w:space="0"/>
                  </w:tcBorders>
                  <w:vAlign w:val="center"/>
                </w:tcPr>
                <w:p>
                  <w:pPr>
                    <w:pageBreakBefore w:val="0"/>
                    <w:kinsoku/>
                    <w:wordWrap/>
                    <w:overflowPunct/>
                    <w:topLinePunct w:val="0"/>
                    <w:bidi w:val="0"/>
                    <w:adjustRightInd w:val="0"/>
                    <w:snapToGrid w:val="0"/>
                    <w:jc w:val="center"/>
                    <w:rPr>
                      <w:color w:val="auto"/>
                      <w:sz w:val="21"/>
                      <w:szCs w:val="21"/>
                      <w:highlight w:val="none"/>
                    </w:rPr>
                  </w:pPr>
                  <w:r>
                    <w:rPr>
                      <w:rFonts w:hint="eastAsia"/>
                      <w:bCs/>
                      <w:color w:val="auto"/>
                      <w:sz w:val="21"/>
                      <w:szCs w:val="21"/>
                      <w:highlight w:val="none"/>
                    </w:rPr>
                    <w:t>/</w:t>
                  </w:r>
                </w:p>
              </w:tc>
              <w:tc>
                <w:tcPr>
                  <w:tcW w:w="1364" w:type="dxa"/>
                  <w:tcBorders>
                    <w:top w:val="single" w:color="auto" w:sz="12" w:space="0"/>
                    <w:left w:val="single" w:color="auto" w:sz="4" w:space="0"/>
                    <w:bottom w:val="single" w:color="auto" w:sz="12" w:space="0"/>
                    <w:right w:val="single" w:color="auto" w:sz="12" w:space="0"/>
                  </w:tcBorders>
                  <w:vAlign w:val="center"/>
                </w:tcPr>
                <w:p>
                  <w:pPr>
                    <w:pageBreakBefore w:val="0"/>
                    <w:kinsoku/>
                    <w:wordWrap/>
                    <w:overflowPunct/>
                    <w:topLinePunct w:val="0"/>
                    <w:bidi w:val="0"/>
                    <w:snapToGrid w:val="0"/>
                    <w:jc w:val="center"/>
                    <w:rPr>
                      <w:color w:val="auto"/>
                      <w:sz w:val="21"/>
                      <w:szCs w:val="21"/>
                      <w:highlight w:val="none"/>
                    </w:rPr>
                  </w:pPr>
                  <w:r>
                    <w:rPr>
                      <w:rFonts w:hint="eastAsia"/>
                      <w:color w:val="auto"/>
                      <w:sz w:val="21"/>
                      <w:szCs w:val="21"/>
                      <w:highlight w:val="none"/>
                    </w:rPr>
                    <w:t>23.97</w:t>
                  </w:r>
                </w:p>
              </w:tc>
            </w:tr>
          </w:tbl>
          <w:p>
            <w:pPr>
              <w:pageBreakBefore w:val="0"/>
              <w:kinsoku/>
              <w:wordWrap/>
              <w:overflowPunct/>
              <w:topLinePunct w:val="0"/>
              <w:bidi w:val="0"/>
              <w:snapToGrid w:val="0"/>
              <w:rPr>
                <w:color w:val="auto"/>
                <w:highlight w:val="none"/>
              </w:rPr>
            </w:pPr>
          </w:p>
          <w:p>
            <w:pPr>
              <w:pageBreakBefore w:val="0"/>
              <w:kinsoku/>
              <w:wordWrap/>
              <w:overflowPunct/>
              <w:topLinePunct w:val="0"/>
              <w:autoSpaceDE w:val="0"/>
              <w:autoSpaceDN w:val="0"/>
              <w:bidi w:val="0"/>
              <w:adjustRightInd w:val="0"/>
              <w:snapToGrid w:val="0"/>
              <w:spacing w:line="360" w:lineRule="auto"/>
              <w:ind w:firstLine="470" w:firstLineChars="196"/>
              <w:jc w:val="left"/>
              <w:rPr>
                <w:rFonts w:ascii="宋体" w:hAnsi="宋体"/>
                <w:color w:val="auto"/>
                <w:sz w:val="24"/>
                <w:highlight w:val="none"/>
              </w:rPr>
            </w:pPr>
            <w:r>
              <w:rPr>
                <w:rFonts w:hint="eastAsia" w:ascii="宋体" w:hAnsi="宋体"/>
                <w:color w:val="auto"/>
                <w:sz w:val="24"/>
                <w:highlight w:val="none"/>
              </w:rPr>
              <w:t>5、大气环境影响评价自查表</w:t>
            </w:r>
          </w:p>
          <w:p>
            <w:pPr>
              <w:pageBreakBefore w:val="0"/>
              <w:kinsoku/>
              <w:wordWrap/>
              <w:overflowPunct/>
              <w:topLinePunct w:val="0"/>
              <w:autoSpaceDE w:val="0"/>
              <w:autoSpaceDN w:val="0"/>
              <w:bidi w:val="0"/>
              <w:adjustRightInd w:val="0"/>
              <w:snapToGrid w:val="0"/>
              <w:spacing w:line="360" w:lineRule="auto"/>
              <w:ind w:firstLine="470" w:firstLineChars="196"/>
              <w:jc w:val="left"/>
              <w:rPr>
                <w:rFonts w:ascii="宋体" w:hAnsi="宋体"/>
                <w:color w:val="auto"/>
                <w:sz w:val="24"/>
                <w:highlight w:val="none"/>
              </w:rPr>
            </w:pPr>
            <w:r>
              <w:rPr>
                <w:rFonts w:hint="eastAsia" w:ascii="宋体" w:hAnsi="宋体"/>
                <w:color w:val="auto"/>
                <w:sz w:val="24"/>
                <w:highlight w:val="none"/>
              </w:rPr>
              <w:t>项目大气环境影响评价自查表见表7-6。</w:t>
            </w:r>
          </w:p>
          <w:p>
            <w:pPr>
              <w:pageBreakBefore w:val="0"/>
              <w:kinsoku/>
              <w:wordWrap/>
              <w:overflowPunct/>
              <w:topLinePunct w:val="0"/>
              <w:autoSpaceDE w:val="0"/>
              <w:autoSpaceDN w:val="0"/>
              <w:bidi w:val="0"/>
              <w:adjustRightInd w:val="0"/>
              <w:snapToGrid w:val="0"/>
              <w:spacing w:line="360" w:lineRule="auto"/>
              <w:ind w:firstLine="470" w:firstLineChars="196"/>
              <w:jc w:val="center"/>
              <w:rPr>
                <w:rFonts w:ascii="黑体" w:hAnsi="黑体" w:eastAsia="黑体"/>
                <w:color w:val="auto"/>
                <w:sz w:val="24"/>
                <w:highlight w:val="none"/>
              </w:rPr>
            </w:pPr>
            <w:r>
              <w:rPr>
                <w:rFonts w:hint="eastAsia" w:ascii="黑体" w:hAnsi="黑体" w:eastAsia="黑体"/>
                <w:color w:val="auto"/>
                <w:kern w:val="0"/>
                <w:sz w:val="24"/>
                <w:highlight w:val="none"/>
              </w:rPr>
              <w:t>表7-6  建设项目大气环境影响评价自查表</w:t>
            </w:r>
          </w:p>
          <w:tbl>
            <w:tblPr>
              <w:tblStyle w:val="27"/>
              <w:tblW w:w="8577" w:type="dxa"/>
              <w:tblInd w:w="12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6"/>
              <w:gridCol w:w="1560"/>
              <w:gridCol w:w="1223"/>
              <w:gridCol w:w="67"/>
              <w:gridCol w:w="104"/>
              <w:gridCol w:w="261"/>
              <w:gridCol w:w="197"/>
              <w:gridCol w:w="157"/>
              <w:gridCol w:w="93"/>
              <w:gridCol w:w="57"/>
              <w:gridCol w:w="258"/>
              <w:gridCol w:w="79"/>
              <w:gridCol w:w="44"/>
              <w:gridCol w:w="373"/>
              <w:gridCol w:w="136"/>
              <w:gridCol w:w="26"/>
              <w:gridCol w:w="31"/>
              <w:gridCol w:w="84"/>
              <w:gridCol w:w="534"/>
              <w:gridCol w:w="62"/>
              <w:gridCol w:w="282"/>
              <w:gridCol w:w="129"/>
              <w:gridCol w:w="35"/>
              <w:gridCol w:w="114"/>
              <w:gridCol w:w="186"/>
              <w:gridCol w:w="120"/>
              <w:gridCol w:w="690"/>
              <w:gridCol w:w="6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996" w:type="dxa"/>
                  <w:tcBorders>
                    <w:top w:val="single" w:color="auto" w:sz="12" w:space="0"/>
                    <w:left w:val="single" w:color="auto" w:sz="12"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工作内容</w:t>
                  </w:r>
                </w:p>
              </w:tc>
              <w:tc>
                <w:tcPr>
                  <w:tcW w:w="7581" w:type="dxa"/>
                  <w:gridSpan w:val="27"/>
                  <w:tcBorders>
                    <w:top w:val="single" w:color="auto" w:sz="12" w:space="0"/>
                    <w:left w:val="single" w:color="auto" w:sz="4" w:space="0"/>
                    <w:bottom w:val="single" w:color="auto" w:sz="4" w:space="0"/>
                    <w:right w:val="single" w:color="auto" w:sz="12"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自查项目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96" w:type="dxa"/>
                  <w:vMerge w:val="restart"/>
                  <w:tcBorders>
                    <w:top w:val="single" w:color="auto" w:sz="4" w:space="0"/>
                    <w:left w:val="single" w:color="auto" w:sz="12"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评价等级与范围</w:t>
                  </w:r>
                </w:p>
              </w:tc>
              <w:tc>
                <w:tcPr>
                  <w:tcW w:w="156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评价等级</w:t>
                  </w:r>
                </w:p>
              </w:tc>
              <w:tc>
                <w:tcPr>
                  <w:tcW w:w="2159"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一级□</w:t>
                  </w:r>
                </w:p>
              </w:tc>
              <w:tc>
                <w:tcPr>
                  <w:tcW w:w="2073" w:type="dxa"/>
                  <w:gridSpan w:val="1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b/>
                      <w:bCs/>
                      <w:color w:val="auto"/>
                      <w:kern w:val="0"/>
                      <w:sz w:val="18"/>
                      <w:szCs w:val="18"/>
                      <w:highlight w:val="none"/>
                    </w:rPr>
                  </w:pPr>
                  <w:r>
                    <w:rPr>
                      <w:color w:val="auto"/>
                      <w:kern w:val="0"/>
                      <w:sz w:val="18"/>
                      <w:szCs w:val="18"/>
                      <w:highlight w:val="none"/>
                    </w:rPr>
                    <w:t>二级□</w:t>
                  </w:r>
                </w:p>
              </w:tc>
              <w:tc>
                <w:tcPr>
                  <w:tcW w:w="1789" w:type="dxa"/>
                  <w:gridSpan w:val="5"/>
                  <w:tcBorders>
                    <w:top w:val="single" w:color="auto" w:sz="4" w:space="0"/>
                    <w:left w:val="single" w:color="auto" w:sz="4" w:space="0"/>
                    <w:bottom w:val="single" w:color="auto" w:sz="4" w:space="0"/>
                    <w:right w:val="single" w:color="auto" w:sz="12" w:space="0"/>
                  </w:tcBorders>
                  <w:vAlign w:val="center"/>
                </w:tcPr>
                <w:p>
                  <w:pPr>
                    <w:pageBreakBefore w:val="0"/>
                    <w:kinsoku/>
                    <w:wordWrap/>
                    <w:overflowPunct/>
                    <w:topLinePunct w:val="0"/>
                    <w:autoSpaceDE w:val="0"/>
                    <w:autoSpaceDN w:val="0"/>
                    <w:bidi w:val="0"/>
                    <w:adjustRightInd w:val="0"/>
                    <w:snapToGrid w:val="0"/>
                    <w:rPr>
                      <w:color w:val="auto"/>
                      <w:kern w:val="0"/>
                      <w:sz w:val="18"/>
                      <w:szCs w:val="18"/>
                      <w:highlight w:val="none"/>
                    </w:rPr>
                  </w:pPr>
                  <w:r>
                    <w:rPr>
                      <w:color w:val="auto"/>
                      <w:kern w:val="0"/>
                      <w:sz w:val="18"/>
                      <w:szCs w:val="18"/>
                      <w:highlight w:val="none"/>
                    </w:rPr>
                    <w:t>三级</w:t>
                  </w:r>
                  <w:r>
                    <w:rPr>
                      <w:rFonts w:hint="eastAsia" w:ascii="宋体" w:hAnsi="宋体"/>
                      <w:b/>
                      <w:bCs/>
                      <w:color w:val="auto"/>
                      <w:kern w:val="0"/>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996" w:type="dxa"/>
                  <w:vMerge w:val="continue"/>
                  <w:tcBorders>
                    <w:top w:val="single" w:color="auto" w:sz="4" w:space="0"/>
                    <w:left w:val="single" w:color="auto" w:sz="12" w:space="0"/>
                    <w:bottom w:val="single" w:color="auto" w:sz="4" w:space="0"/>
                    <w:right w:val="single" w:color="auto" w:sz="4" w:space="0"/>
                  </w:tcBorders>
                  <w:vAlign w:val="center"/>
                </w:tcPr>
                <w:p>
                  <w:pPr>
                    <w:pageBreakBefore w:val="0"/>
                    <w:widowControl/>
                    <w:kinsoku/>
                    <w:wordWrap/>
                    <w:overflowPunct/>
                    <w:topLinePunct w:val="0"/>
                    <w:bidi w:val="0"/>
                    <w:snapToGrid w:val="0"/>
                    <w:jc w:val="left"/>
                    <w:rPr>
                      <w:color w:val="auto"/>
                      <w:kern w:val="0"/>
                      <w:sz w:val="18"/>
                      <w:szCs w:val="18"/>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评价范围</w:t>
                  </w:r>
                </w:p>
              </w:tc>
              <w:tc>
                <w:tcPr>
                  <w:tcW w:w="2159"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边长=50km□</w:t>
                  </w:r>
                </w:p>
              </w:tc>
              <w:tc>
                <w:tcPr>
                  <w:tcW w:w="2073" w:type="dxa"/>
                  <w:gridSpan w:val="1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边长5</w:t>
                  </w:r>
                  <w:r>
                    <w:rPr>
                      <w:rFonts w:ascii="宋体" w:hAnsi="宋体"/>
                      <w:color w:val="auto"/>
                      <w:kern w:val="0"/>
                      <w:sz w:val="18"/>
                      <w:szCs w:val="18"/>
                      <w:highlight w:val="none"/>
                    </w:rPr>
                    <w:t>～</w:t>
                  </w:r>
                  <w:r>
                    <w:rPr>
                      <w:color w:val="auto"/>
                      <w:kern w:val="0"/>
                      <w:sz w:val="18"/>
                      <w:szCs w:val="18"/>
                      <w:highlight w:val="none"/>
                    </w:rPr>
                    <w:t>50km□</w:t>
                  </w:r>
                </w:p>
              </w:tc>
              <w:tc>
                <w:tcPr>
                  <w:tcW w:w="1789" w:type="dxa"/>
                  <w:gridSpan w:val="5"/>
                  <w:tcBorders>
                    <w:top w:val="single" w:color="auto" w:sz="4" w:space="0"/>
                    <w:left w:val="single" w:color="auto" w:sz="4" w:space="0"/>
                    <w:bottom w:val="single" w:color="auto" w:sz="4" w:space="0"/>
                    <w:right w:val="single" w:color="auto" w:sz="12" w:space="0"/>
                  </w:tcBorders>
                  <w:vAlign w:val="center"/>
                </w:tcPr>
                <w:p>
                  <w:pPr>
                    <w:pageBreakBefore w:val="0"/>
                    <w:kinsoku/>
                    <w:wordWrap/>
                    <w:overflowPunct/>
                    <w:topLinePunct w:val="0"/>
                    <w:autoSpaceDE w:val="0"/>
                    <w:autoSpaceDN w:val="0"/>
                    <w:bidi w:val="0"/>
                    <w:adjustRightInd w:val="0"/>
                    <w:snapToGrid w:val="0"/>
                    <w:rPr>
                      <w:color w:val="auto"/>
                      <w:kern w:val="0"/>
                      <w:sz w:val="18"/>
                      <w:szCs w:val="18"/>
                      <w:highlight w:val="none"/>
                    </w:rPr>
                  </w:pPr>
                  <w:r>
                    <w:rPr>
                      <w:color w:val="auto"/>
                      <w:kern w:val="0"/>
                      <w:sz w:val="18"/>
                      <w:szCs w:val="18"/>
                      <w:highlight w:val="none"/>
                    </w:rPr>
                    <w:t>边长=5 km□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996" w:type="dxa"/>
                  <w:vMerge w:val="restart"/>
                  <w:tcBorders>
                    <w:top w:val="single" w:color="auto" w:sz="4" w:space="0"/>
                    <w:left w:val="single" w:color="auto" w:sz="12"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评价因子</w:t>
                  </w:r>
                </w:p>
              </w:tc>
              <w:tc>
                <w:tcPr>
                  <w:tcW w:w="156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SO2 +NOx</w:t>
                  </w:r>
                  <w:r>
                    <w:rPr>
                      <w:rFonts w:ascii="宋体" w:hAnsi="宋体"/>
                      <w:color w:val="auto"/>
                      <w:kern w:val="0"/>
                      <w:sz w:val="18"/>
                      <w:szCs w:val="18"/>
                      <w:highlight w:val="none"/>
                    </w:rPr>
                    <w:t>排放量</w:t>
                  </w:r>
                </w:p>
              </w:tc>
              <w:tc>
                <w:tcPr>
                  <w:tcW w:w="2159"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rFonts w:hint="eastAsia" w:ascii="宋体" w:hAnsi="宋体"/>
                      <w:color w:val="auto"/>
                      <w:kern w:val="0"/>
                      <w:sz w:val="18"/>
                      <w:szCs w:val="18"/>
                      <w:highlight w:val="none"/>
                    </w:rPr>
                    <w:t>/</w:t>
                  </w:r>
                </w:p>
              </w:tc>
              <w:tc>
                <w:tcPr>
                  <w:tcW w:w="2073" w:type="dxa"/>
                  <w:gridSpan w:val="1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rFonts w:hint="eastAsia" w:ascii="宋体" w:hAnsi="宋体"/>
                      <w:color w:val="auto"/>
                      <w:kern w:val="0"/>
                      <w:sz w:val="18"/>
                      <w:szCs w:val="18"/>
                      <w:highlight w:val="none"/>
                    </w:rPr>
                    <w:t>/</w:t>
                  </w:r>
                </w:p>
              </w:tc>
              <w:tc>
                <w:tcPr>
                  <w:tcW w:w="1789" w:type="dxa"/>
                  <w:gridSpan w:val="5"/>
                  <w:tcBorders>
                    <w:top w:val="single" w:color="auto" w:sz="4" w:space="0"/>
                    <w:left w:val="single" w:color="auto" w:sz="4" w:space="0"/>
                    <w:bottom w:val="single" w:color="auto" w:sz="4" w:space="0"/>
                    <w:right w:val="single" w:color="auto" w:sz="12" w:space="0"/>
                  </w:tcBorders>
                  <w:vAlign w:val="center"/>
                </w:tcPr>
                <w:p>
                  <w:pPr>
                    <w:pageBreakBefore w:val="0"/>
                    <w:kinsoku/>
                    <w:wordWrap/>
                    <w:overflowPunct/>
                    <w:topLinePunct w:val="0"/>
                    <w:autoSpaceDE w:val="0"/>
                    <w:autoSpaceDN w:val="0"/>
                    <w:bidi w:val="0"/>
                    <w:adjustRightInd w:val="0"/>
                    <w:snapToGrid w:val="0"/>
                    <w:rPr>
                      <w:color w:val="auto"/>
                      <w:kern w:val="0"/>
                      <w:sz w:val="18"/>
                      <w:szCs w:val="18"/>
                      <w:highlight w:val="none"/>
                    </w:rPr>
                  </w:pPr>
                  <w:r>
                    <w:rPr>
                      <w:rFonts w:hint="eastAsia" w:ascii="宋体" w:hAnsi="宋体"/>
                      <w:color w:val="auto"/>
                      <w:kern w:val="0"/>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996" w:type="dxa"/>
                  <w:vMerge w:val="continue"/>
                  <w:tcBorders>
                    <w:top w:val="single" w:color="auto" w:sz="4" w:space="0"/>
                    <w:left w:val="single" w:color="auto" w:sz="12" w:space="0"/>
                    <w:bottom w:val="single" w:color="auto" w:sz="4" w:space="0"/>
                    <w:right w:val="single" w:color="auto" w:sz="4" w:space="0"/>
                  </w:tcBorders>
                  <w:vAlign w:val="center"/>
                </w:tcPr>
                <w:p>
                  <w:pPr>
                    <w:pageBreakBefore w:val="0"/>
                    <w:widowControl/>
                    <w:kinsoku/>
                    <w:wordWrap/>
                    <w:overflowPunct/>
                    <w:topLinePunct w:val="0"/>
                    <w:bidi w:val="0"/>
                    <w:snapToGrid w:val="0"/>
                    <w:jc w:val="left"/>
                    <w:rPr>
                      <w:color w:val="auto"/>
                      <w:kern w:val="0"/>
                      <w:sz w:val="18"/>
                      <w:szCs w:val="18"/>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评价因子</w:t>
                  </w:r>
                </w:p>
              </w:tc>
              <w:tc>
                <w:tcPr>
                  <w:tcW w:w="3106" w:type="dxa"/>
                  <w:gridSpan w:val="15"/>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基本污染物( )</w:t>
                  </w:r>
                </w:p>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其他污染物(</w:t>
                  </w:r>
                  <w:r>
                    <w:rPr>
                      <w:rFonts w:hint="eastAsia" w:ascii="宋体" w:hAnsi="宋体"/>
                      <w:color w:val="auto"/>
                      <w:kern w:val="0"/>
                      <w:sz w:val="18"/>
                      <w:szCs w:val="18"/>
                      <w:highlight w:val="none"/>
                    </w:rPr>
                    <w:t>VOCs</w:t>
                  </w:r>
                  <w:r>
                    <w:rPr>
                      <w:color w:val="auto"/>
                      <w:kern w:val="0"/>
                      <w:sz w:val="18"/>
                      <w:szCs w:val="18"/>
                      <w:highlight w:val="none"/>
                    </w:rPr>
                    <w:t>)</w:t>
                  </w:r>
                </w:p>
              </w:tc>
              <w:tc>
                <w:tcPr>
                  <w:tcW w:w="2915" w:type="dxa"/>
                  <w:gridSpan w:val="11"/>
                  <w:tcBorders>
                    <w:top w:val="single" w:color="auto" w:sz="4" w:space="0"/>
                    <w:left w:val="single" w:color="auto" w:sz="4" w:space="0"/>
                    <w:bottom w:val="single" w:color="auto" w:sz="4" w:space="0"/>
                    <w:right w:val="single" w:color="auto" w:sz="12" w:space="0"/>
                  </w:tcBorders>
                  <w:vAlign w:val="center"/>
                </w:tcPr>
                <w:p>
                  <w:pPr>
                    <w:pageBreakBefore w:val="0"/>
                    <w:kinsoku/>
                    <w:wordWrap/>
                    <w:overflowPunct/>
                    <w:topLinePunct w:val="0"/>
                    <w:autoSpaceDE w:val="0"/>
                    <w:autoSpaceDN w:val="0"/>
                    <w:bidi w:val="0"/>
                    <w:adjustRightInd w:val="0"/>
                    <w:snapToGrid w:val="0"/>
                    <w:rPr>
                      <w:color w:val="auto"/>
                      <w:kern w:val="0"/>
                      <w:sz w:val="18"/>
                      <w:szCs w:val="18"/>
                      <w:highlight w:val="none"/>
                    </w:rPr>
                  </w:pPr>
                  <w:r>
                    <w:rPr>
                      <w:color w:val="auto"/>
                      <w:kern w:val="0"/>
                      <w:sz w:val="18"/>
                      <w:szCs w:val="18"/>
                      <w:highlight w:val="none"/>
                    </w:rPr>
                    <w:t>包括二次PM2.5□</w:t>
                  </w:r>
                </w:p>
                <w:p>
                  <w:pPr>
                    <w:pageBreakBefore w:val="0"/>
                    <w:kinsoku/>
                    <w:wordWrap/>
                    <w:overflowPunct/>
                    <w:topLinePunct w:val="0"/>
                    <w:autoSpaceDE w:val="0"/>
                    <w:autoSpaceDN w:val="0"/>
                    <w:bidi w:val="0"/>
                    <w:adjustRightInd w:val="0"/>
                    <w:snapToGrid w:val="0"/>
                    <w:rPr>
                      <w:color w:val="auto"/>
                      <w:kern w:val="0"/>
                      <w:sz w:val="18"/>
                      <w:szCs w:val="18"/>
                      <w:highlight w:val="none"/>
                    </w:rPr>
                  </w:pPr>
                  <w:r>
                    <w:rPr>
                      <w:color w:val="auto"/>
                      <w:kern w:val="0"/>
                      <w:sz w:val="18"/>
                      <w:szCs w:val="18"/>
                      <w:highlight w:val="none"/>
                    </w:rPr>
                    <w:t>不包括二次PM2.5</w:t>
                  </w:r>
                  <w:r>
                    <w:rPr>
                      <w:rFonts w:hint="eastAsia" w:ascii="宋体" w:hAnsi="宋体"/>
                      <w:b/>
                      <w:bCs/>
                      <w:color w:val="auto"/>
                      <w:kern w:val="0"/>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996" w:type="dxa"/>
                  <w:tcBorders>
                    <w:top w:val="single" w:color="auto" w:sz="4" w:space="0"/>
                    <w:left w:val="single" w:color="auto" w:sz="12"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评价标准</w:t>
                  </w:r>
                </w:p>
              </w:tc>
              <w:tc>
                <w:tcPr>
                  <w:tcW w:w="156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评价标准</w:t>
                  </w:r>
                </w:p>
              </w:tc>
              <w:tc>
                <w:tcPr>
                  <w:tcW w:w="1852"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国家标准□</w:t>
                  </w:r>
                </w:p>
              </w:tc>
              <w:tc>
                <w:tcPr>
                  <w:tcW w:w="1254" w:type="dxa"/>
                  <w:gridSpan w:val="10"/>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地方标准</w:t>
                  </w:r>
                  <w:r>
                    <w:rPr>
                      <w:rFonts w:hint="eastAsia" w:ascii="宋体" w:hAnsi="宋体"/>
                      <w:b/>
                      <w:bCs/>
                      <w:color w:val="auto"/>
                      <w:kern w:val="0"/>
                      <w:sz w:val="18"/>
                      <w:szCs w:val="18"/>
                      <w:highlight w:val="none"/>
                    </w:rPr>
                    <w:t>√</w:t>
                  </w:r>
                </w:p>
              </w:tc>
              <w:tc>
                <w:tcPr>
                  <w:tcW w:w="1091"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附录D □</w:t>
                  </w:r>
                </w:p>
              </w:tc>
              <w:tc>
                <w:tcPr>
                  <w:tcW w:w="1824" w:type="dxa"/>
                  <w:gridSpan w:val="6"/>
                  <w:tcBorders>
                    <w:top w:val="single" w:color="auto" w:sz="4" w:space="0"/>
                    <w:left w:val="single" w:color="auto" w:sz="4" w:space="0"/>
                    <w:bottom w:val="single" w:color="auto" w:sz="4" w:space="0"/>
                    <w:right w:val="single" w:color="auto" w:sz="12" w:space="0"/>
                  </w:tcBorders>
                  <w:vAlign w:val="center"/>
                </w:tcPr>
                <w:p>
                  <w:pPr>
                    <w:pageBreakBefore w:val="0"/>
                    <w:kinsoku/>
                    <w:wordWrap/>
                    <w:overflowPunct/>
                    <w:topLinePunct w:val="0"/>
                    <w:autoSpaceDE w:val="0"/>
                    <w:autoSpaceDN w:val="0"/>
                    <w:bidi w:val="0"/>
                    <w:adjustRightInd w:val="0"/>
                    <w:snapToGrid w:val="0"/>
                    <w:rPr>
                      <w:color w:val="auto"/>
                      <w:kern w:val="0"/>
                      <w:sz w:val="18"/>
                      <w:szCs w:val="18"/>
                      <w:highlight w:val="none"/>
                    </w:rPr>
                  </w:pPr>
                  <w:r>
                    <w:rPr>
                      <w:color w:val="auto"/>
                      <w:kern w:val="0"/>
                      <w:sz w:val="18"/>
                      <w:szCs w:val="18"/>
                      <w:highlight w:val="none"/>
                    </w:rPr>
                    <w:t>其他标准□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996" w:type="dxa"/>
                  <w:vMerge w:val="restart"/>
                  <w:tcBorders>
                    <w:top w:val="single" w:color="auto" w:sz="4" w:space="0"/>
                    <w:left w:val="single" w:color="auto" w:sz="12"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现状评价</w:t>
                  </w:r>
                </w:p>
              </w:tc>
              <w:tc>
                <w:tcPr>
                  <w:tcW w:w="156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环境功能区</w:t>
                  </w:r>
                </w:p>
              </w:tc>
              <w:tc>
                <w:tcPr>
                  <w:tcW w:w="2417" w:type="dxa"/>
                  <w:gridSpan w:val="9"/>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一类区□</w:t>
                  </w:r>
                </w:p>
              </w:tc>
              <w:tc>
                <w:tcPr>
                  <w:tcW w:w="1815" w:type="dxa"/>
                  <w:gridSpan w:val="1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二类区</w:t>
                  </w:r>
                  <w:r>
                    <w:rPr>
                      <w:rFonts w:hint="eastAsia" w:ascii="宋体" w:hAnsi="宋体"/>
                      <w:b/>
                      <w:bCs/>
                      <w:color w:val="auto"/>
                      <w:kern w:val="0"/>
                      <w:sz w:val="18"/>
                      <w:szCs w:val="18"/>
                      <w:highlight w:val="none"/>
                    </w:rPr>
                    <w:t>√</w:t>
                  </w:r>
                </w:p>
              </w:tc>
              <w:tc>
                <w:tcPr>
                  <w:tcW w:w="1789" w:type="dxa"/>
                  <w:gridSpan w:val="5"/>
                  <w:tcBorders>
                    <w:top w:val="single" w:color="auto" w:sz="4" w:space="0"/>
                    <w:left w:val="single" w:color="auto" w:sz="4" w:space="0"/>
                    <w:bottom w:val="single" w:color="auto" w:sz="4" w:space="0"/>
                    <w:right w:val="single" w:color="auto" w:sz="12" w:space="0"/>
                  </w:tcBorders>
                  <w:vAlign w:val="center"/>
                </w:tcPr>
                <w:p>
                  <w:pPr>
                    <w:pageBreakBefore w:val="0"/>
                    <w:kinsoku/>
                    <w:wordWrap/>
                    <w:overflowPunct/>
                    <w:topLinePunct w:val="0"/>
                    <w:autoSpaceDE w:val="0"/>
                    <w:autoSpaceDN w:val="0"/>
                    <w:bidi w:val="0"/>
                    <w:adjustRightInd w:val="0"/>
                    <w:snapToGrid w:val="0"/>
                    <w:rPr>
                      <w:color w:val="auto"/>
                      <w:kern w:val="0"/>
                      <w:sz w:val="18"/>
                      <w:szCs w:val="18"/>
                      <w:highlight w:val="none"/>
                    </w:rPr>
                  </w:pPr>
                  <w:r>
                    <w:rPr>
                      <w:color w:val="auto"/>
                      <w:kern w:val="0"/>
                      <w:sz w:val="18"/>
                      <w:szCs w:val="18"/>
                      <w:highlight w:val="none"/>
                    </w:rPr>
                    <w:t>一类区和二类区□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996" w:type="dxa"/>
                  <w:vMerge w:val="continue"/>
                  <w:tcBorders>
                    <w:top w:val="single" w:color="auto" w:sz="4" w:space="0"/>
                    <w:left w:val="single" w:color="auto" w:sz="12" w:space="0"/>
                    <w:bottom w:val="single" w:color="auto" w:sz="4" w:space="0"/>
                    <w:right w:val="single" w:color="auto" w:sz="4" w:space="0"/>
                  </w:tcBorders>
                  <w:vAlign w:val="center"/>
                </w:tcPr>
                <w:p>
                  <w:pPr>
                    <w:pageBreakBefore w:val="0"/>
                    <w:widowControl/>
                    <w:kinsoku/>
                    <w:wordWrap/>
                    <w:overflowPunct/>
                    <w:topLinePunct w:val="0"/>
                    <w:bidi w:val="0"/>
                    <w:snapToGrid w:val="0"/>
                    <w:jc w:val="left"/>
                    <w:rPr>
                      <w:color w:val="auto"/>
                      <w:kern w:val="0"/>
                      <w:sz w:val="18"/>
                      <w:szCs w:val="18"/>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评价基准年</w:t>
                  </w:r>
                </w:p>
              </w:tc>
              <w:tc>
                <w:tcPr>
                  <w:tcW w:w="6021" w:type="dxa"/>
                  <w:gridSpan w:val="26"/>
                  <w:tcBorders>
                    <w:top w:val="single" w:color="auto" w:sz="4" w:space="0"/>
                    <w:left w:val="single" w:color="auto" w:sz="4" w:space="0"/>
                    <w:bottom w:val="single" w:color="auto" w:sz="4" w:space="0"/>
                    <w:right w:val="single" w:color="auto" w:sz="12"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w:t>
                  </w:r>
                  <w:r>
                    <w:rPr>
                      <w:rFonts w:hint="eastAsia" w:ascii="宋体" w:hAnsi="宋体"/>
                      <w:color w:val="auto"/>
                      <w:kern w:val="0"/>
                      <w:sz w:val="18"/>
                      <w:szCs w:val="18"/>
                      <w:highlight w:val="none"/>
                    </w:rPr>
                    <w:t>2017</w:t>
                  </w:r>
                  <w:r>
                    <w:rPr>
                      <w:color w:val="auto"/>
                      <w:kern w:val="0"/>
                      <w:sz w:val="18"/>
                      <w:szCs w:val="18"/>
                      <w:highlight w:val="none"/>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996" w:type="dxa"/>
                  <w:vMerge w:val="continue"/>
                  <w:tcBorders>
                    <w:top w:val="single" w:color="auto" w:sz="4" w:space="0"/>
                    <w:left w:val="single" w:color="auto" w:sz="12" w:space="0"/>
                    <w:bottom w:val="single" w:color="auto" w:sz="4" w:space="0"/>
                    <w:right w:val="single" w:color="auto" w:sz="4" w:space="0"/>
                  </w:tcBorders>
                  <w:vAlign w:val="center"/>
                </w:tcPr>
                <w:p>
                  <w:pPr>
                    <w:pageBreakBefore w:val="0"/>
                    <w:widowControl/>
                    <w:kinsoku/>
                    <w:wordWrap/>
                    <w:overflowPunct/>
                    <w:topLinePunct w:val="0"/>
                    <w:bidi w:val="0"/>
                    <w:snapToGrid w:val="0"/>
                    <w:jc w:val="left"/>
                    <w:rPr>
                      <w:color w:val="auto"/>
                      <w:kern w:val="0"/>
                      <w:sz w:val="18"/>
                      <w:szCs w:val="18"/>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环境空气质量现状调查数据来源</w:t>
                  </w:r>
                </w:p>
              </w:tc>
              <w:tc>
                <w:tcPr>
                  <w:tcW w:w="2417" w:type="dxa"/>
                  <w:gridSpan w:val="9"/>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长期例行监测数据□</w:t>
                  </w:r>
                </w:p>
              </w:tc>
              <w:tc>
                <w:tcPr>
                  <w:tcW w:w="1815" w:type="dxa"/>
                  <w:gridSpan w:val="1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主管部门发布的数据</w:t>
                  </w:r>
                  <w:r>
                    <w:rPr>
                      <w:rFonts w:hint="eastAsia" w:ascii="宋体" w:hAnsi="宋体"/>
                      <w:b/>
                      <w:bCs/>
                      <w:color w:val="auto"/>
                      <w:kern w:val="0"/>
                      <w:sz w:val="18"/>
                      <w:szCs w:val="18"/>
                      <w:highlight w:val="none"/>
                    </w:rPr>
                    <w:t>√</w:t>
                  </w:r>
                </w:p>
              </w:tc>
              <w:tc>
                <w:tcPr>
                  <w:tcW w:w="1789" w:type="dxa"/>
                  <w:gridSpan w:val="5"/>
                  <w:tcBorders>
                    <w:top w:val="single" w:color="auto" w:sz="4" w:space="0"/>
                    <w:left w:val="single" w:color="auto" w:sz="4" w:space="0"/>
                    <w:bottom w:val="single" w:color="auto" w:sz="4" w:space="0"/>
                    <w:right w:val="single" w:color="auto" w:sz="12"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现状补充监测</w:t>
                  </w:r>
                  <w:r>
                    <w:rPr>
                      <w:rFonts w:hint="eastAsia" w:ascii="宋体" w:hAnsi="宋体"/>
                      <w:b/>
                      <w:bCs/>
                      <w:color w:val="auto"/>
                      <w:kern w:val="0"/>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996" w:type="dxa"/>
                  <w:vMerge w:val="continue"/>
                  <w:tcBorders>
                    <w:top w:val="single" w:color="auto" w:sz="4" w:space="0"/>
                    <w:left w:val="single" w:color="auto" w:sz="12" w:space="0"/>
                    <w:bottom w:val="single" w:color="auto" w:sz="4" w:space="0"/>
                    <w:right w:val="single" w:color="auto" w:sz="4" w:space="0"/>
                  </w:tcBorders>
                  <w:vAlign w:val="center"/>
                </w:tcPr>
                <w:p>
                  <w:pPr>
                    <w:pageBreakBefore w:val="0"/>
                    <w:widowControl/>
                    <w:kinsoku/>
                    <w:wordWrap/>
                    <w:overflowPunct/>
                    <w:topLinePunct w:val="0"/>
                    <w:bidi w:val="0"/>
                    <w:snapToGrid w:val="0"/>
                    <w:jc w:val="left"/>
                    <w:rPr>
                      <w:color w:val="auto"/>
                      <w:kern w:val="0"/>
                      <w:sz w:val="18"/>
                      <w:szCs w:val="18"/>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现状评价</w:t>
                  </w:r>
                </w:p>
              </w:tc>
              <w:tc>
                <w:tcPr>
                  <w:tcW w:w="3190" w:type="dxa"/>
                  <w:gridSpan w:val="16"/>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达标区□</w:t>
                  </w:r>
                </w:p>
              </w:tc>
              <w:tc>
                <w:tcPr>
                  <w:tcW w:w="2831" w:type="dxa"/>
                  <w:gridSpan w:val="10"/>
                  <w:tcBorders>
                    <w:top w:val="single" w:color="auto" w:sz="4" w:space="0"/>
                    <w:left w:val="single" w:color="auto" w:sz="4" w:space="0"/>
                    <w:bottom w:val="single" w:color="auto" w:sz="4" w:space="0"/>
                    <w:right w:val="single" w:color="auto" w:sz="12"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不达标区</w:t>
                  </w:r>
                  <w:r>
                    <w:rPr>
                      <w:rFonts w:hint="eastAsia" w:ascii="宋体" w:hAnsi="宋体"/>
                      <w:b/>
                      <w:bCs/>
                      <w:color w:val="auto"/>
                      <w:kern w:val="0"/>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996" w:type="dxa"/>
                  <w:tcBorders>
                    <w:top w:val="single" w:color="auto" w:sz="4" w:space="0"/>
                    <w:left w:val="single" w:color="auto" w:sz="12"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污染源调查</w:t>
                  </w:r>
                </w:p>
              </w:tc>
              <w:tc>
                <w:tcPr>
                  <w:tcW w:w="156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调查内容</w:t>
                  </w:r>
                </w:p>
              </w:tc>
              <w:tc>
                <w:tcPr>
                  <w:tcW w:w="2009" w:type="dxa"/>
                  <w:gridSpan w:val="6"/>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本项目正常排放源</w:t>
                  </w:r>
                  <w:r>
                    <w:rPr>
                      <w:rFonts w:hint="eastAsia" w:ascii="宋体" w:hAnsi="宋体"/>
                      <w:b/>
                      <w:bCs/>
                      <w:color w:val="auto"/>
                      <w:kern w:val="0"/>
                      <w:sz w:val="18"/>
                      <w:szCs w:val="18"/>
                      <w:highlight w:val="none"/>
                    </w:rPr>
                    <w:t>√</w:t>
                  </w:r>
                </w:p>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本项目非正常排放源</w:t>
                  </w:r>
                </w:p>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现有污染源□</w:t>
                  </w:r>
                </w:p>
              </w:tc>
              <w:tc>
                <w:tcPr>
                  <w:tcW w:w="1181" w:type="dxa"/>
                  <w:gridSpan w:val="10"/>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拟替代的污染源□</w:t>
                  </w:r>
                </w:p>
              </w:tc>
              <w:tc>
                <w:tcPr>
                  <w:tcW w:w="1462"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其他在建、拟建项目污染源□</w:t>
                  </w:r>
                </w:p>
              </w:tc>
              <w:tc>
                <w:tcPr>
                  <w:tcW w:w="1369" w:type="dxa"/>
                  <w:gridSpan w:val="2"/>
                  <w:tcBorders>
                    <w:top w:val="single" w:color="auto" w:sz="4" w:space="0"/>
                    <w:left w:val="single" w:color="auto" w:sz="4" w:space="0"/>
                    <w:bottom w:val="single" w:color="auto" w:sz="4" w:space="0"/>
                    <w:right w:val="single" w:color="auto" w:sz="12"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区域污染源□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996" w:type="dxa"/>
                  <w:vMerge w:val="restart"/>
                  <w:tcBorders>
                    <w:top w:val="single" w:color="auto" w:sz="4" w:space="0"/>
                    <w:left w:val="single" w:color="auto" w:sz="12"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大气环境影响预测与评价</w:t>
                  </w:r>
                </w:p>
              </w:tc>
              <w:tc>
                <w:tcPr>
                  <w:tcW w:w="156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rFonts w:ascii="宋体" w:hAnsi="宋体"/>
                      <w:color w:val="auto"/>
                      <w:kern w:val="0"/>
                      <w:sz w:val="18"/>
                      <w:szCs w:val="18"/>
                      <w:highlight w:val="none"/>
                    </w:rPr>
                  </w:pPr>
                  <w:r>
                    <w:rPr>
                      <w:color w:val="auto"/>
                      <w:kern w:val="0"/>
                      <w:sz w:val="18"/>
                      <w:szCs w:val="18"/>
                      <w:highlight w:val="none"/>
                    </w:rPr>
                    <w:t>预测</w:t>
                  </w:r>
                </w:p>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模型</w:t>
                  </w:r>
                </w:p>
              </w:tc>
              <w:tc>
                <w:tcPr>
                  <w:tcW w:w="129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3"/>
                      <w:szCs w:val="13"/>
                      <w:highlight w:val="none"/>
                    </w:rPr>
                  </w:pPr>
                  <w:r>
                    <w:rPr>
                      <w:color w:val="auto"/>
                      <w:kern w:val="0"/>
                      <w:sz w:val="13"/>
                      <w:szCs w:val="13"/>
                      <w:highlight w:val="none"/>
                    </w:rPr>
                    <w:t>AERMOD □</w:t>
                  </w:r>
                </w:p>
              </w:tc>
              <w:tc>
                <w:tcPr>
                  <w:tcW w:w="812"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3"/>
                      <w:szCs w:val="13"/>
                      <w:highlight w:val="none"/>
                    </w:rPr>
                  </w:pPr>
                  <w:r>
                    <w:rPr>
                      <w:color w:val="auto"/>
                      <w:kern w:val="0"/>
                      <w:sz w:val="13"/>
                      <w:szCs w:val="13"/>
                      <w:highlight w:val="none"/>
                    </w:rPr>
                    <w:t>ADMS □</w:t>
                  </w:r>
                </w:p>
              </w:tc>
              <w:tc>
                <w:tcPr>
                  <w:tcW w:w="811"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rFonts w:ascii="宋体" w:hAnsi="宋体"/>
                      <w:color w:val="auto"/>
                      <w:kern w:val="0"/>
                      <w:sz w:val="13"/>
                      <w:szCs w:val="13"/>
                      <w:highlight w:val="none"/>
                    </w:rPr>
                  </w:pPr>
                  <w:r>
                    <w:rPr>
                      <w:color w:val="auto"/>
                      <w:kern w:val="0"/>
                      <w:sz w:val="13"/>
                      <w:szCs w:val="13"/>
                      <w:highlight w:val="none"/>
                    </w:rPr>
                    <w:t>AUSTAL</w:t>
                  </w:r>
                </w:p>
                <w:p>
                  <w:pPr>
                    <w:pageBreakBefore w:val="0"/>
                    <w:kinsoku/>
                    <w:wordWrap/>
                    <w:overflowPunct/>
                    <w:topLinePunct w:val="0"/>
                    <w:autoSpaceDE w:val="0"/>
                    <w:autoSpaceDN w:val="0"/>
                    <w:bidi w:val="0"/>
                    <w:adjustRightInd w:val="0"/>
                    <w:snapToGrid w:val="0"/>
                    <w:jc w:val="center"/>
                    <w:rPr>
                      <w:color w:val="auto"/>
                      <w:kern w:val="0"/>
                      <w:sz w:val="13"/>
                      <w:szCs w:val="13"/>
                      <w:highlight w:val="none"/>
                    </w:rPr>
                  </w:pPr>
                  <w:r>
                    <w:rPr>
                      <w:color w:val="auto"/>
                      <w:kern w:val="0"/>
                      <w:sz w:val="13"/>
                      <w:szCs w:val="13"/>
                      <w:highlight w:val="none"/>
                    </w:rPr>
                    <w:t>2000 □</w:t>
                  </w:r>
                </w:p>
              </w:tc>
              <w:tc>
                <w:tcPr>
                  <w:tcW w:w="811" w:type="dxa"/>
                  <w:gridSpan w:val="5"/>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rFonts w:ascii="宋体" w:hAnsi="宋体"/>
                      <w:color w:val="auto"/>
                      <w:kern w:val="0"/>
                      <w:sz w:val="13"/>
                      <w:szCs w:val="13"/>
                      <w:highlight w:val="none"/>
                    </w:rPr>
                  </w:pPr>
                  <w:r>
                    <w:rPr>
                      <w:color w:val="auto"/>
                      <w:kern w:val="0"/>
                      <w:sz w:val="13"/>
                      <w:szCs w:val="13"/>
                      <w:highlight w:val="none"/>
                    </w:rPr>
                    <w:t>EDMS/</w:t>
                  </w:r>
                </w:p>
                <w:p>
                  <w:pPr>
                    <w:pageBreakBefore w:val="0"/>
                    <w:kinsoku/>
                    <w:wordWrap/>
                    <w:overflowPunct/>
                    <w:topLinePunct w:val="0"/>
                    <w:autoSpaceDE w:val="0"/>
                    <w:autoSpaceDN w:val="0"/>
                    <w:bidi w:val="0"/>
                    <w:adjustRightInd w:val="0"/>
                    <w:snapToGrid w:val="0"/>
                    <w:jc w:val="center"/>
                    <w:rPr>
                      <w:color w:val="auto"/>
                      <w:kern w:val="0"/>
                      <w:sz w:val="13"/>
                      <w:szCs w:val="13"/>
                      <w:highlight w:val="none"/>
                    </w:rPr>
                  </w:pPr>
                  <w:r>
                    <w:rPr>
                      <w:color w:val="auto"/>
                      <w:kern w:val="0"/>
                      <w:sz w:val="13"/>
                      <w:szCs w:val="13"/>
                      <w:highlight w:val="none"/>
                    </w:rPr>
                    <w:t>AEDT □</w:t>
                  </w:r>
                </w:p>
              </w:tc>
              <w:tc>
                <w:tcPr>
                  <w:tcW w:w="808" w:type="dxa"/>
                  <w:gridSpan w:val="6"/>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3"/>
                      <w:szCs w:val="13"/>
                      <w:highlight w:val="none"/>
                    </w:rPr>
                  </w:pPr>
                  <w:r>
                    <w:rPr>
                      <w:color w:val="auto"/>
                      <w:kern w:val="0"/>
                      <w:sz w:val="13"/>
                      <w:szCs w:val="13"/>
                      <w:highlight w:val="none"/>
                    </w:rPr>
                    <w:t>CALPUFF □</w:t>
                  </w:r>
                </w:p>
              </w:tc>
              <w:tc>
                <w:tcPr>
                  <w:tcW w:w="810"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3"/>
                      <w:szCs w:val="13"/>
                      <w:highlight w:val="none"/>
                    </w:rPr>
                  </w:pPr>
                  <w:r>
                    <w:rPr>
                      <w:color w:val="auto"/>
                      <w:kern w:val="0"/>
                      <w:sz w:val="13"/>
                      <w:szCs w:val="13"/>
                      <w:highlight w:val="none"/>
                    </w:rPr>
                    <w:t>网格模型□</w:t>
                  </w:r>
                </w:p>
              </w:tc>
              <w:tc>
                <w:tcPr>
                  <w:tcW w:w="679" w:type="dxa"/>
                  <w:tcBorders>
                    <w:top w:val="single" w:color="auto" w:sz="4" w:space="0"/>
                    <w:left w:val="single" w:color="auto" w:sz="4" w:space="0"/>
                    <w:bottom w:val="single" w:color="auto" w:sz="4" w:space="0"/>
                    <w:right w:val="single" w:color="auto" w:sz="12" w:space="0"/>
                  </w:tcBorders>
                  <w:vAlign w:val="center"/>
                </w:tcPr>
                <w:p>
                  <w:pPr>
                    <w:pageBreakBefore w:val="0"/>
                    <w:kinsoku/>
                    <w:wordWrap/>
                    <w:overflowPunct/>
                    <w:topLinePunct w:val="0"/>
                    <w:autoSpaceDE w:val="0"/>
                    <w:autoSpaceDN w:val="0"/>
                    <w:bidi w:val="0"/>
                    <w:adjustRightInd w:val="0"/>
                    <w:snapToGrid w:val="0"/>
                    <w:jc w:val="center"/>
                    <w:rPr>
                      <w:color w:val="auto"/>
                      <w:kern w:val="0"/>
                      <w:sz w:val="13"/>
                      <w:szCs w:val="13"/>
                      <w:highlight w:val="none"/>
                    </w:rPr>
                  </w:pPr>
                  <w:r>
                    <w:rPr>
                      <w:color w:val="auto"/>
                      <w:kern w:val="0"/>
                      <w:sz w:val="13"/>
                      <w:szCs w:val="13"/>
                      <w:highlight w:val="none"/>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996" w:type="dxa"/>
                  <w:vMerge w:val="continue"/>
                  <w:tcBorders>
                    <w:top w:val="single" w:color="auto" w:sz="4" w:space="0"/>
                    <w:left w:val="single" w:color="auto" w:sz="12" w:space="0"/>
                    <w:bottom w:val="single" w:color="auto" w:sz="4" w:space="0"/>
                    <w:right w:val="single" w:color="auto" w:sz="4" w:space="0"/>
                  </w:tcBorders>
                  <w:vAlign w:val="center"/>
                </w:tcPr>
                <w:p>
                  <w:pPr>
                    <w:pageBreakBefore w:val="0"/>
                    <w:widowControl/>
                    <w:kinsoku/>
                    <w:wordWrap/>
                    <w:overflowPunct/>
                    <w:topLinePunct w:val="0"/>
                    <w:bidi w:val="0"/>
                    <w:snapToGrid w:val="0"/>
                    <w:jc w:val="left"/>
                    <w:rPr>
                      <w:color w:val="auto"/>
                      <w:kern w:val="0"/>
                      <w:sz w:val="18"/>
                      <w:szCs w:val="18"/>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rFonts w:ascii="宋体" w:hAnsi="宋体"/>
                      <w:color w:val="auto"/>
                      <w:kern w:val="0"/>
                      <w:sz w:val="18"/>
                      <w:szCs w:val="18"/>
                      <w:highlight w:val="none"/>
                    </w:rPr>
                  </w:pPr>
                  <w:r>
                    <w:rPr>
                      <w:color w:val="auto"/>
                      <w:kern w:val="0"/>
                      <w:sz w:val="18"/>
                      <w:szCs w:val="18"/>
                      <w:highlight w:val="none"/>
                    </w:rPr>
                    <w:t>预测</w:t>
                  </w:r>
                </w:p>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范围</w:t>
                  </w:r>
                </w:p>
              </w:tc>
              <w:tc>
                <w:tcPr>
                  <w:tcW w:w="1655"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边长≥50km□</w:t>
                  </w:r>
                </w:p>
              </w:tc>
              <w:tc>
                <w:tcPr>
                  <w:tcW w:w="2131" w:type="dxa"/>
                  <w:gridSpan w:val="14"/>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边长5</w:t>
                  </w:r>
                  <w:r>
                    <w:rPr>
                      <w:rFonts w:ascii="宋体" w:hAnsi="宋体"/>
                      <w:color w:val="auto"/>
                      <w:kern w:val="0"/>
                      <w:sz w:val="18"/>
                      <w:szCs w:val="18"/>
                      <w:highlight w:val="none"/>
                    </w:rPr>
                    <w:t>～</w:t>
                  </w:r>
                  <w:r>
                    <w:rPr>
                      <w:color w:val="auto"/>
                      <w:kern w:val="0"/>
                      <w:sz w:val="18"/>
                      <w:szCs w:val="18"/>
                      <w:highlight w:val="none"/>
                    </w:rPr>
                    <w:t>50km □</w:t>
                  </w:r>
                </w:p>
              </w:tc>
              <w:tc>
                <w:tcPr>
                  <w:tcW w:w="2235" w:type="dxa"/>
                  <w:gridSpan w:val="8"/>
                  <w:tcBorders>
                    <w:top w:val="single" w:color="auto" w:sz="4" w:space="0"/>
                    <w:left w:val="single" w:color="auto" w:sz="4" w:space="0"/>
                    <w:bottom w:val="single" w:color="auto" w:sz="4" w:space="0"/>
                    <w:right w:val="single" w:color="auto" w:sz="12"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边长= 5 km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996" w:type="dxa"/>
                  <w:vMerge w:val="continue"/>
                  <w:tcBorders>
                    <w:top w:val="single" w:color="auto" w:sz="4" w:space="0"/>
                    <w:left w:val="single" w:color="auto" w:sz="12" w:space="0"/>
                    <w:bottom w:val="single" w:color="auto" w:sz="4" w:space="0"/>
                    <w:right w:val="single" w:color="auto" w:sz="4" w:space="0"/>
                  </w:tcBorders>
                  <w:vAlign w:val="center"/>
                </w:tcPr>
                <w:p>
                  <w:pPr>
                    <w:pageBreakBefore w:val="0"/>
                    <w:widowControl/>
                    <w:kinsoku/>
                    <w:wordWrap/>
                    <w:overflowPunct/>
                    <w:topLinePunct w:val="0"/>
                    <w:bidi w:val="0"/>
                    <w:snapToGrid w:val="0"/>
                    <w:jc w:val="left"/>
                    <w:rPr>
                      <w:color w:val="auto"/>
                      <w:kern w:val="0"/>
                      <w:sz w:val="18"/>
                      <w:szCs w:val="18"/>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预测因子</w:t>
                  </w:r>
                </w:p>
              </w:tc>
              <w:tc>
                <w:tcPr>
                  <w:tcW w:w="3049" w:type="dxa"/>
                  <w:gridSpan w:val="1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预测因子( )</w:t>
                  </w:r>
                </w:p>
              </w:tc>
              <w:tc>
                <w:tcPr>
                  <w:tcW w:w="2972" w:type="dxa"/>
                  <w:gridSpan w:val="13"/>
                  <w:tcBorders>
                    <w:top w:val="single" w:color="auto" w:sz="4" w:space="0"/>
                    <w:left w:val="single" w:color="auto" w:sz="4" w:space="0"/>
                    <w:bottom w:val="single" w:color="auto" w:sz="4" w:space="0"/>
                    <w:right w:val="single" w:color="auto" w:sz="12"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包括二次PM2.5 □</w:t>
                  </w:r>
                </w:p>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不包括二次PM2.5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996" w:type="dxa"/>
                  <w:vMerge w:val="continue"/>
                  <w:tcBorders>
                    <w:top w:val="single" w:color="auto" w:sz="4" w:space="0"/>
                    <w:left w:val="single" w:color="auto" w:sz="12" w:space="0"/>
                    <w:bottom w:val="single" w:color="auto" w:sz="4" w:space="0"/>
                    <w:right w:val="single" w:color="auto" w:sz="4" w:space="0"/>
                  </w:tcBorders>
                  <w:vAlign w:val="center"/>
                </w:tcPr>
                <w:p>
                  <w:pPr>
                    <w:pageBreakBefore w:val="0"/>
                    <w:widowControl/>
                    <w:kinsoku/>
                    <w:wordWrap/>
                    <w:overflowPunct/>
                    <w:topLinePunct w:val="0"/>
                    <w:bidi w:val="0"/>
                    <w:snapToGrid w:val="0"/>
                    <w:jc w:val="left"/>
                    <w:rPr>
                      <w:color w:val="auto"/>
                      <w:kern w:val="0"/>
                      <w:sz w:val="18"/>
                      <w:szCs w:val="18"/>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正常排放短期浓度贡献值</w:t>
                  </w:r>
                </w:p>
              </w:tc>
              <w:tc>
                <w:tcPr>
                  <w:tcW w:w="3049" w:type="dxa"/>
                  <w:gridSpan w:val="1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rFonts w:ascii="Tahoma" w:hAnsi="Tahoma" w:cs="Tahoma"/>
                      <w:color w:val="auto"/>
                      <w:kern w:val="0"/>
                      <w:sz w:val="18"/>
                      <w:szCs w:val="18"/>
                      <w:highlight w:val="none"/>
                    </w:rPr>
                    <w:t>�</w:t>
                  </w:r>
                  <w:r>
                    <w:rPr>
                      <w:color w:val="auto"/>
                      <w:kern w:val="0"/>
                      <w:sz w:val="13"/>
                      <w:szCs w:val="13"/>
                      <w:highlight w:val="none"/>
                    </w:rPr>
                    <w:t>本项目</w:t>
                  </w:r>
                  <w:r>
                    <w:rPr>
                      <w:color w:val="auto"/>
                      <w:kern w:val="0"/>
                      <w:sz w:val="18"/>
                      <w:szCs w:val="18"/>
                      <w:highlight w:val="none"/>
                    </w:rPr>
                    <w:t>最大占标率≤100%</w:t>
                  </w:r>
                  <w:r>
                    <w:rPr>
                      <w:rFonts w:hint="eastAsia" w:ascii="宋体" w:hAnsi="宋体"/>
                      <w:color w:val="auto"/>
                      <w:kern w:val="0"/>
                      <w:sz w:val="18"/>
                      <w:szCs w:val="18"/>
                      <w:highlight w:val="none"/>
                    </w:rPr>
                    <w:t> </w:t>
                  </w:r>
                  <w:r>
                    <w:rPr>
                      <w:color w:val="auto"/>
                      <w:kern w:val="0"/>
                      <w:sz w:val="18"/>
                      <w:szCs w:val="18"/>
                      <w:highlight w:val="none"/>
                    </w:rPr>
                    <w:t>□</w:t>
                  </w:r>
                </w:p>
              </w:tc>
              <w:tc>
                <w:tcPr>
                  <w:tcW w:w="2972" w:type="dxa"/>
                  <w:gridSpan w:val="13"/>
                  <w:tcBorders>
                    <w:top w:val="single" w:color="auto" w:sz="4" w:space="0"/>
                    <w:left w:val="single" w:color="auto" w:sz="4" w:space="0"/>
                    <w:bottom w:val="single" w:color="auto" w:sz="4" w:space="0"/>
                    <w:right w:val="single" w:color="auto" w:sz="12"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rFonts w:ascii="Tahoma" w:hAnsi="Tahoma" w:cs="Tahoma"/>
                      <w:color w:val="auto"/>
                      <w:kern w:val="0"/>
                      <w:sz w:val="18"/>
                      <w:szCs w:val="18"/>
                      <w:highlight w:val="none"/>
                    </w:rPr>
                    <w:t>�</w:t>
                  </w:r>
                  <w:r>
                    <w:rPr>
                      <w:color w:val="auto"/>
                      <w:kern w:val="0"/>
                      <w:sz w:val="13"/>
                      <w:szCs w:val="13"/>
                      <w:highlight w:val="none"/>
                    </w:rPr>
                    <w:t>本项目</w:t>
                  </w:r>
                  <w:r>
                    <w:rPr>
                      <w:color w:val="auto"/>
                      <w:kern w:val="0"/>
                      <w:sz w:val="18"/>
                      <w:szCs w:val="18"/>
                      <w:highlight w:val="none"/>
                    </w:rPr>
                    <w:t>最大占标率＞100%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996" w:type="dxa"/>
                  <w:vMerge w:val="continue"/>
                  <w:tcBorders>
                    <w:top w:val="single" w:color="auto" w:sz="4" w:space="0"/>
                    <w:left w:val="single" w:color="auto" w:sz="12" w:space="0"/>
                    <w:bottom w:val="single" w:color="auto" w:sz="4" w:space="0"/>
                    <w:right w:val="single" w:color="auto" w:sz="4" w:space="0"/>
                  </w:tcBorders>
                  <w:vAlign w:val="center"/>
                </w:tcPr>
                <w:p>
                  <w:pPr>
                    <w:pageBreakBefore w:val="0"/>
                    <w:widowControl/>
                    <w:kinsoku/>
                    <w:wordWrap/>
                    <w:overflowPunct/>
                    <w:topLinePunct w:val="0"/>
                    <w:bidi w:val="0"/>
                    <w:snapToGrid w:val="0"/>
                    <w:jc w:val="left"/>
                    <w:rPr>
                      <w:color w:val="auto"/>
                      <w:kern w:val="0"/>
                      <w:sz w:val="18"/>
                      <w:szCs w:val="18"/>
                      <w:highlight w:val="none"/>
                    </w:rPr>
                  </w:pP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正常排放年均浓度贡献值</w:t>
                  </w:r>
                </w:p>
              </w:tc>
              <w:tc>
                <w:tcPr>
                  <w:tcW w:w="122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一类区</w:t>
                  </w:r>
                </w:p>
              </w:tc>
              <w:tc>
                <w:tcPr>
                  <w:tcW w:w="1826" w:type="dxa"/>
                  <w:gridSpan w:val="1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rFonts w:ascii="Tahoma" w:hAnsi="Tahoma" w:cs="Tahoma"/>
                      <w:color w:val="auto"/>
                      <w:kern w:val="0"/>
                      <w:sz w:val="18"/>
                      <w:szCs w:val="18"/>
                      <w:highlight w:val="none"/>
                    </w:rPr>
                    <w:t>�</w:t>
                  </w:r>
                  <w:r>
                    <w:rPr>
                      <w:color w:val="auto"/>
                      <w:kern w:val="0"/>
                      <w:sz w:val="13"/>
                      <w:szCs w:val="13"/>
                      <w:highlight w:val="none"/>
                    </w:rPr>
                    <w:t>本项目</w:t>
                  </w:r>
                  <w:r>
                    <w:rPr>
                      <w:color w:val="auto"/>
                      <w:kern w:val="0"/>
                      <w:sz w:val="18"/>
                      <w:szCs w:val="18"/>
                      <w:highlight w:val="none"/>
                    </w:rPr>
                    <w:t>最大占标率≤10%□</w:t>
                  </w:r>
                </w:p>
              </w:tc>
              <w:tc>
                <w:tcPr>
                  <w:tcW w:w="2972" w:type="dxa"/>
                  <w:gridSpan w:val="13"/>
                  <w:tcBorders>
                    <w:top w:val="single" w:color="auto" w:sz="4" w:space="0"/>
                    <w:left w:val="single" w:color="auto" w:sz="4" w:space="0"/>
                    <w:bottom w:val="single" w:color="auto" w:sz="4" w:space="0"/>
                    <w:right w:val="single" w:color="auto" w:sz="12"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rFonts w:ascii="Tahoma" w:hAnsi="Tahoma" w:cs="Tahoma"/>
                      <w:color w:val="auto"/>
                      <w:kern w:val="0"/>
                      <w:sz w:val="18"/>
                      <w:szCs w:val="18"/>
                      <w:highlight w:val="none"/>
                    </w:rPr>
                    <w:t>�</w:t>
                  </w:r>
                  <w:r>
                    <w:rPr>
                      <w:color w:val="auto"/>
                      <w:kern w:val="0"/>
                      <w:sz w:val="13"/>
                      <w:szCs w:val="13"/>
                      <w:highlight w:val="none"/>
                    </w:rPr>
                    <w:t>本项目</w:t>
                  </w:r>
                  <w:r>
                    <w:rPr>
                      <w:color w:val="auto"/>
                      <w:kern w:val="0"/>
                      <w:sz w:val="18"/>
                      <w:szCs w:val="18"/>
                      <w:highlight w:val="none"/>
                    </w:rPr>
                    <w:t>最大标率＞10%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996" w:type="dxa"/>
                  <w:vMerge w:val="continue"/>
                  <w:tcBorders>
                    <w:top w:val="single" w:color="auto" w:sz="4" w:space="0"/>
                    <w:left w:val="single" w:color="auto" w:sz="12" w:space="0"/>
                    <w:bottom w:val="single" w:color="auto" w:sz="4" w:space="0"/>
                    <w:right w:val="single" w:color="auto" w:sz="4" w:space="0"/>
                  </w:tcBorders>
                  <w:vAlign w:val="center"/>
                </w:tcPr>
                <w:p>
                  <w:pPr>
                    <w:pageBreakBefore w:val="0"/>
                    <w:widowControl/>
                    <w:kinsoku/>
                    <w:wordWrap/>
                    <w:overflowPunct/>
                    <w:topLinePunct w:val="0"/>
                    <w:bidi w:val="0"/>
                    <w:snapToGrid w:val="0"/>
                    <w:jc w:val="left"/>
                    <w:rPr>
                      <w:color w:val="auto"/>
                      <w:kern w:val="0"/>
                      <w:sz w:val="18"/>
                      <w:szCs w:val="18"/>
                      <w:highlight w:val="none"/>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val="0"/>
                    <w:jc w:val="left"/>
                    <w:rPr>
                      <w:color w:val="auto"/>
                      <w:kern w:val="0"/>
                      <w:sz w:val="18"/>
                      <w:szCs w:val="18"/>
                      <w:highlight w:val="none"/>
                    </w:rPr>
                  </w:pPr>
                </w:p>
              </w:tc>
              <w:tc>
                <w:tcPr>
                  <w:tcW w:w="122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二类区</w:t>
                  </w:r>
                </w:p>
              </w:tc>
              <w:tc>
                <w:tcPr>
                  <w:tcW w:w="1826" w:type="dxa"/>
                  <w:gridSpan w:val="1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rFonts w:ascii="Tahoma" w:hAnsi="Tahoma" w:cs="Tahoma"/>
                      <w:color w:val="auto"/>
                      <w:kern w:val="0"/>
                      <w:sz w:val="18"/>
                      <w:szCs w:val="18"/>
                      <w:highlight w:val="none"/>
                    </w:rPr>
                    <w:t>�</w:t>
                  </w:r>
                  <w:r>
                    <w:rPr>
                      <w:color w:val="auto"/>
                      <w:kern w:val="0"/>
                      <w:sz w:val="13"/>
                      <w:szCs w:val="13"/>
                      <w:highlight w:val="none"/>
                    </w:rPr>
                    <w:t>本项目</w:t>
                  </w:r>
                  <w:r>
                    <w:rPr>
                      <w:color w:val="auto"/>
                      <w:kern w:val="0"/>
                      <w:sz w:val="18"/>
                      <w:szCs w:val="18"/>
                      <w:highlight w:val="none"/>
                    </w:rPr>
                    <w:t>最大占标率≤30%□</w:t>
                  </w:r>
                </w:p>
              </w:tc>
              <w:tc>
                <w:tcPr>
                  <w:tcW w:w="2972" w:type="dxa"/>
                  <w:gridSpan w:val="13"/>
                  <w:tcBorders>
                    <w:top w:val="single" w:color="auto" w:sz="4" w:space="0"/>
                    <w:left w:val="single" w:color="auto" w:sz="4" w:space="0"/>
                    <w:bottom w:val="single" w:color="auto" w:sz="4" w:space="0"/>
                    <w:right w:val="single" w:color="auto" w:sz="12"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rFonts w:ascii="Tahoma" w:hAnsi="Tahoma" w:cs="Tahoma"/>
                      <w:color w:val="auto"/>
                      <w:kern w:val="0"/>
                      <w:sz w:val="18"/>
                      <w:szCs w:val="18"/>
                      <w:highlight w:val="none"/>
                    </w:rPr>
                    <w:t>�</w:t>
                  </w:r>
                  <w:r>
                    <w:rPr>
                      <w:color w:val="auto"/>
                      <w:kern w:val="0"/>
                      <w:sz w:val="13"/>
                      <w:szCs w:val="13"/>
                      <w:highlight w:val="none"/>
                    </w:rPr>
                    <w:t>本项目</w:t>
                  </w:r>
                  <w:r>
                    <w:rPr>
                      <w:color w:val="auto"/>
                      <w:kern w:val="0"/>
                      <w:sz w:val="18"/>
                      <w:szCs w:val="18"/>
                      <w:highlight w:val="none"/>
                    </w:rPr>
                    <w:t>最大标率＞30%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8" w:hRule="atLeast"/>
              </w:trPr>
              <w:tc>
                <w:tcPr>
                  <w:tcW w:w="996" w:type="dxa"/>
                  <w:vMerge w:val="continue"/>
                  <w:tcBorders>
                    <w:top w:val="single" w:color="auto" w:sz="4" w:space="0"/>
                    <w:left w:val="single" w:color="auto" w:sz="12" w:space="0"/>
                    <w:bottom w:val="single" w:color="auto" w:sz="4" w:space="0"/>
                    <w:right w:val="single" w:color="auto" w:sz="4" w:space="0"/>
                  </w:tcBorders>
                  <w:vAlign w:val="center"/>
                </w:tcPr>
                <w:p>
                  <w:pPr>
                    <w:pageBreakBefore w:val="0"/>
                    <w:widowControl/>
                    <w:kinsoku/>
                    <w:wordWrap/>
                    <w:overflowPunct/>
                    <w:topLinePunct w:val="0"/>
                    <w:bidi w:val="0"/>
                    <w:snapToGrid w:val="0"/>
                    <w:jc w:val="left"/>
                    <w:rPr>
                      <w:color w:val="auto"/>
                      <w:kern w:val="0"/>
                      <w:sz w:val="18"/>
                      <w:szCs w:val="18"/>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非正常排放1h</w:t>
                  </w:r>
                  <w:r>
                    <w:rPr>
                      <w:rFonts w:ascii="宋体" w:hAnsi="宋体"/>
                      <w:color w:val="auto"/>
                      <w:kern w:val="0"/>
                      <w:sz w:val="18"/>
                      <w:szCs w:val="18"/>
                      <w:highlight w:val="none"/>
                    </w:rPr>
                    <w:t>浓度贡献值</w:t>
                  </w:r>
                </w:p>
              </w:tc>
              <w:tc>
                <w:tcPr>
                  <w:tcW w:w="1655" w:type="dxa"/>
                  <w:gridSpan w:val="4"/>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非正常持续时长（）h</w:t>
                  </w:r>
                </w:p>
              </w:tc>
              <w:tc>
                <w:tcPr>
                  <w:tcW w:w="2131" w:type="dxa"/>
                  <w:gridSpan w:val="14"/>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rFonts w:ascii="Tahoma" w:hAnsi="Tahoma" w:cs="Tahoma"/>
                      <w:color w:val="auto"/>
                      <w:kern w:val="0"/>
                      <w:sz w:val="18"/>
                      <w:szCs w:val="18"/>
                      <w:highlight w:val="none"/>
                    </w:rPr>
                    <w:t>�</w:t>
                  </w:r>
                  <w:r>
                    <w:rPr>
                      <w:color w:val="auto"/>
                      <w:kern w:val="0"/>
                      <w:sz w:val="13"/>
                      <w:szCs w:val="13"/>
                      <w:highlight w:val="none"/>
                    </w:rPr>
                    <w:t>非正常</w:t>
                  </w:r>
                  <w:r>
                    <w:rPr>
                      <w:color w:val="auto"/>
                      <w:kern w:val="0"/>
                      <w:sz w:val="18"/>
                      <w:szCs w:val="18"/>
                      <w:highlight w:val="none"/>
                    </w:rPr>
                    <w:t>占标率≤100% □</w:t>
                  </w:r>
                </w:p>
              </w:tc>
              <w:tc>
                <w:tcPr>
                  <w:tcW w:w="2235" w:type="dxa"/>
                  <w:gridSpan w:val="8"/>
                  <w:tcBorders>
                    <w:top w:val="single" w:color="auto" w:sz="4" w:space="0"/>
                    <w:left w:val="single" w:color="auto" w:sz="4" w:space="0"/>
                    <w:bottom w:val="single" w:color="auto" w:sz="4" w:space="0"/>
                    <w:right w:val="single" w:color="auto" w:sz="12"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rFonts w:ascii="Tahoma" w:hAnsi="Tahoma" w:cs="Tahoma"/>
                      <w:color w:val="auto"/>
                      <w:kern w:val="0"/>
                      <w:sz w:val="18"/>
                      <w:szCs w:val="18"/>
                      <w:highlight w:val="none"/>
                    </w:rPr>
                    <w:t>�</w:t>
                  </w:r>
                  <w:r>
                    <w:rPr>
                      <w:color w:val="auto"/>
                      <w:kern w:val="0"/>
                      <w:sz w:val="13"/>
                      <w:szCs w:val="13"/>
                      <w:highlight w:val="none"/>
                    </w:rPr>
                    <w:t>非正常</w:t>
                  </w:r>
                  <w:r>
                    <w:rPr>
                      <w:color w:val="auto"/>
                      <w:kern w:val="0"/>
                      <w:sz w:val="18"/>
                      <w:szCs w:val="18"/>
                      <w:highlight w:val="none"/>
                    </w:rPr>
                    <w:t>占标率＞100%□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996" w:type="dxa"/>
                  <w:vMerge w:val="continue"/>
                  <w:tcBorders>
                    <w:top w:val="single" w:color="auto" w:sz="4" w:space="0"/>
                    <w:left w:val="single" w:color="auto" w:sz="12" w:space="0"/>
                    <w:bottom w:val="single" w:color="auto" w:sz="4" w:space="0"/>
                    <w:right w:val="single" w:color="auto" w:sz="4" w:space="0"/>
                  </w:tcBorders>
                  <w:vAlign w:val="center"/>
                </w:tcPr>
                <w:p>
                  <w:pPr>
                    <w:pageBreakBefore w:val="0"/>
                    <w:widowControl/>
                    <w:kinsoku/>
                    <w:wordWrap/>
                    <w:overflowPunct/>
                    <w:topLinePunct w:val="0"/>
                    <w:bidi w:val="0"/>
                    <w:snapToGrid w:val="0"/>
                    <w:jc w:val="left"/>
                    <w:rPr>
                      <w:color w:val="auto"/>
                      <w:kern w:val="0"/>
                      <w:sz w:val="18"/>
                      <w:szCs w:val="18"/>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保证率日平均浓度和年平均浓度叠加值</w:t>
                  </w:r>
                </w:p>
              </w:tc>
              <w:tc>
                <w:tcPr>
                  <w:tcW w:w="3075" w:type="dxa"/>
                  <w:gridSpan w:val="14"/>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rFonts w:ascii="Tahoma" w:hAnsi="Tahoma" w:cs="Tahoma"/>
                      <w:color w:val="auto"/>
                      <w:kern w:val="0"/>
                      <w:sz w:val="18"/>
                      <w:szCs w:val="18"/>
                      <w:highlight w:val="none"/>
                    </w:rPr>
                    <w:t>�</w:t>
                  </w:r>
                  <w:r>
                    <w:rPr>
                      <w:color w:val="auto"/>
                      <w:kern w:val="0"/>
                      <w:sz w:val="13"/>
                      <w:szCs w:val="13"/>
                      <w:highlight w:val="none"/>
                    </w:rPr>
                    <w:t>叠加</w:t>
                  </w:r>
                  <w:r>
                    <w:rPr>
                      <w:color w:val="auto"/>
                      <w:kern w:val="0"/>
                      <w:sz w:val="18"/>
                      <w:szCs w:val="18"/>
                      <w:highlight w:val="none"/>
                    </w:rPr>
                    <w:t>达标□</w:t>
                  </w:r>
                </w:p>
              </w:tc>
              <w:tc>
                <w:tcPr>
                  <w:tcW w:w="2946" w:type="dxa"/>
                  <w:gridSpan w:val="12"/>
                  <w:tcBorders>
                    <w:top w:val="single" w:color="auto" w:sz="4" w:space="0"/>
                    <w:left w:val="single" w:color="auto" w:sz="4" w:space="0"/>
                    <w:bottom w:val="single" w:color="auto" w:sz="4" w:space="0"/>
                    <w:right w:val="single" w:color="auto" w:sz="12"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rFonts w:ascii="Tahoma" w:hAnsi="Tahoma" w:cs="Tahoma"/>
                      <w:color w:val="auto"/>
                      <w:kern w:val="0"/>
                      <w:sz w:val="18"/>
                      <w:szCs w:val="18"/>
                      <w:highlight w:val="none"/>
                    </w:rPr>
                    <w:t>�</w:t>
                  </w:r>
                  <w:r>
                    <w:rPr>
                      <w:color w:val="auto"/>
                      <w:kern w:val="0"/>
                      <w:sz w:val="13"/>
                      <w:szCs w:val="13"/>
                      <w:highlight w:val="none"/>
                    </w:rPr>
                    <w:t>叠加</w:t>
                  </w:r>
                  <w:r>
                    <w:rPr>
                      <w:color w:val="auto"/>
                      <w:kern w:val="0"/>
                      <w:sz w:val="18"/>
                      <w:szCs w:val="18"/>
                      <w:highlight w:val="none"/>
                    </w:rPr>
                    <w:t>不达标□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996" w:type="dxa"/>
                  <w:vMerge w:val="continue"/>
                  <w:tcBorders>
                    <w:top w:val="single" w:color="auto" w:sz="4" w:space="0"/>
                    <w:left w:val="single" w:color="auto" w:sz="12" w:space="0"/>
                    <w:bottom w:val="single" w:color="auto" w:sz="4" w:space="0"/>
                    <w:right w:val="single" w:color="auto" w:sz="4" w:space="0"/>
                  </w:tcBorders>
                  <w:vAlign w:val="center"/>
                </w:tcPr>
                <w:p>
                  <w:pPr>
                    <w:pageBreakBefore w:val="0"/>
                    <w:widowControl/>
                    <w:kinsoku/>
                    <w:wordWrap/>
                    <w:overflowPunct/>
                    <w:topLinePunct w:val="0"/>
                    <w:bidi w:val="0"/>
                    <w:snapToGrid w:val="0"/>
                    <w:jc w:val="left"/>
                    <w:rPr>
                      <w:color w:val="auto"/>
                      <w:kern w:val="0"/>
                      <w:sz w:val="18"/>
                      <w:szCs w:val="18"/>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区域环境质量的整体变化情况</w:t>
                  </w:r>
                </w:p>
              </w:tc>
              <w:tc>
                <w:tcPr>
                  <w:tcW w:w="3075" w:type="dxa"/>
                  <w:gridSpan w:val="14"/>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i/>
                      <w:iCs/>
                      <w:color w:val="auto"/>
                      <w:kern w:val="0"/>
                      <w:sz w:val="18"/>
                      <w:szCs w:val="18"/>
                      <w:highlight w:val="none"/>
                    </w:rPr>
                    <w:t xml:space="preserve">k </w:t>
                  </w:r>
                  <w:r>
                    <w:rPr>
                      <w:color w:val="auto"/>
                      <w:kern w:val="0"/>
                      <w:sz w:val="18"/>
                      <w:szCs w:val="18"/>
                      <w:highlight w:val="none"/>
                    </w:rPr>
                    <w:t>≤-20% □</w:t>
                  </w:r>
                </w:p>
              </w:tc>
              <w:tc>
                <w:tcPr>
                  <w:tcW w:w="2946" w:type="dxa"/>
                  <w:gridSpan w:val="12"/>
                  <w:tcBorders>
                    <w:top w:val="single" w:color="auto" w:sz="4" w:space="0"/>
                    <w:left w:val="single" w:color="auto" w:sz="4" w:space="0"/>
                    <w:bottom w:val="single" w:color="auto" w:sz="4" w:space="0"/>
                    <w:right w:val="single" w:color="auto" w:sz="12"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i/>
                      <w:iCs/>
                      <w:color w:val="auto"/>
                      <w:kern w:val="0"/>
                      <w:sz w:val="18"/>
                      <w:szCs w:val="18"/>
                      <w:highlight w:val="none"/>
                    </w:rPr>
                    <w:t xml:space="preserve">k </w:t>
                  </w:r>
                  <w:r>
                    <w:rPr>
                      <w:color w:val="auto"/>
                      <w:kern w:val="0"/>
                      <w:sz w:val="18"/>
                      <w:szCs w:val="18"/>
                      <w:highlight w:val="none"/>
                    </w:rPr>
                    <w:t>＞-20%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996" w:type="dxa"/>
                  <w:vMerge w:val="restart"/>
                  <w:tcBorders>
                    <w:top w:val="single" w:color="auto" w:sz="4" w:space="0"/>
                    <w:left w:val="single" w:color="auto" w:sz="12"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环境监测计划</w:t>
                  </w:r>
                </w:p>
              </w:tc>
              <w:tc>
                <w:tcPr>
                  <w:tcW w:w="156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污染源监测</w:t>
                  </w:r>
                </w:p>
              </w:tc>
              <w:tc>
                <w:tcPr>
                  <w:tcW w:w="2496" w:type="dxa"/>
                  <w:gridSpan w:val="10"/>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监测因子：（</w:t>
                  </w:r>
                  <w:r>
                    <w:rPr>
                      <w:rFonts w:hint="eastAsia" w:ascii="宋体" w:hAnsi="宋体"/>
                      <w:color w:val="auto"/>
                      <w:kern w:val="0"/>
                      <w:sz w:val="18"/>
                      <w:szCs w:val="18"/>
                      <w:highlight w:val="none"/>
                    </w:rPr>
                    <w:t>TSP</w:t>
                  </w:r>
                  <w:r>
                    <w:rPr>
                      <w:color w:val="auto"/>
                      <w:kern w:val="0"/>
                      <w:sz w:val="18"/>
                      <w:szCs w:val="18"/>
                      <w:highlight w:val="none"/>
                    </w:rPr>
                    <w:t>）</w:t>
                  </w:r>
                </w:p>
              </w:tc>
              <w:tc>
                <w:tcPr>
                  <w:tcW w:w="1850" w:type="dxa"/>
                  <w:gridSpan w:val="1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rFonts w:ascii="宋体" w:hAnsi="宋体"/>
                      <w:color w:val="auto"/>
                      <w:kern w:val="0"/>
                      <w:sz w:val="18"/>
                      <w:szCs w:val="18"/>
                      <w:highlight w:val="none"/>
                    </w:rPr>
                  </w:pPr>
                  <w:r>
                    <w:rPr>
                      <w:color w:val="auto"/>
                      <w:kern w:val="0"/>
                      <w:sz w:val="18"/>
                      <w:szCs w:val="18"/>
                      <w:highlight w:val="none"/>
                    </w:rPr>
                    <w:t>有组织废气监测</w:t>
                  </w:r>
                  <w:r>
                    <w:rPr>
                      <w:rFonts w:hint="eastAsia" w:ascii="宋体" w:hAnsi="宋体"/>
                      <w:b/>
                      <w:bCs/>
                      <w:color w:val="auto"/>
                      <w:kern w:val="0"/>
                      <w:sz w:val="18"/>
                      <w:szCs w:val="18"/>
                      <w:highlight w:val="none"/>
                    </w:rPr>
                    <w:t>√</w:t>
                  </w:r>
                </w:p>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无组织废气监测□</w:t>
                  </w:r>
                </w:p>
              </w:tc>
              <w:tc>
                <w:tcPr>
                  <w:tcW w:w="1675" w:type="dxa"/>
                  <w:gridSpan w:val="4"/>
                  <w:tcBorders>
                    <w:top w:val="single" w:color="auto" w:sz="4" w:space="0"/>
                    <w:left w:val="single" w:color="auto" w:sz="4" w:space="0"/>
                    <w:bottom w:val="single" w:color="auto" w:sz="4" w:space="0"/>
                    <w:right w:val="single" w:color="auto" w:sz="12" w:space="0"/>
                  </w:tcBorders>
                  <w:vAlign w:val="center"/>
                </w:tcPr>
                <w:p>
                  <w:pPr>
                    <w:pageBreakBefore w:val="0"/>
                    <w:kinsoku/>
                    <w:wordWrap/>
                    <w:overflowPunct/>
                    <w:topLinePunct w:val="0"/>
                    <w:autoSpaceDE w:val="0"/>
                    <w:autoSpaceDN w:val="0"/>
                    <w:bidi w:val="0"/>
                    <w:adjustRightInd w:val="0"/>
                    <w:snapToGrid w:val="0"/>
                    <w:rPr>
                      <w:color w:val="auto"/>
                      <w:kern w:val="0"/>
                      <w:sz w:val="18"/>
                      <w:szCs w:val="18"/>
                      <w:highlight w:val="none"/>
                    </w:rPr>
                  </w:pPr>
                  <w:r>
                    <w:rPr>
                      <w:color w:val="auto"/>
                      <w:kern w:val="0"/>
                      <w:sz w:val="18"/>
                      <w:szCs w:val="18"/>
                      <w:highlight w:val="none"/>
                    </w:rPr>
                    <w:t>无监测□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996" w:type="dxa"/>
                  <w:vMerge w:val="continue"/>
                  <w:tcBorders>
                    <w:top w:val="single" w:color="auto" w:sz="4" w:space="0"/>
                    <w:left w:val="single" w:color="auto" w:sz="12" w:space="0"/>
                    <w:bottom w:val="single" w:color="auto" w:sz="4" w:space="0"/>
                    <w:right w:val="single" w:color="auto" w:sz="4" w:space="0"/>
                  </w:tcBorders>
                  <w:vAlign w:val="center"/>
                </w:tcPr>
                <w:p>
                  <w:pPr>
                    <w:pageBreakBefore w:val="0"/>
                    <w:widowControl/>
                    <w:kinsoku/>
                    <w:wordWrap/>
                    <w:overflowPunct/>
                    <w:topLinePunct w:val="0"/>
                    <w:bidi w:val="0"/>
                    <w:snapToGrid w:val="0"/>
                    <w:jc w:val="left"/>
                    <w:rPr>
                      <w:color w:val="auto"/>
                      <w:kern w:val="0"/>
                      <w:sz w:val="18"/>
                      <w:szCs w:val="18"/>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环境质量监测</w:t>
                  </w:r>
                </w:p>
              </w:tc>
              <w:tc>
                <w:tcPr>
                  <w:tcW w:w="2496" w:type="dxa"/>
                  <w:gridSpan w:val="10"/>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监测因子：（</w:t>
                  </w:r>
                  <w:r>
                    <w:rPr>
                      <w:rFonts w:hint="eastAsia" w:ascii="宋体" w:hAnsi="宋体"/>
                      <w:color w:val="auto"/>
                      <w:kern w:val="0"/>
                      <w:sz w:val="18"/>
                      <w:szCs w:val="18"/>
                      <w:highlight w:val="none"/>
                    </w:rPr>
                    <w:t>/</w:t>
                  </w:r>
                  <w:r>
                    <w:rPr>
                      <w:color w:val="auto"/>
                      <w:kern w:val="0"/>
                      <w:sz w:val="18"/>
                      <w:szCs w:val="18"/>
                      <w:highlight w:val="none"/>
                    </w:rPr>
                    <w:t>）</w:t>
                  </w:r>
                </w:p>
              </w:tc>
              <w:tc>
                <w:tcPr>
                  <w:tcW w:w="1850" w:type="dxa"/>
                  <w:gridSpan w:val="1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监测点位数（</w:t>
                  </w:r>
                  <w:r>
                    <w:rPr>
                      <w:rFonts w:hint="eastAsia" w:ascii="宋体" w:hAnsi="宋体"/>
                      <w:color w:val="auto"/>
                      <w:kern w:val="0"/>
                      <w:sz w:val="18"/>
                      <w:szCs w:val="18"/>
                      <w:highlight w:val="none"/>
                    </w:rPr>
                    <w:t>/</w:t>
                  </w:r>
                  <w:r>
                    <w:rPr>
                      <w:color w:val="auto"/>
                      <w:kern w:val="0"/>
                      <w:sz w:val="18"/>
                      <w:szCs w:val="18"/>
                      <w:highlight w:val="none"/>
                    </w:rPr>
                    <w:t>）</w:t>
                  </w:r>
                </w:p>
              </w:tc>
              <w:tc>
                <w:tcPr>
                  <w:tcW w:w="1675" w:type="dxa"/>
                  <w:gridSpan w:val="4"/>
                  <w:tcBorders>
                    <w:top w:val="single" w:color="auto" w:sz="4" w:space="0"/>
                    <w:left w:val="single" w:color="auto" w:sz="4" w:space="0"/>
                    <w:bottom w:val="single" w:color="auto" w:sz="4" w:space="0"/>
                    <w:right w:val="single" w:color="auto" w:sz="12" w:space="0"/>
                  </w:tcBorders>
                  <w:vAlign w:val="center"/>
                </w:tcPr>
                <w:p>
                  <w:pPr>
                    <w:pageBreakBefore w:val="0"/>
                    <w:kinsoku/>
                    <w:wordWrap/>
                    <w:overflowPunct/>
                    <w:topLinePunct w:val="0"/>
                    <w:autoSpaceDE w:val="0"/>
                    <w:autoSpaceDN w:val="0"/>
                    <w:bidi w:val="0"/>
                    <w:adjustRightInd w:val="0"/>
                    <w:snapToGrid w:val="0"/>
                    <w:rPr>
                      <w:color w:val="auto"/>
                      <w:kern w:val="0"/>
                      <w:sz w:val="18"/>
                      <w:szCs w:val="18"/>
                      <w:highlight w:val="none"/>
                    </w:rPr>
                  </w:pPr>
                  <w:r>
                    <w:rPr>
                      <w:color w:val="auto"/>
                      <w:kern w:val="0"/>
                      <w:sz w:val="18"/>
                      <w:szCs w:val="18"/>
                      <w:highlight w:val="none"/>
                    </w:rPr>
                    <w:t>无监测</w:t>
                  </w:r>
                  <w:r>
                    <w:rPr>
                      <w:rFonts w:hint="eastAsia" w:ascii="宋体" w:hAnsi="宋体"/>
                      <w:b/>
                      <w:bCs/>
                      <w:color w:val="auto"/>
                      <w:kern w:val="0"/>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996" w:type="dxa"/>
                  <w:vMerge w:val="restart"/>
                  <w:tcBorders>
                    <w:top w:val="single" w:color="auto" w:sz="4" w:space="0"/>
                    <w:left w:val="single" w:color="auto" w:sz="12"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评价结论</w:t>
                  </w:r>
                </w:p>
              </w:tc>
              <w:tc>
                <w:tcPr>
                  <w:tcW w:w="156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环境影响</w:t>
                  </w:r>
                </w:p>
              </w:tc>
              <w:tc>
                <w:tcPr>
                  <w:tcW w:w="6021" w:type="dxa"/>
                  <w:gridSpan w:val="26"/>
                  <w:tcBorders>
                    <w:top w:val="single" w:color="auto" w:sz="4" w:space="0"/>
                    <w:left w:val="single" w:color="auto" w:sz="4" w:space="0"/>
                    <w:bottom w:val="single" w:color="auto" w:sz="4" w:space="0"/>
                    <w:right w:val="single" w:color="auto" w:sz="12"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可以接受</w:t>
                  </w:r>
                  <w:r>
                    <w:rPr>
                      <w:rFonts w:hint="eastAsia" w:ascii="宋体" w:hAnsi="宋体"/>
                      <w:b/>
                      <w:bCs/>
                      <w:color w:val="auto"/>
                      <w:kern w:val="0"/>
                      <w:sz w:val="18"/>
                      <w:szCs w:val="18"/>
                      <w:highlight w:val="none"/>
                    </w:rPr>
                    <w:t>√</w:t>
                  </w:r>
                  <w:r>
                    <w:rPr>
                      <w:rFonts w:hint="eastAsia" w:ascii="宋体" w:hAnsi="宋体"/>
                      <w:color w:val="auto"/>
                      <w:kern w:val="0"/>
                      <w:sz w:val="18"/>
                      <w:szCs w:val="18"/>
                      <w:highlight w:val="none"/>
                    </w:rPr>
                    <w:t xml:space="preserve">   </w:t>
                  </w:r>
                  <w:r>
                    <w:rPr>
                      <w:color w:val="auto"/>
                      <w:kern w:val="0"/>
                      <w:sz w:val="18"/>
                      <w:szCs w:val="18"/>
                      <w:highlight w:val="none"/>
                    </w:rPr>
                    <w:t>不可以接受□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996" w:type="dxa"/>
                  <w:vMerge w:val="continue"/>
                  <w:tcBorders>
                    <w:top w:val="single" w:color="auto" w:sz="4" w:space="0"/>
                    <w:left w:val="single" w:color="auto" w:sz="12" w:space="0"/>
                    <w:bottom w:val="single" w:color="auto" w:sz="4" w:space="0"/>
                    <w:right w:val="single" w:color="auto" w:sz="4" w:space="0"/>
                  </w:tcBorders>
                  <w:vAlign w:val="center"/>
                </w:tcPr>
                <w:p>
                  <w:pPr>
                    <w:pageBreakBefore w:val="0"/>
                    <w:widowControl/>
                    <w:kinsoku/>
                    <w:wordWrap/>
                    <w:overflowPunct/>
                    <w:topLinePunct w:val="0"/>
                    <w:bidi w:val="0"/>
                    <w:snapToGrid w:val="0"/>
                    <w:jc w:val="left"/>
                    <w:rPr>
                      <w:color w:val="auto"/>
                      <w:kern w:val="0"/>
                      <w:sz w:val="18"/>
                      <w:szCs w:val="18"/>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大气环境防护距离</w:t>
                  </w:r>
                </w:p>
              </w:tc>
              <w:tc>
                <w:tcPr>
                  <w:tcW w:w="6021" w:type="dxa"/>
                  <w:gridSpan w:val="26"/>
                  <w:tcBorders>
                    <w:top w:val="single" w:color="auto" w:sz="4" w:space="0"/>
                    <w:left w:val="single" w:color="auto" w:sz="4" w:space="0"/>
                    <w:bottom w:val="single" w:color="auto" w:sz="4" w:space="0"/>
                    <w:right w:val="single" w:color="auto" w:sz="12"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rFonts w:hint="eastAsia" w:ascii="宋体" w:hAnsi="宋体"/>
                      <w:color w:val="auto"/>
                      <w:kern w:val="0"/>
                      <w:sz w:val="18"/>
                      <w:szCs w:val="18"/>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996" w:type="dxa"/>
                  <w:vMerge w:val="continue"/>
                  <w:tcBorders>
                    <w:top w:val="single" w:color="auto" w:sz="4" w:space="0"/>
                    <w:left w:val="single" w:color="auto" w:sz="12" w:space="0"/>
                    <w:bottom w:val="single" w:color="auto" w:sz="4" w:space="0"/>
                    <w:right w:val="single" w:color="auto" w:sz="4" w:space="0"/>
                  </w:tcBorders>
                  <w:vAlign w:val="center"/>
                </w:tcPr>
                <w:p>
                  <w:pPr>
                    <w:pageBreakBefore w:val="0"/>
                    <w:widowControl/>
                    <w:kinsoku/>
                    <w:wordWrap/>
                    <w:overflowPunct/>
                    <w:topLinePunct w:val="0"/>
                    <w:bidi w:val="0"/>
                    <w:snapToGrid w:val="0"/>
                    <w:jc w:val="left"/>
                    <w:rPr>
                      <w:color w:val="auto"/>
                      <w:kern w:val="0"/>
                      <w:sz w:val="18"/>
                      <w:szCs w:val="18"/>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污染源年排放量</w:t>
                  </w:r>
                </w:p>
              </w:tc>
              <w:tc>
                <w:tcPr>
                  <w:tcW w:w="1394"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SO</w:t>
                  </w:r>
                  <w:r>
                    <w:rPr>
                      <w:color w:val="auto"/>
                      <w:kern w:val="0"/>
                      <w:sz w:val="18"/>
                      <w:szCs w:val="18"/>
                      <w:highlight w:val="none"/>
                      <w:vertAlign w:val="subscript"/>
                    </w:rPr>
                    <w:t>2</w:t>
                  </w:r>
                  <w:r>
                    <w:rPr>
                      <w:color w:val="auto"/>
                      <w:kern w:val="0"/>
                      <w:sz w:val="18"/>
                      <w:szCs w:val="18"/>
                      <w:highlight w:val="none"/>
                    </w:rPr>
                    <w:t>:</w:t>
                  </w:r>
                  <w:r>
                    <w:rPr>
                      <w:rFonts w:ascii="宋体" w:hAnsi="宋体"/>
                      <w:color w:val="auto"/>
                      <w:kern w:val="0"/>
                      <w:sz w:val="18"/>
                      <w:szCs w:val="18"/>
                      <w:highlight w:val="none"/>
                    </w:rPr>
                    <w:t>（</w:t>
                  </w:r>
                  <w:r>
                    <w:rPr>
                      <w:rFonts w:hint="eastAsia" w:ascii="宋体" w:hAnsi="宋体"/>
                      <w:color w:val="auto"/>
                      <w:kern w:val="0"/>
                      <w:sz w:val="18"/>
                      <w:szCs w:val="18"/>
                      <w:highlight w:val="none"/>
                    </w:rPr>
                    <w:t>/</w:t>
                  </w:r>
                  <w:r>
                    <w:rPr>
                      <w:color w:val="auto"/>
                      <w:kern w:val="0"/>
                      <w:sz w:val="18"/>
                      <w:szCs w:val="18"/>
                      <w:highlight w:val="none"/>
                    </w:rPr>
                    <w:t>）t/a</w:t>
                  </w:r>
                </w:p>
              </w:tc>
              <w:tc>
                <w:tcPr>
                  <w:tcW w:w="1146"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NOx:</w:t>
                  </w:r>
                  <w:r>
                    <w:rPr>
                      <w:rFonts w:ascii="宋体" w:hAnsi="宋体"/>
                      <w:color w:val="auto"/>
                      <w:kern w:val="0"/>
                      <w:sz w:val="18"/>
                      <w:szCs w:val="18"/>
                      <w:highlight w:val="none"/>
                    </w:rPr>
                    <w:t>（</w:t>
                  </w:r>
                  <w:r>
                    <w:rPr>
                      <w:rFonts w:hint="eastAsia" w:ascii="宋体" w:hAnsi="宋体"/>
                      <w:color w:val="auto"/>
                      <w:kern w:val="0"/>
                      <w:sz w:val="18"/>
                      <w:szCs w:val="18"/>
                      <w:highlight w:val="none"/>
                    </w:rPr>
                    <w:t>/</w:t>
                  </w:r>
                  <w:r>
                    <w:rPr>
                      <w:color w:val="auto"/>
                      <w:kern w:val="0"/>
                      <w:sz w:val="18"/>
                      <w:szCs w:val="18"/>
                      <w:highlight w:val="none"/>
                    </w:rPr>
                    <w:t>）t/a</w:t>
                  </w:r>
                </w:p>
              </w:tc>
              <w:tc>
                <w:tcPr>
                  <w:tcW w:w="1528" w:type="dxa"/>
                  <w:gridSpan w:val="8"/>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颗粒物:</w:t>
                  </w:r>
                  <w:r>
                    <w:rPr>
                      <w:rFonts w:ascii="宋体" w:hAnsi="宋体"/>
                      <w:color w:val="auto"/>
                      <w:kern w:val="0"/>
                      <w:sz w:val="18"/>
                      <w:szCs w:val="18"/>
                      <w:highlight w:val="none"/>
                    </w:rPr>
                    <w:t>（</w:t>
                  </w:r>
                  <w:r>
                    <w:rPr>
                      <w:rFonts w:hint="eastAsia" w:ascii="宋体" w:hAnsi="宋体"/>
                      <w:color w:val="auto"/>
                      <w:kern w:val="0"/>
                      <w:sz w:val="18"/>
                      <w:szCs w:val="18"/>
                      <w:highlight w:val="none"/>
                    </w:rPr>
                    <w:t>/</w:t>
                  </w:r>
                  <w:r>
                    <w:rPr>
                      <w:color w:val="auto"/>
                      <w:kern w:val="0"/>
                      <w:sz w:val="18"/>
                      <w:szCs w:val="18"/>
                      <w:highlight w:val="none"/>
                    </w:rPr>
                    <w:t>）t/a</w:t>
                  </w:r>
                </w:p>
              </w:tc>
              <w:tc>
                <w:tcPr>
                  <w:tcW w:w="1953" w:type="dxa"/>
                  <w:gridSpan w:val="7"/>
                  <w:tcBorders>
                    <w:top w:val="single" w:color="auto" w:sz="4" w:space="0"/>
                    <w:left w:val="single" w:color="auto" w:sz="4" w:space="0"/>
                    <w:bottom w:val="single" w:color="auto" w:sz="4" w:space="0"/>
                    <w:right w:val="single" w:color="auto" w:sz="12" w:space="0"/>
                  </w:tcBorders>
                  <w:vAlign w:val="center"/>
                </w:tcPr>
                <w:p>
                  <w:pPr>
                    <w:pageBreakBefore w:val="0"/>
                    <w:kinsoku/>
                    <w:wordWrap/>
                    <w:overflowPunct/>
                    <w:topLinePunct w:val="0"/>
                    <w:autoSpaceDE w:val="0"/>
                    <w:autoSpaceDN w:val="0"/>
                    <w:bidi w:val="0"/>
                    <w:adjustRightInd w:val="0"/>
                    <w:snapToGrid w:val="0"/>
                    <w:jc w:val="center"/>
                    <w:rPr>
                      <w:color w:val="auto"/>
                      <w:kern w:val="0"/>
                      <w:sz w:val="18"/>
                      <w:szCs w:val="18"/>
                      <w:highlight w:val="none"/>
                    </w:rPr>
                  </w:pPr>
                  <w:r>
                    <w:rPr>
                      <w:color w:val="auto"/>
                      <w:kern w:val="0"/>
                      <w:sz w:val="18"/>
                      <w:szCs w:val="18"/>
                      <w:highlight w:val="none"/>
                    </w:rPr>
                    <w:t>VOCs:</w:t>
                  </w:r>
                  <w:r>
                    <w:rPr>
                      <w:rFonts w:ascii="宋体" w:hAnsi="宋体"/>
                      <w:color w:val="auto"/>
                      <w:kern w:val="0"/>
                      <w:sz w:val="18"/>
                      <w:szCs w:val="18"/>
                      <w:highlight w:val="none"/>
                    </w:rPr>
                    <w:t>（</w:t>
                  </w:r>
                  <w:r>
                    <w:rPr>
                      <w:rFonts w:hint="eastAsia" w:ascii="宋体" w:hAnsi="宋体"/>
                      <w:color w:val="auto"/>
                      <w:kern w:val="0"/>
                      <w:sz w:val="18"/>
                      <w:szCs w:val="18"/>
                      <w:highlight w:val="none"/>
                    </w:rPr>
                    <w:t>0.0</w:t>
                  </w:r>
                  <w:r>
                    <w:rPr>
                      <w:rFonts w:hint="eastAsia" w:ascii="宋体" w:hAnsi="宋体"/>
                      <w:color w:val="auto"/>
                      <w:kern w:val="0"/>
                      <w:sz w:val="18"/>
                      <w:szCs w:val="18"/>
                      <w:highlight w:val="none"/>
                      <w:lang w:val="en-US" w:eastAsia="zh-CN"/>
                    </w:rPr>
                    <w:t>2</w:t>
                  </w:r>
                  <w:r>
                    <w:rPr>
                      <w:rFonts w:hint="eastAsia" w:ascii="宋体" w:hAnsi="宋体"/>
                      <w:color w:val="auto"/>
                      <w:kern w:val="0"/>
                      <w:sz w:val="18"/>
                      <w:szCs w:val="18"/>
                      <w:highlight w:val="none"/>
                    </w:rPr>
                    <w:t>4</w:t>
                  </w:r>
                  <w:r>
                    <w:rPr>
                      <w:color w:val="auto"/>
                      <w:kern w:val="0"/>
                      <w:sz w:val="18"/>
                      <w:szCs w:val="18"/>
                      <w:highlight w:val="none"/>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8577" w:type="dxa"/>
                  <w:gridSpan w:val="28"/>
                  <w:tcBorders>
                    <w:top w:val="single" w:color="auto" w:sz="4" w:space="0"/>
                    <w:left w:val="single" w:color="auto" w:sz="12" w:space="0"/>
                    <w:bottom w:val="single" w:color="auto" w:sz="12" w:space="0"/>
                    <w:right w:val="single" w:color="auto" w:sz="12" w:space="0"/>
                  </w:tcBorders>
                  <w:vAlign w:val="center"/>
                </w:tcPr>
                <w:p>
                  <w:pPr>
                    <w:pageBreakBefore w:val="0"/>
                    <w:kinsoku/>
                    <w:wordWrap/>
                    <w:overflowPunct/>
                    <w:topLinePunct w:val="0"/>
                    <w:autoSpaceDE w:val="0"/>
                    <w:autoSpaceDN w:val="0"/>
                    <w:bidi w:val="0"/>
                    <w:adjustRightInd w:val="0"/>
                    <w:snapToGrid w:val="0"/>
                    <w:rPr>
                      <w:color w:val="auto"/>
                      <w:kern w:val="0"/>
                      <w:sz w:val="18"/>
                      <w:szCs w:val="18"/>
                      <w:highlight w:val="none"/>
                    </w:rPr>
                  </w:pPr>
                  <w:r>
                    <w:rPr>
                      <w:color w:val="auto"/>
                      <w:kern w:val="0"/>
                      <w:sz w:val="18"/>
                      <w:szCs w:val="18"/>
                      <w:highlight w:val="none"/>
                    </w:rPr>
                    <w:t>注：“□”</w:t>
                  </w:r>
                  <w:r>
                    <w:rPr>
                      <w:rFonts w:ascii="宋体" w:hAnsi="宋体"/>
                      <w:color w:val="auto"/>
                      <w:kern w:val="0"/>
                      <w:sz w:val="18"/>
                      <w:szCs w:val="18"/>
                      <w:highlight w:val="none"/>
                    </w:rPr>
                    <w:t>为勾选项，填</w:t>
                  </w:r>
                  <w:r>
                    <w:rPr>
                      <w:color w:val="auto"/>
                      <w:kern w:val="0"/>
                      <w:sz w:val="18"/>
                      <w:szCs w:val="18"/>
                      <w:highlight w:val="none"/>
                    </w:rPr>
                    <w:t>“√”</w:t>
                  </w:r>
                  <w:r>
                    <w:rPr>
                      <w:rFonts w:ascii="宋体" w:hAnsi="宋体"/>
                      <w:color w:val="auto"/>
                      <w:kern w:val="0"/>
                      <w:sz w:val="18"/>
                      <w:szCs w:val="18"/>
                      <w:highlight w:val="none"/>
                    </w:rPr>
                    <w:t>；</w:t>
                  </w:r>
                  <w:r>
                    <w:rPr>
                      <w:color w:val="auto"/>
                      <w:kern w:val="0"/>
                      <w:sz w:val="18"/>
                      <w:szCs w:val="18"/>
                      <w:highlight w:val="none"/>
                    </w:rPr>
                    <w:t>“</w:t>
                  </w:r>
                  <w:r>
                    <w:rPr>
                      <w:rFonts w:ascii="宋体" w:hAnsi="宋体"/>
                      <w:color w:val="auto"/>
                      <w:kern w:val="0"/>
                      <w:sz w:val="18"/>
                      <w:szCs w:val="18"/>
                      <w:highlight w:val="none"/>
                    </w:rPr>
                    <w:t>（）</w:t>
                  </w:r>
                  <w:r>
                    <w:rPr>
                      <w:color w:val="auto"/>
                      <w:kern w:val="0"/>
                      <w:sz w:val="18"/>
                      <w:szCs w:val="18"/>
                      <w:highlight w:val="none"/>
                    </w:rPr>
                    <w:t xml:space="preserve">” </w:t>
                  </w:r>
                  <w:r>
                    <w:rPr>
                      <w:rFonts w:ascii="宋体" w:hAnsi="宋体"/>
                      <w:color w:val="auto"/>
                      <w:kern w:val="0"/>
                      <w:sz w:val="18"/>
                      <w:szCs w:val="18"/>
                      <w:highlight w:val="none"/>
                    </w:rPr>
                    <w:t>为内容填写项</w:t>
                  </w:r>
                </w:p>
              </w:tc>
            </w:tr>
          </w:tbl>
          <w:p>
            <w:pPr>
              <w:pageBreakBefore w:val="0"/>
              <w:kinsoku/>
              <w:wordWrap/>
              <w:overflowPunct/>
              <w:topLinePunct w:val="0"/>
              <w:autoSpaceDE w:val="0"/>
              <w:autoSpaceDN w:val="0"/>
              <w:bidi w:val="0"/>
              <w:adjustRightInd w:val="0"/>
              <w:snapToGrid w:val="0"/>
              <w:spacing w:line="360" w:lineRule="auto"/>
              <w:ind w:firstLine="470" w:firstLineChars="196"/>
              <w:jc w:val="left"/>
              <w:rPr>
                <w:rFonts w:eastAsia="黑体"/>
                <w:bCs/>
                <w:color w:val="auto"/>
                <w:sz w:val="24"/>
                <w:szCs w:val="28"/>
                <w:highlight w:val="none"/>
              </w:rPr>
            </w:pPr>
            <w:r>
              <w:rPr>
                <w:rFonts w:eastAsia="黑体"/>
                <w:bCs/>
                <w:color w:val="auto"/>
                <w:sz w:val="24"/>
                <w:szCs w:val="28"/>
                <w:highlight w:val="none"/>
              </w:rPr>
              <w:t xml:space="preserve">7.2.2 </w:t>
            </w:r>
            <w:r>
              <w:rPr>
                <w:rFonts w:hint="eastAsia" w:eastAsia="黑体"/>
                <w:bCs/>
                <w:color w:val="auto"/>
                <w:sz w:val="24"/>
                <w:szCs w:val="28"/>
                <w:highlight w:val="none"/>
              </w:rPr>
              <w:t>地表水环境影响分析</w:t>
            </w:r>
          </w:p>
          <w:p>
            <w:pPr>
              <w:pageBreakBefore w:val="0"/>
              <w:kinsoku/>
              <w:wordWrap/>
              <w:overflowPunct/>
              <w:topLinePunct w:val="0"/>
              <w:autoSpaceDE w:val="0"/>
              <w:autoSpaceDN w:val="0"/>
              <w:bidi w:val="0"/>
              <w:adjustRightInd w:val="0"/>
              <w:snapToGrid w:val="0"/>
              <w:spacing w:line="360" w:lineRule="auto"/>
              <w:ind w:firstLine="470" w:firstLineChars="196"/>
              <w:jc w:val="left"/>
              <w:rPr>
                <w:rFonts w:eastAsia="黑体"/>
                <w:bCs/>
                <w:color w:val="auto"/>
                <w:sz w:val="24"/>
                <w:szCs w:val="28"/>
                <w:highlight w:val="none"/>
              </w:rPr>
            </w:pPr>
            <w:r>
              <w:rPr>
                <w:rFonts w:eastAsia="黑体"/>
                <w:bCs/>
                <w:color w:val="auto"/>
                <w:sz w:val="24"/>
                <w:szCs w:val="28"/>
                <w:highlight w:val="none"/>
              </w:rPr>
              <w:t>1</w:t>
            </w:r>
            <w:r>
              <w:rPr>
                <w:rFonts w:hint="eastAsia" w:eastAsia="黑体"/>
                <w:bCs/>
                <w:color w:val="auto"/>
                <w:sz w:val="24"/>
                <w:szCs w:val="28"/>
                <w:highlight w:val="none"/>
              </w:rPr>
              <w:t>、地表水环境评价等级判定</w:t>
            </w:r>
          </w:p>
          <w:p>
            <w:pPr>
              <w:pageBreakBefore w:val="0"/>
              <w:kinsoku/>
              <w:wordWrap/>
              <w:overflowPunct/>
              <w:topLinePunct w:val="0"/>
              <w:autoSpaceDE w:val="0"/>
              <w:autoSpaceDN w:val="0"/>
              <w:bidi w:val="0"/>
              <w:adjustRightInd w:val="0"/>
              <w:snapToGrid w:val="0"/>
              <w:spacing w:line="360" w:lineRule="auto"/>
              <w:ind w:firstLine="470" w:firstLineChars="196"/>
              <w:jc w:val="left"/>
              <w:rPr>
                <w:color w:val="auto"/>
                <w:sz w:val="24"/>
                <w:highlight w:val="none"/>
              </w:rPr>
            </w:pPr>
            <w:r>
              <w:rPr>
                <w:rFonts w:hint="eastAsia"/>
                <w:color w:val="auto"/>
                <w:sz w:val="24"/>
                <w:highlight w:val="none"/>
              </w:rPr>
              <w:t>本项目仅产生生活污水，排入陕西澳利森木业集团有限公司现有化粪池，经市政污水管网排入西安市第三污水处理厂，属于间接排放。根据《环境影响评价技术导则</w:t>
            </w:r>
            <w:r>
              <w:rPr>
                <w:color w:val="auto"/>
                <w:sz w:val="24"/>
                <w:highlight w:val="none"/>
              </w:rPr>
              <w:t>-</w:t>
            </w:r>
            <w:r>
              <w:rPr>
                <w:rFonts w:hint="eastAsia"/>
                <w:color w:val="auto"/>
                <w:sz w:val="24"/>
                <w:highlight w:val="none"/>
              </w:rPr>
              <w:t>地表水环境》表</w:t>
            </w:r>
            <w:r>
              <w:rPr>
                <w:color w:val="auto"/>
                <w:sz w:val="24"/>
                <w:highlight w:val="none"/>
              </w:rPr>
              <w:t>1</w:t>
            </w:r>
            <w:r>
              <w:rPr>
                <w:rFonts w:hint="eastAsia"/>
                <w:color w:val="auto"/>
                <w:sz w:val="24"/>
                <w:highlight w:val="none"/>
              </w:rPr>
              <w:t>水污染影响型建设项目评价等级判定中的判定依据，本项目评价等级定为三级</w:t>
            </w:r>
            <w:r>
              <w:rPr>
                <w:color w:val="auto"/>
                <w:sz w:val="24"/>
                <w:highlight w:val="none"/>
              </w:rPr>
              <w:t>B</w:t>
            </w:r>
            <w:r>
              <w:rPr>
                <w:rFonts w:hint="eastAsia"/>
                <w:color w:val="auto"/>
                <w:sz w:val="24"/>
                <w:highlight w:val="none"/>
              </w:rPr>
              <w:t>。</w:t>
            </w:r>
          </w:p>
          <w:p>
            <w:pPr>
              <w:pageBreakBefore w:val="0"/>
              <w:kinsoku/>
              <w:wordWrap/>
              <w:overflowPunct/>
              <w:topLinePunct w:val="0"/>
              <w:autoSpaceDE w:val="0"/>
              <w:autoSpaceDN w:val="0"/>
              <w:bidi w:val="0"/>
              <w:adjustRightInd w:val="0"/>
              <w:snapToGrid w:val="0"/>
              <w:spacing w:line="360" w:lineRule="auto"/>
              <w:ind w:firstLine="470" w:firstLineChars="196"/>
              <w:jc w:val="left"/>
              <w:rPr>
                <w:rFonts w:eastAsia="黑体"/>
                <w:bCs/>
                <w:color w:val="auto"/>
                <w:sz w:val="24"/>
                <w:szCs w:val="28"/>
                <w:highlight w:val="none"/>
              </w:rPr>
            </w:pPr>
            <w:r>
              <w:rPr>
                <w:rFonts w:eastAsia="黑体"/>
                <w:bCs/>
                <w:color w:val="auto"/>
                <w:sz w:val="24"/>
                <w:szCs w:val="28"/>
                <w:highlight w:val="none"/>
              </w:rPr>
              <w:t>2</w:t>
            </w:r>
            <w:r>
              <w:rPr>
                <w:rFonts w:hint="eastAsia" w:eastAsia="黑体"/>
                <w:bCs/>
                <w:color w:val="auto"/>
                <w:sz w:val="24"/>
                <w:szCs w:val="28"/>
                <w:highlight w:val="none"/>
              </w:rPr>
              <w:t>、评价标准</w:t>
            </w:r>
          </w:p>
          <w:p>
            <w:pPr>
              <w:pageBreakBefore w:val="0"/>
              <w:kinsoku/>
              <w:wordWrap/>
              <w:overflowPunct/>
              <w:topLinePunct w:val="0"/>
              <w:autoSpaceDE w:val="0"/>
              <w:autoSpaceDN w:val="0"/>
              <w:bidi w:val="0"/>
              <w:adjustRightInd w:val="0"/>
              <w:snapToGrid w:val="0"/>
              <w:spacing w:line="360" w:lineRule="auto"/>
              <w:ind w:firstLine="470" w:firstLineChars="196"/>
              <w:jc w:val="left"/>
              <w:rPr>
                <w:color w:val="auto"/>
                <w:sz w:val="24"/>
                <w:highlight w:val="none"/>
              </w:rPr>
            </w:pPr>
            <w:r>
              <w:rPr>
                <w:rFonts w:eastAsia="黑体"/>
                <w:bCs/>
                <w:color w:val="auto"/>
                <w:sz w:val="24"/>
                <w:szCs w:val="28"/>
                <w:highlight w:val="none"/>
              </w:rPr>
              <w:t xml:space="preserve"> </w:t>
            </w:r>
            <w:r>
              <w:rPr>
                <w:rFonts w:hint="eastAsia"/>
                <w:color w:val="auto"/>
                <w:sz w:val="24"/>
                <w:highlight w:val="none"/>
              </w:rPr>
              <w:t>本项目废水执行《污水综合排放标准》（</w:t>
            </w:r>
            <w:r>
              <w:rPr>
                <w:color w:val="auto"/>
                <w:sz w:val="24"/>
                <w:highlight w:val="none"/>
              </w:rPr>
              <w:t>GB8978-1996</w:t>
            </w:r>
            <w:r>
              <w:rPr>
                <w:rFonts w:hint="eastAsia"/>
                <w:color w:val="auto"/>
                <w:sz w:val="24"/>
                <w:highlight w:val="none"/>
              </w:rPr>
              <w:t>）中三级标准及《污水排入城镇下水道水质标准》（</w:t>
            </w:r>
            <w:r>
              <w:rPr>
                <w:color w:val="auto"/>
                <w:sz w:val="24"/>
                <w:highlight w:val="none"/>
              </w:rPr>
              <w:t>GB/T31962-2015</w:t>
            </w:r>
            <w:r>
              <w:rPr>
                <w:rFonts w:hint="eastAsia"/>
                <w:color w:val="auto"/>
                <w:sz w:val="24"/>
                <w:highlight w:val="none"/>
              </w:rPr>
              <w:t>），具体标准值见表7-7。</w:t>
            </w:r>
          </w:p>
          <w:p>
            <w:pPr>
              <w:pStyle w:val="109"/>
              <w:pageBreakBefore w:val="0"/>
              <w:widowControl w:val="0"/>
              <w:kinsoku/>
              <w:wordWrap/>
              <w:overflowPunct/>
              <w:topLinePunct w:val="0"/>
              <w:bidi w:val="0"/>
              <w:snapToGrid w:val="0"/>
              <w:rPr>
                <w:rFonts w:hint="eastAsia"/>
                <w:color w:val="auto"/>
                <w:highlight w:val="none"/>
              </w:rPr>
            </w:pPr>
          </w:p>
          <w:p>
            <w:pPr>
              <w:pStyle w:val="109"/>
              <w:pageBreakBefore w:val="0"/>
              <w:widowControl w:val="0"/>
              <w:kinsoku/>
              <w:wordWrap/>
              <w:overflowPunct/>
              <w:topLinePunct w:val="0"/>
              <w:bidi w:val="0"/>
              <w:snapToGrid w:val="0"/>
              <w:rPr>
                <w:rFonts w:hint="eastAsia"/>
                <w:color w:val="auto"/>
                <w:highlight w:val="none"/>
              </w:rPr>
            </w:pPr>
          </w:p>
          <w:p>
            <w:pPr>
              <w:pStyle w:val="109"/>
              <w:pageBreakBefore w:val="0"/>
              <w:widowControl w:val="0"/>
              <w:kinsoku/>
              <w:wordWrap/>
              <w:overflowPunct/>
              <w:topLinePunct w:val="0"/>
              <w:bidi w:val="0"/>
              <w:snapToGrid w:val="0"/>
              <w:rPr>
                <w:color w:val="auto"/>
                <w:highlight w:val="none"/>
              </w:rPr>
            </w:pPr>
            <w:r>
              <w:rPr>
                <w:rFonts w:hint="eastAsia"/>
                <w:color w:val="auto"/>
                <w:highlight w:val="none"/>
              </w:rPr>
              <w:t>表</w:t>
            </w:r>
            <w:r>
              <w:rPr>
                <w:color w:val="auto"/>
                <w:highlight w:val="none"/>
              </w:rPr>
              <w:t>7-</w:t>
            </w:r>
            <w:r>
              <w:rPr>
                <w:rFonts w:hint="eastAsia"/>
                <w:color w:val="auto"/>
                <w:highlight w:val="none"/>
              </w:rPr>
              <w:t>7</w:t>
            </w:r>
            <w:r>
              <w:rPr>
                <w:color w:val="auto"/>
                <w:highlight w:val="none"/>
              </w:rPr>
              <w:t xml:space="preserve">  </w:t>
            </w:r>
            <w:r>
              <w:rPr>
                <w:rFonts w:hint="eastAsia"/>
                <w:color w:val="auto"/>
                <w:highlight w:val="none"/>
              </w:rPr>
              <w:t>废水污染物排放执行标准表</w:t>
            </w:r>
          </w:p>
          <w:tbl>
            <w:tblPr>
              <w:tblStyle w:val="28"/>
              <w:tblW w:w="7512" w:type="dxa"/>
              <w:tblInd w:w="41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2693"/>
              <w:gridCol w:w="28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984" w:type="dxa"/>
                  <w:vMerge w:val="restart"/>
                  <w:tcBorders>
                    <w:tl2br w:val="nil"/>
                    <w:tr2bl w:val="nil"/>
                  </w:tcBorders>
                </w:tcPr>
                <w:p>
                  <w:pPr>
                    <w:pStyle w:val="109"/>
                    <w:pageBreakBefore w:val="0"/>
                    <w:widowControl w:val="0"/>
                    <w:kinsoku/>
                    <w:wordWrap/>
                    <w:overflowPunct/>
                    <w:topLinePunct w:val="0"/>
                    <w:bidi w:val="0"/>
                    <w:snapToGrid w:val="0"/>
                    <w:rPr>
                      <w:b w:val="0"/>
                      <w:bCs/>
                      <w:color w:val="auto"/>
                      <w:highlight w:val="none"/>
                    </w:rPr>
                  </w:pPr>
                  <w:r>
                    <w:rPr>
                      <w:rFonts w:hint="eastAsia"/>
                      <w:b w:val="0"/>
                      <w:bCs/>
                      <w:color w:val="auto"/>
                      <w:highlight w:val="none"/>
                    </w:rPr>
                    <w:t>污染物种类</w:t>
                  </w:r>
                </w:p>
              </w:tc>
              <w:tc>
                <w:tcPr>
                  <w:tcW w:w="5528" w:type="dxa"/>
                  <w:gridSpan w:val="2"/>
                  <w:tcBorders>
                    <w:tl2br w:val="nil"/>
                    <w:tr2bl w:val="nil"/>
                  </w:tcBorders>
                </w:tcPr>
                <w:p>
                  <w:pPr>
                    <w:pStyle w:val="109"/>
                    <w:pageBreakBefore w:val="0"/>
                    <w:widowControl w:val="0"/>
                    <w:kinsoku/>
                    <w:wordWrap/>
                    <w:overflowPunct/>
                    <w:topLinePunct w:val="0"/>
                    <w:bidi w:val="0"/>
                    <w:snapToGrid w:val="0"/>
                    <w:rPr>
                      <w:b w:val="0"/>
                      <w:bCs/>
                      <w:color w:val="auto"/>
                      <w:highlight w:val="none"/>
                    </w:rPr>
                  </w:pPr>
                  <w:r>
                    <w:rPr>
                      <w:rFonts w:hint="eastAsia"/>
                      <w:b w:val="0"/>
                      <w:bCs/>
                      <w:color w:val="auto"/>
                      <w:highlight w:val="none"/>
                    </w:rPr>
                    <w:t>国家或地方污染物排放标准及其他按规定商定的排放协议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984" w:type="dxa"/>
                  <w:vMerge w:val="continue"/>
                  <w:tcBorders>
                    <w:tl2br w:val="nil"/>
                    <w:tr2bl w:val="nil"/>
                  </w:tcBorders>
                </w:tcPr>
                <w:p>
                  <w:pPr>
                    <w:pStyle w:val="109"/>
                    <w:pageBreakBefore w:val="0"/>
                    <w:widowControl w:val="0"/>
                    <w:kinsoku/>
                    <w:wordWrap/>
                    <w:overflowPunct/>
                    <w:topLinePunct w:val="0"/>
                    <w:bidi w:val="0"/>
                    <w:snapToGrid w:val="0"/>
                    <w:rPr>
                      <w:b w:val="0"/>
                      <w:bCs/>
                      <w:color w:val="auto"/>
                      <w:highlight w:val="none"/>
                    </w:rPr>
                  </w:pPr>
                </w:p>
              </w:tc>
              <w:tc>
                <w:tcPr>
                  <w:tcW w:w="2693" w:type="dxa"/>
                  <w:tcBorders>
                    <w:tl2br w:val="nil"/>
                    <w:tr2bl w:val="nil"/>
                  </w:tcBorders>
                </w:tcPr>
                <w:p>
                  <w:pPr>
                    <w:pStyle w:val="109"/>
                    <w:pageBreakBefore w:val="0"/>
                    <w:widowControl w:val="0"/>
                    <w:kinsoku/>
                    <w:wordWrap/>
                    <w:overflowPunct/>
                    <w:topLinePunct w:val="0"/>
                    <w:bidi w:val="0"/>
                    <w:snapToGrid w:val="0"/>
                    <w:rPr>
                      <w:b w:val="0"/>
                      <w:bCs/>
                      <w:color w:val="auto"/>
                      <w:highlight w:val="none"/>
                    </w:rPr>
                  </w:pPr>
                  <w:r>
                    <w:rPr>
                      <w:rFonts w:hint="eastAsia"/>
                      <w:b w:val="0"/>
                      <w:bCs/>
                      <w:color w:val="auto"/>
                      <w:highlight w:val="none"/>
                    </w:rPr>
                    <w:t>名称</w:t>
                  </w:r>
                </w:p>
              </w:tc>
              <w:tc>
                <w:tcPr>
                  <w:tcW w:w="2835" w:type="dxa"/>
                  <w:tcBorders>
                    <w:tl2br w:val="nil"/>
                    <w:tr2bl w:val="nil"/>
                  </w:tcBorders>
                </w:tcPr>
                <w:p>
                  <w:pPr>
                    <w:pStyle w:val="109"/>
                    <w:pageBreakBefore w:val="0"/>
                    <w:widowControl w:val="0"/>
                    <w:kinsoku/>
                    <w:wordWrap/>
                    <w:overflowPunct/>
                    <w:topLinePunct w:val="0"/>
                    <w:bidi w:val="0"/>
                    <w:snapToGrid w:val="0"/>
                    <w:rPr>
                      <w:b w:val="0"/>
                      <w:bCs/>
                      <w:color w:val="auto"/>
                      <w:highlight w:val="none"/>
                    </w:rPr>
                  </w:pPr>
                  <w:r>
                    <w:rPr>
                      <w:rFonts w:hint="eastAsia"/>
                      <w:b w:val="0"/>
                      <w:bCs/>
                      <w:color w:val="auto"/>
                      <w:highlight w:val="none"/>
                    </w:rPr>
                    <w:t>浓度限值（mg/L)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984" w:type="dxa"/>
                  <w:tcBorders>
                    <w:tl2br w:val="nil"/>
                    <w:tr2bl w:val="nil"/>
                  </w:tcBorders>
                </w:tcPr>
                <w:p>
                  <w:pPr>
                    <w:pStyle w:val="109"/>
                    <w:pageBreakBefore w:val="0"/>
                    <w:widowControl w:val="0"/>
                    <w:kinsoku/>
                    <w:wordWrap/>
                    <w:overflowPunct/>
                    <w:topLinePunct w:val="0"/>
                    <w:bidi w:val="0"/>
                    <w:snapToGrid w:val="0"/>
                    <w:rPr>
                      <w:b w:val="0"/>
                      <w:bCs/>
                      <w:color w:val="auto"/>
                      <w:highlight w:val="none"/>
                    </w:rPr>
                  </w:pPr>
                  <w:r>
                    <w:rPr>
                      <w:rFonts w:hint="eastAsia"/>
                      <w:b w:val="0"/>
                      <w:bCs/>
                      <w:color w:val="auto"/>
                      <w:highlight w:val="none"/>
                    </w:rPr>
                    <w:t>COD</w:t>
                  </w:r>
                </w:p>
              </w:tc>
              <w:tc>
                <w:tcPr>
                  <w:tcW w:w="2693" w:type="dxa"/>
                  <w:vMerge w:val="restart"/>
                  <w:tcBorders>
                    <w:tl2br w:val="nil"/>
                    <w:tr2bl w:val="nil"/>
                  </w:tcBorders>
                  <w:vAlign w:val="center"/>
                </w:tcPr>
                <w:p>
                  <w:pPr>
                    <w:pStyle w:val="109"/>
                    <w:pageBreakBefore w:val="0"/>
                    <w:widowControl w:val="0"/>
                    <w:kinsoku/>
                    <w:wordWrap/>
                    <w:overflowPunct/>
                    <w:topLinePunct w:val="0"/>
                    <w:bidi w:val="0"/>
                    <w:snapToGrid w:val="0"/>
                    <w:rPr>
                      <w:b w:val="0"/>
                      <w:bCs/>
                      <w:color w:val="auto"/>
                      <w:highlight w:val="none"/>
                    </w:rPr>
                  </w:pPr>
                  <w:r>
                    <w:rPr>
                      <w:rFonts w:hint="eastAsia"/>
                      <w:b w:val="0"/>
                      <w:color w:val="auto"/>
                      <w:highlight w:val="none"/>
                    </w:rPr>
                    <w:t>《污水排入城镇下水道水质标准》（</w:t>
                  </w:r>
                  <w:r>
                    <w:rPr>
                      <w:b w:val="0"/>
                      <w:color w:val="auto"/>
                      <w:highlight w:val="none"/>
                    </w:rPr>
                    <w:t>GB/T31962-2015</w:t>
                  </w:r>
                  <w:r>
                    <w:rPr>
                      <w:rFonts w:hint="eastAsia"/>
                      <w:b w:val="0"/>
                      <w:color w:val="auto"/>
                      <w:highlight w:val="none"/>
                    </w:rPr>
                    <w:t>）</w:t>
                  </w:r>
                </w:p>
              </w:tc>
              <w:tc>
                <w:tcPr>
                  <w:tcW w:w="2835" w:type="dxa"/>
                  <w:tcBorders>
                    <w:tl2br w:val="nil"/>
                    <w:tr2bl w:val="nil"/>
                  </w:tcBorders>
                </w:tcPr>
                <w:p>
                  <w:pPr>
                    <w:pStyle w:val="109"/>
                    <w:pageBreakBefore w:val="0"/>
                    <w:widowControl w:val="0"/>
                    <w:kinsoku/>
                    <w:wordWrap/>
                    <w:overflowPunct/>
                    <w:topLinePunct w:val="0"/>
                    <w:bidi w:val="0"/>
                    <w:snapToGrid w:val="0"/>
                    <w:rPr>
                      <w:b w:val="0"/>
                      <w:bCs/>
                      <w:color w:val="auto"/>
                      <w:highlight w:val="none"/>
                    </w:rPr>
                  </w:pPr>
                  <w:r>
                    <w:rPr>
                      <w:rFonts w:hint="eastAsia"/>
                      <w:b w:val="0"/>
                      <w:bCs/>
                      <w:color w:val="auto"/>
                      <w:highlight w:val="none"/>
                    </w:rPr>
                    <w:t>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984" w:type="dxa"/>
                  <w:tcBorders>
                    <w:tl2br w:val="nil"/>
                    <w:tr2bl w:val="nil"/>
                  </w:tcBorders>
                </w:tcPr>
                <w:p>
                  <w:pPr>
                    <w:pStyle w:val="109"/>
                    <w:pageBreakBefore w:val="0"/>
                    <w:widowControl w:val="0"/>
                    <w:kinsoku/>
                    <w:wordWrap/>
                    <w:overflowPunct/>
                    <w:topLinePunct w:val="0"/>
                    <w:bidi w:val="0"/>
                    <w:snapToGrid w:val="0"/>
                    <w:rPr>
                      <w:b w:val="0"/>
                      <w:bCs/>
                      <w:color w:val="auto"/>
                      <w:highlight w:val="none"/>
                    </w:rPr>
                  </w:pPr>
                  <w:r>
                    <w:rPr>
                      <w:rFonts w:hint="eastAsia"/>
                      <w:b w:val="0"/>
                      <w:bCs/>
                      <w:color w:val="auto"/>
                      <w:highlight w:val="none"/>
                    </w:rPr>
                    <w:t>BOD</w:t>
                  </w:r>
                  <w:r>
                    <w:rPr>
                      <w:rFonts w:hint="eastAsia"/>
                      <w:b w:val="0"/>
                      <w:bCs/>
                      <w:color w:val="auto"/>
                      <w:highlight w:val="none"/>
                      <w:vertAlign w:val="subscript"/>
                    </w:rPr>
                    <w:t>5</w:t>
                  </w:r>
                </w:p>
              </w:tc>
              <w:tc>
                <w:tcPr>
                  <w:tcW w:w="2693" w:type="dxa"/>
                  <w:vMerge w:val="continue"/>
                  <w:tcBorders>
                    <w:tl2br w:val="nil"/>
                    <w:tr2bl w:val="nil"/>
                  </w:tcBorders>
                </w:tcPr>
                <w:p>
                  <w:pPr>
                    <w:pStyle w:val="109"/>
                    <w:pageBreakBefore w:val="0"/>
                    <w:widowControl w:val="0"/>
                    <w:kinsoku/>
                    <w:wordWrap/>
                    <w:overflowPunct/>
                    <w:topLinePunct w:val="0"/>
                    <w:bidi w:val="0"/>
                    <w:snapToGrid w:val="0"/>
                    <w:rPr>
                      <w:b w:val="0"/>
                      <w:color w:val="auto"/>
                      <w:highlight w:val="none"/>
                    </w:rPr>
                  </w:pPr>
                </w:p>
              </w:tc>
              <w:tc>
                <w:tcPr>
                  <w:tcW w:w="2835" w:type="dxa"/>
                  <w:tcBorders>
                    <w:tl2br w:val="nil"/>
                    <w:tr2bl w:val="nil"/>
                  </w:tcBorders>
                </w:tcPr>
                <w:p>
                  <w:pPr>
                    <w:pStyle w:val="109"/>
                    <w:pageBreakBefore w:val="0"/>
                    <w:widowControl w:val="0"/>
                    <w:kinsoku/>
                    <w:wordWrap/>
                    <w:overflowPunct/>
                    <w:topLinePunct w:val="0"/>
                    <w:bidi w:val="0"/>
                    <w:snapToGrid w:val="0"/>
                    <w:rPr>
                      <w:b w:val="0"/>
                      <w:bCs/>
                      <w:color w:val="auto"/>
                      <w:highlight w:val="none"/>
                    </w:rPr>
                  </w:pPr>
                  <w:r>
                    <w:rPr>
                      <w:rFonts w:hint="eastAsia"/>
                      <w:b w:val="0"/>
                      <w:bCs/>
                      <w:color w:val="auto"/>
                      <w:highlight w:val="none"/>
                    </w:rPr>
                    <w:t>350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984" w:type="dxa"/>
                  <w:tcBorders>
                    <w:tl2br w:val="nil"/>
                    <w:tr2bl w:val="nil"/>
                  </w:tcBorders>
                </w:tcPr>
                <w:p>
                  <w:pPr>
                    <w:pStyle w:val="109"/>
                    <w:pageBreakBefore w:val="0"/>
                    <w:widowControl w:val="0"/>
                    <w:kinsoku/>
                    <w:wordWrap/>
                    <w:overflowPunct/>
                    <w:topLinePunct w:val="0"/>
                    <w:bidi w:val="0"/>
                    <w:snapToGrid w:val="0"/>
                    <w:rPr>
                      <w:b w:val="0"/>
                      <w:bCs/>
                      <w:color w:val="auto"/>
                      <w:highlight w:val="none"/>
                    </w:rPr>
                  </w:pPr>
                  <w:r>
                    <w:rPr>
                      <w:rFonts w:hint="eastAsia"/>
                      <w:b w:val="0"/>
                      <w:bCs/>
                      <w:color w:val="auto"/>
                      <w:highlight w:val="none"/>
                    </w:rPr>
                    <w:t>氨氮</w:t>
                  </w:r>
                </w:p>
              </w:tc>
              <w:tc>
                <w:tcPr>
                  <w:tcW w:w="2693" w:type="dxa"/>
                  <w:vMerge w:val="continue"/>
                  <w:tcBorders>
                    <w:tl2br w:val="nil"/>
                    <w:tr2bl w:val="nil"/>
                  </w:tcBorders>
                </w:tcPr>
                <w:p>
                  <w:pPr>
                    <w:pStyle w:val="109"/>
                    <w:pageBreakBefore w:val="0"/>
                    <w:widowControl w:val="0"/>
                    <w:kinsoku/>
                    <w:wordWrap/>
                    <w:overflowPunct/>
                    <w:topLinePunct w:val="0"/>
                    <w:bidi w:val="0"/>
                    <w:snapToGrid w:val="0"/>
                    <w:rPr>
                      <w:b w:val="0"/>
                      <w:color w:val="auto"/>
                      <w:highlight w:val="none"/>
                    </w:rPr>
                  </w:pPr>
                </w:p>
              </w:tc>
              <w:tc>
                <w:tcPr>
                  <w:tcW w:w="2835" w:type="dxa"/>
                  <w:tcBorders>
                    <w:tl2br w:val="nil"/>
                    <w:tr2bl w:val="nil"/>
                  </w:tcBorders>
                </w:tcPr>
                <w:p>
                  <w:pPr>
                    <w:pStyle w:val="109"/>
                    <w:pageBreakBefore w:val="0"/>
                    <w:widowControl w:val="0"/>
                    <w:kinsoku/>
                    <w:wordWrap/>
                    <w:overflowPunct/>
                    <w:topLinePunct w:val="0"/>
                    <w:bidi w:val="0"/>
                    <w:snapToGrid w:val="0"/>
                    <w:rPr>
                      <w:b w:val="0"/>
                      <w:bCs/>
                      <w:color w:val="auto"/>
                      <w:highlight w:val="none"/>
                    </w:rPr>
                  </w:pPr>
                  <w:r>
                    <w:rPr>
                      <w:rFonts w:hint="eastAsia"/>
                      <w:b w:val="0"/>
                      <w:bCs/>
                      <w:color w:val="auto"/>
                      <w:highlight w:val="none"/>
                    </w:rPr>
                    <w:t>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984" w:type="dxa"/>
                  <w:tcBorders>
                    <w:tl2br w:val="nil"/>
                    <w:tr2bl w:val="nil"/>
                  </w:tcBorders>
                </w:tcPr>
                <w:p>
                  <w:pPr>
                    <w:pStyle w:val="109"/>
                    <w:pageBreakBefore w:val="0"/>
                    <w:widowControl w:val="0"/>
                    <w:kinsoku/>
                    <w:wordWrap/>
                    <w:overflowPunct/>
                    <w:topLinePunct w:val="0"/>
                    <w:bidi w:val="0"/>
                    <w:snapToGrid w:val="0"/>
                    <w:rPr>
                      <w:b w:val="0"/>
                      <w:bCs/>
                      <w:color w:val="auto"/>
                      <w:highlight w:val="none"/>
                    </w:rPr>
                  </w:pPr>
                  <w:r>
                    <w:rPr>
                      <w:rFonts w:hint="eastAsia"/>
                      <w:b w:val="0"/>
                      <w:bCs/>
                      <w:color w:val="auto"/>
                      <w:highlight w:val="none"/>
                    </w:rPr>
                    <w:t>SS</w:t>
                  </w:r>
                </w:p>
              </w:tc>
              <w:tc>
                <w:tcPr>
                  <w:tcW w:w="2693" w:type="dxa"/>
                  <w:vMerge w:val="continue"/>
                  <w:tcBorders>
                    <w:tl2br w:val="nil"/>
                    <w:tr2bl w:val="nil"/>
                  </w:tcBorders>
                </w:tcPr>
                <w:p>
                  <w:pPr>
                    <w:pStyle w:val="109"/>
                    <w:pageBreakBefore w:val="0"/>
                    <w:widowControl w:val="0"/>
                    <w:kinsoku/>
                    <w:wordWrap/>
                    <w:overflowPunct/>
                    <w:topLinePunct w:val="0"/>
                    <w:bidi w:val="0"/>
                    <w:snapToGrid w:val="0"/>
                    <w:rPr>
                      <w:b w:val="0"/>
                      <w:color w:val="auto"/>
                      <w:highlight w:val="none"/>
                    </w:rPr>
                  </w:pPr>
                </w:p>
              </w:tc>
              <w:tc>
                <w:tcPr>
                  <w:tcW w:w="2835" w:type="dxa"/>
                  <w:tcBorders>
                    <w:tl2br w:val="nil"/>
                    <w:tr2bl w:val="nil"/>
                  </w:tcBorders>
                </w:tcPr>
                <w:p>
                  <w:pPr>
                    <w:pStyle w:val="109"/>
                    <w:pageBreakBefore w:val="0"/>
                    <w:widowControl w:val="0"/>
                    <w:kinsoku/>
                    <w:wordWrap/>
                    <w:overflowPunct/>
                    <w:topLinePunct w:val="0"/>
                    <w:bidi w:val="0"/>
                    <w:snapToGrid w:val="0"/>
                    <w:rPr>
                      <w:b w:val="0"/>
                      <w:bCs/>
                      <w:color w:val="auto"/>
                      <w:highlight w:val="none"/>
                    </w:rPr>
                  </w:pPr>
                  <w:r>
                    <w:rPr>
                      <w:rFonts w:hint="eastAsia"/>
                      <w:b w:val="0"/>
                      <w:bCs/>
                      <w:color w:val="auto"/>
                      <w:highlight w:val="none"/>
                    </w:rPr>
                    <w:t>400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984" w:type="dxa"/>
                  <w:tcBorders>
                    <w:tl2br w:val="nil"/>
                    <w:tr2bl w:val="nil"/>
                  </w:tcBorders>
                </w:tcPr>
                <w:p>
                  <w:pPr>
                    <w:pStyle w:val="109"/>
                    <w:pageBreakBefore w:val="0"/>
                    <w:widowControl w:val="0"/>
                    <w:kinsoku/>
                    <w:wordWrap/>
                    <w:overflowPunct/>
                    <w:topLinePunct w:val="0"/>
                    <w:bidi w:val="0"/>
                    <w:snapToGrid w:val="0"/>
                    <w:rPr>
                      <w:b w:val="0"/>
                      <w:bCs/>
                      <w:color w:val="auto"/>
                      <w:highlight w:val="none"/>
                    </w:rPr>
                  </w:pPr>
                  <w:r>
                    <w:rPr>
                      <w:rFonts w:hint="eastAsia"/>
                      <w:b w:val="0"/>
                      <w:bCs/>
                      <w:color w:val="auto"/>
                      <w:highlight w:val="none"/>
                    </w:rPr>
                    <w:t>总磷</w:t>
                  </w:r>
                </w:p>
              </w:tc>
              <w:tc>
                <w:tcPr>
                  <w:tcW w:w="2693" w:type="dxa"/>
                  <w:vMerge w:val="continue"/>
                  <w:tcBorders>
                    <w:tl2br w:val="nil"/>
                    <w:tr2bl w:val="nil"/>
                  </w:tcBorders>
                </w:tcPr>
                <w:p>
                  <w:pPr>
                    <w:pStyle w:val="109"/>
                    <w:pageBreakBefore w:val="0"/>
                    <w:widowControl w:val="0"/>
                    <w:kinsoku/>
                    <w:wordWrap/>
                    <w:overflowPunct/>
                    <w:topLinePunct w:val="0"/>
                    <w:bidi w:val="0"/>
                    <w:snapToGrid w:val="0"/>
                    <w:rPr>
                      <w:b w:val="0"/>
                      <w:color w:val="auto"/>
                      <w:highlight w:val="none"/>
                    </w:rPr>
                  </w:pPr>
                </w:p>
              </w:tc>
              <w:tc>
                <w:tcPr>
                  <w:tcW w:w="2835" w:type="dxa"/>
                  <w:tcBorders>
                    <w:tl2br w:val="nil"/>
                    <w:tr2bl w:val="nil"/>
                  </w:tcBorders>
                </w:tcPr>
                <w:p>
                  <w:pPr>
                    <w:pStyle w:val="109"/>
                    <w:pageBreakBefore w:val="0"/>
                    <w:widowControl w:val="0"/>
                    <w:kinsoku/>
                    <w:wordWrap/>
                    <w:overflowPunct/>
                    <w:topLinePunct w:val="0"/>
                    <w:bidi w:val="0"/>
                    <w:snapToGrid w:val="0"/>
                    <w:rPr>
                      <w:b w:val="0"/>
                      <w:bCs/>
                      <w:color w:val="auto"/>
                      <w:highlight w:val="none"/>
                    </w:rPr>
                  </w:pPr>
                  <w:r>
                    <w:rPr>
                      <w:rFonts w:hint="eastAsia"/>
                      <w:b w:val="0"/>
                      <w:bCs/>
                      <w:color w:val="auto"/>
                      <w:highlight w:val="none"/>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984" w:type="dxa"/>
                  <w:tcBorders>
                    <w:tl2br w:val="nil"/>
                    <w:tr2bl w:val="nil"/>
                  </w:tcBorders>
                </w:tcPr>
                <w:p>
                  <w:pPr>
                    <w:pStyle w:val="109"/>
                    <w:pageBreakBefore w:val="0"/>
                    <w:widowControl w:val="0"/>
                    <w:kinsoku/>
                    <w:wordWrap/>
                    <w:overflowPunct/>
                    <w:topLinePunct w:val="0"/>
                    <w:bidi w:val="0"/>
                    <w:snapToGrid w:val="0"/>
                    <w:rPr>
                      <w:b w:val="0"/>
                      <w:bCs/>
                      <w:color w:val="auto"/>
                      <w:highlight w:val="none"/>
                    </w:rPr>
                  </w:pPr>
                  <w:r>
                    <w:rPr>
                      <w:rFonts w:hint="eastAsia"/>
                      <w:b w:val="0"/>
                      <w:bCs/>
                      <w:color w:val="auto"/>
                      <w:highlight w:val="none"/>
                    </w:rPr>
                    <w:t>总氮</w:t>
                  </w:r>
                </w:p>
              </w:tc>
              <w:tc>
                <w:tcPr>
                  <w:tcW w:w="2693" w:type="dxa"/>
                  <w:vMerge w:val="continue"/>
                  <w:tcBorders>
                    <w:tl2br w:val="nil"/>
                    <w:tr2bl w:val="nil"/>
                  </w:tcBorders>
                </w:tcPr>
                <w:p>
                  <w:pPr>
                    <w:pStyle w:val="109"/>
                    <w:pageBreakBefore w:val="0"/>
                    <w:widowControl w:val="0"/>
                    <w:kinsoku/>
                    <w:wordWrap/>
                    <w:overflowPunct/>
                    <w:topLinePunct w:val="0"/>
                    <w:bidi w:val="0"/>
                    <w:snapToGrid w:val="0"/>
                    <w:rPr>
                      <w:b w:val="0"/>
                      <w:color w:val="auto"/>
                      <w:highlight w:val="none"/>
                    </w:rPr>
                  </w:pPr>
                </w:p>
              </w:tc>
              <w:tc>
                <w:tcPr>
                  <w:tcW w:w="2835" w:type="dxa"/>
                  <w:tcBorders>
                    <w:tl2br w:val="nil"/>
                    <w:tr2bl w:val="nil"/>
                  </w:tcBorders>
                </w:tcPr>
                <w:p>
                  <w:pPr>
                    <w:pStyle w:val="109"/>
                    <w:pageBreakBefore w:val="0"/>
                    <w:widowControl w:val="0"/>
                    <w:kinsoku/>
                    <w:wordWrap/>
                    <w:overflowPunct/>
                    <w:topLinePunct w:val="0"/>
                    <w:bidi w:val="0"/>
                    <w:snapToGrid w:val="0"/>
                    <w:rPr>
                      <w:b w:val="0"/>
                      <w:bCs/>
                      <w:color w:val="auto"/>
                      <w:highlight w:val="none"/>
                    </w:rPr>
                  </w:pPr>
                  <w:r>
                    <w:rPr>
                      <w:rFonts w:hint="eastAsia"/>
                      <w:b w:val="0"/>
                      <w:bCs/>
                      <w:color w:val="auto"/>
                      <w:highlight w:val="none"/>
                    </w:rPr>
                    <w:t>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984" w:type="dxa"/>
                  <w:tcBorders>
                    <w:tl2br w:val="nil"/>
                    <w:tr2bl w:val="nil"/>
                  </w:tcBorders>
                </w:tcPr>
                <w:p>
                  <w:pPr>
                    <w:pStyle w:val="109"/>
                    <w:pageBreakBefore w:val="0"/>
                    <w:widowControl w:val="0"/>
                    <w:kinsoku/>
                    <w:wordWrap/>
                    <w:overflowPunct/>
                    <w:topLinePunct w:val="0"/>
                    <w:bidi w:val="0"/>
                    <w:snapToGrid w:val="0"/>
                    <w:rPr>
                      <w:b w:val="0"/>
                      <w:bCs/>
                      <w:color w:val="auto"/>
                      <w:highlight w:val="none"/>
                    </w:rPr>
                  </w:pPr>
                  <w:r>
                    <w:rPr>
                      <w:rFonts w:hint="eastAsia"/>
                      <w:b w:val="0"/>
                      <w:bCs/>
                      <w:color w:val="auto"/>
                      <w:highlight w:val="none"/>
                    </w:rPr>
                    <w:t>COD</w:t>
                  </w:r>
                </w:p>
              </w:tc>
              <w:tc>
                <w:tcPr>
                  <w:tcW w:w="2693" w:type="dxa"/>
                  <w:vMerge w:val="restart"/>
                  <w:tcBorders>
                    <w:tl2br w:val="nil"/>
                    <w:tr2bl w:val="nil"/>
                  </w:tcBorders>
                  <w:vAlign w:val="center"/>
                </w:tcPr>
                <w:p>
                  <w:pPr>
                    <w:pStyle w:val="109"/>
                    <w:pageBreakBefore w:val="0"/>
                    <w:widowControl w:val="0"/>
                    <w:kinsoku/>
                    <w:wordWrap/>
                    <w:overflowPunct/>
                    <w:topLinePunct w:val="0"/>
                    <w:bidi w:val="0"/>
                    <w:snapToGrid w:val="0"/>
                    <w:rPr>
                      <w:b w:val="0"/>
                      <w:color w:val="auto"/>
                      <w:highlight w:val="none"/>
                    </w:rPr>
                  </w:pPr>
                  <w:r>
                    <w:rPr>
                      <w:rFonts w:hint="eastAsia"/>
                      <w:b w:val="0"/>
                      <w:color w:val="auto"/>
                      <w:highlight w:val="none"/>
                    </w:rPr>
                    <w:t>《污水综合排放标准》（</w:t>
                  </w:r>
                  <w:r>
                    <w:rPr>
                      <w:b w:val="0"/>
                      <w:color w:val="auto"/>
                      <w:highlight w:val="none"/>
                    </w:rPr>
                    <w:t>GB8978-1996</w:t>
                  </w:r>
                  <w:r>
                    <w:rPr>
                      <w:rFonts w:hint="eastAsia"/>
                      <w:b w:val="0"/>
                      <w:color w:val="auto"/>
                      <w:highlight w:val="none"/>
                    </w:rPr>
                    <w:t>）</w:t>
                  </w:r>
                </w:p>
              </w:tc>
              <w:tc>
                <w:tcPr>
                  <w:tcW w:w="2835" w:type="dxa"/>
                  <w:tcBorders>
                    <w:tl2br w:val="nil"/>
                    <w:tr2bl w:val="nil"/>
                  </w:tcBorders>
                </w:tcPr>
                <w:p>
                  <w:pPr>
                    <w:pStyle w:val="109"/>
                    <w:pageBreakBefore w:val="0"/>
                    <w:widowControl w:val="0"/>
                    <w:kinsoku/>
                    <w:wordWrap/>
                    <w:overflowPunct/>
                    <w:topLinePunct w:val="0"/>
                    <w:bidi w:val="0"/>
                    <w:snapToGrid w:val="0"/>
                    <w:rPr>
                      <w:b w:val="0"/>
                      <w:bCs/>
                      <w:color w:val="auto"/>
                      <w:highlight w:val="none"/>
                    </w:rPr>
                  </w:pPr>
                  <w:r>
                    <w:rPr>
                      <w:rFonts w:hint="eastAsia"/>
                      <w:b w:val="0"/>
                      <w:bCs/>
                      <w:color w:val="auto"/>
                      <w:highlight w:val="none"/>
                    </w:rPr>
                    <w:t>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984" w:type="dxa"/>
                  <w:tcBorders>
                    <w:tl2br w:val="nil"/>
                    <w:tr2bl w:val="nil"/>
                  </w:tcBorders>
                </w:tcPr>
                <w:p>
                  <w:pPr>
                    <w:pStyle w:val="109"/>
                    <w:pageBreakBefore w:val="0"/>
                    <w:widowControl w:val="0"/>
                    <w:kinsoku/>
                    <w:wordWrap/>
                    <w:overflowPunct/>
                    <w:topLinePunct w:val="0"/>
                    <w:bidi w:val="0"/>
                    <w:snapToGrid w:val="0"/>
                    <w:rPr>
                      <w:b w:val="0"/>
                      <w:bCs/>
                      <w:color w:val="auto"/>
                      <w:highlight w:val="none"/>
                    </w:rPr>
                  </w:pPr>
                  <w:r>
                    <w:rPr>
                      <w:rFonts w:hint="eastAsia"/>
                      <w:b w:val="0"/>
                      <w:bCs/>
                      <w:color w:val="auto"/>
                      <w:highlight w:val="none"/>
                    </w:rPr>
                    <w:t>BOD</w:t>
                  </w:r>
                  <w:r>
                    <w:rPr>
                      <w:rFonts w:hint="eastAsia"/>
                      <w:b w:val="0"/>
                      <w:bCs/>
                      <w:color w:val="auto"/>
                      <w:highlight w:val="none"/>
                      <w:vertAlign w:val="subscript"/>
                    </w:rPr>
                    <w:t>5</w:t>
                  </w:r>
                </w:p>
              </w:tc>
              <w:tc>
                <w:tcPr>
                  <w:tcW w:w="2693" w:type="dxa"/>
                  <w:vMerge w:val="continue"/>
                  <w:tcBorders>
                    <w:tl2br w:val="nil"/>
                    <w:tr2bl w:val="nil"/>
                  </w:tcBorders>
                </w:tcPr>
                <w:p>
                  <w:pPr>
                    <w:pStyle w:val="109"/>
                    <w:pageBreakBefore w:val="0"/>
                    <w:widowControl w:val="0"/>
                    <w:kinsoku/>
                    <w:wordWrap/>
                    <w:overflowPunct/>
                    <w:topLinePunct w:val="0"/>
                    <w:bidi w:val="0"/>
                    <w:snapToGrid w:val="0"/>
                    <w:rPr>
                      <w:color w:val="auto"/>
                      <w:highlight w:val="none"/>
                    </w:rPr>
                  </w:pPr>
                </w:p>
              </w:tc>
              <w:tc>
                <w:tcPr>
                  <w:tcW w:w="2835" w:type="dxa"/>
                  <w:tcBorders>
                    <w:tl2br w:val="nil"/>
                    <w:tr2bl w:val="nil"/>
                  </w:tcBorders>
                </w:tcPr>
                <w:p>
                  <w:pPr>
                    <w:pStyle w:val="109"/>
                    <w:pageBreakBefore w:val="0"/>
                    <w:widowControl w:val="0"/>
                    <w:kinsoku/>
                    <w:wordWrap/>
                    <w:overflowPunct/>
                    <w:topLinePunct w:val="0"/>
                    <w:bidi w:val="0"/>
                    <w:snapToGrid w:val="0"/>
                    <w:rPr>
                      <w:b w:val="0"/>
                      <w:bCs/>
                      <w:color w:val="auto"/>
                      <w:highlight w:val="none"/>
                    </w:rPr>
                  </w:pPr>
                  <w:r>
                    <w:rPr>
                      <w:rFonts w:hint="eastAsia"/>
                      <w:b w:val="0"/>
                      <w:bCs/>
                      <w:color w:val="auto"/>
                      <w:highlight w:val="none"/>
                    </w:rPr>
                    <w:t>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984" w:type="dxa"/>
                  <w:tcBorders>
                    <w:tl2br w:val="nil"/>
                    <w:tr2bl w:val="nil"/>
                  </w:tcBorders>
                </w:tcPr>
                <w:p>
                  <w:pPr>
                    <w:pStyle w:val="109"/>
                    <w:pageBreakBefore w:val="0"/>
                    <w:widowControl w:val="0"/>
                    <w:kinsoku/>
                    <w:wordWrap/>
                    <w:overflowPunct/>
                    <w:topLinePunct w:val="0"/>
                    <w:bidi w:val="0"/>
                    <w:snapToGrid w:val="0"/>
                    <w:rPr>
                      <w:b w:val="0"/>
                      <w:bCs/>
                      <w:color w:val="auto"/>
                      <w:highlight w:val="none"/>
                    </w:rPr>
                  </w:pPr>
                  <w:r>
                    <w:rPr>
                      <w:rFonts w:hint="eastAsia"/>
                      <w:b w:val="0"/>
                      <w:bCs/>
                      <w:color w:val="auto"/>
                      <w:highlight w:val="none"/>
                    </w:rPr>
                    <w:t>氨氮</w:t>
                  </w:r>
                </w:p>
              </w:tc>
              <w:tc>
                <w:tcPr>
                  <w:tcW w:w="2693" w:type="dxa"/>
                  <w:vMerge w:val="continue"/>
                  <w:tcBorders>
                    <w:tl2br w:val="nil"/>
                    <w:tr2bl w:val="nil"/>
                  </w:tcBorders>
                </w:tcPr>
                <w:p>
                  <w:pPr>
                    <w:pStyle w:val="109"/>
                    <w:pageBreakBefore w:val="0"/>
                    <w:widowControl w:val="0"/>
                    <w:kinsoku/>
                    <w:wordWrap/>
                    <w:overflowPunct/>
                    <w:topLinePunct w:val="0"/>
                    <w:bidi w:val="0"/>
                    <w:snapToGrid w:val="0"/>
                    <w:rPr>
                      <w:color w:val="auto"/>
                      <w:highlight w:val="none"/>
                    </w:rPr>
                  </w:pPr>
                </w:p>
              </w:tc>
              <w:tc>
                <w:tcPr>
                  <w:tcW w:w="2835" w:type="dxa"/>
                  <w:tcBorders>
                    <w:tl2br w:val="nil"/>
                    <w:tr2bl w:val="nil"/>
                  </w:tcBorders>
                </w:tcPr>
                <w:p>
                  <w:pPr>
                    <w:pStyle w:val="109"/>
                    <w:pageBreakBefore w:val="0"/>
                    <w:widowControl w:val="0"/>
                    <w:kinsoku/>
                    <w:wordWrap/>
                    <w:overflowPunct/>
                    <w:topLinePunct w:val="0"/>
                    <w:bidi w:val="0"/>
                    <w:snapToGrid w:val="0"/>
                    <w:rPr>
                      <w:b w:val="0"/>
                      <w:bCs/>
                      <w:color w:val="auto"/>
                      <w:highlight w:val="none"/>
                    </w:rPr>
                  </w:pPr>
                  <w:r>
                    <w:rPr>
                      <w:rFonts w:hint="eastAsia"/>
                      <w:b w:val="0"/>
                      <w:bCs/>
                      <w:color w:val="auto"/>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984" w:type="dxa"/>
                  <w:tcBorders>
                    <w:tl2br w:val="nil"/>
                    <w:tr2bl w:val="nil"/>
                  </w:tcBorders>
                </w:tcPr>
                <w:p>
                  <w:pPr>
                    <w:pStyle w:val="109"/>
                    <w:pageBreakBefore w:val="0"/>
                    <w:widowControl w:val="0"/>
                    <w:kinsoku/>
                    <w:wordWrap/>
                    <w:overflowPunct/>
                    <w:topLinePunct w:val="0"/>
                    <w:bidi w:val="0"/>
                    <w:snapToGrid w:val="0"/>
                    <w:rPr>
                      <w:b w:val="0"/>
                      <w:bCs/>
                      <w:color w:val="auto"/>
                      <w:highlight w:val="none"/>
                    </w:rPr>
                  </w:pPr>
                  <w:r>
                    <w:rPr>
                      <w:rFonts w:hint="eastAsia"/>
                      <w:b w:val="0"/>
                      <w:bCs/>
                      <w:color w:val="auto"/>
                      <w:highlight w:val="none"/>
                    </w:rPr>
                    <w:t>SS</w:t>
                  </w:r>
                </w:p>
              </w:tc>
              <w:tc>
                <w:tcPr>
                  <w:tcW w:w="2693" w:type="dxa"/>
                  <w:vMerge w:val="continue"/>
                  <w:tcBorders>
                    <w:tl2br w:val="nil"/>
                    <w:tr2bl w:val="nil"/>
                  </w:tcBorders>
                </w:tcPr>
                <w:p>
                  <w:pPr>
                    <w:pStyle w:val="109"/>
                    <w:pageBreakBefore w:val="0"/>
                    <w:widowControl w:val="0"/>
                    <w:kinsoku/>
                    <w:wordWrap/>
                    <w:overflowPunct/>
                    <w:topLinePunct w:val="0"/>
                    <w:bidi w:val="0"/>
                    <w:snapToGrid w:val="0"/>
                    <w:rPr>
                      <w:color w:val="auto"/>
                      <w:highlight w:val="none"/>
                    </w:rPr>
                  </w:pPr>
                </w:p>
              </w:tc>
              <w:tc>
                <w:tcPr>
                  <w:tcW w:w="2835" w:type="dxa"/>
                  <w:tcBorders>
                    <w:tl2br w:val="nil"/>
                    <w:tr2bl w:val="nil"/>
                  </w:tcBorders>
                </w:tcPr>
                <w:p>
                  <w:pPr>
                    <w:pStyle w:val="109"/>
                    <w:pageBreakBefore w:val="0"/>
                    <w:widowControl w:val="0"/>
                    <w:kinsoku/>
                    <w:wordWrap/>
                    <w:overflowPunct/>
                    <w:topLinePunct w:val="0"/>
                    <w:bidi w:val="0"/>
                    <w:snapToGrid w:val="0"/>
                    <w:rPr>
                      <w:b w:val="0"/>
                      <w:bCs/>
                      <w:color w:val="auto"/>
                      <w:highlight w:val="none"/>
                    </w:rPr>
                  </w:pPr>
                  <w:r>
                    <w:rPr>
                      <w:rFonts w:hint="eastAsia"/>
                      <w:b w:val="0"/>
                      <w:bCs/>
                      <w:color w:val="auto"/>
                      <w:highlight w:val="none"/>
                    </w:rPr>
                    <w:t>400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984" w:type="dxa"/>
                  <w:tcBorders>
                    <w:tl2br w:val="nil"/>
                    <w:tr2bl w:val="nil"/>
                  </w:tcBorders>
                </w:tcPr>
                <w:p>
                  <w:pPr>
                    <w:pStyle w:val="109"/>
                    <w:pageBreakBefore w:val="0"/>
                    <w:widowControl w:val="0"/>
                    <w:kinsoku/>
                    <w:wordWrap/>
                    <w:overflowPunct/>
                    <w:topLinePunct w:val="0"/>
                    <w:bidi w:val="0"/>
                    <w:snapToGrid w:val="0"/>
                    <w:rPr>
                      <w:b w:val="0"/>
                      <w:bCs/>
                      <w:color w:val="auto"/>
                      <w:highlight w:val="none"/>
                    </w:rPr>
                  </w:pPr>
                  <w:r>
                    <w:rPr>
                      <w:rFonts w:hint="eastAsia"/>
                      <w:b w:val="0"/>
                      <w:bCs/>
                      <w:color w:val="auto"/>
                      <w:highlight w:val="none"/>
                    </w:rPr>
                    <w:t>总磷</w:t>
                  </w:r>
                </w:p>
              </w:tc>
              <w:tc>
                <w:tcPr>
                  <w:tcW w:w="2693" w:type="dxa"/>
                  <w:vMerge w:val="continue"/>
                  <w:tcBorders>
                    <w:tl2br w:val="nil"/>
                    <w:tr2bl w:val="nil"/>
                  </w:tcBorders>
                </w:tcPr>
                <w:p>
                  <w:pPr>
                    <w:pStyle w:val="109"/>
                    <w:pageBreakBefore w:val="0"/>
                    <w:widowControl w:val="0"/>
                    <w:kinsoku/>
                    <w:wordWrap/>
                    <w:overflowPunct/>
                    <w:topLinePunct w:val="0"/>
                    <w:bidi w:val="0"/>
                    <w:snapToGrid w:val="0"/>
                    <w:rPr>
                      <w:color w:val="auto"/>
                      <w:highlight w:val="none"/>
                    </w:rPr>
                  </w:pPr>
                </w:p>
              </w:tc>
              <w:tc>
                <w:tcPr>
                  <w:tcW w:w="2835" w:type="dxa"/>
                  <w:tcBorders>
                    <w:tl2br w:val="nil"/>
                    <w:tr2bl w:val="nil"/>
                  </w:tcBorders>
                </w:tcPr>
                <w:p>
                  <w:pPr>
                    <w:pStyle w:val="109"/>
                    <w:pageBreakBefore w:val="0"/>
                    <w:widowControl w:val="0"/>
                    <w:kinsoku/>
                    <w:wordWrap/>
                    <w:overflowPunct/>
                    <w:topLinePunct w:val="0"/>
                    <w:bidi w:val="0"/>
                    <w:snapToGrid w:val="0"/>
                    <w:rPr>
                      <w:b w:val="0"/>
                      <w:bCs/>
                      <w:color w:val="auto"/>
                      <w:highlight w:val="none"/>
                    </w:rPr>
                  </w:pPr>
                  <w:r>
                    <w:rPr>
                      <w:rFonts w:hint="eastAsia"/>
                      <w:b w:val="0"/>
                      <w:bCs/>
                      <w:color w:val="auto"/>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984" w:type="dxa"/>
                  <w:tcBorders>
                    <w:tl2br w:val="nil"/>
                    <w:tr2bl w:val="nil"/>
                  </w:tcBorders>
                </w:tcPr>
                <w:p>
                  <w:pPr>
                    <w:pStyle w:val="109"/>
                    <w:pageBreakBefore w:val="0"/>
                    <w:widowControl w:val="0"/>
                    <w:kinsoku/>
                    <w:wordWrap/>
                    <w:overflowPunct/>
                    <w:topLinePunct w:val="0"/>
                    <w:bidi w:val="0"/>
                    <w:snapToGrid w:val="0"/>
                    <w:rPr>
                      <w:b w:val="0"/>
                      <w:bCs/>
                      <w:color w:val="auto"/>
                      <w:highlight w:val="none"/>
                    </w:rPr>
                  </w:pPr>
                  <w:r>
                    <w:rPr>
                      <w:rFonts w:hint="eastAsia"/>
                      <w:b w:val="0"/>
                      <w:bCs/>
                      <w:color w:val="auto"/>
                      <w:highlight w:val="none"/>
                    </w:rPr>
                    <w:t>总氮</w:t>
                  </w:r>
                </w:p>
              </w:tc>
              <w:tc>
                <w:tcPr>
                  <w:tcW w:w="2693" w:type="dxa"/>
                  <w:vMerge w:val="continue"/>
                  <w:tcBorders>
                    <w:tl2br w:val="nil"/>
                    <w:tr2bl w:val="nil"/>
                  </w:tcBorders>
                </w:tcPr>
                <w:p>
                  <w:pPr>
                    <w:pStyle w:val="109"/>
                    <w:pageBreakBefore w:val="0"/>
                    <w:widowControl w:val="0"/>
                    <w:kinsoku/>
                    <w:wordWrap/>
                    <w:overflowPunct/>
                    <w:topLinePunct w:val="0"/>
                    <w:bidi w:val="0"/>
                    <w:snapToGrid w:val="0"/>
                    <w:rPr>
                      <w:color w:val="auto"/>
                      <w:highlight w:val="none"/>
                    </w:rPr>
                  </w:pPr>
                </w:p>
              </w:tc>
              <w:tc>
                <w:tcPr>
                  <w:tcW w:w="2835" w:type="dxa"/>
                  <w:tcBorders>
                    <w:tl2br w:val="nil"/>
                    <w:tr2bl w:val="nil"/>
                  </w:tcBorders>
                </w:tcPr>
                <w:p>
                  <w:pPr>
                    <w:pStyle w:val="109"/>
                    <w:pageBreakBefore w:val="0"/>
                    <w:widowControl w:val="0"/>
                    <w:kinsoku/>
                    <w:wordWrap/>
                    <w:overflowPunct/>
                    <w:topLinePunct w:val="0"/>
                    <w:bidi w:val="0"/>
                    <w:snapToGrid w:val="0"/>
                    <w:rPr>
                      <w:b w:val="0"/>
                      <w:bCs/>
                      <w:color w:val="auto"/>
                      <w:highlight w:val="none"/>
                    </w:rPr>
                  </w:pPr>
                  <w:r>
                    <w:rPr>
                      <w:rFonts w:hint="eastAsia"/>
                      <w:b w:val="0"/>
                      <w:bCs/>
                      <w:color w:val="auto"/>
                      <w:highlight w:val="none"/>
                    </w:rPr>
                    <w:t>—</w:t>
                  </w:r>
                </w:p>
              </w:tc>
            </w:tr>
          </w:tbl>
          <w:p>
            <w:pPr>
              <w:pageBreakBefore w:val="0"/>
              <w:kinsoku/>
              <w:wordWrap/>
              <w:overflowPunct/>
              <w:topLinePunct w:val="0"/>
              <w:autoSpaceDE w:val="0"/>
              <w:autoSpaceDN w:val="0"/>
              <w:bidi w:val="0"/>
              <w:adjustRightInd w:val="0"/>
              <w:snapToGrid w:val="0"/>
              <w:spacing w:line="360" w:lineRule="auto"/>
              <w:ind w:firstLine="470" w:firstLineChars="196"/>
              <w:jc w:val="left"/>
              <w:rPr>
                <w:rFonts w:eastAsia="黑体"/>
                <w:bCs/>
                <w:color w:val="auto"/>
                <w:sz w:val="24"/>
                <w:szCs w:val="28"/>
                <w:highlight w:val="none"/>
              </w:rPr>
            </w:pPr>
            <w:r>
              <w:rPr>
                <w:rFonts w:hint="eastAsia" w:eastAsia="黑体"/>
                <w:bCs/>
                <w:color w:val="auto"/>
                <w:sz w:val="24"/>
                <w:szCs w:val="28"/>
                <w:highlight w:val="none"/>
              </w:rPr>
              <w:t>3、影响分析</w:t>
            </w:r>
          </w:p>
          <w:p>
            <w:pPr>
              <w:pageBreakBefore w:val="0"/>
              <w:kinsoku/>
              <w:wordWrap/>
              <w:overflowPunct/>
              <w:topLinePunct w:val="0"/>
              <w:autoSpaceDE w:val="0"/>
              <w:autoSpaceDN w:val="0"/>
              <w:bidi w:val="0"/>
              <w:adjustRightInd w:val="0"/>
              <w:snapToGrid w:val="0"/>
              <w:spacing w:line="360" w:lineRule="auto"/>
              <w:ind w:firstLine="470" w:firstLineChars="196"/>
              <w:jc w:val="left"/>
              <w:rPr>
                <w:color w:val="auto"/>
                <w:sz w:val="24"/>
                <w:highlight w:val="none"/>
              </w:rPr>
            </w:pPr>
            <w:r>
              <w:rPr>
                <w:rFonts w:hint="eastAsia"/>
                <w:color w:val="auto"/>
                <w:sz w:val="24"/>
                <w:highlight w:val="none"/>
              </w:rPr>
              <w:t>本次项目新鲜水主要用于生活用水。</w:t>
            </w:r>
          </w:p>
          <w:p>
            <w:pPr>
              <w:pageBreakBefore w:val="0"/>
              <w:kinsoku/>
              <w:wordWrap/>
              <w:overflowPunct/>
              <w:topLinePunct w:val="0"/>
              <w:bidi w:val="0"/>
              <w:snapToGrid w:val="0"/>
              <w:spacing w:line="360" w:lineRule="auto"/>
              <w:ind w:firstLine="588" w:firstLineChars="245"/>
              <w:rPr>
                <w:color w:val="auto"/>
                <w:sz w:val="24"/>
                <w:highlight w:val="none"/>
              </w:rPr>
            </w:pPr>
            <w:r>
              <w:rPr>
                <w:rFonts w:hint="eastAsia"/>
                <w:color w:val="auto"/>
                <w:sz w:val="24"/>
                <w:highlight w:val="none"/>
              </w:rPr>
              <w:t>生活污水产生量为0.42</w:t>
            </w:r>
            <w:r>
              <w:rPr>
                <w:color w:val="auto"/>
                <w:sz w:val="24"/>
                <w:highlight w:val="none"/>
              </w:rPr>
              <w:t>m</w:t>
            </w:r>
            <w:r>
              <w:rPr>
                <w:color w:val="auto"/>
                <w:sz w:val="24"/>
                <w:highlight w:val="none"/>
                <w:vertAlign w:val="superscript"/>
              </w:rPr>
              <w:t>3</w:t>
            </w:r>
            <w:r>
              <w:rPr>
                <w:color w:val="auto"/>
                <w:sz w:val="24"/>
                <w:highlight w:val="none"/>
              </w:rPr>
              <w:t>/d</w:t>
            </w:r>
            <w:r>
              <w:rPr>
                <w:rFonts w:hint="eastAsia"/>
                <w:color w:val="auto"/>
                <w:sz w:val="24"/>
                <w:highlight w:val="none"/>
              </w:rPr>
              <w:t>（58.8</w:t>
            </w:r>
            <w:r>
              <w:rPr>
                <w:color w:val="auto"/>
                <w:sz w:val="24"/>
                <w:highlight w:val="none"/>
              </w:rPr>
              <w:t>m</w:t>
            </w:r>
            <w:r>
              <w:rPr>
                <w:color w:val="auto"/>
                <w:sz w:val="24"/>
                <w:highlight w:val="none"/>
                <w:vertAlign w:val="superscript"/>
              </w:rPr>
              <w:t>3</w:t>
            </w:r>
            <w:r>
              <w:rPr>
                <w:color w:val="auto"/>
                <w:sz w:val="24"/>
                <w:highlight w:val="none"/>
              </w:rPr>
              <w:t>/a</w:t>
            </w:r>
            <w:r>
              <w:rPr>
                <w:rFonts w:hint="eastAsia"/>
                <w:color w:val="auto"/>
                <w:sz w:val="24"/>
                <w:highlight w:val="none"/>
              </w:rPr>
              <w:t>）</w:t>
            </w:r>
            <w:r>
              <w:rPr>
                <w:color w:val="auto"/>
                <w:sz w:val="24"/>
                <w:highlight w:val="none"/>
              </w:rPr>
              <w:t>。</w:t>
            </w:r>
            <w:r>
              <w:rPr>
                <w:rFonts w:hint="eastAsia"/>
                <w:color w:val="auto"/>
                <w:sz w:val="24"/>
                <w:highlight w:val="none"/>
              </w:rPr>
              <w:t>生活污水中主要污染物为COD、BOD</w:t>
            </w:r>
            <w:r>
              <w:rPr>
                <w:rFonts w:hint="eastAsia"/>
                <w:color w:val="auto"/>
                <w:sz w:val="24"/>
                <w:highlight w:val="none"/>
                <w:vertAlign w:val="subscript"/>
              </w:rPr>
              <w:t>5</w:t>
            </w:r>
            <w:r>
              <w:rPr>
                <w:rFonts w:hint="eastAsia"/>
                <w:color w:val="auto"/>
                <w:sz w:val="24"/>
                <w:highlight w:val="none"/>
              </w:rPr>
              <w:t>、SS、TP、TN、氨氮等，排入陕西澳利森木业集团有限公司化粪池，由市政污水管网排入西安市第三污水处理厂。</w:t>
            </w:r>
          </w:p>
          <w:p>
            <w:pPr>
              <w:pageBreakBefore w:val="0"/>
              <w:kinsoku/>
              <w:wordWrap/>
              <w:overflowPunct/>
              <w:topLinePunct w:val="0"/>
              <w:bidi w:val="0"/>
              <w:snapToGrid w:val="0"/>
              <w:spacing w:before="120" w:line="360" w:lineRule="auto"/>
              <w:ind w:firstLine="588" w:firstLineChars="245"/>
              <w:rPr>
                <w:rFonts w:eastAsia="黑体"/>
                <w:b/>
                <w:bCs/>
                <w:color w:val="auto"/>
                <w:sz w:val="24"/>
                <w:highlight w:val="none"/>
              </w:rPr>
            </w:pPr>
            <w:r>
              <w:rPr>
                <w:color w:val="auto"/>
                <w:sz w:val="24"/>
                <w:szCs w:val="21"/>
                <w:highlight w:val="none"/>
              </w:rPr>
              <w:t>根据原国家环境保护总局职业资格培训管理办公室编写的《社会区域类环境影响评价》教材中推荐的生活污水水质</w:t>
            </w:r>
            <w:r>
              <w:rPr>
                <w:rFonts w:hint="eastAsia"/>
                <w:color w:val="auto"/>
                <w:sz w:val="24"/>
                <w:szCs w:val="21"/>
                <w:highlight w:val="none"/>
              </w:rPr>
              <w:t>：</w:t>
            </w:r>
            <w:r>
              <w:rPr>
                <w:color w:val="auto"/>
                <w:sz w:val="24"/>
                <w:szCs w:val="21"/>
                <w:highlight w:val="none"/>
              </w:rPr>
              <w:t>COD、BOD</w:t>
            </w:r>
            <w:r>
              <w:rPr>
                <w:color w:val="auto"/>
                <w:sz w:val="24"/>
                <w:szCs w:val="21"/>
                <w:highlight w:val="none"/>
                <w:vertAlign w:val="subscript"/>
              </w:rPr>
              <w:t>5</w:t>
            </w:r>
            <w:r>
              <w:rPr>
                <w:color w:val="auto"/>
                <w:sz w:val="24"/>
                <w:szCs w:val="21"/>
                <w:highlight w:val="none"/>
              </w:rPr>
              <w:t>、SS、氨氮的浓度分别为400mg/L、200mg/L、200mg/L、45mg/L</w:t>
            </w:r>
            <w:r>
              <w:rPr>
                <w:rFonts w:hint="eastAsia"/>
                <w:color w:val="auto"/>
                <w:sz w:val="24"/>
                <w:szCs w:val="21"/>
                <w:highlight w:val="none"/>
              </w:rPr>
              <w:t>。根据《第一次全国污染源普查——城镇生活源产排污系数手册》，本项目位于陕西省属于五区，西安市属于其中的1类，对应的生活污水产生量125L/人.d，总氮11.8g/人.d（直排）/10.0 g/人.d（化粪池），总磷1.05g/人.d（直排）/0.89g/人.d（化粪池），计算得总氮浓度94.4</w:t>
            </w:r>
            <w:r>
              <w:rPr>
                <w:color w:val="auto"/>
                <w:sz w:val="24"/>
                <w:szCs w:val="21"/>
                <w:highlight w:val="none"/>
              </w:rPr>
              <w:t>mg/L</w:t>
            </w:r>
            <w:r>
              <w:rPr>
                <w:rFonts w:hint="eastAsia"/>
                <w:color w:val="auto"/>
                <w:sz w:val="24"/>
                <w:szCs w:val="21"/>
                <w:highlight w:val="none"/>
              </w:rPr>
              <w:t>；总磷浓度8.4</w:t>
            </w:r>
            <w:r>
              <w:rPr>
                <w:color w:val="auto"/>
                <w:sz w:val="24"/>
                <w:szCs w:val="21"/>
                <w:highlight w:val="none"/>
              </w:rPr>
              <w:t>mg/L</w:t>
            </w:r>
            <w:r>
              <w:rPr>
                <w:rFonts w:hint="eastAsia"/>
                <w:color w:val="auto"/>
                <w:sz w:val="24"/>
                <w:szCs w:val="21"/>
                <w:highlight w:val="none"/>
              </w:rPr>
              <w:t>。</w:t>
            </w:r>
          </w:p>
          <w:p>
            <w:pPr>
              <w:pageBreakBefore w:val="0"/>
              <w:kinsoku/>
              <w:wordWrap/>
              <w:overflowPunct/>
              <w:topLinePunct w:val="0"/>
              <w:bidi w:val="0"/>
              <w:adjustRightInd w:val="0"/>
              <w:snapToGrid w:val="0"/>
              <w:spacing w:beforeLines="50"/>
              <w:jc w:val="center"/>
              <w:rPr>
                <w:rFonts w:eastAsia="黑体"/>
                <w:color w:val="auto"/>
                <w:sz w:val="24"/>
                <w:highlight w:val="none"/>
              </w:rPr>
            </w:pPr>
            <w:r>
              <w:rPr>
                <w:rFonts w:eastAsia="黑体"/>
                <w:color w:val="auto"/>
                <w:sz w:val="24"/>
                <w:highlight w:val="none"/>
              </w:rPr>
              <w:t>表</w:t>
            </w:r>
            <w:r>
              <w:rPr>
                <w:rFonts w:hint="eastAsia" w:eastAsia="黑体"/>
                <w:color w:val="auto"/>
                <w:sz w:val="24"/>
                <w:highlight w:val="none"/>
              </w:rPr>
              <w:t>7-8</w:t>
            </w:r>
            <w:r>
              <w:rPr>
                <w:rFonts w:eastAsia="黑体"/>
                <w:color w:val="auto"/>
                <w:sz w:val="24"/>
                <w:highlight w:val="none"/>
              </w:rPr>
              <w:t xml:space="preserve">      项目化粪池的处理效率及</w:t>
            </w:r>
            <w:r>
              <w:rPr>
                <w:rFonts w:hint="eastAsia"/>
                <w:b/>
                <w:color w:val="auto"/>
                <w:kern w:val="0"/>
                <w:sz w:val="21"/>
                <w:szCs w:val="22"/>
                <w:highlight w:val="none"/>
              </w:rPr>
              <w:t>废水污染物排放信息表</w:t>
            </w:r>
          </w:p>
          <w:tbl>
            <w:tblPr>
              <w:tblStyle w:val="2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0"/>
              <w:gridCol w:w="956"/>
              <w:gridCol w:w="1134"/>
              <w:gridCol w:w="995"/>
              <w:gridCol w:w="988"/>
              <w:gridCol w:w="851"/>
              <w:gridCol w:w="1098"/>
              <w:gridCol w:w="851"/>
              <w:gridCol w:w="7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trPr>
              <w:tc>
                <w:tcPr>
                  <w:tcW w:w="730" w:type="dxa"/>
                  <w:vMerge w:val="restart"/>
                  <w:vAlign w:val="center"/>
                </w:tcPr>
                <w:p>
                  <w:pPr>
                    <w:pageBreakBefore w:val="0"/>
                    <w:kinsoku/>
                    <w:wordWrap/>
                    <w:overflowPunct/>
                    <w:topLinePunct w:val="0"/>
                    <w:bidi w:val="0"/>
                    <w:adjustRightInd w:val="0"/>
                    <w:snapToGrid w:val="0"/>
                    <w:jc w:val="center"/>
                    <w:rPr>
                      <w:color w:val="auto"/>
                      <w:sz w:val="21"/>
                      <w:szCs w:val="21"/>
                      <w:highlight w:val="none"/>
                    </w:rPr>
                  </w:pPr>
                  <w:r>
                    <w:rPr>
                      <w:color w:val="auto"/>
                      <w:sz w:val="21"/>
                      <w:szCs w:val="21"/>
                      <w:highlight w:val="none"/>
                    </w:rPr>
                    <w:t>项目</w:t>
                  </w:r>
                </w:p>
              </w:tc>
              <w:tc>
                <w:tcPr>
                  <w:tcW w:w="956" w:type="dxa"/>
                  <w:vMerge w:val="restart"/>
                  <w:vAlign w:val="center"/>
                </w:tcPr>
                <w:p>
                  <w:pPr>
                    <w:pageBreakBefore w:val="0"/>
                    <w:kinsoku/>
                    <w:wordWrap/>
                    <w:overflowPunct/>
                    <w:topLinePunct w:val="0"/>
                    <w:bidi w:val="0"/>
                    <w:adjustRightInd w:val="0"/>
                    <w:snapToGrid w:val="0"/>
                    <w:jc w:val="center"/>
                    <w:rPr>
                      <w:color w:val="auto"/>
                      <w:sz w:val="21"/>
                      <w:szCs w:val="21"/>
                      <w:highlight w:val="none"/>
                    </w:rPr>
                  </w:pPr>
                  <w:r>
                    <w:rPr>
                      <w:color w:val="auto"/>
                      <w:sz w:val="21"/>
                      <w:szCs w:val="21"/>
                      <w:highlight w:val="none"/>
                    </w:rPr>
                    <w:t>废水总量</w:t>
                  </w:r>
                </w:p>
                <w:p>
                  <w:pPr>
                    <w:pageBreakBefore w:val="0"/>
                    <w:kinsoku/>
                    <w:wordWrap/>
                    <w:overflowPunct/>
                    <w:topLinePunct w:val="0"/>
                    <w:bidi w:val="0"/>
                    <w:adjustRightInd w:val="0"/>
                    <w:snapToGrid w:val="0"/>
                    <w:jc w:val="center"/>
                    <w:rPr>
                      <w:color w:val="auto"/>
                      <w:sz w:val="21"/>
                      <w:szCs w:val="21"/>
                      <w:highlight w:val="none"/>
                    </w:rPr>
                  </w:pPr>
                  <w:r>
                    <w:rPr>
                      <w:color w:val="auto"/>
                      <w:sz w:val="21"/>
                      <w:szCs w:val="21"/>
                      <w:highlight w:val="none"/>
                    </w:rPr>
                    <w:t>（m</w:t>
                  </w:r>
                  <w:r>
                    <w:rPr>
                      <w:color w:val="auto"/>
                      <w:sz w:val="21"/>
                      <w:szCs w:val="21"/>
                      <w:highlight w:val="none"/>
                      <w:vertAlign w:val="superscript"/>
                    </w:rPr>
                    <w:t>3</w:t>
                  </w:r>
                  <w:r>
                    <w:rPr>
                      <w:color w:val="auto"/>
                      <w:sz w:val="21"/>
                      <w:szCs w:val="21"/>
                      <w:highlight w:val="none"/>
                    </w:rPr>
                    <w:t>/a）</w:t>
                  </w:r>
                </w:p>
              </w:tc>
              <w:tc>
                <w:tcPr>
                  <w:tcW w:w="2129" w:type="dxa"/>
                  <w:gridSpan w:val="2"/>
                  <w:vAlign w:val="center"/>
                </w:tcPr>
                <w:p>
                  <w:pPr>
                    <w:pageBreakBefore w:val="0"/>
                    <w:kinsoku/>
                    <w:wordWrap/>
                    <w:overflowPunct/>
                    <w:topLinePunct w:val="0"/>
                    <w:bidi w:val="0"/>
                    <w:adjustRightInd w:val="0"/>
                    <w:snapToGrid w:val="0"/>
                    <w:jc w:val="center"/>
                    <w:rPr>
                      <w:color w:val="auto"/>
                      <w:sz w:val="21"/>
                      <w:szCs w:val="21"/>
                      <w:highlight w:val="none"/>
                    </w:rPr>
                  </w:pPr>
                  <w:r>
                    <w:rPr>
                      <w:color w:val="auto"/>
                      <w:sz w:val="21"/>
                      <w:szCs w:val="21"/>
                      <w:highlight w:val="none"/>
                    </w:rPr>
                    <w:t>产生量</w:t>
                  </w:r>
                </w:p>
              </w:tc>
              <w:tc>
                <w:tcPr>
                  <w:tcW w:w="1839" w:type="dxa"/>
                  <w:gridSpan w:val="2"/>
                  <w:vAlign w:val="center"/>
                </w:tcPr>
                <w:p>
                  <w:pPr>
                    <w:pageBreakBefore w:val="0"/>
                    <w:kinsoku/>
                    <w:wordWrap/>
                    <w:overflowPunct/>
                    <w:topLinePunct w:val="0"/>
                    <w:bidi w:val="0"/>
                    <w:adjustRightInd w:val="0"/>
                    <w:snapToGrid w:val="0"/>
                    <w:jc w:val="center"/>
                    <w:rPr>
                      <w:color w:val="auto"/>
                      <w:sz w:val="21"/>
                      <w:szCs w:val="21"/>
                      <w:highlight w:val="none"/>
                    </w:rPr>
                  </w:pPr>
                  <w:r>
                    <w:rPr>
                      <w:color w:val="auto"/>
                      <w:sz w:val="21"/>
                      <w:szCs w:val="21"/>
                      <w:highlight w:val="none"/>
                    </w:rPr>
                    <w:t>化粪池处理效率</w:t>
                  </w:r>
                </w:p>
              </w:tc>
              <w:tc>
                <w:tcPr>
                  <w:tcW w:w="1949" w:type="dxa"/>
                  <w:gridSpan w:val="2"/>
                  <w:vAlign w:val="center"/>
                </w:tcPr>
                <w:p>
                  <w:pPr>
                    <w:pageBreakBefore w:val="0"/>
                    <w:kinsoku/>
                    <w:wordWrap/>
                    <w:overflowPunct/>
                    <w:topLinePunct w:val="0"/>
                    <w:bidi w:val="0"/>
                    <w:adjustRightInd w:val="0"/>
                    <w:snapToGrid w:val="0"/>
                    <w:jc w:val="center"/>
                    <w:rPr>
                      <w:color w:val="auto"/>
                      <w:sz w:val="21"/>
                      <w:szCs w:val="21"/>
                      <w:highlight w:val="none"/>
                    </w:rPr>
                  </w:pPr>
                  <w:r>
                    <w:rPr>
                      <w:color w:val="auto"/>
                      <w:sz w:val="21"/>
                      <w:szCs w:val="21"/>
                      <w:highlight w:val="none"/>
                    </w:rPr>
                    <w:t>排放量</w:t>
                  </w:r>
                </w:p>
              </w:tc>
              <w:tc>
                <w:tcPr>
                  <w:tcW w:w="746" w:type="dxa"/>
                  <w:vMerge w:val="restart"/>
                  <w:vAlign w:val="center"/>
                </w:tcPr>
                <w:p>
                  <w:pPr>
                    <w:pageBreakBefore w:val="0"/>
                    <w:kinsoku/>
                    <w:wordWrap/>
                    <w:overflowPunct/>
                    <w:topLinePunct w:val="0"/>
                    <w:bidi w:val="0"/>
                    <w:adjustRightInd w:val="0"/>
                    <w:snapToGrid w:val="0"/>
                    <w:jc w:val="center"/>
                    <w:rPr>
                      <w:color w:val="auto"/>
                      <w:sz w:val="21"/>
                      <w:szCs w:val="21"/>
                      <w:highlight w:val="none"/>
                    </w:rPr>
                  </w:pPr>
                  <w:r>
                    <w:rPr>
                      <w:color w:val="auto"/>
                      <w:sz w:val="21"/>
                      <w:szCs w:val="21"/>
                      <w:highlight w:val="none"/>
                    </w:rPr>
                    <w:t>排放标准</w:t>
                  </w:r>
                </w:p>
                <w:p>
                  <w:pPr>
                    <w:pageBreakBefore w:val="0"/>
                    <w:kinsoku/>
                    <w:wordWrap/>
                    <w:overflowPunct/>
                    <w:topLinePunct w:val="0"/>
                    <w:bidi w:val="0"/>
                    <w:adjustRightInd w:val="0"/>
                    <w:snapToGrid w:val="0"/>
                    <w:jc w:val="center"/>
                    <w:rPr>
                      <w:color w:val="auto"/>
                      <w:sz w:val="21"/>
                      <w:szCs w:val="21"/>
                      <w:highlight w:val="none"/>
                    </w:rPr>
                  </w:pPr>
                  <w:r>
                    <w:rPr>
                      <w:color w:val="auto"/>
                      <w:sz w:val="21"/>
                      <w:szCs w:val="21"/>
                      <w:highlight w:val="none"/>
                    </w:rPr>
                    <w:t>（mg/L）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2" w:hRule="atLeast"/>
                <w:tblHeader/>
              </w:trPr>
              <w:tc>
                <w:tcPr>
                  <w:tcW w:w="730" w:type="dxa"/>
                  <w:vMerge w:val="continue"/>
                  <w:vAlign w:val="center"/>
                </w:tcPr>
                <w:p>
                  <w:pPr>
                    <w:pageBreakBefore w:val="0"/>
                    <w:kinsoku/>
                    <w:wordWrap/>
                    <w:overflowPunct/>
                    <w:topLinePunct w:val="0"/>
                    <w:bidi w:val="0"/>
                    <w:adjustRightInd w:val="0"/>
                    <w:snapToGrid w:val="0"/>
                    <w:jc w:val="center"/>
                    <w:rPr>
                      <w:color w:val="auto"/>
                      <w:sz w:val="21"/>
                      <w:szCs w:val="21"/>
                      <w:highlight w:val="none"/>
                    </w:rPr>
                  </w:pPr>
                </w:p>
              </w:tc>
              <w:tc>
                <w:tcPr>
                  <w:tcW w:w="956" w:type="dxa"/>
                  <w:vMerge w:val="continue"/>
                  <w:vAlign w:val="center"/>
                </w:tcPr>
                <w:p>
                  <w:pPr>
                    <w:pageBreakBefore w:val="0"/>
                    <w:kinsoku/>
                    <w:wordWrap/>
                    <w:overflowPunct/>
                    <w:topLinePunct w:val="0"/>
                    <w:bidi w:val="0"/>
                    <w:adjustRightInd w:val="0"/>
                    <w:snapToGrid w:val="0"/>
                    <w:jc w:val="center"/>
                    <w:rPr>
                      <w:color w:val="auto"/>
                      <w:sz w:val="21"/>
                      <w:szCs w:val="21"/>
                      <w:highlight w:val="none"/>
                    </w:rPr>
                  </w:pPr>
                </w:p>
              </w:tc>
              <w:tc>
                <w:tcPr>
                  <w:tcW w:w="1134" w:type="dxa"/>
                  <w:vAlign w:val="center"/>
                </w:tcPr>
                <w:p>
                  <w:pPr>
                    <w:pageBreakBefore w:val="0"/>
                    <w:kinsoku/>
                    <w:wordWrap/>
                    <w:overflowPunct/>
                    <w:topLinePunct w:val="0"/>
                    <w:bidi w:val="0"/>
                    <w:adjustRightInd w:val="0"/>
                    <w:snapToGrid w:val="0"/>
                    <w:jc w:val="center"/>
                    <w:rPr>
                      <w:color w:val="auto"/>
                      <w:sz w:val="21"/>
                      <w:szCs w:val="21"/>
                      <w:highlight w:val="none"/>
                    </w:rPr>
                  </w:pPr>
                  <w:r>
                    <w:rPr>
                      <w:color w:val="auto"/>
                      <w:sz w:val="21"/>
                      <w:szCs w:val="21"/>
                      <w:highlight w:val="none"/>
                    </w:rPr>
                    <w:t>产生浓度</w:t>
                  </w:r>
                </w:p>
                <w:p>
                  <w:pPr>
                    <w:pageBreakBefore w:val="0"/>
                    <w:kinsoku/>
                    <w:wordWrap/>
                    <w:overflowPunct/>
                    <w:topLinePunct w:val="0"/>
                    <w:bidi w:val="0"/>
                    <w:adjustRightInd w:val="0"/>
                    <w:snapToGrid w:val="0"/>
                    <w:jc w:val="center"/>
                    <w:rPr>
                      <w:color w:val="auto"/>
                      <w:sz w:val="21"/>
                      <w:szCs w:val="21"/>
                      <w:highlight w:val="none"/>
                    </w:rPr>
                  </w:pPr>
                  <w:r>
                    <w:rPr>
                      <w:color w:val="auto"/>
                      <w:sz w:val="21"/>
                      <w:szCs w:val="21"/>
                      <w:highlight w:val="none"/>
                    </w:rPr>
                    <w:t>（mg/L）</w:t>
                  </w:r>
                </w:p>
              </w:tc>
              <w:tc>
                <w:tcPr>
                  <w:tcW w:w="995" w:type="dxa"/>
                  <w:vAlign w:val="center"/>
                </w:tcPr>
                <w:p>
                  <w:pPr>
                    <w:pageBreakBefore w:val="0"/>
                    <w:kinsoku/>
                    <w:wordWrap/>
                    <w:overflowPunct/>
                    <w:topLinePunct w:val="0"/>
                    <w:bidi w:val="0"/>
                    <w:adjustRightInd w:val="0"/>
                    <w:snapToGrid w:val="0"/>
                    <w:jc w:val="center"/>
                    <w:rPr>
                      <w:color w:val="auto"/>
                      <w:sz w:val="21"/>
                      <w:szCs w:val="21"/>
                      <w:highlight w:val="none"/>
                    </w:rPr>
                  </w:pPr>
                  <w:r>
                    <w:rPr>
                      <w:color w:val="auto"/>
                      <w:sz w:val="21"/>
                      <w:szCs w:val="21"/>
                      <w:highlight w:val="none"/>
                    </w:rPr>
                    <w:t>产生量</w:t>
                  </w:r>
                </w:p>
                <w:p>
                  <w:pPr>
                    <w:pageBreakBefore w:val="0"/>
                    <w:kinsoku/>
                    <w:wordWrap/>
                    <w:overflowPunct/>
                    <w:topLinePunct w:val="0"/>
                    <w:bidi w:val="0"/>
                    <w:adjustRightInd w:val="0"/>
                    <w:snapToGrid w:val="0"/>
                    <w:jc w:val="center"/>
                    <w:rPr>
                      <w:color w:val="auto"/>
                      <w:sz w:val="21"/>
                      <w:szCs w:val="21"/>
                      <w:highlight w:val="none"/>
                    </w:rPr>
                  </w:pPr>
                  <w:r>
                    <w:rPr>
                      <w:color w:val="auto"/>
                      <w:sz w:val="21"/>
                      <w:szCs w:val="21"/>
                      <w:highlight w:val="none"/>
                    </w:rPr>
                    <w:t>（t/a）</w:t>
                  </w:r>
                </w:p>
              </w:tc>
              <w:tc>
                <w:tcPr>
                  <w:tcW w:w="988" w:type="dxa"/>
                  <w:vAlign w:val="center"/>
                </w:tcPr>
                <w:p>
                  <w:pPr>
                    <w:pageBreakBefore w:val="0"/>
                    <w:kinsoku/>
                    <w:wordWrap/>
                    <w:overflowPunct/>
                    <w:topLinePunct w:val="0"/>
                    <w:bidi w:val="0"/>
                    <w:adjustRightInd w:val="0"/>
                    <w:snapToGrid w:val="0"/>
                    <w:jc w:val="center"/>
                    <w:rPr>
                      <w:color w:val="auto"/>
                      <w:sz w:val="21"/>
                      <w:szCs w:val="21"/>
                      <w:highlight w:val="none"/>
                    </w:rPr>
                  </w:pPr>
                  <w:r>
                    <w:rPr>
                      <w:color w:val="auto"/>
                      <w:sz w:val="21"/>
                      <w:szCs w:val="21"/>
                      <w:highlight w:val="none"/>
                    </w:rPr>
                    <w:t>去除率</w:t>
                  </w:r>
                </w:p>
                <w:p>
                  <w:pPr>
                    <w:pageBreakBefore w:val="0"/>
                    <w:kinsoku/>
                    <w:wordWrap/>
                    <w:overflowPunct/>
                    <w:topLinePunct w:val="0"/>
                    <w:bidi w:val="0"/>
                    <w:adjustRightInd w:val="0"/>
                    <w:snapToGrid w:val="0"/>
                    <w:jc w:val="center"/>
                    <w:rPr>
                      <w:color w:val="auto"/>
                      <w:sz w:val="21"/>
                      <w:szCs w:val="21"/>
                      <w:highlight w:val="none"/>
                    </w:rPr>
                  </w:pPr>
                  <w:r>
                    <w:rPr>
                      <w:color w:val="auto"/>
                      <w:sz w:val="21"/>
                      <w:szCs w:val="21"/>
                      <w:highlight w:val="none"/>
                    </w:rPr>
                    <w:t>（%）</w:t>
                  </w:r>
                </w:p>
              </w:tc>
              <w:tc>
                <w:tcPr>
                  <w:tcW w:w="851" w:type="dxa"/>
                  <w:vAlign w:val="center"/>
                </w:tcPr>
                <w:p>
                  <w:pPr>
                    <w:pageBreakBefore w:val="0"/>
                    <w:kinsoku/>
                    <w:wordWrap/>
                    <w:overflowPunct/>
                    <w:topLinePunct w:val="0"/>
                    <w:bidi w:val="0"/>
                    <w:adjustRightInd w:val="0"/>
                    <w:snapToGrid w:val="0"/>
                    <w:jc w:val="center"/>
                    <w:rPr>
                      <w:color w:val="auto"/>
                      <w:sz w:val="21"/>
                      <w:szCs w:val="21"/>
                      <w:highlight w:val="none"/>
                    </w:rPr>
                  </w:pPr>
                  <w:r>
                    <w:rPr>
                      <w:color w:val="auto"/>
                      <w:sz w:val="21"/>
                      <w:szCs w:val="21"/>
                      <w:highlight w:val="none"/>
                    </w:rPr>
                    <w:t>去除量</w:t>
                  </w:r>
                </w:p>
                <w:p>
                  <w:pPr>
                    <w:pageBreakBefore w:val="0"/>
                    <w:kinsoku/>
                    <w:wordWrap/>
                    <w:overflowPunct/>
                    <w:topLinePunct w:val="0"/>
                    <w:bidi w:val="0"/>
                    <w:adjustRightInd w:val="0"/>
                    <w:snapToGrid w:val="0"/>
                    <w:jc w:val="center"/>
                    <w:rPr>
                      <w:color w:val="auto"/>
                      <w:sz w:val="21"/>
                      <w:szCs w:val="21"/>
                      <w:highlight w:val="none"/>
                    </w:rPr>
                  </w:pPr>
                  <w:r>
                    <w:rPr>
                      <w:color w:val="auto"/>
                      <w:sz w:val="21"/>
                      <w:szCs w:val="21"/>
                      <w:highlight w:val="none"/>
                    </w:rPr>
                    <w:t>（t/a）</w:t>
                  </w:r>
                </w:p>
              </w:tc>
              <w:tc>
                <w:tcPr>
                  <w:tcW w:w="1098" w:type="dxa"/>
                  <w:vAlign w:val="center"/>
                </w:tcPr>
                <w:p>
                  <w:pPr>
                    <w:pageBreakBefore w:val="0"/>
                    <w:kinsoku/>
                    <w:wordWrap/>
                    <w:overflowPunct/>
                    <w:topLinePunct w:val="0"/>
                    <w:bidi w:val="0"/>
                    <w:adjustRightInd w:val="0"/>
                    <w:snapToGrid w:val="0"/>
                    <w:jc w:val="center"/>
                    <w:rPr>
                      <w:color w:val="auto"/>
                      <w:sz w:val="21"/>
                      <w:szCs w:val="21"/>
                      <w:highlight w:val="none"/>
                    </w:rPr>
                  </w:pPr>
                  <w:r>
                    <w:rPr>
                      <w:color w:val="auto"/>
                      <w:sz w:val="21"/>
                      <w:szCs w:val="21"/>
                      <w:highlight w:val="none"/>
                    </w:rPr>
                    <w:t>排放浓度</w:t>
                  </w:r>
                </w:p>
                <w:p>
                  <w:pPr>
                    <w:pageBreakBefore w:val="0"/>
                    <w:kinsoku/>
                    <w:wordWrap/>
                    <w:overflowPunct/>
                    <w:topLinePunct w:val="0"/>
                    <w:bidi w:val="0"/>
                    <w:adjustRightInd w:val="0"/>
                    <w:snapToGrid w:val="0"/>
                    <w:jc w:val="center"/>
                    <w:rPr>
                      <w:color w:val="auto"/>
                      <w:sz w:val="21"/>
                      <w:szCs w:val="21"/>
                      <w:highlight w:val="none"/>
                    </w:rPr>
                  </w:pPr>
                  <w:r>
                    <w:rPr>
                      <w:color w:val="auto"/>
                      <w:sz w:val="21"/>
                      <w:szCs w:val="21"/>
                      <w:highlight w:val="none"/>
                    </w:rPr>
                    <w:t>（mg/L）</w:t>
                  </w:r>
                </w:p>
              </w:tc>
              <w:tc>
                <w:tcPr>
                  <w:tcW w:w="851" w:type="dxa"/>
                  <w:vAlign w:val="center"/>
                </w:tcPr>
                <w:p>
                  <w:pPr>
                    <w:pageBreakBefore w:val="0"/>
                    <w:kinsoku/>
                    <w:wordWrap/>
                    <w:overflowPunct/>
                    <w:topLinePunct w:val="0"/>
                    <w:bidi w:val="0"/>
                    <w:adjustRightInd w:val="0"/>
                    <w:snapToGrid w:val="0"/>
                    <w:jc w:val="center"/>
                    <w:rPr>
                      <w:color w:val="auto"/>
                      <w:sz w:val="21"/>
                      <w:szCs w:val="21"/>
                      <w:highlight w:val="none"/>
                    </w:rPr>
                  </w:pPr>
                  <w:r>
                    <w:rPr>
                      <w:color w:val="auto"/>
                      <w:sz w:val="21"/>
                      <w:szCs w:val="21"/>
                      <w:highlight w:val="none"/>
                    </w:rPr>
                    <w:t>排放量</w:t>
                  </w:r>
                </w:p>
                <w:p>
                  <w:pPr>
                    <w:pageBreakBefore w:val="0"/>
                    <w:kinsoku/>
                    <w:wordWrap/>
                    <w:overflowPunct/>
                    <w:topLinePunct w:val="0"/>
                    <w:bidi w:val="0"/>
                    <w:adjustRightInd w:val="0"/>
                    <w:snapToGrid w:val="0"/>
                    <w:jc w:val="center"/>
                    <w:rPr>
                      <w:color w:val="auto"/>
                      <w:sz w:val="21"/>
                      <w:szCs w:val="21"/>
                      <w:highlight w:val="none"/>
                    </w:rPr>
                  </w:pPr>
                  <w:r>
                    <w:rPr>
                      <w:color w:val="auto"/>
                      <w:sz w:val="21"/>
                      <w:szCs w:val="21"/>
                      <w:highlight w:val="none"/>
                    </w:rPr>
                    <w:t>（t/a）</w:t>
                  </w:r>
                </w:p>
              </w:tc>
              <w:tc>
                <w:tcPr>
                  <w:tcW w:w="746" w:type="dxa"/>
                  <w:vMerge w:val="continue"/>
                  <w:vAlign w:val="center"/>
                </w:tcPr>
                <w:p>
                  <w:pPr>
                    <w:pageBreakBefore w:val="0"/>
                    <w:kinsoku/>
                    <w:wordWrap/>
                    <w:overflowPunct/>
                    <w:topLinePunct w:val="0"/>
                    <w:bidi w:val="0"/>
                    <w:adjustRightInd w:val="0"/>
                    <w:snapToGrid w:val="0"/>
                    <w:jc w:val="center"/>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3" w:hRule="atLeast"/>
              </w:trPr>
              <w:tc>
                <w:tcPr>
                  <w:tcW w:w="730" w:type="dxa"/>
                  <w:vAlign w:val="center"/>
                </w:tcPr>
                <w:p>
                  <w:pPr>
                    <w:pageBreakBefore w:val="0"/>
                    <w:kinsoku/>
                    <w:wordWrap/>
                    <w:overflowPunct/>
                    <w:topLinePunct w:val="0"/>
                    <w:bidi w:val="0"/>
                    <w:adjustRightInd w:val="0"/>
                    <w:snapToGrid w:val="0"/>
                    <w:rPr>
                      <w:color w:val="auto"/>
                      <w:sz w:val="21"/>
                      <w:szCs w:val="21"/>
                      <w:highlight w:val="none"/>
                    </w:rPr>
                  </w:pPr>
                  <w:r>
                    <w:rPr>
                      <w:color w:val="auto"/>
                      <w:sz w:val="21"/>
                      <w:szCs w:val="21"/>
                      <w:highlight w:val="none"/>
                    </w:rPr>
                    <w:t>COD</w:t>
                  </w:r>
                </w:p>
              </w:tc>
              <w:tc>
                <w:tcPr>
                  <w:tcW w:w="956" w:type="dxa"/>
                  <w:vMerge w:val="restart"/>
                  <w:vAlign w:val="center"/>
                </w:tcPr>
                <w:p>
                  <w:pPr>
                    <w:pageBreakBefore w:val="0"/>
                    <w:kinsoku/>
                    <w:wordWrap/>
                    <w:overflowPunct/>
                    <w:topLinePunct w:val="0"/>
                    <w:bidi w:val="0"/>
                    <w:adjustRightInd w:val="0"/>
                    <w:snapToGrid w:val="0"/>
                    <w:jc w:val="center"/>
                    <w:rPr>
                      <w:color w:val="auto"/>
                      <w:sz w:val="21"/>
                      <w:szCs w:val="21"/>
                      <w:highlight w:val="none"/>
                    </w:rPr>
                  </w:pPr>
                  <w:r>
                    <w:rPr>
                      <w:rFonts w:hint="eastAsia"/>
                      <w:color w:val="auto"/>
                      <w:sz w:val="21"/>
                      <w:szCs w:val="21"/>
                      <w:highlight w:val="none"/>
                    </w:rPr>
                    <w:t>58.8</w:t>
                  </w:r>
                </w:p>
              </w:tc>
              <w:tc>
                <w:tcPr>
                  <w:tcW w:w="1134" w:type="dxa"/>
                  <w:vAlign w:val="center"/>
                </w:tcPr>
                <w:p>
                  <w:pPr>
                    <w:pageBreakBefore w:val="0"/>
                    <w:kinsoku/>
                    <w:wordWrap/>
                    <w:overflowPunct/>
                    <w:topLinePunct w:val="0"/>
                    <w:bidi w:val="0"/>
                    <w:snapToGrid w:val="0"/>
                    <w:jc w:val="center"/>
                    <w:rPr>
                      <w:color w:val="auto"/>
                      <w:sz w:val="21"/>
                      <w:szCs w:val="21"/>
                      <w:highlight w:val="none"/>
                    </w:rPr>
                  </w:pPr>
                  <w:r>
                    <w:rPr>
                      <w:color w:val="auto"/>
                      <w:sz w:val="21"/>
                      <w:szCs w:val="21"/>
                      <w:highlight w:val="none"/>
                    </w:rPr>
                    <w:t>400</w:t>
                  </w:r>
                </w:p>
              </w:tc>
              <w:tc>
                <w:tcPr>
                  <w:tcW w:w="995"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0.0235</w:t>
                  </w:r>
                </w:p>
              </w:tc>
              <w:tc>
                <w:tcPr>
                  <w:tcW w:w="988" w:type="dxa"/>
                  <w:vAlign w:val="center"/>
                </w:tcPr>
                <w:p>
                  <w:pPr>
                    <w:pageBreakBefore w:val="0"/>
                    <w:kinsoku/>
                    <w:wordWrap/>
                    <w:overflowPunct/>
                    <w:topLinePunct w:val="0"/>
                    <w:bidi w:val="0"/>
                    <w:snapToGrid w:val="0"/>
                    <w:jc w:val="center"/>
                    <w:rPr>
                      <w:color w:val="auto"/>
                      <w:sz w:val="21"/>
                      <w:szCs w:val="21"/>
                      <w:highlight w:val="none"/>
                    </w:rPr>
                  </w:pPr>
                  <w:r>
                    <w:rPr>
                      <w:color w:val="auto"/>
                      <w:sz w:val="21"/>
                      <w:szCs w:val="21"/>
                      <w:highlight w:val="none"/>
                    </w:rPr>
                    <w:t>15</w:t>
                  </w:r>
                </w:p>
              </w:tc>
              <w:tc>
                <w:tcPr>
                  <w:tcW w:w="851"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0.0035 </w:t>
                  </w:r>
                </w:p>
              </w:tc>
              <w:tc>
                <w:tcPr>
                  <w:tcW w:w="1098" w:type="dxa"/>
                  <w:vAlign w:val="center"/>
                </w:tcPr>
                <w:p>
                  <w:pPr>
                    <w:pageBreakBefore w:val="0"/>
                    <w:kinsoku/>
                    <w:wordWrap/>
                    <w:overflowPunct/>
                    <w:topLinePunct w:val="0"/>
                    <w:bidi w:val="0"/>
                    <w:snapToGrid w:val="0"/>
                    <w:jc w:val="center"/>
                    <w:rPr>
                      <w:color w:val="auto"/>
                      <w:sz w:val="21"/>
                      <w:szCs w:val="21"/>
                      <w:highlight w:val="none"/>
                    </w:rPr>
                  </w:pPr>
                  <w:r>
                    <w:rPr>
                      <w:color w:val="auto"/>
                      <w:sz w:val="21"/>
                      <w:szCs w:val="21"/>
                      <w:highlight w:val="none"/>
                    </w:rPr>
                    <w:t>340</w:t>
                  </w:r>
                </w:p>
              </w:tc>
              <w:tc>
                <w:tcPr>
                  <w:tcW w:w="851"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0.0200 </w:t>
                  </w:r>
                </w:p>
              </w:tc>
              <w:tc>
                <w:tcPr>
                  <w:tcW w:w="746" w:type="dxa"/>
                  <w:vAlign w:val="center"/>
                </w:tcPr>
                <w:p>
                  <w:pPr>
                    <w:pageBreakBefore w:val="0"/>
                    <w:kinsoku/>
                    <w:wordWrap/>
                    <w:overflowPunct/>
                    <w:topLinePunct w:val="0"/>
                    <w:bidi w:val="0"/>
                    <w:adjustRightInd w:val="0"/>
                    <w:snapToGrid w:val="0"/>
                    <w:jc w:val="center"/>
                    <w:rPr>
                      <w:color w:val="auto"/>
                      <w:sz w:val="21"/>
                      <w:szCs w:val="21"/>
                      <w:highlight w:val="none"/>
                    </w:rPr>
                  </w:pPr>
                  <w:r>
                    <w:rPr>
                      <w:color w:val="auto"/>
                      <w:sz w:val="21"/>
                      <w:szCs w:val="21"/>
                      <w:highlight w:val="none"/>
                    </w:rPr>
                    <w:t>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7" w:hRule="atLeast"/>
              </w:trPr>
              <w:tc>
                <w:tcPr>
                  <w:tcW w:w="730" w:type="dxa"/>
                  <w:vAlign w:val="center"/>
                </w:tcPr>
                <w:p>
                  <w:pPr>
                    <w:pageBreakBefore w:val="0"/>
                    <w:kinsoku/>
                    <w:wordWrap/>
                    <w:overflowPunct/>
                    <w:topLinePunct w:val="0"/>
                    <w:bidi w:val="0"/>
                    <w:adjustRightInd w:val="0"/>
                    <w:snapToGrid w:val="0"/>
                    <w:jc w:val="center"/>
                    <w:rPr>
                      <w:color w:val="auto"/>
                      <w:sz w:val="21"/>
                      <w:szCs w:val="21"/>
                      <w:highlight w:val="none"/>
                      <w:vertAlign w:val="subscript"/>
                    </w:rPr>
                  </w:pPr>
                  <w:r>
                    <w:rPr>
                      <w:color w:val="auto"/>
                      <w:sz w:val="21"/>
                      <w:szCs w:val="21"/>
                      <w:highlight w:val="none"/>
                    </w:rPr>
                    <w:t>BOD</w:t>
                  </w:r>
                  <w:r>
                    <w:rPr>
                      <w:color w:val="auto"/>
                      <w:sz w:val="21"/>
                      <w:szCs w:val="21"/>
                      <w:highlight w:val="none"/>
                      <w:vertAlign w:val="subscript"/>
                    </w:rPr>
                    <w:t>5</w:t>
                  </w:r>
                </w:p>
              </w:tc>
              <w:tc>
                <w:tcPr>
                  <w:tcW w:w="956" w:type="dxa"/>
                  <w:vMerge w:val="continue"/>
                  <w:vAlign w:val="center"/>
                </w:tcPr>
                <w:p>
                  <w:pPr>
                    <w:pageBreakBefore w:val="0"/>
                    <w:kinsoku/>
                    <w:wordWrap/>
                    <w:overflowPunct/>
                    <w:topLinePunct w:val="0"/>
                    <w:bidi w:val="0"/>
                    <w:adjustRightInd w:val="0"/>
                    <w:snapToGrid w:val="0"/>
                    <w:jc w:val="center"/>
                    <w:rPr>
                      <w:color w:val="auto"/>
                      <w:sz w:val="21"/>
                      <w:szCs w:val="21"/>
                      <w:highlight w:val="none"/>
                    </w:rPr>
                  </w:pPr>
                </w:p>
              </w:tc>
              <w:tc>
                <w:tcPr>
                  <w:tcW w:w="1134" w:type="dxa"/>
                  <w:vAlign w:val="center"/>
                </w:tcPr>
                <w:p>
                  <w:pPr>
                    <w:pageBreakBefore w:val="0"/>
                    <w:kinsoku/>
                    <w:wordWrap/>
                    <w:overflowPunct/>
                    <w:topLinePunct w:val="0"/>
                    <w:bidi w:val="0"/>
                    <w:snapToGrid w:val="0"/>
                    <w:jc w:val="center"/>
                    <w:rPr>
                      <w:color w:val="auto"/>
                      <w:sz w:val="21"/>
                      <w:szCs w:val="21"/>
                      <w:highlight w:val="none"/>
                    </w:rPr>
                  </w:pPr>
                  <w:r>
                    <w:rPr>
                      <w:color w:val="auto"/>
                      <w:sz w:val="21"/>
                      <w:szCs w:val="21"/>
                      <w:highlight w:val="none"/>
                    </w:rPr>
                    <w:t>200</w:t>
                  </w:r>
                </w:p>
              </w:tc>
              <w:tc>
                <w:tcPr>
                  <w:tcW w:w="995"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0.0118</w:t>
                  </w:r>
                </w:p>
              </w:tc>
              <w:tc>
                <w:tcPr>
                  <w:tcW w:w="988" w:type="dxa"/>
                  <w:vAlign w:val="center"/>
                </w:tcPr>
                <w:p>
                  <w:pPr>
                    <w:pageBreakBefore w:val="0"/>
                    <w:kinsoku/>
                    <w:wordWrap/>
                    <w:overflowPunct/>
                    <w:topLinePunct w:val="0"/>
                    <w:bidi w:val="0"/>
                    <w:snapToGrid w:val="0"/>
                    <w:jc w:val="center"/>
                    <w:rPr>
                      <w:color w:val="auto"/>
                      <w:sz w:val="21"/>
                      <w:szCs w:val="21"/>
                      <w:highlight w:val="none"/>
                    </w:rPr>
                  </w:pPr>
                  <w:r>
                    <w:rPr>
                      <w:color w:val="auto"/>
                      <w:sz w:val="21"/>
                      <w:szCs w:val="21"/>
                      <w:highlight w:val="none"/>
                    </w:rPr>
                    <w:t>10</w:t>
                  </w:r>
                </w:p>
              </w:tc>
              <w:tc>
                <w:tcPr>
                  <w:tcW w:w="851"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0.0012 </w:t>
                  </w:r>
                </w:p>
              </w:tc>
              <w:tc>
                <w:tcPr>
                  <w:tcW w:w="1098" w:type="dxa"/>
                  <w:vAlign w:val="center"/>
                </w:tcPr>
                <w:p>
                  <w:pPr>
                    <w:pageBreakBefore w:val="0"/>
                    <w:kinsoku/>
                    <w:wordWrap/>
                    <w:overflowPunct/>
                    <w:topLinePunct w:val="0"/>
                    <w:bidi w:val="0"/>
                    <w:snapToGrid w:val="0"/>
                    <w:jc w:val="center"/>
                    <w:rPr>
                      <w:color w:val="auto"/>
                      <w:sz w:val="21"/>
                      <w:szCs w:val="21"/>
                      <w:highlight w:val="none"/>
                    </w:rPr>
                  </w:pPr>
                  <w:r>
                    <w:rPr>
                      <w:color w:val="auto"/>
                      <w:sz w:val="21"/>
                      <w:szCs w:val="21"/>
                      <w:highlight w:val="none"/>
                    </w:rPr>
                    <w:t>180</w:t>
                  </w:r>
                </w:p>
              </w:tc>
              <w:tc>
                <w:tcPr>
                  <w:tcW w:w="851"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0.0106 </w:t>
                  </w:r>
                </w:p>
              </w:tc>
              <w:tc>
                <w:tcPr>
                  <w:tcW w:w="746" w:type="dxa"/>
                  <w:vAlign w:val="center"/>
                </w:tcPr>
                <w:p>
                  <w:pPr>
                    <w:pageBreakBefore w:val="0"/>
                    <w:kinsoku/>
                    <w:wordWrap/>
                    <w:overflowPunct/>
                    <w:topLinePunct w:val="0"/>
                    <w:bidi w:val="0"/>
                    <w:adjustRightInd w:val="0"/>
                    <w:snapToGrid w:val="0"/>
                    <w:jc w:val="center"/>
                    <w:rPr>
                      <w:color w:val="auto"/>
                      <w:sz w:val="21"/>
                      <w:szCs w:val="21"/>
                      <w:highlight w:val="none"/>
                    </w:rPr>
                  </w:pPr>
                  <w:r>
                    <w:rPr>
                      <w:color w:val="auto"/>
                      <w:sz w:val="21"/>
                      <w:szCs w:val="21"/>
                      <w:highlight w:val="none"/>
                    </w:rPr>
                    <w:t>300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3" w:hRule="atLeast"/>
              </w:trPr>
              <w:tc>
                <w:tcPr>
                  <w:tcW w:w="730" w:type="dxa"/>
                  <w:vAlign w:val="center"/>
                </w:tcPr>
                <w:p>
                  <w:pPr>
                    <w:pageBreakBefore w:val="0"/>
                    <w:kinsoku/>
                    <w:wordWrap/>
                    <w:overflowPunct/>
                    <w:topLinePunct w:val="0"/>
                    <w:bidi w:val="0"/>
                    <w:adjustRightInd w:val="0"/>
                    <w:snapToGrid w:val="0"/>
                    <w:jc w:val="center"/>
                    <w:rPr>
                      <w:color w:val="auto"/>
                      <w:sz w:val="21"/>
                      <w:szCs w:val="21"/>
                      <w:highlight w:val="none"/>
                    </w:rPr>
                  </w:pPr>
                  <w:r>
                    <w:rPr>
                      <w:color w:val="auto"/>
                      <w:sz w:val="21"/>
                      <w:szCs w:val="21"/>
                      <w:highlight w:val="none"/>
                    </w:rPr>
                    <w:t>SS</w:t>
                  </w:r>
                </w:p>
              </w:tc>
              <w:tc>
                <w:tcPr>
                  <w:tcW w:w="956" w:type="dxa"/>
                  <w:vMerge w:val="continue"/>
                  <w:vAlign w:val="center"/>
                </w:tcPr>
                <w:p>
                  <w:pPr>
                    <w:pageBreakBefore w:val="0"/>
                    <w:kinsoku/>
                    <w:wordWrap/>
                    <w:overflowPunct/>
                    <w:topLinePunct w:val="0"/>
                    <w:bidi w:val="0"/>
                    <w:adjustRightInd w:val="0"/>
                    <w:snapToGrid w:val="0"/>
                    <w:jc w:val="center"/>
                    <w:rPr>
                      <w:color w:val="auto"/>
                      <w:sz w:val="21"/>
                      <w:szCs w:val="21"/>
                      <w:highlight w:val="none"/>
                    </w:rPr>
                  </w:pPr>
                </w:p>
              </w:tc>
              <w:tc>
                <w:tcPr>
                  <w:tcW w:w="1134" w:type="dxa"/>
                  <w:vAlign w:val="center"/>
                </w:tcPr>
                <w:p>
                  <w:pPr>
                    <w:pageBreakBefore w:val="0"/>
                    <w:kinsoku/>
                    <w:wordWrap/>
                    <w:overflowPunct/>
                    <w:topLinePunct w:val="0"/>
                    <w:bidi w:val="0"/>
                    <w:snapToGrid w:val="0"/>
                    <w:jc w:val="center"/>
                    <w:rPr>
                      <w:color w:val="auto"/>
                      <w:sz w:val="21"/>
                      <w:szCs w:val="21"/>
                      <w:highlight w:val="none"/>
                    </w:rPr>
                  </w:pPr>
                  <w:r>
                    <w:rPr>
                      <w:color w:val="auto"/>
                      <w:sz w:val="21"/>
                      <w:szCs w:val="21"/>
                      <w:highlight w:val="none"/>
                    </w:rPr>
                    <w:t>200</w:t>
                  </w:r>
                </w:p>
              </w:tc>
              <w:tc>
                <w:tcPr>
                  <w:tcW w:w="995"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0.0118</w:t>
                  </w:r>
                </w:p>
              </w:tc>
              <w:tc>
                <w:tcPr>
                  <w:tcW w:w="988" w:type="dxa"/>
                  <w:vAlign w:val="center"/>
                </w:tcPr>
                <w:p>
                  <w:pPr>
                    <w:pageBreakBefore w:val="0"/>
                    <w:kinsoku/>
                    <w:wordWrap/>
                    <w:overflowPunct/>
                    <w:topLinePunct w:val="0"/>
                    <w:bidi w:val="0"/>
                    <w:snapToGrid w:val="0"/>
                    <w:jc w:val="center"/>
                    <w:rPr>
                      <w:color w:val="auto"/>
                      <w:sz w:val="21"/>
                      <w:szCs w:val="21"/>
                      <w:highlight w:val="none"/>
                    </w:rPr>
                  </w:pPr>
                  <w:r>
                    <w:rPr>
                      <w:color w:val="auto"/>
                      <w:sz w:val="21"/>
                      <w:szCs w:val="21"/>
                      <w:highlight w:val="none"/>
                    </w:rPr>
                    <w:t>20</w:t>
                  </w:r>
                </w:p>
              </w:tc>
              <w:tc>
                <w:tcPr>
                  <w:tcW w:w="851"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0.0024 </w:t>
                  </w:r>
                </w:p>
              </w:tc>
              <w:tc>
                <w:tcPr>
                  <w:tcW w:w="1098" w:type="dxa"/>
                  <w:vAlign w:val="center"/>
                </w:tcPr>
                <w:p>
                  <w:pPr>
                    <w:pageBreakBefore w:val="0"/>
                    <w:kinsoku/>
                    <w:wordWrap/>
                    <w:overflowPunct/>
                    <w:topLinePunct w:val="0"/>
                    <w:bidi w:val="0"/>
                    <w:snapToGrid w:val="0"/>
                    <w:jc w:val="center"/>
                    <w:rPr>
                      <w:color w:val="auto"/>
                      <w:sz w:val="21"/>
                      <w:szCs w:val="21"/>
                      <w:highlight w:val="none"/>
                    </w:rPr>
                  </w:pPr>
                  <w:r>
                    <w:rPr>
                      <w:color w:val="auto"/>
                      <w:sz w:val="21"/>
                      <w:szCs w:val="21"/>
                      <w:highlight w:val="none"/>
                    </w:rPr>
                    <w:t>160</w:t>
                  </w:r>
                </w:p>
              </w:tc>
              <w:tc>
                <w:tcPr>
                  <w:tcW w:w="851"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0.0094 </w:t>
                  </w:r>
                </w:p>
              </w:tc>
              <w:tc>
                <w:tcPr>
                  <w:tcW w:w="746" w:type="dxa"/>
                  <w:vAlign w:val="center"/>
                </w:tcPr>
                <w:p>
                  <w:pPr>
                    <w:pageBreakBefore w:val="0"/>
                    <w:kinsoku/>
                    <w:wordWrap/>
                    <w:overflowPunct/>
                    <w:topLinePunct w:val="0"/>
                    <w:bidi w:val="0"/>
                    <w:adjustRightInd w:val="0"/>
                    <w:snapToGrid w:val="0"/>
                    <w:jc w:val="center"/>
                    <w:rPr>
                      <w:color w:val="auto"/>
                      <w:sz w:val="21"/>
                      <w:szCs w:val="21"/>
                      <w:highlight w:val="none"/>
                    </w:rPr>
                  </w:pPr>
                  <w:r>
                    <w:rPr>
                      <w:color w:val="auto"/>
                      <w:sz w:val="21"/>
                      <w:szCs w:val="21"/>
                      <w:highlight w:val="none"/>
                    </w:rPr>
                    <w:t>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trPr>
              <w:tc>
                <w:tcPr>
                  <w:tcW w:w="730" w:type="dxa"/>
                  <w:vAlign w:val="center"/>
                </w:tcPr>
                <w:p>
                  <w:pPr>
                    <w:pageBreakBefore w:val="0"/>
                    <w:kinsoku/>
                    <w:wordWrap/>
                    <w:overflowPunct/>
                    <w:topLinePunct w:val="0"/>
                    <w:bidi w:val="0"/>
                    <w:adjustRightInd w:val="0"/>
                    <w:snapToGrid w:val="0"/>
                    <w:jc w:val="center"/>
                    <w:rPr>
                      <w:color w:val="auto"/>
                      <w:sz w:val="21"/>
                      <w:szCs w:val="21"/>
                      <w:highlight w:val="none"/>
                    </w:rPr>
                  </w:pPr>
                  <w:r>
                    <w:rPr>
                      <w:color w:val="auto"/>
                      <w:sz w:val="21"/>
                      <w:szCs w:val="21"/>
                      <w:highlight w:val="none"/>
                    </w:rPr>
                    <w:t>氨氮</w:t>
                  </w:r>
                </w:p>
              </w:tc>
              <w:tc>
                <w:tcPr>
                  <w:tcW w:w="956" w:type="dxa"/>
                  <w:vMerge w:val="continue"/>
                  <w:vAlign w:val="center"/>
                </w:tcPr>
                <w:p>
                  <w:pPr>
                    <w:pageBreakBefore w:val="0"/>
                    <w:kinsoku/>
                    <w:wordWrap/>
                    <w:overflowPunct/>
                    <w:topLinePunct w:val="0"/>
                    <w:bidi w:val="0"/>
                    <w:adjustRightInd w:val="0"/>
                    <w:snapToGrid w:val="0"/>
                    <w:jc w:val="center"/>
                    <w:rPr>
                      <w:color w:val="auto"/>
                      <w:sz w:val="21"/>
                      <w:szCs w:val="21"/>
                      <w:highlight w:val="none"/>
                    </w:rPr>
                  </w:pPr>
                </w:p>
              </w:tc>
              <w:tc>
                <w:tcPr>
                  <w:tcW w:w="1134" w:type="dxa"/>
                  <w:vAlign w:val="center"/>
                </w:tcPr>
                <w:p>
                  <w:pPr>
                    <w:pageBreakBefore w:val="0"/>
                    <w:kinsoku/>
                    <w:wordWrap/>
                    <w:overflowPunct/>
                    <w:topLinePunct w:val="0"/>
                    <w:bidi w:val="0"/>
                    <w:snapToGrid w:val="0"/>
                    <w:jc w:val="center"/>
                    <w:rPr>
                      <w:color w:val="auto"/>
                      <w:sz w:val="21"/>
                      <w:szCs w:val="21"/>
                      <w:highlight w:val="none"/>
                    </w:rPr>
                  </w:pPr>
                  <w:r>
                    <w:rPr>
                      <w:color w:val="auto"/>
                      <w:sz w:val="21"/>
                      <w:szCs w:val="21"/>
                      <w:highlight w:val="none"/>
                    </w:rPr>
                    <w:t>45</w:t>
                  </w:r>
                </w:p>
              </w:tc>
              <w:tc>
                <w:tcPr>
                  <w:tcW w:w="995"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0.0026</w:t>
                  </w:r>
                </w:p>
              </w:tc>
              <w:tc>
                <w:tcPr>
                  <w:tcW w:w="988" w:type="dxa"/>
                  <w:vAlign w:val="center"/>
                </w:tcPr>
                <w:p>
                  <w:pPr>
                    <w:pageBreakBefore w:val="0"/>
                    <w:kinsoku/>
                    <w:wordWrap/>
                    <w:overflowPunct/>
                    <w:topLinePunct w:val="0"/>
                    <w:bidi w:val="0"/>
                    <w:snapToGrid w:val="0"/>
                    <w:jc w:val="center"/>
                    <w:rPr>
                      <w:color w:val="auto"/>
                      <w:sz w:val="21"/>
                      <w:szCs w:val="21"/>
                      <w:highlight w:val="none"/>
                    </w:rPr>
                  </w:pPr>
                  <w:r>
                    <w:rPr>
                      <w:color w:val="auto"/>
                      <w:sz w:val="21"/>
                      <w:szCs w:val="21"/>
                      <w:highlight w:val="none"/>
                    </w:rPr>
                    <w:t>0</w:t>
                  </w:r>
                </w:p>
              </w:tc>
              <w:tc>
                <w:tcPr>
                  <w:tcW w:w="851"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0.0000 </w:t>
                  </w:r>
                </w:p>
              </w:tc>
              <w:tc>
                <w:tcPr>
                  <w:tcW w:w="1098" w:type="dxa"/>
                  <w:vAlign w:val="center"/>
                </w:tcPr>
                <w:p>
                  <w:pPr>
                    <w:pageBreakBefore w:val="0"/>
                    <w:kinsoku/>
                    <w:wordWrap/>
                    <w:overflowPunct/>
                    <w:topLinePunct w:val="0"/>
                    <w:bidi w:val="0"/>
                    <w:snapToGrid w:val="0"/>
                    <w:jc w:val="center"/>
                    <w:rPr>
                      <w:color w:val="auto"/>
                      <w:sz w:val="21"/>
                      <w:szCs w:val="21"/>
                      <w:highlight w:val="none"/>
                    </w:rPr>
                  </w:pPr>
                  <w:r>
                    <w:rPr>
                      <w:color w:val="auto"/>
                      <w:sz w:val="21"/>
                      <w:szCs w:val="21"/>
                      <w:highlight w:val="none"/>
                    </w:rPr>
                    <w:t>45</w:t>
                  </w:r>
                </w:p>
              </w:tc>
              <w:tc>
                <w:tcPr>
                  <w:tcW w:w="851"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0.0026 </w:t>
                  </w:r>
                </w:p>
              </w:tc>
              <w:tc>
                <w:tcPr>
                  <w:tcW w:w="746" w:type="dxa"/>
                  <w:vAlign w:val="center"/>
                </w:tcPr>
                <w:p>
                  <w:pPr>
                    <w:pageBreakBefore w:val="0"/>
                    <w:kinsoku/>
                    <w:wordWrap/>
                    <w:overflowPunct/>
                    <w:topLinePunct w:val="0"/>
                    <w:bidi w:val="0"/>
                    <w:adjustRightInd w:val="0"/>
                    <w:snapToGrid w:val="0"/>
                    <w:jc w:val="center"/>
                    <w:rPr>
                      <w:color w:val="auto"/>
                      <w:sz w:val="21"/>
                      <w:szCs w:val="21"/>
                      <w:highlight w:val="none"/>
                    </w:rPr>
                  </w:pPr>
                  <w:r>
                    <w:rPr>
                      <w:rFonts w:hint="eastAsia"/>
                      <w:color w:val="auto"/>
                      <w:sz w:val="21"/>
                      <w:szCs w:val="21"/>
                      <w:highlight w:val="none"/>
                    </w:rPr>
                    <w:t>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trPr>
              <w:tc>
                <w:tcPr>
                  <w:tcW w:w="730" w:type="dxa"/>
                  <w:vAlign w:val="center"/>
                </w:tcPr>
                <w:p>
                  <w:pPr>
                    <w:pageBreakBefore w:val="0"/>
                    <w:kinsoku/>
                    <w:wordWrap/>
                    <w:overflowPunct/>
                    <w:topLinePunct w:val="0"/>
                    <w:bidi w:val="0"/>
                    <w:adjustRightInd w:val="0"/>
                    <w:snapToGrid w:val="0"/>
                    <w:jc w:val="center"/>
                    <w:rPr>
                      <w:color w:val="auto"/>
                      <w:sz w:val="21"/>
                      <w:szCs w:val="21"/>
                      <w:highlight w:val="none"/>
                    </w:rPr>
                  </w:pPr>
                  <w:r>
                    <w:rPr>
                      <w:rFonts w:hint="eastAsia"/>
                      <w:color w:val="auto"/>
                      <w:sz w:val="21"/>
                      <w:szCs w:val="21"/>
                      <w:highlight w:val="none"/>
                    </w:rPr>
                    <w:t>总磷</w:t>
                  </w:r>
                </w:p>
              </w:tc>
              <w:tc>
                <w:tcPr>
                  <w:tcW w:w="956" w:type="dxa"/>
                  <w:vMerge w:val="continue"/>
                  <w:vAlign w:val="center"/>
                </w:tcPr>
                <w:p>
                  <w:pPr>
                    <w:pageBreakBefore w:val="0"/>
                    <w:kinsoku/>
                    <w:wordWrap/>
                    <w:overflowPunct/>
                    <w:topLinePunct w:val="0"/>
                    <w:bidi w:val="0"/>
                    <w:adjustRightInd w:val="0"/>
                    <w:snapToGrid w:val="0"/>
                    <w:jc w:val="center"/>
                    <w:rPr>
                      <w:color w:val="auto"/>
                      <w:sz w:val="21"/>
                      <w:szCs w:val="21"/>
                      <w:highlight w:val="none"/>
                    </w:rPr>
                  </w:pPr>
                </w:p>
              </w:tc>
              <w:tc>
                <w:tcPr>
                  <w:tcW w:w="1134" w:type="dxa"/>
                  <w:vAlign w:val="center"/>
                </w:tcPr>
                <w:p>
                  <w:pPr>
                    <w:pageBreakBefore w:val="0"/>
                    <w:kinsoku/>
                    <w:wordWrap/>
                    <w:overflowPunct/>
                    <w:topLinePunct w:val="0"/>
                    <w:bidi w:val="0"/>
                    <w:snapToGrid w:val="0"/>
                    <w:jc w:val="center"/>
                    <w:rPr>
                      <w:color w:val="auto"/>
                      <w:sz w:val="21"/>
                      <w:szCs w:val="21"/>
                      <w:highlight w:val="none"/>
                    </w:rPr>
                  </w:pPr>
                  <w:r>
                    <w:rPr>
                      <w:color w:val="auto"/>
                      <w:sz w:val="21"/>
                      <w:szCs w:val="21"/>
                      <w:highlight w:val="none"/>
                    </w:rPr>
                    <w:t>8.4</w:t>
                  </w:r>
                </w:p>
              </w:tc>
              <w:tc>
                <w:tcPr>
                  <w:tcW w:w="995"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0.0005</w:t>
                  </w:r>
                </w:p>
              </w:tc>
              <w:tc>
                <w:tcPr>
                  <w:tcW w:w="988" w:type="dxa"/>
                  <w:vAlign w:val="center"/>
                </w:tcPr>
                <w:p>
                  <w:pPr>
                    <w:pageBreakBefore w:val="0"/>
                    <w:kinsoku/>
                    <w:wordWrap/>
                    <w:overflowPunct/>
                    <w:topLinePunct w:val="0"/>
                    <w:bidi w:val="0"/>
                    <w:snapToGrid w:val="0"/>
                    <w:jc w:val="center"/>
                    <w:rPr>
                      <w:color w:val="auto"/>
                      <w:sz w:val="21"/>
                      <w:szCs w:val="21"/>
                      <w:highlight w:val="none"/>
                    </w:rPr>
                  </w:pPr>
                  <w:r>
                    <w:rPr>
                      <w:rFonts w:hint="eastAsia"/>
                      <w:color w:val="auto"/>
                      <w:sz w:val="21"/>
                      <w:szCs w:val="21"/>
                      <w:highlight w:val="none"/>
                    </w:rPr>
                    <w:t>2</w:t>
                  </w:r>
                  <w:r>
                    <w:rPr>
                      <w:color w:val="auto"/>
                      <w:sz w:val="21"/>
                      <w:szCs w:val="21"/>
                      <w:highlight w:val="none"/>
                    </w:rPr>
                    <w:t>0</w:t>
                  </w:r>
                </w:p>
              </w:tc>
              <w:tc>
                <w:tcPr>
                  <w:tcW w:w="851"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0.0000 </w:t>
                  </w:r>
                </w:p>
              </w:tc>
              <w:tc>
                <w:tcPr>
                  <w:tcW w:w="1098" w:type="dxa"/>
                  <w:vAlign w:val="center"/>
                </w:tcPr>
                <w:p>
                  <w:pPr>
                    <w:pageBreakBefore w:val="0"/>
                    <w:kinsoku/>
                    <w:wordWrap/>
                    <w:overflowPunct/>
                    <w:topLinePunct w:val="0"/>
                    <w:bidi w:val="0"/>
                    <w:snapToGrid w:val="0"/>
                    <w:jc w:val="center"/>
                    <w:rPr>
                      <w:color w:val="auto"/>
                      <w:sz w:val="21"/>
                      <w:szCs w:val="21"/>
                      <w:highlight w:val="none"/>
                    </w:rPr>
                  </w:pPr>
                  <w:r>
                    <w:rPr>
                      <w:rFonts w:hint="eastAsia"/>
                      <w:color w:val="auto"/>
                      <w:sz w:val="21"/>
                      <w:szCs w:val="21"/>
                      <w:highlight w:val="none"/>
                    </w:rPr>
                    <w:t>6.72</w:t>
                  </w:r>
                </w:p>
              </w:tc>
              <w:tc>
                <w:tcPr>
                  <w:tcW w:w="851"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0.0004 </w:t>
                  </w:r>
                </w:p>
              </w:tc>
              <w:tc>
                <w:tcPr>
                  <w:tcW w:w="746" w:type="dxa"/>
                  <w:vAlign w:val="center"/>
                </w:tcPr>
                <w:p>
                  <w:pPr>
                    <w:pageBreakBefore w:val="0"/>
                    <w:kinsoku/>
                    <w:wordWrap/>
                    <w:overflowPunct/>
                    <w:topLinePunct w:val="0"/>
                    <w:bidi w:val="0"/>
                    <w:adjustRightInd w:val="0"/>
                    <w:snapToGrid w:val="0"/>
                    <w:jc w:val="center"/>
                    <w:rPr>
                      <w:color w:val="auto"/>
                      <w:sz w:val="21"/>
                      <w:szCs w:val="21"/>
                      <w:highlight w:val="none"/>
                    </w:rPr>
                  </w:pPr>
                  <w:r>
                    <w:rPr>
                      <w:rFonts w:hint="eastAsia"/>
                      <w:color w:val="auto"/>
                      <w:sz w:val="21"/>
                      <w:szCs w:val="21"/>
                      <w:highlight w:val="none"/>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4" w:hRule="atLeast"/>
              </w:trPr>
              <w:tc>
                <w:tcPr>
                  <w:tcW w:w="730" w:type="dxa"/>
                  <w:vAlign w:val="center"/>
                </w:tcPr>
                <w:p>
                  <w:pPr>
                    <w:pageBreakBefore w:val="0"/>
                    <w:kinsoku/>
                    <w:wordWrap/>
                    <w:overflowPunct/>
                    <w:topLinePunct w:val="0"/>
                    <w:bidi w:val="0"/>
                    <w:adjustRightInd w:val="0"/>
                    <w:snapToGrid w:val="0"/>
                    <w:jc w:val="center"/>
                    <w:rPr>
                      <w:color w:val="auto"/>
                      <w:sz w:val="21"/>
                      <w:szCs w:val="21"/>
                      <w:highlight w:val="none"/>
                    </w:rPr>
                  </w:pPr>
                  <w:r>
                    <w:rPr>
                      <w:rFonts w:hint="eastAsia"/>
                      <w:color w:val="auto"/>
                      <w:sz w:val="21"/>
                      <w:szCs w:val="21"/>
                      <w:highlight w:val="none"/>
                    </w:rPr>
                    <w:t>总氮</w:t>
                  </w:r>
                </w:p>
              </w:tc>
              <w:tc>
                <w:tcPr>
                  <w:tcW w:w="956" w:type="dxa"/>
                  <w:vMerge w:val="continue"/>
                  <w:vAlign w:val="center"/>
                </w:tcPr>
                <w:p>
                  <w:pPr>
                    <w:pageBreakBefore w:val="0"/>
                    <w:kinsoku/>
                    <w:wordWrap/>
                    <w:overflowPunct/>
                    <w:topLinePunct w:val="0"/>
                    <w:bidi w:val="0"/>
                    <w:adjustRightInd w:val="0"/>
                    <w:snapToGrid w:val="0"/>
                    <w:jc w:val="center"/>
                    <w:rPr>
                      <w:color w:val="auto"/>
                      <w:sz w:val="21"/>
                      <w:szCs w:val="21"/>
                      <w:highlight w:val="none"/>
                    </w:rPr>
                  </w:pPr>
                </w:p>
              </w:tc>
              <w:tc>
                <w:tcPr>
                  <w:tcW w:w="1134" w:type="dxa"/>
                  <w:vAlign w:val="center"/>
                </w:tcPr>
                <w:p>
                  <w:pPr>
                    <w:pageBreakBefore w:val="0"/>
                    <w:kinsoku/>
                    <w:wordWrap/>
                    <w:overflowPunct/>
                    <w:topLinePunct w:val="0"/>
                    <w:bidi w:val="0"/>
                    <w:snapToGrid w:val="0"/>
                    <w:jc w:val="center"/>
                    <w:rPr>
                      <w:color w:val="auto"/>
                      <w:sz w:val="21"/>
                      <w:szCs w:val="21"/>
                      <w:highlight w:val="none"/>
                    </w:rPr>
                  </w:pPr>
                  <w:r>
                    <w:rPr>
                      <w:color w:val="auto"/>
                      <w:sz w:val="21"/>
                      <w:szCs w:val="21"/>
                      <w:highlight w:val="none"/>
                    </w:rPr>
                    <w:t>94.4</w:t>
                  </w:r>
                </w:p>
              </w:tc>
              <w:tc>
                <w:tcPr>
                  <w:tcW w:w="995"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0.0056</w:t>
                  </w:r>
                </w:p>
              </w:tc>
              <w:tc>
                <w:tcPr>
                  <w:tcW w:w="988" w:type="dxa"/>
                  <w:vAlign w:val="center"/>
                </w:tcPr>
                <w:p>
                  <w:pPr>
                    <w:pageBreakBefore w:val="0"/>
                    <w:kinsoku/>
                    <w:wordWrap/>
                    <w:overflowPunct/>
                    <w:topLinePunct w:val="0"/>
                    <w:bidi w:val="0"/>
                    <w:snapToGrid w:val="0"/>
                    <w:jc w:val="center"/>
                    <w:rPr>
                      <w:color w:val="auto"/>
                      <w:sz w:val="21"/>
                      <w:szCs w:val="21"/>
                      <w:highlight w:val="none"/>
                    </w:rPr>
                  </w:pPr>
                  <w:r>
                    <w:rPr>
                      <w:rFonts w:hint="eastAsia"/>
                      <w:color w:val="auto"/>
                      <w:sz w:val="21"/>
                      <w:szCs w:val="21"/>
                      <w:highlight w:val="none"/>
                    </w:rPr>
                    <w:t>2</w:t>
                  </w:r>
                  <w:r>
                    <w:rPr>
                      <w:color w:val="auto"/>
                      <w:sz w:val="21"/>
                      <w:szCs w:val="21"/>
                      <w:highlight w:val="none"/>
                    </w:rPr>
                    <w:t>0</w:t>
                  </w:r>
                </w:p>
              </w:tc>
              <w:tc>
                <w:tcPr>
                  <w:tcW w:w="851"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0.0006 </w:t>
                  </w:r>
                </w:p>
              </w:tc>
              <w:tc>
                <w:tcPr>
                  <w:tcW w:w="1098" w:type="dxa"/>
                  <w:vAlign w:val="center"/>
                </w:tcPr>
                <w:p>
                  <w:pPr>
                    <w:pageBreakBefore w:val="0"/>
                    <w:kinsoku/>
                    <w:wordWrap/>
                    <w:overflowPunct/>
                    <w:topLinePunct w:val="0"/>
                    <w:bidi w:val="0"/>
                    <w:snapToGrid w:val="0"/>
                    <w:jc w:val="center"/>
                    <w:rPr>
                      <w:color w:val="auto"/>
                      <w:sz w:val="21"/>
                      <w:szCs w:val="21"/>
                      <w:highlight w:val="none"/>
                    </w:rPr>
                  </w:pPr>
                  <w:r>
                    <w:rPr>
                      <w:rFonts w:hint="eastAsia"/>
                      <w:color w:val="auto"/>
                      <w:sz w:val="21"/>
                      <w:szCs w:val="21"/>
                      <w:highlight w:val="none"/>
                    </w:rPr>
                    <w:t>75.52</w:t>
                  </w:r>
                </w:p>
              </w:tc>
              <w:tc>
                <w:tcPr>
                  <w:tcW w:w="851" w:type="dxa"/>
                  <w:vAlign w:val="center"/>
                </w:tcPr>
                <w:p>
                  <w:pPr>
                    <w:pageBreakBefore w:val="0"/>
                    <w:kinsoku/>
                    <w:wordWrap/>
                    <w:overflowPunct/>
                    <w:topLinePunct w:val="0"/>
                    <w:bidi w:val="0"/>
                    <w:snapToGrid w:val="0"/>
                    <w:jc w:val="right"/>
                    <w:rPr>
                      <w:rFonts w:ascii="宋体" w:hAnsi="宋体" w:cs="宋体"/>
                      <w:color w:val="auto"/>
                      <w:sz w:val="22"/>
                      <w:szCs w:val="22"/>
                      <w:highlight w:val="none"/>
                    </w:rPr>
                  </w:pPr>
                  <w:r>
                    <w:rPr>
                      <w:rFonts w:hint="eastAsia"/>
                      <w:color w:val="auto"/>
                      <w:sz w:val="22"/>
                      <w:szCs w:val="22"/>
                      <w:highlight w:val="none"/>
                    </w:rPr>
                    <w:t xml:space="preserve">0.0044 </w:t>
                  </w:r>
                </w:p>
              </w:tc>
              <w:tc>
                <w:tcPr>
                  <w:tcW w:w="746" w:type="dxa"/>
                  <w:vAlign w:val="center"/>
                </w:tcPr>
                <w:p>
                  <w:pPr>
                    <w:pageBreakBefore w:val="0"/>
                    <w:kinsoku/>
                    <w:wordWrap/>
                    <w:overflowPunct/>
                    <w:topLinePunct w:val="0"/>
                    <w:bidi w:val="0"/>
                    <w:adjustRightInd w:val="0"/>
                    <w:snapToGrid w:val="0"/>
                    <w:jc w:val="center"/>
                    <w:rPr>
                      <w:color w:val="auto"/>
                      <w:sz w:val="21"/>
                      <w:szCs w:val="21"/>
                      <w:highlight w:val="none"/>
                    </w:rPr>
                  </w:pPr>
                  <w:r>
                    <w:rPr>
                      <w:rFonts w:hint="eastAsia"/>
                      <w:color w:val="auto"/>
                      <w:sz w:val="21"/>
                      <w:szCs w:val="21"/>
                      <w:highlight w:val="none"/>
                    </w:rPr>
                    <w:t>80</w:t>
                  </w:r>
                </w:p>
              </w:tc>
            </w:tr>
          </w:tbl>
          <w:p>
            <w:pPr>
              <w:pageBreakBefore w:val="0"/>
              <w:kinsoku/>
              <w:wordWrap/>
              <w:overflowPunct/>
              <w:topLinePunct w:val="0"/>
              <w:bidi w:val="0"/>
              <w:adjustRightInd w:val="0"/>
              <w:snapToGrid w:val="0"/>
              <w:spacing w:beforeLines="50"/>
              <w:jc w:val="center"/>
              <w:rPr>
                <w:rFonts w:eastAsia="黑体"/>
                <w:color w:val="auto"/>
                <w:sz w:val="24"/>
                <w:highlight w:val="none"/>
              </w:rPr>
            </w:pPr>
            <w:r>
              <w:rPr>
                <w:rFonts w:eastAsia="黑体"/>
                <w:color w:val="auto"/>
                <w:sz w:val="24"/>
                <w:highlight w:val="none"/>
              </w:rPr>
              <w:t>表</w:t>
            </w:r>
            <w:r>
              <w:rPr>
                <w:rFonts w:hint="eastAsia" w:eastAsia="黑体"/>
                <w:color w:val="auto"/>
                <w:sz w:val="24"/>
                <w:highlight w:val="none"/>
              </w:rPr>
              <w:t>7-9</w:t>
            </w:r>
            <w:r>
              <w:rPr>
                <w:rFonts w:eastAsia="黑体"/>
                <w:color w:val="auto"/>
                <w:sz w:val="24"/>
                <w:highlight w:val="none"/>
              </w:rPr>
              <w:t xml:space="preserve">    </w:t>
            </w:r>
            <w:r>
              <w:rPr>
                <w:rFonts w:hint="eastAsia"/>
                <w:b/>
                <w:color w:val="auto"/>
                <w:kern w:val="0"/>
                <w:sz w:val="21"/>
                <w:szCs w:val="22"/>
                <w:highlight w:val="none"/>
              </w:rPr>
              <w:t>废水类别、污染物及污染治理设施信息表</w:t>
            </w:r>
          </w:p>
          <w:tbl>
            <w:tblPr>
              <w:tblStyle w:val="28"/>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76"/>
              <w:gridCol w:w="576"/>
              <w:gridCol w:w="938"/>
              <w:gridCol w:w="927"/>
              <w:gridCol w:w="1237"/>
              <w:gridCol w:w="782"/>
              <w:gridCol w:w="776"/>
              <w:gridCol w:w="776"/>
              <w:gridCol w:w="626"/>
              <w:gridCol w:w="662"/>
              <w:gridCol w:w="7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6" w:type="dxa"/>
                  <w:vMerge w:val="restart"/>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val="0"/>
                    <w:spacing w:after="0"/>
                    <w:ind w:left="0" w:leftChars="0" w:firstLine="0" w:firstLineChars="0"/>
                    <w:jc w:val="center"/>
                    <w:textAlignment w:val="auto"/>
                    <w:rPr>
                      <w:color w:val="auto"/>
                      <w:sz w:val="21"/>
                      <w:szCs w:val="21"/>
                      <w:highlight w:val="none"/>
                    </w:rPr>
                  </w:pPr>
                  <w:r>
                    <w:rPr>
                      <w:color w:val="auto"/>
                      <w:sz w:val="21"/>
                      <w:szCs w:val="21"/>
                      <w:highlight w:val="none"/>
                    </w:rPr>
                    <w:t>序号</w:t>
                  </w:r>
                </w:p>
              </w:tc>
              <w:tc>
                <w:tcPr>
                  <w:tcW w:w="576" w:type="dxa"/>
                  <w:vMerge w:val="restart"/>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val="0"/>
                    <w:spacing w:after="0"/>
                    <w:ind w:left="0" w:leftChars="0" w:firstLine="0" w:firstLineChars="0"/>
                    <w:jc w:val="center"/>
                    <w:textAlignment w:val="auto"/>
                    <w:rPr>
                      <w:color w:val="auto"/>
                      <w:sz w:val="21"/>
                      <w:szCs w:val="21"/>
                      <w:highlight w:val="none"/>
                    </w:rPr>
                  </w:pPr>
                  <w:r>
                    <w:rPr>
                      <w:color w:val="auto"/>
                      <w:sz w:val="21"/>
                      <w:szCs w:val="21"/>
                      <w:highlight w:val="none"/>
                    </w:rPr>
                    <w:t>废水类别</w:t>
                  </w:r>
                </w:p>
              </w:tc>
              <w:tc>
                <w:tcPr>
                  <w:tcW w:w="938" w:type="dxa"/>
                  <w:vMerge w:val="restart"/>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val="0"/>
                    <w:spacing w:after="0"/>
                    <w:ind w:left="0" w:leftChars="0" w:firstLine="0" w:firstLineChars="0"/>
                    <w:jc w:val="center"/>
                    <w:textAlignment w:val="auto"/>
                    <w:rPr>
                      <w:color w:val="auto"/>
                      <w:sz w:val="21"/>
                      <w:szCs w:val="21"/>
                      <w:highlight w:val="none"/>
                    </w:rPr>
                  </w:pPr>
                  <w:r>
                    <w:rPr>
                      <w:color w:val="auto"/>
                      <w:sz w:val="21"/>
                      <w:szCs w:val="21"/>
                      <w:highlight w:val="none"/>
                    </w:rPr>
                    <w:t>污染物种类</w:t>
                  </w:r>
                </w:p>
              </w:tc>
              <w:tc>
                <w:tcPr>
                  <w:tcW w:w="927" w:type="dxa"/>
                  <w:vMerge w:val="restart"/>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val="0"/>
                    <w:spacing w:after="0"/>
                    <w:ind w:left="0" w:leftChars="0" w:firstLine="0" w:firstLineChars="0"/>
                    <w:jc w:val="center"/>
                    <w:textAlignment w:val="auto"/>
                    <w:rPr>
                      <w:color w:val="auto"/>
                      <w:sz w:val="21"/>
                      <w:szCs w:val="21"/>
                      <w:highlight w:val="none"/>
                    </w:rPr>
                  </w:pPr>
                  <w:r>
                    <w:rPr>
                      <w:color w:val="auto"/>
                      <w:sz w:val="21"/>
                      <w:szCs w:val="21"/>
                      <w:highlight w:val="none"/>
                    </w:rPr>
                    <w:t>排放去向</w:t>
                  </w:r>
                </w:p>
              </w:tc>
              <w:tc>
                <w:tcPr>
                  <w:tcW w:w="1237" w:type="dxa"/>
                  <w:vMerge w:val="restart"/>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val="0"/>
                    <w:spacing w:after="0"/>
                    <w:ind w:left="0" w:leftChars="0" w:firstLine="0" w:firstLineChars="0"/>
                    <w:jc w:val="center"/>
                    <w:textAlignment w:val="auto"/>
                    <w:rPr>
                      <w:color w:val="auto"/>
                      <w:sz w:val="21"/>
                      <w:szCs w:val="21"/>
                      <w:highlight w:val="none"/>
                    </w:rPr>
                  </w:pPr>
                  <w:r>
                    <w:rPr>
                      <w:color w:val="auto"/>
                      <w:sz w:val="21"/>
                      <w:szCs w:val="21"/>
                      <w:highlight w:val="none"/>
                    </w:rPr>
                    <w:t>排放规律</w:t>
                  </w:r>
                </w:p>
              </w:tc>
              <w:tc>
                <w:tcPr>
                  <w:tcW w:w="2334" w:type="dxa"/>
                  <w:gridSpan w:val="3"/>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val="0"/>
                    <w:spacing w:after="0"/>
                    <w:ind w:left="0" w:leftChars="0"/>
                    <w:jc w:val="center"/>
                    <w:textAlignment w:val="auto"/>
                    <w:rPr>
                      <w:color w:val="auto"/>
                      <w:sz w:val="21"/>
                      <w:szCs w:val="21"/>
                      <w:highlight w:val="none"/>
                    </w:rPr>
                  </w:pPr>
                </w:p>
                <w:p>
                  <w:pPr>
                    <w:pStyle w:val="26"/>
                    <w:keepNext w:val="0"/>
                    <w:keepLines w:val="0"/>
                    <w:pageBreakBefore w:val="0"/>
                    <w:widowControl w:val="0"/>
                    <w:kinsoku/>
                    <w:wordWrap/>
                    <w:overflowPunct/>
                    <w:topLinePunct w:val="0"/>
                    <w:autoSpaceDE/>
                    <w:autoSpaceDN/>
                    <w:bidi w:val="0"/>
                    <w:adjustRightInd/>
                    <w:snapToGrid w:val="0"/>
                    <w:spacing w:after="0"/>
                    <w:ind w:left="0" w:leftChars="0"/>
                    <w:jc w:val="center"/>
                    <w:textAlignment w:val="auto"/>
                    <w:rPr>
                      <w:color w:val="auto"/>
                      <w:sz w:val="21"/>
                      <w:szCs w:val="21"/>
                      <w:highlight w:val="none"/>
                    </w:rPr>
                  </w:pPr>
                  <w:r>
                    <w:rPr>
                      <w:color w:val="auto"/>
                      <w:sz w:val="21"/>
                      <w:szCs w:val="21"/>
                      <w:highlight w:val="none"/>
                    </w:rPr>
                    <w:t>污染治理设施</w:t>
                  </w:r>
                </w:p>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p>
              </w:tc>
              <w:tc>
                <w:tcPr>
                  <w:tcW w:w="626" w:type="dxa"/>
                  <w:vMerge w:val="restart"/>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val="0"/>
                    <w:spacing w:after="0"/>
                    <w:ind w:left="0" w:leftChars="0" w:firstLine="0" w:firstLineChars="0"/>
                    <w:jc w:val="center"/>
                    <w:textAlignment w:val="auto"/>
                    <w:rPr>
                      <w:color w:val="auto"/>
                      <w:sz w:val="21"/>
                      <w:szCs w:val="21"/>
                      <w:highlight w:val="none"/>
                    </w:rPr>
                  </w:pPr>
                  <w:r>
                    <w:rPr>
                      <w:color w:val="auto"/>
                      <w:sz w:val="21"/>
                      <w:szCs w:val="21"/>
                      <w:highlight w:val="none"/>
                    </w:rPr>
                    <w:t>排放口编号</w:t>
                  </w:r>
                </w:p>
              </w:tc>
              <w:tc>
                <w:tcPr>
                  <w:tcW w:w="662" w:type="dxa"/>
                  <w:vMerge w:val="restart"/>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val="0"/>
                    <w:spacing w:after="0"/>
                    <w:ind w:left="0" w:leftChars="0" w:firstLine="0" w:firstLineChars="0"/>
                    <w:jc w:val="center"/>
                    <w:textAlignment w:val="auto"/>
                    <w:rPr>
                      <w:color w:val="auto"/>
                      <w:sz w:val="21"/>
                      <w:szCs w:val="21"/>
                      <w:highlight w:val="none"/>
                    </w:rPr>
                  </w:pPr>
                  <w:r>
                    <w:rPr>
                      <w:color w:val="auto"/>
                      <w:sz w:val="21"/>
                      <w:szCs w:val="21"/>
                      <w:highlight w:val="none"/>
                    </w:rPr>
                    <w:t>排放口设置是否符合要求</w:t>
                  </w:r>
                </w:p>
              </w:tc>
              <w:tc>
                <w:tcPr>
                  <w:tcW w:w="746" w:type="dxa"/>
                  <w:vMerge w:val="restart"/>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val="0"/>
                    <w:spacing w:after="0"/>
                    <w:ind w:left="0" w:leftChars="0" w:firstLine="0" w:firstLineChars="0"/>
                    <w:jc w:val="center"/>
                    <w:textAlignment w:val="auto"/>
                    <w:rPr>
                      <w:color w:val="auto"/>
                      <w:sz w:val="21"/>
                      <w:szCs w:val="21"/>
                      <w:highlight w:val="none"/>
                    </w:rPr>
                  </w:pPr>
                  <w:r>
                    <w:rPr>
                      <w:color w:val="auto"/>
                      <w:sz w:val="21"/>
                      <w:szCs w:val="21"/>
                      <w:highlight w:val="none"/>
                    </w:rPr>
                    <w:t>排放口类型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6" w:type="dxa"/>
                  <w:vMerge w:val="continue"/>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val="0"/>
                    <w:spacing w:after="0"/>
                    <w:ind w:left="0" w:leftChars="0" w:firstLine="0" w:firstLineChars="0"/>
                    <w:jc w:val="center"/>
                    <w:textAlignment w:val="auto"/>
                    <w:rPr>
                      <w:color w:val="auto"/>
                      <w:sz w:val="21"/>
                      <w:szCs w:val="21"/>
                      <w:highlight w:val="none"/>
                    </w:rPr>
                  </w:pPr>
                </w:p>
              </w:tc>
              <w:tc>
                <w:tcPr>
                  <w:tcW w:w="576" w:type="dxa"/>
                  <w:vMerge w:val="continue"/>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val="0"/>
                    <w:spacing w:after="0"/>
                    <w:ind w:left="0" w:leftChars="0" w:firstLine="0" w:firstLineChars="0"/>
                    <w:jc w:val="center"/>
                    <w:textAlignment w:val="auto"/>
                    <w:rPr>
                      <w:color w:val="auto"/>
                      <w:sz w:val="21"/>
                      <w:szCs w:val="21"/>
                      <w:highlight w:val="none"/>
                    </w:rPr>
                  </w:pPr>
                </w:p>
              </w:tc>
              <w:tc>
                <w:tcPr>
                  <w:tcW w:w="938" w:type="dxa"/>
                  <w:vMerge w:val="continue"/>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val="0"/>
                    <w:spacing w:after="0"/>
                    <w:ind w:left="0" w:leftChars="0" w:firstLine="0" w:firstLineChars="0"/>
                    <w:jc w:val="center"/>
                    <w:textAlignment w:val="auto"/>
                    <w:rPr>
                      <w:color w:val="auto"/>
                      <w:sz w:val="21"/>
                      <w:szCs w:val="21"/>
                      <w:highlight w:val="none"/>
                    </w:rPr>
                  </w:pPr>
                </w:p>
              </w:tc>
              <w:tc>
                <w:tcPr>
                  <w:tcW w:w="927" w:type="dxa"/>
                  <w:vMerge w:val="continue"/>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val="0"/>
                    <w:spacing w:after="0"/>
                    <w:ind w:left="0" w:leftChars="0" w:firstLine="0" w:firstLineChars="0"/>
                    <w:jc w:val="center"/>
                    <w:textAlignment w:val="auto"/>
                    <w:rPr>
                      <w:color w:val="auto"/>
                      <w:sz w:val="21"/>
                      <w:szCs w:val="21"/>
                      <w:highlight w:val="none"/>
                    </w:rPr>
                  </w:pPr>
                </w:p>
              </w:tc>
              <w:tc>
                <w:tcPr>
                  <w:tcW w:w="1237" w:type="dxa"/>
                  <w:vMerge w:val="continue"/>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val="0"/>
                    <w:spacing w:after="0"/>
                    <w:ind w:left="0" w:leftChars="0" w:firstLine="0" w:firstLineChars="0"/>
                    <w:jc w:val="center"/>
                    <w:textAlignment w:val="auto"/>
                    <w:rPr>
                      <w:color w:val="auto"/>
                      <w:sz w:val="21"/>
                      <w:szCs w:val="21"/>
                      <w:highlight w:val="none"/>
                    </w:rPr>
                  </w:pPr>
                </w:p>
              </w:tc>
              <w:tc>
                <w:tcPr>
                  <w:tcW w:w="782" w:type="dxa"/>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val="0"/>
                    <w:spacing w:after="0"/>
                    <w:ind w:left="0" w:leftChars="0" w:firstLine="0" w:firstLineChars="0"/>
                    <w:jc w:val="center"/>
                    <w:textAlignment w:val="auto"/>
                    <w:rPr>
                      <w:color w:val="auto"/>
                      <w:sz w:val="21"/>
                      <w:szCs w:val="21"/>
                      <w:highlight w:val="none"/>
                    </w:rPr>
                  </w:pPr>
                  <w:r>
                    <w:rPr>
                      <w:color w:val="auto"/>
                      <w:sz w:val="21"/>
                      <w:szCs w:val="21"/>
                      <w:highlight w:val="none"/>
                    </w:rPr>
                    <w:t>污染治理设施编号</w:t>
                  </w:r>
                </w:p>
              </w:tc>
              <w:tc>
                <w:tcPr>
                  <w:tcW w:w="776" w:type="dxa"/>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val="0"/>
                    <w:spacing w:after="0"/>
                    <w:ind w:left="0" w:leftChars="0" w:firstLine="0" w:firstLineChars="0"/>
                    <w:jc w:val="center"/>
                    <w:textAlignment w:val="auto"/>
                    <w:rPr>
                      <w:color w:val="auto"/>
                      <w:sz w:val="21"/>
                      <w:szCs w:val="21"/>
                      <w:highlight w:val="none"/>
                    </w:rPr>
                  </w:pPr>
                  <w:r>
                    <w:rPr>
                      <w:color w:val="auto"/>
                      <w:sz w:val="21"/>
                      <w:szCs w:val="21"/>
                      <w:highlight w:val="none"/>
                    </w:rPr>
                    <w:t>污染治理设施名称</w:t>
                  </w:r>
                </w:p>
              </w:tc>
              <w:tc>
                <w:tcPr>
                  <w:tcW w:w="776" w:type="dxa"/>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val="0"/>
                    <w:spacing w:after="0"/>
                    <w:ind w:left="0" w:leftChars="0" w:firstLine="0" w:firstLineChars="0"/>
                    <w:jc w:val="center"/>
                    <w:textAlignment w:val="auto"/>
                    <w:rPr>
                      <w:color w:val="auto"/>
                      <w:sz w:val="21"/>
                      <w:szCs w:val="21"/>
                      <w:highlight w:val="none"/>
                    </w:rPr>
                  </w:pPr>
                  <w:r>
                    <w:rPr>
                      <w:color w:val="auto"/>
                      <w:sz w:val="21"/>
                      <w:szCs w:val="21"/>
                      <w:highlight w:val="none"/>
                    </w:rPr>
                    <w:t>污染治理设施工艺</w:t>
                  </w:r>
                </w:p>
              </w:tc>
              <w:tc>
                <w:tcPr>
                  <w:tcW w:w="626" w:type="dxa"/>
                  <w:vMerge w:val="continue"/>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val="0"/>
                    <w:spacing w:after="0"/>
                    <w:ind w:left="0" w:leftChars="0" w:firstLine="0" w:firstLineChars="0"/>
                    <w:jc w:val="center"/>
                    <w:textAlignment w:val="auto"/>
                    <w:rPr>
                      <w:color w:val="auto"/>
                      <w:sz w:val="21"/>
                      <w:szCs w:val="21"/>
                      <w:highlight w:val="none"/>
                    </w:rPr>
                  </w:pPr>
                </w:p>
              </w:tc>
              <w:tc>
                <w:tcPr>
                  <w:tcW w:w="662" w:type="dxa"/>
                  <w:vMerge w:val="continue"/>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val="0"/>
                    <w:spacing w:after="0"/>
                    <w:ind w:left="0" w:leftChars="0" w:firstLine="0" w:firstLineChars="0"/>
                    <w:jc w:val="center"/>
                    <w:textAlignment w:val="auto"/>
                    <w:rPr>
                      <w:color w:val="auto"/>
                      <w:sz w:val="21"/>
                      <w:szCs w:val="21"/>
                      <w:highlight w:val="none"/>
                    </w:rPr>
                  </w:pPr>
                </w:p>
              </w:tc>
              <w:tc>
                <w:tcPr>
                  <w:tcW w:w="746" w:type="dxa"/>
                  <w:vMerge w:val="continue"/>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val="0"/>
                    <w:spacing w:after="0"/>
                    <w:ind w:left="0" w:leftChars="0" w:firstLine="0" w:firstLineChars="0"/>
                    <w:jc w:val="center"/>
                    <w:textAlignment w:val="auto"/>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76" w:type="dxa"/>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val="0"/>
                    <w:spacing w:after="0"/>
                    <w:ind w:left="0" w:leftChars="0" w:firstLine="0" w:firstLineChars="0"/>
                    <w:jc w:val="center"/>
                    <w:textAlignment w:val="auto"/>
                    <w:rPr>
                      <w:color w:val="auto"/>
                      <w:sz w:val="21"/>
                      <w:szCs w:val="21"/>
                      <w:highlight w:val="none"/>
                    </w:rPr>
                  </w:pPr>
                  <w:r>
                    <w:rPr>
                      <w:rFonts w:hint="eastAsia"/>
                      <w:color w:val="auto"/>
                      <w:sz w:val="21"/>
                      <w:szCs w:val="21"/>
                      <w:highlight w:val="none"/>
                    </w:rPr>
                    <w:t>1</w:t>
                  </w:r>
                </w:p>
              </w:tc>
              <w:tc>
                <w:tcPr>
                  <w:tcW w:w="576" w:type="dxa"/>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val="0"/>
                    <w:spacing w:after="0"/>
                    <w:ind w:left="0" w:leftChars="0" w:firstLine="0" w:firstLineChars="0"/>
                    <w:jc w:val="center"/>
                    <w:textAlignment w:val="auto"/>
                    <w:rPr>
                      <w:color w:val="auto"/>
                      <w:sz w:val="21"/>
                      <w:szCs w:val="21"/>
                      <w:highlight w:val="none"/>
                    </w:rPr>
                  </w:pPr>
                  <w:r>
                    <w:rPr>
                      <w:color w:val="auto"/>
                      <w:sz w:val="21"/>
                      <w:szCs w:val="21"/>
                      <w:highlight w:val="none"/>
                    </w:rPr>
                    <w:t>生活污水</w:t>
                  </w:r>
                </w:p>
              </w:tc>
              <w:tc>
                <w:tcPr>
                  <w:tcW w:w="938" w:type="dxa"/>
                  <w:tcBorders>
                    <w:tl2br w:val="nil"/>
                    <w:tr2bl w:val="nil"/>
                  </w:tcBorders>
                  <w:vAlign w:val="center"/>
                </w:tcPr>
                <w:p>
                  <w:pPr>
                    <w:pStyle w:val="109"/>
                    <w:keepNext w:val="0"/>
                    <w:keepLines w:val="0"/>
                    <w:pageBreakBefore w:val="0"/>
                    <w:widowControl w:val="0"/>
                    <w:kinsoku/>
                    <w:wordWrap/>
                    <w:overflowPunct/>
                    <w:topLinePunct w:val="0"/>
                    <w:autoSpaceDE/>
                    <w:autoSpaceDN/>
                    <w:bidi w:val="0"/>
                    <w:adjustRightInd/>
                    <w:snapToGrid w:val="0"/>
                    <w:jc w:val="center"/>
                    <w:textAlignment w:val="auto"/>
                    <w:rPr>
                      <w:color w:val="auto"/>
                      <w:szCs w:val="21"/>
                      <w:highlight w:val="none"/>
                    </w:rPr>
                  </w:pPr>
                  <w:r>
                    <w:rPr>
                      <w:b w:val="0"/>
                      <w:bCs/>
                      <w:color w:val="auto"/>
                      <w:highlight w:val="none"/>
                    </w:rPr>
                    <w:t>COD、BOD</w:t>
                  </w:r>
                  <w:r>
                    <w:rPr>
                      <w:b w:val="0"/>
                      <w:bCs/>
                      <w:color w:val="auto"/>
                      <w:highlight w:val="none"/>
                      <w:vertAlign w:val="subscript"/>
                    </w:rPr>
                    <w:t>5</w:t>
                  </w:r>
                  <w:r>
                    <w:rPr>
                      <w:b w:val="0"/>
                      <w:bCs/>
                      <w:color w:val="auto"/>
                      <w:highlight w:val="none"/>
                    </w:rPr>
                    <w:t>、氨氮、SS、总磷、总氮</w:t>
                  </w:r>
                </w:p>
              </w:tc>
              <w:tc>
                <w:tcPr>
                  <w:tcW w:w="927" w:type="dxa"/>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val="0"/>
                    <w:spacing w:after="0"/>
                    <w:ind w:left="0" w:leftChars="0" w:firstLine="0" w:firstLineChars="0"/>
                    <w:jc w:val="center"/>
                    <w:textAlignment w:val="auto"/>
                    <w:rPr>
                      <w:color w:val="auto"/>
                      <w:sz w:val="21"/>
                      <w:szCs w:val="21"/>
                      <w:highlight w:val="none"/>
                    </w:rPr>
                  </w:pPr>
                  <w:r>
                    <w:rPr>
                      <w:rFonts w:hint="eastAsia"/>
                      <w:color w:val="auto"/>
                      <w:sz w:val="21"/>
                      <w:szCs w:val="21"/>
                      <w:highlight w:val="none"/>
                    </w:rPr>
                    <w:t>西安市第三污水处理厂</w:t>
                  </w:r>
                </w:p>
              </w:tc>
              <w:tc>
                <w:tcPr>
                  <w:tcW w:w="1237" w:type="dxa"/>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val="0"/>
                    <w:spacing w:after="0"/>
                    <w:ind w:left="0" w:leftChars="0" w:firstLine="0" w:firstLineChars="0"/>
                    <w:jc w:val="center"/>
                    <w:textAlignment w:val="auto"/>
                    <w:rPr>
                      <w:color w:val="auto"/>
                      <w:sz w:val="21"/>
                      <w:szCs w:val="21"/>
                      <w:highlight w:val="none"/>
                    </w:rPr>
                  </w:pPr>
                  <w:r>
                    <w:rPr>
                      <w:color w:val="auto"/>
                      <w:sz w:val="21"/>
                      <w:szCs w:val="21"/>
                      <w:highlight w:val="none"/>
                    </w:rPr>
                    <w:t>间断排放，排放期间流量不稳定</w:t>
                  </w:r>
                </w:p>
              </w:tc>
              <w:tc>
                <w:tcPr>
                  <w:tcW w:w="782" w:type="dxa"/>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val="0"/>
                    <w:spacing w:after="0"/>
                    <w:ind w:left="0" w:leftChars="0" w:firstLine="0" w:firstLineChars="0"/>
                    <w:jc w:val="center"/>
                    <w:textAlignment w:val="auto"/>
                    <w:rPr>
                      <w:color w:val="auto"/>
                      <w:sz w:val="21"/>
                      <w:szCs w:val="21"/>
                      <w:highlight w:val="none"/>
                    </w:rPr>
                  </w:pPr>
                  <w:r>
                    <w:rPr>
                      <w:rFonts w:hint="eastAsia"/>
                      <w:color w:val="auto"/>
                      <w:sz w:val="21"/>
                      <w:szCs w:val="21"/>
                      <w:highlight w:val="none"/>
                    </w:rPr>
                    <w:t>/</w:t>
                  </w:r>
                </w:p>
              </w:tc>
              <w:tc>
                <w:tcPr>
                  <w:tcW w:w="776" w:type="dxa"/>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val="0"/>
                    <w:spacing w:after="0"/>
                    <w:ind w:left="0" w:leftChars="0" w:firstLine="0" w:firstLineChars="0"/>
                    <w:jc w:val="center"/>
                    <w:textAlignment w:val="auto"/>
                    <w:rPr>
                      <w:color w:val="auto"/>
                      <w:sz w:val="21"/>
                      <w:szCs w:val="21"/>
                      <w:highlight w:val="none"/>
                    </w:rPr>
                  </w:pPr>
                  <w:r>
                    <w:rPr>
                      <w:color w:val="auto"/>
                      <w:sz w:val="21"/>
                      <w:szCs w:val="21"/>
                      <w:highlight w:val="none"/>
                    </w:rPr>
                    <w:t>依托园区化粪池</w:t>
                  </w:r>
                </w:p>
              </w:tc>
              <w:tc>
                <w:tcPr>
                  <w:tcW w:w="776" w:type="dxa"/>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val="0"/>
                    <w:spacing w:after="0"/>
                    <w:ind w:left="0" w:leftChars="0" w:firstLine="0" w:firstLineChars="0"/>
                    <w:jc w:val="center"/>
                    <w:textAlignment w:val="auto"/>
                    <w:rPr>
                      <w:color w:val="auto"/>
                      <w:sz w:val="21"/>
                      <w:szCs w:val="21"/>
                      <w:highlight w:val="none"/>
                    </w:rPr>
                  </w:pPr>
                  <w:r>
                    <w:rPr>
                      <w:color w:val="auto"/>
                      <w:sz w:val="21"/>
                      <w:szCs w:val="21"/>
                      <w:highlight w:val="none"/>
                    </w:rPr>
                    <w:t>无</w:t>
                  </w:r>
                </w:p>
              </w:tc>
              <w:tc>
                <w:tcPr>
                  <w:tcW w:w="626" w:type="dxa"/>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val="0"/>
                    <w:spacing w:after="0"/>
                    <w:ind w:left="0" w:leftChars="0" w:firstLine="0" w:firstLineChars="0"/>
                    <w:jc w:val="center"/>
                    <w:textAlignment w:val="auto"/>
                    <w:rPr>
                      <w:color w:val="auto"/>
                      <w:sz w:val="21"/>
                      <w:szCs w:val="21"/>
                      <w:highlight w:val="none"/>
                    </w:rPr>
                  </w:pPr>
                  <w:r>
                    <w:rPr>
                      <w:color w:val="auto"/>
                      <w:sz w:val="21"/>
                      <w:szCs w:val="21"/>
                      <w:highlight w:val="none"/>
                    </w:rPr>
                    <w:t>无</w:t>
                  </w:r>
                </w:p>
              </w:tc>
              <w:tc>
                <w:tcPr>
                  <w:tcW w:w="662" w:type="dxa"/>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val="0"/>
                    <w:spacing w:after="0"/>
                    <w:ind w:left="0" w:leftChars="0" w:firstLine="0" w:firstLineChars="0"/>
                    <w:jc w:val="center"/>
                    <w:textAlignment w:val="auto"/>
                    <w:rPr>
                      <w:color w:val="auto"/>
                      <w:sz w:val="21"/>
                      <w:szCs w:val="21"/>
                      <w:highlight w:val="none"/>
                    </w:rPr>
                  </w:pPr>
                  <w:r>
                    <w:rPr>
                      <w:color w:val="auto"/>
                      <w:sz w:val="21"/>
                      <w:szCs w:val="21"/>
                      <w:highlight w:val="none"/>
                    </w:rPr>
                    <w:t>是</w:t>
                  </w:r>
                </w:p>
              </w:tc>
              <w:tc>
                <w:tcPr>
                  <w:tcW w:w="746" w:type="dxa"/>
                  <w:tcBorders>
                    <w:tl2br w:val="nil"/>
                    <w:tr2bl w:val="nil"/>
                  </w:tcBorders>
                  <w:vAlign w:val="center"/>
                </w:tcPr>
                <w:p>
                  <w:pPr>
                    <w:pStyle w:val="26"/>
                    <w:keepNext w:val="0"/>
                    <w:keepLines w:val="0"/>
                    <w:pageBreakBefore w:val="0"/>
                    <w:widowControl w:val="0"/>
                    <w:kinsoku/>
                    <w:wordWrap/>
                    <w:overflowPunct/>
                    <w:topLinePunct w:val="0"/>
                    <w:autoSpaceDE/>
                    <w:autoSpaceDN/>
                    <w:bidi w:val="0"/>
                    <w:adjustRightInd/>
                    <w:snapToGrid w:val="0"/>
                    <w:spacing w:after="0"/>
                    <w:ind w:left="0" w:leftChars="0" w:firstLine="0" w:firstLineChars="0"/>
                    <w:jc w:val="center"/>
                    <w:textAlignment w:val="auto"/>
                    <w:rPr>
                      <w:color w:val="auto"/>
                      <w:sz w:val="21"/>
                      <w:szCs w:val="21"/>
                      <w:highlight w:val="none"/>
                    </w:rPr>
                  </w:pPr>
                  <w:r>
                    <w:rPr>
                      <w:color w:val="auto"/>
                      <w:sz w:val="21"/>
                      <w:szCs w:val="21"/>
                      <w:highlight w:val="none"/>
                    </w:rPr>
                    <w:t>企业总排</w:t>
                  </w:r>
                </w:p>
              </w:tc>
            </w:tr>
          </w:tbl>
          <w:p>
            <w:pPr>
              <w:pageBreakBefore w:val="0"/>
              <w:widowControl w:val="0"/>
              <w:kinsoku/>
              <w:wordWrap/>
              <w:overflowPunct/>
              <w:topLinePunct w:val="0"/>
              <w:autoSpaceDE w:val="0"/>
              <w:autoSpaceDN w:val="0"/>
              <w:bidi w:val="0"/>
              <w:adjustRightInd w:val="0"/>
              <w:snapToGrid w:val="0"/>
              <w:spacing w:line="360" w:lineRule="auto"/>
              <w:ind w:firstLine="470" w:firstLineChars="196"/>
              <w:jc w:val="left"/>
              <w:textAlignment w:val="auto"/>
              <w:rPr>
                <w:rFonts w:eastAsia="黑体"/>
                <w:bCs/>
                <w:color w:val="auto"/>
                <w:sz w:val="24"/>
                <w:szCs w:val="28"/>
                <w:highlight w:val="none"/>
              </w:rPr>
            </w:pPr>
            <w:r>
              <w:rPr>
                <w:rFonts w:hint="eastAsia" w:eastAsia="黑体"/>
                <w:bCs/>
                <w:color w:val="auto"/>
                <w:sz w:val="24"/>
                <w:szCs w:val="28"/>
                <w:highlight w:val="none"/>
              </w:rPr>
              <w:t>4、污水排放可行性分析</w:t>
            </w:r>
          </w:p>
          <w:p>
            <w:pPr>
              <w:pageBreakBefore w:val="0"/>
              <w:widowControl w:val="0"/>
              <w:kinsoku/>
              <w:wordWrap/>
              <w:overflowPunct/>
              <w:topLinePunct w:val="0"/>
              <w:bidi w:val="0"/>
              <w:snapToGrid w:val="0"/>
              <w:spacing w:line="360" w:lineRule="auto"/>
              <w:ind w:firstLine="480" w:firstLineChars="200"/>
              <w:textAlignment w:val="auto"/>
              <w:rPr>
                <w:color w:val="auto"/>
                <w:sz w:val="24"/>
                <w:highlight w:val="none"/>
              </w:rPr>
            </w:pPr>
            <w:r>
              <w:rPr>
                <w:rFonts w:hint="eastAsia"/>
                <w:color w:val="auto"/>
                <w:sz w:val="24"/>
                <w:highlight w:val="none"/>
              </w:rPr>
              <w:t>西安市第三污水处理厂厂址位于南牛寺村以西，东靠三环路约420m，西依浐河316.5m，南距陇海线130.4m，场地呈规则梯形，总占地323亩。</w:t>
            </w:r>
          </w:p>
          <w:p>
            <w:pPr>
              <w:pageBreakBefore w:val="0"/>
              <w:widowControl w:val="0"/>
              <w:kinsoku/>
              <w:wordWrap/>
              <w:overflowPunct/>
              <w:topLinePunct w:val="0"/>
              <w:bidi w:val="0"/>
              <w:adjustRightInd w:val="0"/>
              <w:snapToGrid w:val="0"/>
              <w:spacing w:line="360" w:lineRule="auto"/>
              <w:ind w:firstLine="480" w:firstLineChars="200"/>
              <w:textAlignment w:val="auto"/>
              <w:rPr>
                <w:color w:val="auto"/>
                <w:sz w:val="24"/>
                <w:highlight w:val="none"/>
              </w:rPr>
            </w:pPr>
            <w:r>
              <w:rPr>
                <w:rFonts w:hint="eastAsia"/>
                <w:color w:val="auto"/>
                <w:sz w:val="24"/>
                <w:highlight w:val="none"/>
              </w:rPr>
              <w:t>西安市第三污水处理一期工程于2004年8月开工建设，2006年10月建成投入运行, 污水处理规模为10×10</w:t>
            </w:r>
            <w:r>
              <w:rPr>
                <w:rFonts w:hint="eastAsia"/>
                <w:color w:val="auto"/>
                <w:sz w:val="24"/>
                <w:highlight w:val="none"/>
                <w:vertAlign w:val="superscript"/>
              </w:rPr>
              <w:t>4</w:t>
            </w:r>
            <w:r>
              <w:rPr>
                <w:rFonts w:hint="eastAsia"/>
                <w:color w:val="auto"/>
                <w:sz w:val="24"/>
                <w:highlight w:val="none"/>
              </w:rPr>
              <w:t>m</w:t>
            </w:r>
            <w:r>
              <w:rPr>
                <w:rFonts w:hint="eastAsia"/>
                <w:color w:val="auto"/>
                <w:sz w:val="24"/>
                <w:highlight w:val="none"/>
                <w:vertAlign w:val="superscript"/>
              </w:rPr>
              <w:t>3</w:t>
            </w:r>
            <w:r>
              <w:rPr>
                <w:rFonts w:hint="eastAsia"/>
                <w:color w:val="auto"/>
                <w:sz w:val="24"/>
                <w:highlight w:val="none"/>
              </w:rPr>
              <w:t>/d，回用水处理规模为5×10</w:t>
            </w:r>
            <w:r>
              <w:rPr>
                <w:rFonts w:hint="eastAsia"/>
                <w:color w:val="auto"/>
                <w:sz w:val="24"/>
                <w:highlight w:val="none"/>
                <w:vertAlign w:val="superscript"/>
              </w:rPr>
              <w:t>4</w:t>
            </w:r>
            <w:r>
              <w:rPr>
                <w:rFonts w:hint="eastAsia"/>
                <w:color w:val="auto"/>
                <w:sz w:val="24"/>
                <w:highlight w:val="none"/>
              </w:rPr>
              <w:t>m</w:t>
            </w:r>
            <w:r>
              <w:rPr>
                <w:rFonts w:hint="eastAsia"/>
                <w:color w:val="auto"/>
                <w:sz w:val="24"/>
                <w:highlight w:val="none"/>
                <w:vertAlign w:val="superscript"/>
              </w:rPr>
              <w:t>3</w:t>
            </w:r>
            <w:r>
              <w:rPr>
                <w:rFonts w:hint="eastAsia"/>
                <w:color w:val="auto"/>
                <w:sz w:val="24"/>
                <w:highlight w:val="none"/>
              </w:rPr>
              <w:t>/d；二期一阶段扩建工程于2010年投入运行, 污水处理规模为5×10</w:t>
            </w:r>
            <w:r>
              <w:rPr>
                <w:rFonts w:hint="eastAsia"/>
                <w:color w:val="auto"/>
                <w:sz w:val="24"/>
                <w:highlight w:val="none"/>
                <w:vertAlign w:val="superscript"/>
              </w:rPr>
              <w:t>4</w:t>
            </w:r>
            <w:r>
              <w:rPr>
                <w:rFonts w:hint="eastAsia"/>
                <w:color w:val="auto"/>
                <w:sz w:val="24"/>
                <w:highlight w:val="none"/>
              </w:rPr>
              <w:t>m</w:t>
            </w:r>
            <w:r>
              <w:rPr>
                <w:rFonts w:hint="eastAsia"/>
                <w:color w:val="auto"/>
                <w:sz w:val="24"/>
                <w:highlight w:val="none"/>
                <w:vertAlign w:val="superscript"/>
              </w:rPr>
              <w:t>3</w:t>
            </w:r>
            <w:r>
              <w:rPr>
                <w:rFonts w:hint="eastAsia"/>
                <w:color w:val="auto"/>
                <w:sz w:val="24"/>
                <w:highlight w:val="none"/>
              </w:rPr>
              <w:t>/d；污水处理厂提标改造工程于2013年进行；二期二阶段扩建工程于2014年7月开工建设，12月底通水运行, 污水处理规模为5×10</w:t>
            </w:r>
            <w:r>
              <w:rPr>
                <w:rFonts w:hint="eastAsia"/>
                <w:color w:val="auto"/>
                <w:sz w:val="24"/>
                <w:highlight w:val="none"/>
                <w:vertAlign w:val="superscript"/>
              </w:rPr>
              <w:t>4</w:t>
            </w:r>
            <w:r>
              <w:rPr>
                <w:rFonts w:hint="eastAsia"/>
                <w:color w:val="auto"/>
                <w:sz w:val="24"/>
                <w:highlight w:val="none"/>
              </w:rPr>
              <w:t>m</w:t>
            </w:r>
            <w:r>
              <w:rPr>
                <w:rFonts w:hint="eastAsia"/>
                <w:color w:val="auto"/>
                <w:sz w:val="24"/>
                <w:highlight w:val="none"/>
                <w:vertAlign w:val="superscript"/>
              </w:rPr>
              <w:t>3</w:t>
            </w:r>
            <w:r>
              <w:rPr>
                <w:rFonts w:hint="eastAsia"/>
                <w:color w:val="auto"/>
                <w:sz w:val="24"/>
                <w:highlight w:val="none"/>
              </w:rPr>
              <w:t>/d。目前，西安市第三污水处理厂日总处理规模达到20×10</w:t>
            </w:r>
            <w:r>
              <w:rPr>
                <w:rFonts w:hint="eastAsia"/>
                <w:color w:val="auto"/>
                <w:sz w:val="24"/>
                <w:highlight w:val="none"/>
                <w:vertAlign w:val="superscript"/>
              </w:rPr>
              <w:t>4</w:t>
            </w:r>
            <w:r>
              <w:rPr>
                <w:rFonts w:hint="eastAsia"/>
                <w:color w:val="auto"/>
                <w:sz w:val="24"/>
                <w:highlight w:val="none"/>
              </w:rPr>
              <w:t>m</w:t>
            </w:r>
            <w:r>
              <w:rPr>
                <w:rFonts w:hint="eastAsia"/>
                <w:color w:val="auto"/>
                <w:sz w:val="24"/>
                <w:highlight w:val="none"/>
                <w:vertAlign w:val="superscript"/>
              </w:rPr>
              <w:t>3</w:t>
            </w:r>
            <w:r>
              <w:rPr>
                <w:rFonts w:hint="eastAsia"/>
                <w:color w:val="auto"/>
                <w:sz w:val="24"/>
                <w:highlight w:val="none"/>
              </w:rPr>
              <w:t>/d，主要接纳浐河东西两岸及纺织城地区面积为2096ha的生产废水和生活污水，服务人口2005年29万人、2020年42万人。</w:t>
            </w:r>
          </w:p>
          <w:p>
            <w:pPr>
              <w:pageBreakBefore w:val="0"/>
              <w:widowControl w:val="0"/>
              <w:kinsoku/>
              <w:wordWrap/>
              <w:overflowPunct/>
              <w:topLinePunct w:val="0"/>
              <w:bidi w:val="0"/>
              <w:adjustRightInd w:val="0"/>
              <w:snapToGrid w:val="0"/>
              <w:spacing w:line="360" w:lineRule="auto"/>
              <w:ind w:firstLine="480" w:firstLineChars="200"/>
              <w:textAlignment w:val="auto"/>
              <w:rPr>
                <w:color w:val="auto"/>
                <w:sz w:val="24"/>
                <w:highlight w:val="none"/>
              </w:rPr>
            </w:pPr>
            <w:r>
              <w:rPr>
                <w:rFonts w:hint="eastAsia"/>
                <w:color w:val="auto"/>
                <w:sz w:val="24"/>
                <w:highlight w:val="none"/>
              </w:rPr>
              <w:t>第三污水处理厂采用奥贝尔氧化沟的处理工艺，污水经市政管网收集进入，经预处理系统（进水控制井、粗格栅、污水提升泵房、细格栅和超细格栅、曝气沉砂池、初沉池）进行除垃圾杂物、除渣、沉砂、撇油等物理处理后，进入生物处理系统（分配井、厌氧选择池、氧化沟、终沉池）进行生化处理，降解去除污水中的有机污染物，达到脱氮除磷的作用。下来出水经二次提升后进入滤布滤池降低水中的悬浮物，随后进入接触池投加次氯酸钠进行消毒处理，最终出水排入浐河。排入浐河的出水水质按照国家要求，各项指标达到了GB/T18918-2002《城镇污水处理厂污染物排放标准》中的一级A标准。</w:t>
            </w:r>
          </w:p>
          <w:p>
            <w:pPr>
              <w:pStyle w:val="2"/>
              <w:pageBreakBefore w:val="0"/>
              <w:widowControl w:val="0"/>
              <w:kinsoku/>
              <w:wordWrap/>
              <w:overflowPunct/>
              <w:topLinePunct w:val="0"/>
              <w:bidi w:val="0"/>
              <w:snapToGrid w:val="0"/>
              <w:spacing w:before="0" w:after="0" w:line="360" w:lineRule="auto"/>
              <w:textAlignment w:val="auto"/>
              <w:rPr>
                <w:rFonts w:ascii="Times New Roman" w:hAnsi="Times New Roman" w:eastAsia="宋体"/>
                <w:b w:val="0"/>
                <w:bCs w:val="0"/>
                <w:color w:val="auto"/>
                <w:sz w:val="24"/>
                <w:szCs w:val="24"/>
                <w:highlight w:val="none"/>
              </w:rPr>
            </w:pPr>
            <w:r>
              <w:rPr>
                <w:rFonts w:ascii="Times New Roman" w:hAnsi="Times New Roman" w:eastAsia="宋体"/>
                <w:b w:val="0"/>
                <w:bCs w:val="0"/>
                <w:color w:val="auto"/>
                <w:sz w:val="24"/>
                <w:szCs w:val="24"/>
                <w:highlight w:val="none"/>
              </w:rPr>
              <w:t xml:space="preserve">  </w:t>
            </w:r>
            <w:r>
              <w:rPr>
                <w:rFonts w:hint="eastAsia" w:ascii="Times New Roman" w:hAnsi="Times New Roman" w:eastAsia="宋体"/>
                <w:b w:val="0"/>
                <w:bCs w:val="0"/>
                <w:color w:val="auto"/>
                <w:sz w:val="24"/>
                <w:szCs w:val="24"/>
                <w:highlight w:val="none"/>
              </w:rPr>
              <w:t xml:space="preserve">  本项目污水全是生活污水，经化粪池处理后符合西安市第三污水处理厂收水水质要求，属于该污水处理厂收水范围，污水排放量0.42 m</w:t>
            </w:r>
            <w:r>
              <w:rPr>
                <w:rFonts w:hint="eastAsia" w:ascii="Times New Roman" w:hAnsi="Times New Roman" w:eastAsia="宋体"/>
                <w:b w:val="0"/>
                <w:bCs w:val="0"/>
                <w:color w:val="auto"/>
                <w:sz w:val="24"/>
                <w:szCs w:val="24"/>
                <w:highlight w:val="none"/>
                <w:vertAlign w:val="superscript"/>
              </w:rPr>
              <w:t>3</w:t>
            </w:r>
            <w:r>
              <w:rPr>
                <w:rFonts w:hint="eastAsia" w:ascii="Times New Roman" w:hAnsi="Times New Roman" w:eastAsia="宋体"/>
                <w:b w:val="0"/>
                <w:bCs w:val="0"/>
                <w:color w:val="auto"/>
                <w:sz w:val="24"/>
                <w:szCs w:val="24"/>
                <w:highlight w:val="none"/>
              </w:rPr>
              <w:t>/d，仅为西安市第三污水处理厂日处理能力的0.0002%，所以本项目污水排入西安市第三污水处理厂可行。</w:t>
            </w:r>
          </w:p>
          <w:p>
            <w:pPr>
              <w:pageBreakBefore w:val="0"/>
              <w:widowControl w:val="0"/>
              <w:kinsoku/>
              <w:wordWrap/>
              <w:overflowPunct/>
              <w:topLinePunct w:val="0"/>
              <w:autoSpaceDE w:val="0"/>
              <w:autoSpaceDN w:val="0"/>
              <w:bidi w:val="0"/>
              <w:adjustRightInd w:val="0"/>
              <w:snapToGrid w:val="0"/>
              <w:spacing w:line="360" w:lineRule="auto"/>
              <w:ind w:firstLine="470" w:firstLineChars="196"/>
              <w:jc w:val="left"/>
              <w:textAlignment w:val="auto"/>
              <w:rPr>
                <w:rFonts w:eastAsia="黑体"/>
                <w:bCs/>
                <w:color w:val="auto"/>
                <w:sz w:val="24"/>
                <w:szCs w:val="28"/>
                <w:highlight w:val="none"/>
              </w:rPr>
            </w:pPr>
            <w:r>
              <w:rPr>
                <w:rFonts w:eastAsia="黑体"/>
                <w:bCs/>
                <w:color w:val="auto"/>
                <w:sz w:val="24"/>
                <w:szCs w:val="28"/>
                <w:highlight w:val="none"/>
              </w:rPr>
              <w:t>5</w:t>
            </w:r>
            <w:r>
              <w:rPr>
                <w:rFonts w:hint="eastAsia" w:eastAsia="黑体"/>
                <w:bCs/>
                <w:color w:val="auto"/>
                <w:sz w:val="24"/>
                <w:szCs w:val="28"/>
                <w:highlight w:val="none"/>
              </w:rPr>
              <w:t>、地表水环境影响评价自查表</w:t>
            </w:r>
          </w:p>
          <w:p>
            <w:pPr>
              <w:pageBreakBefore w:val="0"/>
              <w:widowControl w:val="0"/>
              <w:kinsoku/>
              <w:wordWrap/>
              <w:overflowPunct/>
              <w:topLinePunct w:val="0"/>
              <w:autoSpaceDE w:val="0"/>
              <w:autoSpaceDN w:val="0"/>
              <w:bidi w:val="0"/>
              <w:adjustRightInd w:val="0"/>
              <w:snapToGrid w:val="0"/>
              <w:spacing w:line="360" w:lineRule="auto"/>
              <w:ind w:firstLine="470" w:firstLineChars="196"/>
              <w:jc w:val="left"/>
              <w:textAlignment w:val="auto"/>
              <w:rPr>
                <w:rFonts w:ascii="宋体" w:hAnsi="宋体"/>
                <w:color w:val="auto"/>
                <w:sz w:val="24"/>
                <w:highlight w:val="none"/>
              </w:rPr>
            </w:pPr>
            <w:r>
              <w:rPr>
                <w:rFonts w:hint="eastAsia" w:ascii="宋体" w:hAnsi="宋体"/>
                <w:color w:val="auto"/>
                <w:sz w:val="24"/>
                <w:highlight w:val="none"/>
              </w:rPr>
              <w:t>项目地表水环境影响评价自查表见表7-10。</w:t>
            </w:r>
          </w:p>
          <w:p>
            <w:pPr>
              <w:pageBreakBefore w:val="0"/>
              <w:kinsoku/>
              <w:wordWrap/>
              <w:overflowPunct/>
              <w:topLinePunct w:val="0"/>
              <w:bidi w:val="0"/>
              <w:snapToGrid w:val="0"/>
              <w:ind w:firstLine="422"/>
              <w:jc w:val="center"/>
              <w:rPr>
                <w:b/>
                <w:color w:val="auto"/>
                <w:kern w:val="0"/>
                <w:sz w:val="21"/>
                <w:szCs w:val="22"/>
                <w:highlight w:val="none"/>
              </w:rPr>
            </w:pPr>
            <w:r>
              <w:rPr>
                <w:rFonts w:hint="eastAsia"/>
                <w:b/>
                <w:color w:val="auto"/>
                <w:kern w:val="0"/>
                <w:sz w:val="21"/>
                <w:szCs w:val="22"/>
                <w:highlight w:val="none"/>
              </w:rPr>
              <w:t>表7-10</w:t>
            </w:r>
            <w:r>
              <w:rPr>
                <w:b/>
                <w:color w:val="auto"/>
                <w:kern w:val="0"/>
                <w:sz w:val="21"/>
                <w:szCs w:val="22"/>
                <w:highlight w:val="none"/>
              </w:rPr>
              <w:t xml:space="preserve">   </w:t>
            </w:r>
            <w:r>
              <w:rPr>
                <w:rFonts w:hint="eastAsia"/>
                <w:b/>
                <w:color w:val="auto"/>
                <w:kern w:val="0"/>
                <w:sz w:val="21"/>
                <w:szCs w:val="22"/>
                <w:highlight w:val="none"/>
              </w:rPr>
              <w:t>地表水环境影响评价自查表</w:t>
            </w:r>
          </w:p>
          <w:tbl>
            <w:tblPr>
              <w:tblStyle w:val="28"/>
              <w:tblW w:w="865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06"/>
              <w:gridCol w:w="2540"/>
              <w:gridCol w:w="2120"/>
              <w:gridCol w:w="35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46" w:type="dxa"/>
                  <w:gridSpan w:val="2"/>
                  <w:tcBorders>
                    <w:tl2br w:val="nil"/>
                    <w:tr2bl w:val="nil"/>
                  </w:tcBorders>
                  <w:vAlign w:val="center"/>
                </w:tcPr>
                <w:p>
                  <w:pPr>
                    <w:pageBreakBefore w:val="0"/>
                    <w:kinsoku/>
                    <w:wordWrap/>
                    <w:overflowPunct/>
                    <w:topLinePunct w:val="0"/>
                    <w:bidi w:val="0"/>
                    <w:adjustRightInd w:val="0"/>
                    <w:snapToGrid w:val="0"/>
                    <w:jc w:val="left"/>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工作内容</w:t>
                  </w:r>
                </w:p>
              </w:tc>
              <w:tc>
                <w:tcPr>
                  <w:tcW w:w="5710" w:type="dxa"/>
                  <w:gridSpan w:val="2"/>
                  <w:tcBorders>
                    <w:tl2br w:val="nil"/>
                    <w:tr2bl w:val="nil"/>
                  </w:tcBorders>
                  <w:vAlign w:val="center"/>
                </w:tcPr>
                <w:p>
                  <w:pPr>
                    <w:pageBreakBefore w:val="0"/>
                    <w:kinsoku/>
                    <w:wordWrap/>
                    <w:overflowPunct/>
                    <w:topLinePunct w:val="0"/>
                    <w:bidi w:val="0"/>
                    <w:adjustRightInd w:val="0"/>
                    <w:snapToGrid w:val="0"/>
                    <w:jc w:val="left"/>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自查项目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06" w:type="dxa"/>
                  <w:vMerge w:val="restart"/>
                  <w:tcBorders>
                    <w:tl2br w:val="nil"/>
                    <w:tr2bl w:val="nil"/>
                  </w:tcBorders>
                  <w:vAlign w:val="center"/>
                </w:tcPr>
                <w:p>
                  <w:pPr>
                    <w:pageBreakBefore w:val="0"/>
                    <w:kinsoku/>
                    <w:wordWrap/>
                    <w:overflowPunct/>
                    <w:topLinePunct w:val="0"/>
                    <w:bidi w:val="0"/>
                    <w:adjustRightInd w:val="0"/>
                    <w:snapToGrid w:val="0"/>
                    <w:jc w:val="left"/>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影响识别</w:t>
                  </w:r>
                </w:p>
              </w:tc>
              <w:tc>
                <w:tcPr>
                  <w:tcW w:w="2540" w:type="dxa"/>
                  <w:tcBorders>
                    <w:tl2br w:val="nil"/>
                    <w:tr2bl w:val="nil"/>
                  </w:tcBorders>
                  <w:vAlign w:val="center"/>
                </w:tcPr>
                <w:p>
                  <w:pPr>
                    <w:pageBreakBefore w:val="0"/>
                    <w:kinsoku/>
                    <w:wordWrap/>
                    <w:overflowPunct/>
                    <w:topLinePunct w:val="0"/>
                    <w:bidi w:val="0"/>
                    <w:adjustRightInd w:val="0"/>
                    <w:snapToGrid w:val="0"/>
                    <w:jc w:val="left"/>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影响类型</w:t>
                  </w:r>
                </w:p>
              </w:tc>
              <w:tc>
                <w:tcPr>
                  <w:tcW w:w="5710" w:type="dxa"/>
                  <w:gridSpan w:val="2"/>
                  <w:tcBorders>
                    <w:tl2br w:val="nil"/>
                    <w:tr2bl w:val="nil"/>
                  </w:tcBorders>
                  <w:vAlign w:val="center"/>
                </w:tcPr>
                <w:p>
                  <w:pPr>
                    <w:pageBreakBefore w:val="0"/>
                    <w:kinsoku/>
                    <w:wordWrap/>
                    <w:overflowPunct/>
                    <w:topLinePunct w:val="0"/>
                    <w:bidi w:val="0"/>
                    <w:adjustRightInd w:val="0"/>
                    <w:snapToGrid w:val="0"/>
                    <w:jc w:val="left"/>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水污染影响型</w:t>
                  </w:r>
                  <w:r>
                    <w:rPr>
                      <w:rFonts w:cs="仿宋" w:asciiTheme="minorEastAsia" w:hAnsiTheme="minorEastAsia" w:eastAsiaTheme="minorEastAsia"/>
                      <w:color w:val="auto"/>
                      <w:sz w:val="21"/>
                      <w:szCs w:val="21"/>
                      <w:highlight w:val="none"/>
                      <w:lang w:eastAsia="en-US"/>
                    </w:rPr>
                    <w:sym w:font="Wingdings 2" w:char="0052"/>
                  </w:r>
                  <w:r>
                    <w:rPr>
                      <w:rFonts w:hint="eastAsia" w:cs="仿宋" w:asciiTheme="minorEastAsia" w:hAnsiTheme="minorEastAsia" w:eastAsiaTheme="minorEastAsia"/>
                      <w:color w:val="auto"/>
                      <w:sz w:val="21"/>
                      <w:szCs w:val="21"/>
                      <w:highlight w:val="none"/>
                    </w:rPr>
                    <w:t>；水文要素影响型□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06" w:type="dxa"/>
                  <w:vMerge w:val="continue"/>
                  <w:tcBorders>
                    <w:tl2br w:val="nil"/>
                    <w:tr2bl w:val="nil"/>
                  </w:tcBorders>
                  <w:vAlign w:val="center"/>
                </w:tcPr>
                <w:p>
                  <w:pPr>
                    <w:pageBreakBefore w:val="0"/>
                    <w:kinsoku/>
                    <w:wordWrap/>
                    <w:overflowPunct/>
                    <w:topLinePunct w:val="0"/>
                    <w:bidi w:val="0"/>
                    <w:adjustRightInd w:val="0"/>
                    <w:snapToGrid w:val="0"/>
                    <w:jc w:val="left"/>
                    <w:rPr>
                      <w:rFonts w:cs="仿宋" w:asciiTheme="minorEastAsia" w:hAnsiTheme="minorEastAsia" w:eastAsiaTheme="minorEastAsia"/>
                      <w:color w:val="auto"/>
                      <w:sz w:val="21"/>
                      <w:szCs w:val="21"/>
                      <w:highlight w:val="none"/>
                    </w:rPr>
                  </w:pPr>
                </w:p>
              </w:tc>
              <w:tc>
                <w:tcPr>
                  <w:tcW w:w="2540" w:type="dxa"/>
                  <w:tcBorders>
                    <w:tl2br w:val="nil"/>
                    <w:tr2bl w:val="nil"/>
                  </w:tcBorders>
                  <w:vAlign w:val="center"/>
                </w:tcPr>
                <w:p>
                  <w:pPr>
                    <w:pageBreakBefore w:val="0"/>
                    <w:kinsoku/>
                    <w:wordWrap/>
                    <w:overflowPunct/>
                    <w:topLinePunct w:val="0"/>
                    <w:bidi w:val="0"/>
                    <w:adjustRightInd w:val="0"/>
                    <w:snapToGrid w:val="0"/>
                    <w:jc w:val="left"/>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水环境保护目标</w:t>
                  </w:r>
                </w:p>
              </w:tc>
              <w:tc>
                <w:tcPr>
                  <w:tcW w:w="5710" w:type="dxa"/>
                  <w:gridSpan w:val="2"/>
                  <w:tcBorders>
                    <w:tl2br w:val="nil"/>
                    <w:tr2bl w:val="nil"/>
                  </w:tcBorders>
                  <w:vAlign w:val="center"/>
                </w:tcPr>
                <w:p>
                  <w:pPr>
                    <w:pageBreakBefore w:val="0"/>
                    <w:kinsoku/>
                    <w:wordWrap/>
                    <w:overflowPunct/>
                    <w:topLinePunct w:val="0"/>
                    <w:bidi w:val="0"/>
                    <w:adjustRightInd w:val="0"/>
                    <w:snapToGrid w:val="0"/>
                    <w:jc w:val="left"/>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饮用水水源保护区□；饮用水取水口□；涉水的自然保护区□；重要湿地□；重点保护与珍稀水生生物的栖息地</w:t>
                  </w:r>
                  <w:r>
                    <w:rPr>
                      <w:rFonts w:hint="eastAsia" w:cs="仿宋" w:asciiTheme="minorEastAsia" w:hAnsiTheme="minorEastAsia" w:eastAsiaTheme="minorEastAsia"/>
                      <w:color w:val="auto"/>
                      <w:spacing w:val="-1"/>
                      <w:sz w:val="21"/>
                      <w:szCs w:val="21"/>
                      <w:highlight w:val="none"/>
                    </w:rPr>
                    <w:t>□；重要水生生物的自然产卵场及索饵场、越冬场和洄游通道、天然渔场等渔业水体</w:t>
                  </w:r>
                  <w:r>
                    <w:rPr>
                      <w:rFonts w:hint="eastAsia" w:cs="仿宋" w:asciiTheme="minorEastAsia" w:hAnsiTheme="minorEastAsia" w:eastAsiaTheme="minorEastAsia"/>
                      <w:color w:val="auto"/>
                      <w:spacing w:val="-7"/>
                      <w:sz w:val="21"/>
                      <w:szCs w:val="21"/>
                      <w:highlight w:val="none"/>
                    </w:rPr>
                    <w:t>□；涉</w:t>
                  </w:r>
                  <w:r>
                    <w:rPr>
                      <w:rFonts w:hint="eastAsia" w:cs="仿宋" w:asciiTheme="minorEastAsia" w:hAnsiTheme="minorEastAsia" w:eastAsiaTheme="minorEastAsia"/>
                      <w:color w:val="auto"/>
                      <w:sz w:val="21"/>
                      <w:szCs w:val="21"/>
                      <w:highlight w:val="none"/>
                    </w:rPr>
                    <w:t>水的风景名胜区□；其他</w:t>
                  </w:r>
                  <w:r>
                    <w:rPr>
                      <w:rFonts w:cs="仿宋" w:asciiTheme="minorEastAsia" w:hAnsiTheme="minorEastAsia" w:eastAsiaTheme="minorEastAsia"/>
                      <w:color w:val="auto"/>
                      <w:sz w:val="21"/>
                      <w:szCs w:val="21"/>
                      <w:highlight w:val="none"/>
                      <w:lang w:eastAsia="en-US"/>
                    </w:rPr>
                    <w:sym w:font="Wingdings 2" w:char="0052"/>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06" w:type="dxa"/>
                  <w:vMerge w:val="continue"/>
                  <w:tcBorders>
                    <w:tl2br w:val="nil"/>
                    <w:tr2bl w:val="nil"/>
                  </w:tcBorders>
                  <w:vAlign w:val="center"/>
                </w:tcPr>
                <w:p>
                  <w:pPr>
                    <w:pageBreakBefore w:val="0"/>
                    <w:kinsoku/>
                    <w:wordWrap/>
                    <w:overflowPunct/>
                    <w:topLinePunct w:val="0"/>
                    <w:bidi w:val="0"/>
                    <w:adjustRightInd w:val="0"/>
                    <w:snapToGrid w:val="0"/>
                    <w:jc w:val="left"/>
                    <w:rPr>
                      <w:rFonts w:cs="仿宋" w:asciiTheme="minorEastAsia" w:hAnsiTheme="minorEastAsia" w:eastAsiaTheme="minorEastAsia"/>
                      <w:color w:val="auto"/>
                      <w:sz w:val="21"/>
                      <w:szCs w:val="21"/>
                      <w:highlight w:val="none"/>
                    </w:rPr>
                  </w:pPr>
                </w:p>
              </w:tc>
              <w:tc>
                <w:tcPr>
                  <w:tcW w:w="2540" w:type="dxa"/>
                  <w:vMerge w:val="restart"/>
                  <w:tcBorders>
                    <w:tl2br w:val="nil"/>
                    <w:tr2bl w:val="nil"/>
                  </w:tcBorders>
                  <w:vAlign w:val="center"/>
                </w:tcPr>
                <w:p>
                  <w:pPr>
                    <w:pageBreakBefore w:val="0"/>
                    <w:kinsoku/>
                    <w:wordWrap/>
                    <w:overflowPunct/>
                    <w:topLinePunct w:val="0"/>
                    <w:bidi w:val="0"/>
                    <w:adjustRightInd w:val="0"/>
                    <w:snapToGrid w:val="0"/>
                    <w:jc w:val="left"/>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影响途径</w:t>
                  </w:r>
                </w:p>
              </w:tc>
              <w:tc>
                <w:tcPr>
                  <w:tcW w:w="2120" w:type="dxa"/>
                  <w:tcBorders>
                    <w:tl2br w:val="nil"/>
                    <w:tr2bl w:val="nil"/>
                  </w:tcBorders>
                  <w:vAlign w:val="center"/>
                </w:tcPr>
                <w:p>
                  <w:pPr>
                    <w:pageBreakBefore w:val="0"/>
                    <w:kinsoku/>
                    <w:wordWrap/>
                    <w:overflowPunct/>
                    <w:topLinePunct w:val="0"/>
                    <w:bidi w:val="0"/>
                    <w:adjustRightInd w:val="0"/>
                    <w:snapToGrid w:val="0"/>
                    <w:jc w:val="left"/>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水污染影响型</w:t>
                  </w:r>
                </w:p>
              </w:tc>
              <w:tc>
                <w:tcPr>
                  <w:tcW w:w="3590" w:type="dxa"/>
                  <w:tcBorders>
                    <w:tl2br w:val="nil"/>
                    <w:tr2bl w:val="nil"/>
                  </w:tcBorders>
                  <w:vAlign w:val="center"/>
                </w:tcPr>
                <w:p>
                  <w:pPr>
                    <w:pageBreakBefore w:val="0"/>
                    <w:kinsoku/>
                    <w:wordWrap/>
                    <w:overflowPunct/>
                    <w:topLinePunct w:val="0"/>
                    <w:bidi w:val="0"/>
                    <w:adjustRightInd w:val="0"/>
                    <w:snapToGrid w:val="0"/>
                    <w:jc w:val="left"/>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水文要素影响型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06" w:type="dxa"/>
                  <w:vMerge w:val="continue"/>
                  <w:tcBorders>
                    <w:tl2br w:val="nil"/>
                    <w:tr2bl w:val="nil"/>
                  </w:tcBorders>
                  <w:vAlign w:val="center"/>
                </w:tcPr>
                <w:p>
                  <w:pPr>
                    <w:pageBreakBefore w:val="0"/>
                    <w:kinsoku/>
                    <w:wordWrap/>
                    <w:overflowPunct/>
                    <w:topLinePunct w:val="0"/>
                    <w:bidi w:val="0"/>
                    <w:adjustRightInd w:val="0"/>
                    <w:snapToGrid w:val="0"/>
                    <w:jc w:val="left"/>
                    <w:rPr>
                      <w:rFonts w:cs="仿宋" w:asciiTheme="minorEastAsia" w:hAnsiTheme="minorEastAsia" w:eastAsiaTheme="minorEastAsia"/>
                      <w:color w:val="auto"/>
                      <w:sz w:val="21"/>
                      <w:szCs w:val="21"/>
                      <w:highlight w:val="none"/>
                    </w:rPr>
                  </w:pPr>
                </w:p>
              </w:tc>
              <w:tc>
                <w:tcPr>
                  <w:tcW w:w="2540" w:type="dxa"/>
                  <w:vMerge w:val="continue"/>
                  <w:tcBorders>
                    <w:tl2br w:val="nil"/>
                    <w:tr2bl w:val="nil"/>
                  </w:tcBorders>
                  <w:vAlign w:val="center"/>
                </w:tcPr>
                <w:p>
                  <w:pPr>
                    <w:pageBreakBefore w:val="0"/>
                    <w:kinsoku/>
                    <w:wordWrap/>
                    <w:overflowPunct/>
                    <w:topLinePunct w:val="0"/>
                    <w:bidi w:val="0"/>
                    <w:adjustRightInd w:val="0"/>
                    <w:snapToGrid w:val="0"/>
                    <w:jc w:val="left"/>
                    <w:rPr>
                      <w:rFonts w:cs="仿宋" w:asciiTheme="minorEastAsia" w:hAnsiTheme="minorEastAsia" w:eastAsiaTheme="minorEastAsia"/>
                      <w:color w:val="auto"/>
                      <w:sz w:val="21"/>
                      <w:szCs w:val="21"/>
                      <w:highlight w:val="none"/>
                    </w:rPr>
                  </w:pPr>
                </w:p>
              </w:tc>
              <w:tc>
                <w:tcPr>
                  <w:tcW w:w="2120" w:type="dxa"/>
                  <w:tcBorders>
                    <w:tl2br w:val="nil"/>
                    <w:tr2bl w:val="nil"/>
                  </w:tcBorders>
                  <w:vAlign w:val="center"/>
                </w:tcPr>
                <w:p>
                  <w:pPr>
                    <w:pageBreakBefore w:val="0"/>
                    <w:kinsoku/>
                    <w:wordWrap/>
                    <w:overflowPunct/>
                    <w:topLinePunct w:val="0"/>
                    <w:bidi w:val="0"/>
                    <w:adjustRightInd w:val="0"/>
                    <w:snapToGrid w:val="0"/>
                    <w:jc w:val="left"/>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直接排放</w:t>
                  </w:r>
                  <w:r>
                    <w:rPr>
                      <w:rFonts w:cs="仿宋" w:asciiTheme="minorEastAsia" w:hAnsiTheme="minorEastAsia" w:eastAsiaTheme="minorEastAsia"/>
                      <w:color w:val="auto"/>
                      <w:sz w:val="21"/>
                      <w:szCs w:val="21"/>
                      <w:highlight w:val="none"/>
                      <w:lang w:eastAsia="en-US"/>
                    </w:rPr>
                    <w:sym w:font="Wingdings 2" w:char="00A3"/>
                  </w:r>
                  <w:r>
                    <w:rPr>
                      <w:rFonts w:hint="eastAsia" w:cs="仿宋" w:asciiTheme="minorEastAsia" w:hAnsiTheme="minorEastAsia" w:eastAsiaTheme="minorEastAsia"/>
                      <w:color w:val="auto"/>
                      <w:sz w:val="21"/>
                      <w:szCs w:val="21"/>
                      <w:highlight w:val="none"/>
                    </w:rPr>
                    <w:t>；间接排放</w:t>
                  </w:r>
                  <w:r>
                    <w:rPr>
                      <w:rFonts w:cs="仿宋" w:asciiTheme="minorEastAsia" w:hAnsiTheme="minorEastAsia" w:eastAsiaTheme="minorEastAsia"/>
                      <w:color w:val="auto"/>
                      <w:spacing w:val="-1"/>
                      <w:sz w:val="21"/>
                      <w:szCs w:val="21"/>
                      <w:highlight w:val="none"/>
                      <w:lang w:eastAsia="en-US"/>
                    </w:rPr>
                    <w:sym w:font="Wingdings 2" w:char="0052"/>
                  </w:r>
                  <w:r>
                    <w:rPr>
                      <w:rFonts w:hint="eastAsia" w:cs="仿宋" w:asciiTheme="minorEastAsia" w:hAnsiTheme="minorEastAsia" w:eastAsiaTheme="minorEastAsia"/>
                      <w:color w:val="auto"/>
                      <w:spacing w:val="-1"/>
                      <w:sz w:val="21"/>
                      <w:szCs w:val="21"/>
                      <w:highlight w:val="none"/>
                    </w:rPr>
                    <w:t>；其他</w:t>
                  </w:r>
                  <w:r>
                    <w:rPr>
                      <w:rFonts w:hint="eastAsia" w:cs="仿宋" w:asciiTheme="minorEastAsia" w:hAnsiTheme="minorEastAsia" w:eastAsiaTheme="minorEastAsia"/>
                      <w:color w:val="auto"/>
                      <w:sz w:val="21"/>
                      <w:szCs w:val="21"/>
                      <w:highlight w:val="none"/>
                    </w:rPr>
                    <w:t>□</w:t>
                  </w:r>
                </w:p>
              </w:tc>
              <w:tc>
                <w:tcPr>
                  <w:tcW w:w="3590" w:type="dxa"/>
                  <w:tcBorders>
                    <w:tl2br w:val="nil"/>
                    <w:tr2bl w:val="nil"/>
                  </w:tcBorders>
                  <w:vAlign w:val="center"/>
                </w:tcPr>
                <w:p>
                  <w:pPr>
                    <w:pageBreakBefore w:val="0"/>
                    <w:kinsoku/>
                    <w:wordWrap/>
                    <w:overflowPunct/>
                    <w:topLinePunct w:val="0"/>
                    <w:bidi w:val="0"/>
                    <w:adjustRightInd w:val="0"/>
                    <w:snapToGrid w:val="0"/>
                    <w:jc w:val="left"/>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水温□；径流□；水域面积</w:t>
                  </w:r>
                  <w:r>
                    <w:rPr>
                      <w:rFonts w:cs="仿宋" w:asciiTheme="minorEastAsia" w:hAnsiTheme="minorEastAsia" w:eastAsiaTheme="minorEastAsia"/>
                      <w:color w:val="auto"/>
                      <w:sz w:val="21"/>
                      <w:szCs w:val="21"/>
                      <w:highlight w:val="none"/>
                      <w:lang w:eastAsia="en-US"/>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06" w:type="dxa"/>
                  <w:vMerge w:val="continue"/>
                  <w:tcBorders>
                    <w:tl2br w:val="nil"/>
                    <w:tr2bl w:val="nil"/>
                  </w:tcBorders>
                  <w:vAlign w:val="center"/>
                </w:tcPr>
                <w:p>
                  <w:pPr>
                    <w:pageBreakBefore w:val="0"/>
                    <w:kinsoku/>
                    <w:wordWrap/>
                    <w:overflowPunct/>
                    <w:topLinePunct w:val="0"/>
                    <w:bidi w:val="0"/>
                    <w:adjustRightInd w:val="0"/>
                    <w:snapToGrid w:val="0"/>
                    <w:jc w:val="left"/>
                    <w:rPr>
                      <w:rFonts w:cs="仿宋" w:asciiTheme="minorEastAsia" w:hAnsiTheme="minorEastAsia" w:eastAsiaTheme="minorEastAsia"/>
                      <w:color w:val="auto"/>
                      <w:sz w:val="21"/>
                      <w:szCs w:val="21"/>
                      <w:highlight w:val="none"/>
                    </w:rPr>
                  </w:pPr>
                </w:p>
              </w:tc>
              <w:tc>
                <w:tcPr>
                  <w:tcW w:w="2540" w:type="dxa"/>
                  <w:tcBorders>
                    <w:tl2br w:val="nil"/>
                    <w:tr2bl w:val="nil"/>
                  </w:tcBorders>
                  <w:vAlign w:val="center"/>
                </w:tcPr>
                <w:p>
                  <w:pPr>
                    <w:pageBreakBefore w:val="0"/>
                    <w:kinsoku/>
                    <w:wordWrap/>
                    <w:overflowPunct/>
                    <w:topLinePunct w:val="0"/>
                    <w:bidi w:val="0"/>
                    <w:adjustRightInd w:val="0"/>
                    <w:snapToGrid w:val="0"/>
                    <w:jc w:val="left"/>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影响因子</w:t>
                  </w:r>
                </w:p>
              </w:tc>
              <w:tc>
                <w:tcPr>
                  <w:tcW w:w="2120" w:type="dxa"/>
                  <w:tcBorders>
                    <w:tl2br w:val="nil"/>
                    <w:tr2bl w:val="nil"/>
                  </w:tcBorders>
                  <w:vAlign w:val="center"/>
                </w:tcPr>
                <w:p>
                  <w:pPr>
                    <w:pageBreakBefore w:val="0"/>
                    <w:kinsoku/>
                    <w:wordWrap/>
                    <w:overflowPunct/>
                    <w:topLinePunct w:val="0"/>
                    <w:bidi w:val="0"/>
                    <w:adjustRightInd w:val="0"/>
                    <w:snapToGrid w:val="0"/>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持久性污染物□；有毒有害污染物</w:t>
                  </w:r>
                  <w:r>
                    <w:rPr>
                      <w:rFonts w:cs="仿宋" w:asciiTheme="minorEastAsia" w:hAnsiTheme="minorEastAsia" w:eastAsiaTheme="minorEastAsia"/>
                      <w:color w:val="auto"/>
                      <w:sz w:val="21"/>
                      <w:szCs w:val="21"/>
                      <w:highlight w:val="none"/>
                      <w:lang w:eastAsia="en-US"/>
                    </w:rPr>
                    <w:sym w:font="Wingdings 2" w:char="00A3"/>
                  </w:r>
                  <w:r>
                    <w:rPr>
                      <w:rFonts w:hint="eastAsia" w:cs="仿宋" w:asciiTheme="minorEastAsia" w:hAnsiTheme="minorEastAsia" w:eastAsiaTheme="minorEastAsia"/>
                      <w:color w:val="auto"/>
                      <w:sz w:val="21"/>
                      <w:szCs w:val="21"/>
                      <w:highlight w:val="none"/>
                    </w:rPr>
                    <w:t>；非持久性污染物</w:t>
                  </w:r>
                  <w:r>
                    <w:rPr>
                      <w:rFonts w:hint="eastAsia" w:cs="仿宋" w:asciiTheme="minorEastAsia" w:hAnsiTheme="minorEastAsia" w:eastAsiaTheme="minorEastAsia"/>
                      <w:color w:val="auto"/>
                      <w:spacing w:val="-2"/>
                      <w:sz w:val="21"/>
                      <w:szCs w:val="21"/>
                      <w:highlight w:val="none"/>
                    </w:rPr>
                    <w:t>□；</w:t>
                  </w:r>
                  <w:r>
                    <w:rPr>
                      <w:rFonts w:cs="仿宋" w:asciiTheme="minorEastAsia" w:hAnsiTheme="minorEastAsia" w:eastAsiaTheme="minorEastAsia"/>
                      <w:color w:val="auto"/>
                      <w:spacing w:val="1"/>
                      <w:sz w:val="21"/>
                      <w:szCs w:val="21"/>
                      <w:highlight w:val="none"/>
                    </w:rPr>
                    <w:t>pH</w:t>
                  </w:r>
                  <w:r>
                    <w:rPr>
                      <w:rFonts w:cs="仿宋" w:asciiTheme="minorEastAsia" w:hAnsiTheme="minorEastAsia" w:eastAsiaTheme="minorEastAsia"/>
                      <w:color w:val="auto"/>
                      <w:sz w:val="21"/>
                      <w:szCs w:val="21"/>
                      <w:highlight w:val="none"/>
                      <w:lang w:eastAsia="en-US"/>
                    </w:rPr>
                    <w:sym w:font="Wingdings 2" w:char="00A3"/>
                  </w:r>
                  <w:r>
                    <w:rPr>
                      <w:rFonts w:hint="eastAsia" w:cs="仿宋" w:asciiTheme="minorEastAsia" w:hAnsiTheme="minorEastAsia" w:eastAsiaTheme="minorEastAsia"/>
                      <w:color w:val="auto"/>
                      <w:sz w:val="21"/>
                      <w:szCs w:val="21"/>
                      <w:highlight w:val="none"/>
                    </w:rPr>
                    <w:t>；热污染□；富营养化□；其他</w:t>
                  </w:r>
                  <w:r>
                    <w:rPr>
                      <w:rFonts w:cs="仿宋" w:asciiTheme="minorEastAsia" w:hAnsiTheme="minorEastAsia" w:eastAsiaTheme="minorEastAsia"/>
                      <w:color w:val="auto"/>
                      <w:sz w:val="21"/>
                      <w:szCs w:val="21"/>
                      <w:highlight w:val="none"/>
                      <w:lang w:eastAsia="en-US"/>
                    </w:rPr>
                    <w:sym w:font="Wingdings 2" w:char="0052"/>
                  </w:r>
                </w:p>
              </w:tc>
              <w:tc>
                <w:tcPr>
                  <w:tcW w:w="3590" w:type="dxa"/>
                  <w:tcBorders>
                    <w:tl2br w:val="nil"/>
                    <w:tr2bl w:val="nil"/>
                  </w:tcBorders>
                  <w:vAlign w:val="center"/>
                </w:tcPr>
                <w:p>
                  <w:pPr>
                    <w:pageBreakBefore w:val="0"/>
                    <w:kinsoku/>
                    <w:wordWrap/>
                    <w:overflowPunct/>
                    <w:topLinePunct w:val="0"/>
                    <w:bidi w:val="0"/>
                    <w:adjustRightInd w:val="0"/>
                    <w:snapToGrid w:val="0"/>
                    <w:jc w:val="left"/>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水温□；水位（水深）</w:t>
                  </w:r>
                  <w:r>
                    <w:rPr>
                      <w:rFonts w:hint="eastAsia" w:cs="仿宋" w:asciiTheme="minorEastAsia" w:hAnsiTheme="minorEastAsia" w:eastAsiaTheme="minorEastAsia"/>
                      <w:color w:val="auto"/>
                      <w:spacing w:val="-1"/>
                      <w:sz w:val="21"/>
                      <w:szCs w:val="21"/>
                      <w:highlight w:val="none"/>
                    </w:rPr>
                    <w:t>□；流速</w:t>
                  </w:r>
                  <w:r>
                    <w:rPr>
                      <w:rFonts w:hint="eastAsia" w:cs="仿宋" w:asciiTheme="minorEastAsia" w:hAnsiTheme="minorEastAsia" w:eastAsiaTheme="minorEastAsia"/>
                      <w:color w:val="auto"/>
                      <w:sz w:val="21"/>
                      <w:szCs w:val="21"/>
                      <w:highlight w:val="none"/>
                    </w:rPr>
                    <w:t>□；流量□；其他□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46" w:type="dxa"/>
                  <w:gridSpan w:val="2"/>
                  <w:vMerge w:val="restart"/>
                  <w:tcBorders>
                    <w:tl2br w:val="nil"/>
                    <w:tr2bl w:val="nil"/>
                  </w:tcBorders>
                  <w:vAlign w:val="center"/>
                </w:tcPr>
                <w:p>
                  <w:pPr>
                    <w:pageBreakBefore w:val="0"/>
                    <w:kinsoku/>
                    <w:wordWrap/>
                    <w:overflowPunct/>
                    <w:topLinePunct w:val="0"/>
                    <w:bidi w:val="0"/>
                    <w:adjustRightInd w:val="0"/>
                    <w:snapToGrid w:val="0"/>
                    <w:jc w:val="left"/>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评价等级</w:t>
                  </w:r>
                </w:p>
              </w:tc>
              <w:tc>
                <w:tcPr>
                  <w:tcW w:w="2120" w:type="dxa"/>
                  <w:tcBorders>
                    <w:tl2br w:val="nil"/>
                    <w:tr2bl w:val="nil"/>
                  </w:tcBorders>
                  <w:vAlign w:val="center"/>
                </w:tcPr>
                <w:p>
                  <w:pPr>
                    <w:pageBreakBefore w:val="0"/>
                    <w:kinsoku/>
                    <w:wordWrap/>
                    <w:overflowPunct/>
                    <w:topLinePunct w:val="0"/>
                    <w:bidi w:val="0"/>
                    <w:adjustRightInd w:val="0"/>
                    <w:snapToGrid w:val="0"/>
                    <w:jc w:val="left"/>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lang w:eastAsia="en-US"/>
                    </w:rPr>
                    <w:t>水污染影响型</w:t>
                  </w:r>
                </w:p>
              </w:tc>
              <w:tc>
                <w:tcPr>
                  <w:tcW w:w="3590" w:type="dxa"/>
                  <w:tcBorders>
                    <w:tl2br w:val="nil"/>
                    <w:tr2bl w:val="nil"/>
                  </w:tcBorders>
                  <w:vAlign w:val="center"/>
                </w:tcPr>
                <w:p>
                  <w:pPr>
                    <w:pageBreakBefore w:val="0"/>
                    <w:kinsoku/>
                    <w:wordWrap/>
                    <w:overflowPunct/>
                    <w:topLinePunct w:val="0"/>
                    <w:bidi w:val="0"/>
                    <w:adjustRightInd w:val="0"/>
                    <w:snapToGrid w:val="0"/>
                    <w:jc w:val="left"/>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lang w:eastAsia="en-US"/>
                    </w:rPr>
                    <w:t>水文要素影响型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46" w:type="dxa"/>
                  <w:gridSpan w:val="2"/>
                  <w:vMerge w:val="continue"/>
                  <w:tcBorders>
                    <w:tl2br w:val="nil"/>
                    <w:tr2bl w:val="nil"/>
                  </w:tcBorders>
                  <w:vAlign w:val="center"/>
                </w:tcPr>
                <w:p>
                  <w:pPr>
                    <w:pageBreakBefore w:val="0"/>
                    <w:kinsoku/>
                    <w:wordWrap/>
                    <w:overflowPunct/>
                    <w:topLinePunct w:val="0"/>
                    <w:bidi w:val="0"/>
                    <w:adjustRightInd w:val="0"/>
                    <w:snapToGrid w:val="0"/>
                    <w:jc w:val="left"/>
                    <w:rPr>
                      <w:rFonts w:cs="仿宋" w:asciiTheme="minorEastAsia" w:hAnsiTheme="minorEastAsia" w:eastAsiaTheme="minorEastAsia"/>
                      <w:color w:val="auto"/>
                      <w:sz w:val="21"/>
                      <w:szCs w:val="21"/>
                      <w:highlight w:val="none"/>
                    </w:rPr>
                  </w:pPr>
                </w:p>
              </w:tc>
              <w:tc>
                <w:tcPr>
                  <w:tcW w:w="2120" w:type="dxa"/>
                  <w:tcBorders>
                    <w:tl2br w:val="nil"/>
                    <w:tr2bl w:val="nil"/>
                  </w:tcBorders>
                  <w:vAlign w:val="center"/>
                </w:tcPr>
                <w:p>
                  <w:pPr>
                    <w:pageBreakBefore w:val="0"/>
                    <w:kinsoku/>
                    <w:wordWrap/>
                    <w:overflowPunct/>
                    <w:topLinePunct w:val="0"/>
                    <w:bidi w:val="0"/>
                    <w:adjustRightInd w:val="0"/>
                    <w:snapToGrid w:val="0"/>
                    <w:jc w:val="left"/>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一级□；二级□；三级</w:t>
                  </w:r>
                  <w:r>
                    <w:rPr>
                      <w:rFonts w:cs="仿宋" w:asciiTheme="minorEastAsia" w:hAnsiTheme="minorEastAsia" w:eastAsiaTheme="minorEastAsia"/>
                      <w:color w:val="auto"/>
                      <w:sz w:val="21"/>
                      <w:szCs w:val="21"/>
                      <w:highlight w:val="none"/>
                    </w:rPr>
                    <w:t>A□；三级B</w:t>
                  </w:r>
                  <w:r>
                    <w:rPr>
                      <w:rFonts w:cs="仿宋" w:asciiTheme="minorEastAsia" w:hAnsiTheme="minorEastAsia" w:eastAsiaTheme="minorEastAsia"/>
                      <w:color w:val="auto"/>
                      <w:sz w:val="21"/>
                      <w:szCs w:val="21"/>
                      <w:highlight w:val="none"/>
                      <w:lang w:eastAsia="en-US"/>
                    </w:rPr>
                    <w:sym w:font="Wingdings 2" w:char="0052"/>
                  </w:r>
                </w:p>
              </w:tc>
              <w:tc>
                <w:tcPr>
                  <w:tcW w:w="3590" w:type="dxa"/>
                  <w:tcBorders>
                    <w:tl2br w:val="nil"/>
                    <w:tr2bl w:val="nil"/>
                  </w:tcBorders>
                  <w:vAlign w:val="center"/>
                </w:tcPr>
                <w:p>
                  <w:pPr>
                    <w:pageBreakBefore w:val="0"/>
                    <w:kinsoku/>
                    <w:wordWrap/>
                    <w:overflowPunct/>
                    <w:topLinePunct w:val="0"/>
                    <w:bidi w:val="0"/>
                    <w:adjustRightInd w:val="0"/>
                    <w:snapToGrid w:val="0"/>
                    <w:jc w:val="left"/>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一级□；二级□；三级□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946" w:type="dxa"/>
                  <w:gridSpan w:val="2"/>
                  <w:tcBorders>
                    <w:tl2br w:val="nil"/>
                    <w:tr2bl w:val="nil"/>
                  </w:tcBorders>
                  <w:vAlign w:val="center"/>
                </w:tcPr>
                <w:p>
                  <w:pPr>
                    <w:pageBreakBefore w:val="0"/>
                    <w:kinsoku/>
                    <w:wordWrap/>
                    <w:overflowPunct/>
                    <w:topLinePunct w:val="0"/>
                    <w:bidi w:val="0"/>
                    <w:adjustRightInd w:val="0"/>
                    <w:snapToGrid w:val="0"/>
                    <w:jc w:val="left"/>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评价结论</w:t>
                  </w:r>
                </w:p>
              </w:tc>
              <w:tc>
                <w:tcPr>
                  <w:tcW w:w="5710" w:type="dxa"/>
                  <w:gridSpan w:val="2"/>
                  <w:tcBorders>
                    <w:tl2br w:val="nil"/>
                    <w:tr2bl w:val="nil"/>
                  </w:tcBorders>
                  <w:vAlign w:val="center"/>
                </w:tcPr>
                <w:p>
                  <w:pPr>
                    <w:pageBreakBefore w:val="0"/>
                    <w:kinsoku/>
                    <w:wordWrap/>
                    <w:overflowPunct/>
                    <w:topLinePunct w:val="0"/>
                    <w:bidi w:val="0"/>
                    <w:adjustRightInd w:val="0"/>
                    <w:snapToGrid w:val="0"/>
                    <w:jc w:val="left"/>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lang w:eastAsia="en-US"/>
                    </w:rPr>
                    <w:t>可以接受</w:t>
                  </w:r>
                  <w:r>
                    <w:rPr>
                      <w:rFonts w:cs="仿宋" w:asciiTheme="minorEastAsia" w:hAnsiTheme="minorEastAsia" w:eastAsiaTheme="minorEastAsia"/>
                      <w:color w:val="auto"/>
                      <w:sz w:val="21"/>
                      <w:szCs w:val="21"/>
                      <w:highlight w:val="none"/>
                      <w:lang w:eastAsia="en-US"/>
                    </w:rPr>
                    <w:sym w:font="Wingdings 2" w:char="0052"/>
                  </w:r>
                  <w:r>
                    <w:rPr>
                      <w:rFonts w:hint="eastAsia" w:cs="仿宋" w:asciiTheme="minorEastAsia" w:hAnsiTheme="minorEastAsia" w:eastAsiaTheme="minorEastAsia"/>
                      <w:color w:val="auto"/>
                      <w:sz w:val="21"/>
                      <w:szCs w:val="21"/>
                      <w:highlight w:val="none"/>
                      <w:lang w:eastAsia="en-US"/>
                    </w:rPr>
                    <w:t>；不可以接受□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656" w:type="dxa"/>
                  <w:gridSpan w:val="4"/>
                  <w:tcBorders>
                    <w:tl2br w:val="nil"/>
                    <w:tr2bl w:val="nil"/>
                  </w:tcBorders>
                  <w:vAlign w:val="center"/>
                </w:tcPr>
                <w:p>
                  <w:pPr>
                    <w:pageBreakBefore w:val="0"/>
                    <w:kinsoku/>
                    <w:wordWrap/>
                    <w:overflowPunct/>
                    <w:topLinePunct w:val="0"/>
                    <w:bidi w:val="0"/>
                    <w:snapToGrid w:val="0"/>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注：“□”为勾选项，可√；“（）”为内容填写项；“备注”为其他补充内容。</w:t>
                  </w:r>
                </w:p>
              </w:tc>
            </w:tr>
          </w:tbl>
          <w:p>
            <w:pPr>
              <w:pageBreakBefore w:val="0"/>
              <w:kinsoku/>
              <w:wordWrap/>
              <w:overflowPunct/>
              <w:topLinePunct w:val="0"/>
              <w:bidi w:val="0"/>
              <w:snapToGrid w:val="0"/>
              <w:spacing w:line="360" w:lineRule="auto"/>
              <w:rPr>
                <w:rFonts w:eastAsia="黑体"/>
                <w:bCs/>
                <w:color w:val="auto"/>
                <w:sz w:val="24"/>
                <w:highlight w:val="none"/>
              </w:rPr>
            </w:pPr>
            <w:r>
              <w:rPr>
                <w:rFonts w:eastAsia="黑体"/>
                <w:bCs/>
                <w:color w:val="auto"/>
                <w:sz w:val="24"/>
                <w:highlight w:val="none"/>
              </w:rPr>
              <w:t xml:space="preserve">7.2.3声环境影响分析 </w:t>
            </w:r>
          </w:p>
          <w:p>
            <w:pPr>
              <w:pageBreakBefore w:val="0"/>
              <w:kinsoku/>
              <w:wordWrap/>
              <w:overflowPunct/>
              <w:topLinePunct w:val="0"/>
              <w:bidi w:val="0"/>
              <w:snapToGrid w:val="0"/>
              <w:spacing w:line="360" w:lineRule="auto"/>
              <w:ind w:firstLine="480" w:firstLineChars="200"/>
              <w:rPr>
                <w:bCs/>
                <w:color w:val="auto"/>
                <w:sz w:val="24"/>
                <w:highlight w:val="none"/>
              </w:rPr>
            </w:pPr>
            <w:r>
              <w:rPr>
                <w:bCs/>
                <w:color w:val="auto"/>
                <w:sz w:val="24"/>
                <w:highlight w:val="none"/>
              </w:rPr>
              <w:t>1</w:t>
            </w:r>
            <w:r>
              <w:rPr>
                <w:rFonts w:hint="eastAsia"/>
                <w:bCs/>
                <w:color w:val="auto"/>
                <w:sz w:val="24"/>
                <w:highlight w:val="none"/>
              </w:rPr>
              <w:t>、</w:t>
            </w:r>
            <w:r>
              <w:rPr>
                <w:bCs/>
                <w:color w:val="auto"/>
                <w:sz w:val="24"/>
                <w:highlight w:val="none"/>
              </w:rPr>
              <w:t>噪声源分析</w:t>
            </w:r>
          </w:p>
          <w:p>
            <w:pPr>
              <w:pageBreakBefore w:val="0"/>
              <w:kinsoku/>
              <w:wordWrap/>
              <w:overflowPunct/>
              <w:topLinePunct w:val="0"/>
              <w:bidi w:val="0"/>
              <w:adjustRightInd w:val="0"/>
              <w:snapToGrid w:val="0"/>
              <w:spacing w:beforeLines="50" w:line="360" w:lineRule="auto"/>
              <w:ind w:firstLine="480" w:firstLineChars="200"/>
              <w:rPr>
                <w:color w:val="auto"/>
                <w:sz w:val="24"/>
                <w:szCs w:val="20"/>
                <w:highlight w:val="none"/>
              </w:rPr>
            </w:pPr>
            <w:r>
              <w:rPr>
                <w:bCs/>
                <w:color w:val="auto"/>
                <w:sz w:val="24"/>
                <w:highlight w:val="none"/>
              </w:rPr>
              <w:t>本次项目噪声源为</w:t>
            </w:r>
            <w:r>
              <w:rPr>
                <w:rFonts w:hint="eastAsia"/>
                <w:bCs/>
                <w:color w:val="auto"/>
                <w:sz w:val="24"/>
                <w:highlight w:val="none"/>
              </w:rPr>
              <w:t>印刷机、切纸机和废气处理装置</w:t>
            </w:r>
            <w:r>
              <w:rPr>
                <w:bCs/>
                <w:color w:val="auto"/>
                <w:sz w:val="24"/>
                <w:highlight w:val="none"/>
              </w:rPr>
              <w:t>，声级一般为</w:t>
            </w:r>
            <w:r>
              <w:rPr>
                <w:rFonts w:hint="eastAsia"/>
                <w:bCs/>
                <w:color w:val="auto"/>
                <w:sz w:val="24"/>
                <w:highlight w:val="none"/>
              </w:rPr>
              <w:t>70-80</w:t>
            </w:r>
            <w:r>
              <w:rPr>
                <w:bCs/>
                <w:color w:val="auto"/>
                <w:sz w:val="24"/>
                <w:highlight w:val="none"/>
              </w:rPr>
              <w:t>dB（A）。</w:t>
            </w:r>
            <w:r>
              <w:rPr>
                <w:rFonts w:hint="eastAsia"/>
                <w:bCs/>
                <w:color w:val="auto"/>
                <w:sz w:val="24"/>
                <w:highlight w:val="none"/>
              </w:rPr>
              <w:t>建设单位</w:t>
            </w:r>
            <w:r>
              <w:rPr>
                <w:color w:val="auto"/>
                <w:sz w:val="24"/>
                <w:szCs w:val="20"/>
                <w:highlight w:val="none"/>
              </w:rPr>
              <w:t>采用</w:t>
            </w:r>
            <w:r>
              <w:rPr>
                <w:rFonts w:hint="eastAsia"/>
                <w:color w:val="auto"/>
                <w:sz w:val="24"/>
                <w:szCs w:val="20"/>
                <w:highlight w:val="none"/>
              </w:rPr>
              <w:t>室内放置</w:t>
            </w:r>
            <w:r>
              <w:rPr>
                <w:color w:val="auto"/>
                <w:kern w:val="0"/>
                <w:sz w:val="24"/>
                <w:szCs w:val="20"/>
                <w:highlight w:val="none"/>
              </w:rPr>
              <w:t>，</w:t>
            </w:r>
            <w:r>
              <w:rPr>
                <w:bCs/>
                <w:color w:val="auto"/>
                <w:sz w:val="24"/>
                <w:szCs w:val="20"/>
                <w:highlight w:val="none"/>
              </w:rPr>
              <w:t>在</w:t>
            </w:r>
            <w:r>
              <w:rPr>
                <w:color w:val="auto"/>
                <w:sz w:val="24"/>
                <w:szCs w:val="20"/>
                <w:highlight w:val="none"/>
              </w:rPr>
              <w:t>设备底部安装防震垫，加强设备维修与护养，适时添加机械润滑油，预防机械磨损</w:t>
            </w:r>
            <w:r>
              <w:rPr>
                <w:rFonts w:hint="eastAsia"/>
                <w:color w:val="auto"/>
                <w:sz w:val="24"/>
                <w:szCs w:val="20"/>
                <w:highlight w:val="none"/>
              </w:rPr>
              <w:t>等措施减少噪声排放</w:t>
            </w:r>
          </w:p>
          <w:p>
            <w:pPr>
              <w:pageBreakBefore w:val="0"/>
              <w:kinsoku/>
              <w:wordWrap/>
              <w:overflowPunct/>
              <w:topLinePunct w:val="0"/>
              <w:bidi w:val="0"/>
              <w:snapToGrid w:val="0"/>
              <w:spacing w:line="360" w:lineRule="auto"/>
              <w:ind w:firstLine="480" w:firstLineChars="200"/>
              <w:rPr>
                <w:bCs/>
                <w:color w:val="auto"/>
                <w:sz w:val="24"/>
                <w:highlight w:val="none"/>
              </w:rPr>
            </w:pPr>
            <w:r>
              <w:rPr>
                <w:bCs/>
                <w:color w:val="auto"/>
                <w:sz w:val="24"/>
                <w:highlight w:val="none"/>
              </w:rPr>
              <w:t>噪声源强表</w:t>
            </w:r>
            <w:r>
              <w:rPr>
                <w:rFonts w:hint="eastAsia"/>
                <w:bCs/>
                <w:color w:val="auto"/>
                <w:sz w:val="24"/>
                <w:highlight w:val="none"/>
              </w:rPr>
              <w:t>及控制措施</w:t>
            </w:r>
            <w:r>
              <w:rPr>
                <w:bCs/>
                <w:color w:val="auto"/>
                <w:sz w:val="24"/>
                <w:highlight w:val="none"/>
              </w:rPr>
              <w:t>见表</w:t>
            </w:r>
            <w:r>
              <w:rPr>
                <w:rFonts w:hint="eastAsia"/>
                <w:bCs/>
                <w:color w:val="auto"/>
                <w:sz w:val="24"/>
                <w:highlight w:val="none"/>
              </w:rPr>
              <w:t>7-11，污染源分布见表7-12。</w:t>
            </w:r>
          </w:p>
          <w:p>
            <w:pPr>
              <w:pageBreakBefore w:val="0"/>
              <w:kinsoku/>
              <w:wordWrap/>
              <w:overflowPunct/>
              <w:topLinePunct w:val="0"/>
              <w:bidi w:val="0"/>
              <w:snapToGrid w:val="0"/>
              <w:spacing w:line="360" w:lineRule="auto"/>
              <w:ind w:firstLine="480" w:firstLineChars="200"/>
              <w:jc w:val="center"/>
              <w:rPr>
                <w:rFonts w:eastAsia="黑体"/>
                <w:color w:val="auto"/>
                <w:sz w:val="22"/>
                <w:highlight w:val="none"/>
              </w:rPr>
            </w:pPr>
            <w:r>
              <w:rPr>
                <w:rFonts w:hint="eastAsia" w:eastAsia="黑体"/>
                <w:bCs/>
                <w:color w:val="auto"/>
                <w:sz w:val="24"/>
                <w:highlight w:val="none"/>
              </w:rPr>
              <w:t>表7-11</w:t>
            </w:r>
            <w:r>
              <w:rPr>
                <w:rFonts w:eastAsia="黑体"/>
                <w:bCs/>
                <w:color w:val="auto"/>
                <w:sz w:val="24"/>
                <w:highlight w:val="none"/>
              </w:rPr>
              <w:t xml:space="preserve">   </w:t>
            </w:r>
            <w:r>
              <w:rPr>
                <w:rFonts w:hint="eastAsia" w:eastAsia="黑体"/>
                <w:bCs/>
                <w:color w:val="auto"/>
                <w:sz w:val="24"/>
                <w:highlight w:val="none"/>
              </w:rPr>
              <w:t xml:space="preserve"> </w:t>
            </w:r>
            <w:r>
              <w:rPr>
                <w:rFonts w:eastAsia="黑体"/>
                <w:bCs/>
                <w:color w:val="auto"/>
                <w:sz w:val="24"/>
                <w:highlight w:val="none"/>
              </w:rPr>
              <w:t xml:space="preserve"> 项目</w:t>
            </w:r>
            <w:r>
              <w:rPr>
                <w:rFonts w:hint="eastAsia" w:eastAsia="黑体"/>
                <w:bCs/>
                <w:color w:val="auto"/>
                <w:sz w:val="24"/>
                <w:highlight w:val="none"/>
              </w:rPr>
              <w:t>主要</w:t>
            </w:r>
            <w:r>
              <w:rPr>
                <w:rFonts w:eastAsia="黑体"/>
                <w:bCs/>
                <w:color w:val="auto"/>
                <w:sz w:val="24"/>
                <w:highlight w:val="none"/>
              </w:rPr>
              <w:t>噪声源强</w:t>
            </w:r>
            <w:r>
              <w:rPr>
                <w:rFonts w:hint="eastAsia" w:eastAsia="黑体"/>
                <w:bCs/>
                <w:color w:val="auto"/>
                <w:sz w:val="24"/>
                <w:highlight w:val="none"/>
              </w:rPr>
              <w:t>及控制措施表</w:t>
            </w:r>
            <w:r>
              <w:rPr>
                <w:rFonts w:eastAsia="黑体"/>
                <w:bCs/>
                <w:color w:val="auto"/>
                <w:sz w:val="24"/>
                <w:highlight w:val="none"/>
              </w:rPr>
              <w:t xml:space="preserve"> </w:t>
            </w:r>
            <w:r>
              <w:rPr>
                <w:rFonts w:eastAsia="黑体"/>
                <w:bCs/>
                <w:color w:val="auto"/>
                <w:sz w:val="22"/>
                <w:highlight w:val="none"/>
              </w:rPr>
              <w:t xml:space="preserve">  单位：</w:t>
            </w:r>
            <w:r>
              <w:rPr>
                <w:rFonts w:eastAsia="黑体"/>
                <w:color w:val="auto"/>
                <w:sz w:val="22"/>
                <w:highlight w:val="none"/>
              </w:rPr>
              <w:t>Leq : dB(A)</w:t>
            </w:r>
          </w:p>
          <w:tbl>
            <w:tblPr>
              <w:tblStyle w:val="27"/>
              <w:tblW w:w="773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93"/>
              <w:gridCol w:w="851"/>
              <w:gridCol w:w="1134"/>
              <w:gridCol w:w="1200"/>
              <w:gridCol w:w="1651"/>
              <w:gridCol w:w="14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93" w:type="dxa"/>
                  <w:vAlign w:val="center"/>
                </w:tcPr>
                <w:p>
                  <w:pPr>
                    <w:keepNext w:val="0"/>
                    <w:keepLines w:val="0"/>
                    <w:pageBreakBefore w:val="0"/>
                    <w:widowControl w:val="0"/>
                    <w:kinsoku/>
                    <w:wordWrap/>
                    <w:overflowPunct/>
                    <w:topLinePunct w:val="0"/>
                    <w:autoSpaceDE/>
                    <w:autoSpaceDN/>
                    <w:bidi w:val="0"/>
                    <w:adjustRightInd/>
                    <w:snapToGrid w:val="0"/>
                    <w:ind w:left="-157" w:leftChars="-56" w:right="-90" w:rightChars="-32" w:firstLine="115" w:firstLineChars="55"/>
                    <w:jc w:val="center"/>
                    <w:textAlignment w:val="auto"/>
                    <w:rPr>
                      <w:bCs/>
                      <w:color w:val="auto"/>
                      <w:sz w:val="21"/>
                      <w:szCs w:val="21"/>
                      <w:highlight w:val="none"/>
                    </w:rPr>
                  </w:pPr>
                  <w:r>
                    <w:rPr>
                      <w:bCs/>
                      <w:color w:val="auto"/>
                      <w:sz w:val="21"/>
                      <w:szCs w:val="21"/>
                      <w:highlight w:val="none"/>
                    </w:rPr>
                    <w:t>噪声设备</w:t>
                  </w:r>
                </w:p>
              </w:tc>
              <w:tc>
                <w:tcPr>
                  <w:tcW w:w="851" w:type="dxa"/>
                  <w:vAlign w:val="center"/>
                </w:tcPr>
                <w:p>
                  <w:pPr>
                    <w:keepNext w:val="0"/>
                    <w:keepLines w:val="0"/>
                    <w:pageBreakBefore w:val="0"/>
                    <w:widowControl w:val="0"/>
                    <w:kinsoku/>
                    <w:wordWrap/>
                    <w:overflowPunct/>
                    <w:topLinePunct w:val="0"/>
                    <w:autoSpaceDE/>
                    <w:autoSpaceDN/>
                    <w:bidi w:val="0"/>
                    <w:adjustRightInd/>
                    <w:snapToGrid w:val="0"/>
                    <w:ind w:left="-4" w:leftChars="-5" w:hanging="10" w:hangingChars="5"/>
                    <w:jc w:val="center"/>
                    <w:textAlignment w:val="auto"/>
                    <w:rPr>
                      <w:bCs/>
                      <w:color w:val="auto"/>
                      <w:sz w:val="21"/>
                      <w:szCs w:val="21"/>
                      <w:highlight w:val="none"/>
                    </w:rPr>
                  </w:pPr>
                  <w:r>
                    <w:rPr>
                      <w:bCs/>
                      <w:color w:val="auto"/>
                      <w:sz w:val="21"/>
                      <w:szCs w:val="21"/>
                      <w:highlight w:val="none"/>
                    </w:rPr>
                    <w:t>位置</w:t>
                  </w:r>
                </w:p>
              </w:tc>
              <w:tc>
                <w:tcPr>
                  <w:tcW w:w="1134" w:type="dxa"/>
                  <w:vAlign w:val="center"/>
                </w:tcPr>
                <w:p>
                  <w:pPr>
                    <w:keepNext w:val="0"/>
                    <w:keepLines w:val="0"/>
                    <w:pageBreakBefore w:val="0"/>
                    <w:widowControl w:val="0"/>
                    <w:kinsoku/>
                    <w:wordWrap/>
                    <w:overflowPunct/>
                    <w:topLinePunct w:val="0"/>
                    <w:autoSpaceDE/>
                    <w:autoSpaceDN/>
                    <w:bidi w:val="0"/>
                    <w:adjustRightInd/>
                    <w:snapToGrid w:val="0"/>
                    <w:ind w:left="-4" w:leftChars="-5" w:hanging="10" w:hangingChars="5"/>
                    <w:jc w:val="center"/>
                    <w:textAlignment w:val="auto"/>
                    <w:rPr>
                      <w:bCs/>
                      <w:color w:val="auto"/>
                      <w:sz w:val="21"/>
                      <w:szCs w:val="21"/>
                      <w:highlight w:val="none"/>
                    </w:rPr>
                  </w:pPr>
                  <w:r>
                    <w:rPr>
                      <w:bCs/>
                      <w:color w:val="auto"/>
                      <w:sz w:val="21"/>
                      <w:szCs w:val="21"/>
                      <w:highlight w:val="none"/>
                    </w:rPr>
                    <w:t>数量</w:t>
                  </w:r>
                </w:p>
                <w:p>
                  <w:pPr>
                    <w:keepNext w:val="0"/>
                    <w:keepLines w:val="0"/>
                    <w:pageBreakBefore w:val="0"/>
                    <w:widowControl w:val="0"/>
                    <w:kinsoku/>
                    <w:wordWrap/>
                    <w:overflowPunct/>
                    <w:topLinePunct w:val="0"/>
                    <w:autoSpaceDE/>
                    <w:autoSpaceDN/>
                    <w:bidi w:val="0"/>
                    <w:adjustRightInd/>
                    <w:snapToGrid w:val="0"/>
                    <w:ind w:left="-4" w:leftChars="-5" w:hanging="10" w:hangingChars="5"/>
                    <w:jc w:val="center"/>
                    <w:textAlignment w:val="auto"/>
                    <w:rPr>
                      <w:bCs/>
                      <w:color w:val="auto"/>
                      <w:sz w:val="21"/>
                      <w:szCs w:val="21"/>
                      <w:highlight w:val="none"/>
                    </w:rPr>
                  </w:pPr>
                  <w:r>
                    <w:rPr>
                      <w:rFonts w:hint="eastAsia"/>
                      <w:bCs/>
                      <w:color w:val="auto"/>
                      <w:sz w:val="21"/>
                      <w:szCs w:val="21"/>
                      <w:highlight w:val="none"/>
                    </w:rPr>
                    <w:t>（台/套）</w:t>
                  </w:r>
                </w:p>
              </w:tc>
              <w:tc>
                <w:tcPr>
                  <w:tcW w:w="1200" w:type="dxa"/>
                  <w:vAlign w:val="center"/>
                </w:tcPr>
                <w:p>
                  <w:pPr>
                    <w:keepNext w:val="0"/>
                    <w:keepLines w:val="0"/>
                    <w:pageBreakBefore w:val="0"/>
                    <w:widowControl w:val="0"/>
                    <w:kinsoku/>
                    <w:wordWrap/>
                    <w:overflowPunct/>
                    <w:topLinePunct w:val="0"/>
                    <w:autoSpaceDE/>
                    <w:autoSpaceDN/>
                    <w:bidi w:val="0"/>
                    <w:adjustRightInd/>
                    <w:snapToGrid w:val="0"/>
                    <w:ind w:left="-4" w:leftChars="-5" w:hanging="10" w:hangingChars="5"/>
                    <w:jc w:val="center"/>
                    <w:textAlignment w:val="auto"/>
                    <w:rPr>
                      <w:bCs/>
                      <w:color w:val="auto"/>
                      <w:sz w:val="21"/>
                      <w:szCs w:val="21"/>
                      <w:highlight w:val="none"/>
                    </w:rPr>
                  </w:pPr>
                  <w:r>
                    <w:rPr>
                      <w:rFonts w:hint="eastAsia"/>
                      <w:bCs/>
                      <w:color w:val="auto"/>
                      <w:sz w:val="21"/>
                      <w:szCs w:val="21"/>
                      <w:highlight w:val="none"/>
                    </w:rPr>
                    <w:t>单台</w:t>
                  </w:r>
                  <w:r>
                    <w:rPr>
                      <w:bCs/>
                      <w:color w:val="auto"/>
                      <w:sz w:val="21"/>
                      <w:szCs w:val="21"/>
                      <w:highlight w:val="none"/>
                    </w:rPr>
                    <w:t>噪声</w:t>
                  </w:r>
                </w:p>
                <w:p>
                  <w:pPr>
                    <w:keepNext w:val="0"/>
                    <w:keepLines w:val="0"/>
                    <w:pageBreakBefore w:val="0"/>
                    <w:widowControl w:val="0"/>
                    <w:kinsoku/>
                    <w:wordWrap/>
                    <w:overflowPunct/>
                    <w:topLinePunct w:val="0"/>
                    <w:autoSpaceDE/>
                    <w:autoSpaceDN/>
                    <w:bidi w:val="0"/>
                    <w:adjustRightInd/>
                    <w:snapToGrid w:val="0"/>
                    <w:ind w:left="-4" w:leftChars="-5" w:hanging="10" w:hangingChars="5"/>
                    <w:jc w:val="center"/>
                    <w:textAlignment w:val="auto"/>
                    <w:rPr>
                      <w:bCs/>
                      <w:color w:val="auto"/>
                      <w:sz w:val="21"/>
                      <w:szCs w:val="21"/>
                      <w:highlight w:val="none"/>
                    </w:rPr>
                  </w:pPr>
                  <w:r>
                    <w:rPr>
                      <w:bCs/>
                      <w:color w:val="auto"/>
                      <w:sz w:val="21"/>
                      <w:szCs w:val="21"/>
                      <w:highlight w:val="none"/>
                    </w:rPr>
                    <w:t>源强dB(A)</w:t>
                  </w:r>
                </w:p>
              </w:tc>
              <w:tc>
                <w:tcPr>
                  <w:tcW w:w="1651" w:type="dxa"/>
                  <w:vAlign w:val="center"/>
                </w:tcPr>
                <w:p>
                  <w:pPr>
                    <w:keepNext w:val="0"/>
                    <w:keepLines w:val="0"/>
                    <w:pageBreakBefore w:val="0"/>
                    <w:widowControl w:val="0"/>
                    <w:kinsoku/>
                    <w:wordWrap/>
                    <w:overflowPunct/>
                    <w:topLinePunct w:val="0"/>
                    <w:autoSpaceDE/>
                    <w:autoSpaceDN/>
                    <w:bidi w:val="0"/>
                    <w:adjustRightInd/>
                    <w:snapToGrid w:val="0"/>
                    <w:ind w:left="-4" w:leftChars="-5" w:hanging="10" w:hangingChars="5"/>
                    <w:jc w:val="center"/>
                    <w:textAlignment w:val="auto"/>
                    <w:rPr>
                      <w:bCs/>
                      <w:color w:val="auto"/>
                      <w:sz w:val="21"/>
                      <w:szCs w:val="21"/>
                      <w:highlight w:val="none"/>
                    </w:rPr>
                  </w:pPr>
                  <w:r>
                    <w:rPr>
                      <w:rFonts w:hint="eastAsia"/>
                      <w:bCs/>
                      <w:color w:val="auto"/>
                      <w:sz w:val="21"/>
                      <w:szCs w:val="21"/>
                      <w:highlight w:val="none"/>
                    </w:rPr>
                    <w:t>降噪措施</w:t>
                  </w:r>
                </w:p>
              </w:tc>
              <w:tc>
                <w:tcPr>
                  <w:tcW w:w="1401" w:type="dxa"/>
                  <w:vAlign w:val="center"/>
                </w:tcPr>
                <w:p>
                  <w:pPr>
                    <w:keepNext w:val="0"/>
                    <w:keepLines w:val="0"/>
                    <w:pageBreakBefore w:val="0"/>
                    <w:widowControl w:val="0"/>
                    <w:kinsoku/>
                    <w:wordWrap/>
                    <w:overflowPunct/>
                    <w:topLinePunct w:val="0"/>
                    <w:autoSpaceDE/>
                    <w:autoSpaceDN/>
                    <w:bidi w:val="0"/>
                    <w:adjustRightInd/>
                    <w:snapToGrid w:val="0"/>
                    <w:ind w:left="-4" w:leftChars="-5" w:hanging="10" w:hangingChars="5"/>
                    <w:jc w:val="center"/>
                    <w:textAlignment w:val="auto"/>
                    <w:rPr>
                      <w:bCs/>
                      <w:color w:val="auto"/>
                      <w:sz w:val="21"/>
                      <w:szCs w:val="21"/>
                      <w:highlight w:val="none"/>
                    </w:rPr>
                  </w:pPr>
                  <w:r>
                    <w:rPr>
                      <w:rFonts w:hint="eastAsia"/>
                      <w:bCs/>
                      <w:color w:val="auto"/>
                      <w:sz w:val="21"/>
                      <w:szCs w:val="21"/>
                      <w:highlight w:val="none"/>
                    </w:rPr>
                    <w:t>采取措施后源强</w:t>
                  </w:r>
                  <w:r>
                    <w:rPr>
                      <w:bCs/>
                      <w:color w:val="auto"/>
                      <w:sz w:val="21"/>
                      <w:szCs w:val="21"/>
                      <w:highlight w:val="none"/>
                    </w:rPr>
                    <w:t>dB(A)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93"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四色印刷机</w:t>
                  </w:r>
                </w:p>
              </w:tc>
              <w:tc>
                <w:tcPr>
                  <w:tcW w:w="85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室内</w:t>
                  </w:r>
                </w:p>
              </w:tc>
              <w:tc>
                <w:tcPr>
                  <w:tcW w:w="113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1</w:t>
                  </w:r>
                </w:p>
              </w:tc>
              <w:tc>
                <w:tcPr>
                  <w:tcW w:w="120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70</w:t>
                  </w:r>
                </w:p>
              </w:tc>
              <w:tc>
                <w:tcPr>
                  <w:tcW w:w="1651" w:type="dxa"/>
                  <w:vMerge w:val="restart"/>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室内放置，采用减震安装，定期维护等措施</w:t>
                  </w:r>
                </w:p>
              </w:tc>
              <w:tc>
                <w:tcPr>
                  <w:tcW w:w="1401" w:type="dxa"/>
                  <w:vAlign w:val="center"/>
                </w:tcPr>
                <w:p>
                  <w:pPr>
                    <w:keepNext w:val="0"/>
                    <w:keepLines w:val="0"/>
                    <w:pageBreakBefore w:val="0"/>
                    <w:widowControl w:val="0"/>
                    <w:kinsoku/>
                    <w:wordWrap/>
                    <w:overflowPunct/>
                    <w:topLinePunct w:val="0"/>
                    <w:autoSpaceDE/>
                    <w:autoSpaceDN/>
                    <w:bidi w:val="0"/>
                    <w:adjustRightInd/>
                    <w:snapToGrid w:val="0"/>
                    <w:ind w:left="-56" w:leftChars="-20" w:right="-56" w:rightChars="-20"/>
                    <w:jc w:val="center"/>
                    <w:textAlignment w:val="auto"/>
                    <w:rPr>
                      <w:color w:val="auto"/>
                      <w:sz w:val="21"/>
                      <w:szCs w:val="21"/>
                      <w:highlight w:val="none"/>
                    </w:rPr>
                  </w:pPr>
                  <w:r>
                    <w:rPr>
                      <w:rFonts w:hint="eastAsia"/>
                      <w:color w:val="auto"/>
                      <w:sz w:val="21"/>
                      <w:szCs w:val="21"/>
                      <w:highlight w:val="none"/>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93"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双色印刷机</w:t>
                  </w:r>
                </w:p>
              </w:tc>
              <w:tc>
                <w:tcPr>
                  <w:tcW w:w="85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室内</w:t>
                  </w:r>
                </w:p>
              </w:tc>
              <w:tc>
                <w:tcPr>
                  <w:tcW w:w="113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2</w:t>
                  </w:r>
                </w:p>
              </w:tc>
              <w:tc>
                <w:tcPr>
                  <w:tcW w:w="120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70</w:t>
                  </w:r>
                </w:p>
              </w:tc>
              <w:tc>
                <w:tcPr>
                  <w:tcW w:w="1651"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p>
              </w:tc>
              <w:tc>
                <w:tcPr>
                  <w:tcW w:w="1401" w:type="dxa"/>
                  <w:vAlign w:val="center"/>
                </w:tcPr>
                <w:p>
                  <w:pPr>
                    <w:keepNext w:val="0"/>
                    <w:keepLines w:val="0"/>
                    <w:pageBreakBefore w:val="0"/>
                    <w:widowControl w:val="0"/>
                    <w:kinsoku/>
                    <w:wordWrap/>
                    <w:overflowPunct/>
                    <w:topLinePunct w:val="0"/>
                    <w:autoSpaceDE/>
                    <w:autoSpaceDN/>
                    <w:bidi w:val="0"/>
                    <w:adjustRightInd/>
                    <w:snapToGrid w:val="0"/>
                    <w:ind w:left="-56" w:leftChars="-20" w:right="-56" w:rightChars="-20"/>
                    <w:jc w:val="center"/>
                    <w:textAlignment w:val="auto"/>
                    <w:rPr>
                      <w:color w:val="auto"/>
                      <w:sz w:val="21"/>
                      <w:szCs w:val="21"/>
                      <w:highlight w:val="none"/>
                    </w:rPr>
                  </w:pPr>
                  <w:r>
                    <w:rPr>
                      <w:rFonts w:hint="eastAsia"/>
                      <w:color w:val="auto"/>
                      <w:sz w:val="21"/>
                      <w:szCs w:val="21"/>
                      <w:highlight w:val="none"/>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93"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切纸机</w:t>
                  </w:r>
                </w:p>
              </w:tc>
              <w:tc>
                <w:tcPr>
                  <w:tcW w:w="85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室内</w:t>
                  </w:r>
                </w:p>
              </w:tc>
              <w:tc>
                <w:tcPr>
                  <w:tcW w:w="113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1</w:t>
                  </w:r>
                </w:p>
              </w:tc>
              <w:tc>
                <w:tcPr>
                  <w:tcW w:w="120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75</w:t>
                  </w:r>
                </w:p>
              </w:tc>
              <w:tc>
                <w:tcPr>
                  <w:tcW w:w="1651" w:type="dxa"/>
                  <w:vMerge w:val="continue"/>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p>
              </w:tc>
              <w:tc>
                <w:tcPr>
                  <w:tcW w:w="1401" w:type="dxa"/>
                  <w:vAlign w:val="center"/>
                </w:tcPr>
                <w:p>
                  <w:pPr>
                    <w:keepNext w:val="0"/>
                    <w:keepLines w:val="0"/>
                    <w:pageBreakBefore w:val="0"/>
                    <w:widowControl w:val="0"/>
                    <w:kinsoku/>
                    <w:wordWrap/>
                    <w:overflowPunct/>
                    <w:topLinePunct w:val="0"/>
                    <w:autoSpaceDE/>
                    <w:autoSpaceDN/>
                    <w:bidi w:val="0"/>
                    <w:adjustRightInd/>
                    <w:snapToGrid w:val="0"/>
                    <w:ind w:left="-56" w:leftChars="-20" w:right="-56" w:rightChars="-20"/>
                    <w:jc w:val="center"/>
                    <w:textAlignment w:val="auto"/>
                    <w:rPr>
                      <w:color w:val="auto"/>
                      <w:sz w:val="21"/>
                      <w:szCs w:val="21"/>
                      <w:highlight w:val="none"/>
                    </w:rPr>
                  </w:pPr>
                  <w:r>
                    <w:rPr>
                      <w:rFonts w:hint="eastAsia"/>
                      <w:color w:val="auto"/>
                      <w:sz w:val="21"/>
                      <w:szCs w:val="21"/>
                      <w:highlight w:val="none"/>
                    </w:rPr>
                    <w:t>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93"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废气处理设备</w:t>
                  </w:r>
                </w:p>
              </w:tc>
              <w:tc>
                <w:tcPr>
                  <w:tcW w:w="85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室外</w:t>
                  </w:r>
                </w:p>
              </w:tc>
              <w:tc>
                <w:tcPr>
                  <w:tcW w:w="1134"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1</w:t>
                  </w:r>
                </w:p>
              </w:tc>
              <w:tc>
                <w:tcPr>
                  <w:tcW w:w="1200"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80</w:t>
                  </w:r>
                </w:p>
              </w:tc>
              <w:tc>
                <w:tcPr>
                  <w:tcW w:w="1651"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color w:val="auto"/>
                      <w:sz w:val="21"/>
                      <w:szCs w:val="21"/>
                      <w:highlight w:val="none"/>
                    </w:rPr>
                  </w:pPr>
                  <w:r>
                    <w:rPr>
                      <w:rFonts w:hint="eastAsia"/>
                      <w:color w:val="auto"/>
                      <w:sz w:val="21"/>
                      <w:szCs w:val="21"/>
                      <w:highlight w:val="none"/>
                    </w:rPr>
                    <w:t>采用减震安装，定期维护等措施</w:t>
                  </w:r>
                </w:p>
              </w:tc>
              <w:tc>
                <w:tcPr>
                  <w:tcW w:w="1401" w:type="dxa"/>
                  <w:vAlign w:val="center"/>
                </w:tcPr>
                <w:p>
                  <w:pPr>
                    <w:keepNext w:val="0"/>
                    <w:keepLines w:val="0"/>
                    <w:pageBreakBefore w:val="0"/>
                    <w:widowControl w:val="0"/>
                    <w:kinsoku/>
                    <w:wordWrap/>
                    <w:overflowPunct/>
                    <w:topLinePunct w:val="0"/>
                    <w:autoSpaceDE/>
                    <w:autoSpaceDN/>
                    <w:bidi w:val="0"/>
                    <w:adjustRightInd/>
                    <w:snapToGrid w:val="0"/>
                    <w:ind w:left="-56" w:leftChars="-20" w:right="-56" w:rightChars="-20"/>
                    <w:jc w:val="center"/>
                    <w:textAlignment w:val="auto"/>
                    <w:rPr>
                      <w:color w:val="auto"/>
                      <w:sz w:val="21"/>
                      <w:szCs w:val="21"/>
                      <w:highlight w:val="none"/>
                    </w:rPr>
                  </w:pPr>
                  <w:r>
                    <w:rPr>
                      <w:rFonts w:hint="eastAsia"/>
                      <w:color w:val="auto"/>
                      <w:sz w:val="21"/>
                      <w:szCs w:val="21"/>
                      <w:highlight w:val="none"/>
                    </w:rPr>
                    <w:t>75</w:t>
                  </w:r>
                </w:p>
              </w:tc>
            </w:tr>
          </w:tbl>
          <w:p>
            <w:pPr>
              <w:pageBreakBefore w:val="0"/>
              <w:kinsoku/>
              <w:wordWrap/>
              <w:overflowPunct/>
              <w:topLinePunct w:val="0"/>
              <w:bidi w:val="0"/>
              <w:snapToGrid w:val="0"/>
              <w:spacing w:line="360" w:lineRule="auto"/>
              <w:ind w:firstLine="480" w:firstLineChars="200"/>
              <w:jc w:val="center"/>
              <w:rPr>
                <w:rFonts w:eastAsia="黑体"/>
                <w:color w:val="auto"/>
                <w:sz w:val="22"/>
                <w:highlight w:val="none"/>
              </w:rPr>
            </w:pPr>
            <w:r>
              <w:rPr>
                <w:rFonts w:hint="eastAsia" w:eastAsia="黑体"/>
                <w:bCs/>
                <w:color w:val="auto"/>
                <w:sz w:val="24"/>
                <w:highlight w:val="none"/>
              </w:rPr>
              <w:t xml:space="preserve">表7-12 </w:t>
            </w:r>
            <w:r>
              <w:rPr>
                <w:rFonts w:eastAsia="黑体"/>
                <w:bCs/>
                <w:color w:val="auto"/>
                <w:sz w:val="24"/>
                <w:highlight w:val="none"/>
              </w:rPr>
              <w:t xml:space="preserve">   项目主要噪声源位置分布</w:t>
            </w:r>
          </w:p>
          <w:tbl>
            <w:tblPr>
              <w:tblStyle w:val="27"/>
              <w:tblW w:w="4526"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46"/>
              <w:gridCol w:w="852"/>
              <w:gridCol w:w="709"/>
              <w:gridCol w:w="850"/>
              <w:gridCol w:w="851"/>
              <w:gridCol w:w="29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646" w:type="dxa"/>
                  <w:vMerge w:val="restart"/>
                  <w:shd w:val="clear" w:color="auto" w:fill="auto"/>
                  <w:vAlign w:val="center"/>
                </w:tcPr>
                <w:p>
                  <w:pPr>
                    <w:pageBreakBefore w:val="0"/>
                    <w:kinsoku/>
                    <w:wordWrap/>
                    <w:overflowPunct/>
                    <w:topLinePunct w:val="0"/>
                    <w:bidi w:val="0"/>
                    <w:snapToGrid w:val="0"/>
                    <w:ind w:left="-157" w:leftChars="-56" w:right="-90" w:rightChars="-32" w:firstLine="115" w:firstLineChars="55"/>
                    <w:jc w:val="center"/>
                    <w:rPr>
                      <w:bCs/>
                      <w:color w:val="auto"/>
                      <w:sz w:val="21"/>
                      <w:szCs w:val="21"/>
                      <w:highlight w:val="none"/>
                    </w:rPr>
                  </w:pPr>
                  <w:r>
                    <w:rPr>
                      <w:bCs/>
                      <w:color w:val="auto"/>
                      <w:sz w:val="21"/>
                      <w:szCs w:val="21"/>
                      <w:highlight w:val="none"/>
                    </w:rPr>
                    <w:t>噪声设备</w:t>
                  </w:r>
                </w:p>
              </w:tc>
              <w:tc>
                <w:tcPr>
                  <w:tcW w:w="3262" w:type="dxa"/>
                  <w:gridSpan w:val="4"/>
                  <w:shd w:val="clear" w:color="auto" w:fill="auto"/>
                  <w:vAlign w:val="center"/>
                </w:tcPr>
                <w:p>
                  <w:pPr>
                    <w:pageBreakBefore w:val="0"/>
                    <w:kinsoku/>
                    <w:wordWrap/>
                    <w:overflowPunct/>
                    <w:topLinePunct w:val="0"/>
                    <w:bidi w:val="0"/>
                    <w:snapToGrid w:val="0"/>
                    <w:ind w:left="-4" w:leftChars="-5" w:hanging="10" w:hangingChars="5"/>
                    <w:jc w:val="center"/>
                    <w:rPr>
                      <w:bCs/>
                      <w:color w:val="auto"/>
                      <w:sz w:val="21"/>
                      <w:szCs w:val="21"/>
                      <w:highlight w:val="none"/>
                    </w:rPr>
                  </w:pPr>
                  <w:r>
                    <w:rPr>
                      <w:bCs/>
                      <w:color w:val="auto"/>
                      <w:sz w:val="21"/>
                      <w:szCs w:val="21"/>
                      <w:highlight w:val="none"/>
                    </w:rPr>
                    <w:t>与厂界最近距离（m）</w:t>
                  </w:r>
                </w:p>
              </w:tc>
              <w:tc>
                <w:tcPr>
                  <w:tcW w:w="2923" w:type="dxa"/>
                  <w:shd w:val="clear" w:color="auto" w:fill="auto"/>
                  <w:vAlign w:val="center"/>
                </w:tcPr>
                <w:p>
                  <w:pPr>
                    <w:pageBreakBefore w:val="0"/>
                    <w:kinsoku/>
                    <w:wordWrap/>
                    <w:overflowPunct/>
                    <w:topLinePunct w:val="0"/>
                    <w:bidi w:val="0"/>
                    <w:snapToGrid w:val="0"/>
                    <w:ind w:left="-4" w:leftChars="-5" w:hanging="10" w:hangingChars="5"/>
                    <w:jc w:val="center"/>
                    <w:rPr>
                      <w:bCs/>
                      <w:color w:val="auto"/>
                      <w:sz w:val="21"/>
                      <w:szCs w:val="21"/>
                      <w:highlight w:val="none"/>
                    </w:rPr>
                  </w:pPr>
                  <w:r>
                    <w:rPr>
                      <w:bCs/>
                      <w:color w:val="auto"/>
                      <w:sz w:val="21"/>
                      <w:szCs w:val="21"/>
                      <w:highlight w:val="none"/>
                    </w:rPr>
                    <w:t>与敏感目标距离（m）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646" w:type="dxa"/>
                  <w:vMerge w:val="continue"/>
                  <w:shd w:val="clear" w:color="auto" w:fill="auto"/>
                  <w:vAlign w:val="center"/>
                </w:tcPr>
                <w:p>
                  <w:pPr>
                    <w:pageBreakBefore w:val="0"/>
                    <w:kinsoku/>
                    <w:wordWrap/>
                    <w:overflowPunct/>
                    <w:topLinePunct w:val="0"/>
                    <w:bidi w:val="0"/>
                    <w:snapToGrid w:val="0"/>
                    <w:ind w:left="-157" w:leftChars="-56" w:right="-90" w:rightChars="-32" w:firstLine="115" w:firstLineChars="55"/>
                    <w:jc w:val="center"/>
                    <w:rPr>
                      <w:bCs/>
                      <w:color w:val="auto"/>
                      <w:sz w:val="21"/>
                      <w:szCs w:val="21"/>
                      <w:highlight w:val="none"/>
                    </w:rPr>
                  </w:pPr>
                </w:p>
              </w:tc>
              <w:tc>
                <w:tcPr>
                  <w:tcW w:w="852" w:type="dxa"/>
                  <w:shd w:val="clear" w:color="auto" w:fill="auto"/>
                  <w:vAlign w:val="center"/>
                </w:tcPr>
                <w:p>
                  <w:pPr>
                    <w:pageBreakBefore w:val="0"/>
                    <w:kinsoku/>
                    <w:wordWrap/>
                    <w:overflowPunct/>
                    <w:topLinePunct w:val="0"/>
                    <w:bidi w:val="0"/>
                    <w:snapToGrid w:val="0"/>
                    <w:ind w:left="-4" w:leftChars="-5" w:hanging="10" w:hangingChars="5"/>
                    <w:jc w:val="center"/>
                    <w:rPr>
                      <w:bCs/>
                      <w:color w:val="auto"/>
                      <w:sz w:val="21"/>
                      <w:szCs w:val="21"/>
                      <w:highlight w:val="none"/>
                    </w:rPr>
                  </w:pPr>
                  <w:r>
                    <w:rPr>
                      <w:bCs/>
                      <w:color w:val="auto"/>
                      <w:sz w:val="21"/>
                      <w:szCs w:val="21"/>
                      <w:highlight w:val="none"/>
                    </w:rPr>
                    <w:t>东</w:t>
                  </w:r>
                </w:p>
              </w:tc>
              <w:tc>
                <w:tcPr>
                  <w:tcW w:w="709" w:type="dxa"/>
                  <w:shd w:val="clear" w:color="auto" w:fill="auto"/>
                  <w:vAlign w:val="center"/>
                </w:tcPr>
                <w:p>
                  <w:pPr>
                    <w:pageBreakBefore w:val="0"/>
                    <w:kinsoku/>
                    <w:wordWrap/>
                    <w:overflowPunct/>
                    <w:topLinePunct w:val="0"/>
                    <w:bidi w:val="0"/>
                    <w:snapToGrid w:val="0"/>
                    <w:ind w:left="-4" w:leftChars="-5" w:hanging="10" w:hangingChars="5"/>
                    <w:jc w:val="center"/>
                    <w:rPr>
                      <w:bCs/>
                      <w:color w:val="auto"/>
                      <w:sz w:val="21"/>
                      <w:szCs w:val="21"/>
                      <w:highlight w:val="none"/>
                    </w:rPr>
                  </w:pPr>
                  <w:r>
                    <w:rPr>
                      <w:bCs/>
                      <w:color w:val="auto"/>
                      <w:sz w:val="21"/>
                      <w:szCs w:val="21"/>
                      <w:highlight w:val="none"/>
                    </w:rPr>
                    <w:t>南</w:t>
                  </w:r>
                </w:p>
              </w:tc>
              <w:tc>
                <w:tcPr>
                  <w:tcW w:w="850" w:type="dxa"/>
                  <w:shd w:val="clear" w:color="auto" w:fill="auto"/>
                  <w:vAlign w:val="center"/>
                </w:tcPr>
                <w:p>
                  <w:pPr>
                    <w:pageBreakBefore w:val="0"/>
                    <w:kinsoku/>
                    <w:wordWrap/>
                    <w:overflowPunct/>
                    <w:topLinePunct w:val="0"/>
                    <w:bidi w:val="0"/>
                    <w:snapToGrid w:val="0"/>
                    <w:ind w:left="-4" w:leftChars="-5" w:hanging="10" w:hangingChars="5"/>
                    <w:jc w:val="center"/>
                    <w:rPr>
                      <w:bCs/>
                      <w:color w:val="auto"/>
                      <w:sz w:val="21"/>
                      <w:szCs w:val="21"/>
                      <w:highlight w:val="none"/>
                    </w:rPr>
                  </w:pPr>
                  <w:r>
                    <w:rPr>
                      <w:bCs/>
                      <w:color w:val="auto"/>
                      <w:sz w:val="21"/>
                      <w:szCs w:val="21"/>
                      <w:highlight w:val="none"/>
                    </w:rPr>
                    <w:t>西</w:t>
                  </w:r>
                </w:p>
              </w:tc>
              <w:tc>
                <w:tcPr>
                  <w:tcW w:w="851" w:type="dxa"/>
                  <w:shd w:val="clear" w:color="auto" w:fill="auto"/>
                  <w:vAlign w:val="center"/>
                </w:tcPr>
                <w:p>
                  <w:pPr>
                    <w:pageBreakBefore w:val="0"/>
                    <w:kinsoku/>
                    <w:wordWrap/>
                    <w:overflowPunct/>
                    <w:topLinePunct w:val="0"/>
                    <w:bidi w:val="0"/>
                    <w:snapToGrid w:val="0"/>
                    <w:ind w:left="-4" w:leftChars="-5" w:hanging="10" w:hangingChars="5"/>
                    <w:jc w:val="center"/>
                    <w:rPr>
                      <w:bCs/>
                      <w:color w:val="auto"/>
                      <w:sz w:val="21"/>
                      <w:szCs w:val="21"/>
                      <w:highlight w:val="none"/>
                    </w:rPr>
                  </w:pPr>
                  <w:r>
                    <w:rPr>
                      <w:bCs/>
                      <w:color w:val="auto"/>
                      <w:sz w:val="21"/>
                      <w:szCs w:val="21"/>
                      <w:highlight w:val="none"/>
                    </w:rPr>
                    <w:t>北</w:t>
                  </w:r>
                </w:p>
              </w:tc>
              <w:tc>
                <w:tcPr>
                  <w:tcW w:w="2923" w:type="dxa"/>
                  <w:shd w:val="clear" w:color="auto" w:fill="auto"/>
                  <w:vAlign w:val="center"/>
                </w:tcPr>
                <w:p>
                  <w:pPr>
                    <w:pageBreakBefore w:val="0"/>
                    <w:kinsoku/>
                    <w:wordWrap/>
                    <w:overflowPunct/>
                    <w:topLinePunct w:val="0"/>
                    <w:bidi w:val="0"/>
                    <w:snapToGrid w:val="0"/>
                    <w:ind w:left="-2" w:leftChars="-5" w:hanging="12" w:hangingChars="5"/>
                    <w:jc w:val="center"/>
                    <w:rPr>
                      <w:bCs/>
                      <w:color w:val="auto"/>
                      <w:sz w:val="21"/>
                      <w:szCs w:val="21"/>
                      <w:highlight w:val="none"/>
                    </w:rPr>
                  </w:pPr>
                  <w:r>
                    <w:rPr>
                      <w:rFonts w:hint="eastAsia"/>
                      <w:color w:val="auto"/>
                      <w:sz w:val="24"/>
                      <w:highlight w:val="none"/>
                    </w:rPr>
                    <w:t>神峪寺沟村六组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1646" w:type="dxa"/>
                  <w:shd w:val="clear" w:color="auto" w:fill="auto"/>
                  <w:vAlign w:val="center"/>
                </w:tcPr>
                <w:p>
                  <w:pPr>
                    <w:pageBreakBefore w:val="0"/>
                    <w:kinsoku/>
                    <w:wordWrap/>
                    <w:overflowPunct/>
                    <w:topLinePunct w:val="0"/>
                    <w:bidi w:val="0"/>
                    <w:snapToGrid w:val="0"/>
                    <w:jc w:val="center"/>
                    <w:rPr>
                      <w:color w:val="auto"/>
                      <w:sz w:val="21"/>
                      <w:szCs w:val="21"/>
                      <w:highlight w:val="none"/>
                    </w:rPr>
                  </w:pPr>
                  <w:r>
                    <w:rPr>
                      <w:rFonts w:hint="eastAsia"/>
                      <w:color w:val="auto"/>
                      <w:sz w:val="21"/>
                      <w:szCs w:val="21"/>
                      <w:highlight w:val="none"/>
                    </w:rPr>
                    <w:t>四色印刷机</w:t>
                  </w:r>
                </w:p>
              </w:tc>
              <w:tc>
                <w:tcPr>
                  <w:tcW w:w="852" w:type="dxa"/>
                  <w:shd w:val="clear" w:color="auto" w:fill="auto"/>
                  <w:vAlign w:val="center"/>
                </w:tcPr>
                <w:p>
                  <w:pPr>
                    <w:pStyle w:val="74"/>
                    <w:pageBreakBefore w:val="0"/>
                    <w:kinsoku/>
                    <w:wordWrap/>
                    <w:overflowPunct/>
                    <w:topLinePunct w:val="0"/>
                    <w:bidi w:val="0"/>
                    <w:snapToGrid w:val="0"/>
                    <w:spacing w:before="0" w:after="0" w:line="360" w:lineRule="exact"/>
                    <w:jc w:val="center"/>
                    <w:rPr>
                      <w:color w:val="auto"/>
                      <w:sz w:val="21"/>
                      <w:szCs w:val="21"/>
                      <w:highlight w:val="none"/>
                    </w:rPr>
                  </w:pPr>
                  <w:r>
                    <w:rPr>
                      <w:rFonts w:hint="eastAsia"/>
                      <w:color w:val="auto"/>
                      <w:sz w:val="21"/>
                      <w:szCs w:val="21"/>
                      <w:highlight w:val="none"/>
                    </w:rPr>
                    <w:t>150</w:t>
                  </w:r>
                </w:p>
              </w:tc>
              <w:tc>
                <w:tcPr>
                  <w:tcW w:w="709" w:type="dxa"/>
                  <w:shd w:val="clear" w:color="auto" w:fill="auto"/>
                  <w:vAlign w:val="center"/>
                </w:tcPr>
                <w:p>
                  <w:pPr>
                    <w:pStyle w:val="74"/>
                    <w:pageBreakBefore w:val="0"/>
                    <w:kinsoku/>
                    <w:wordWrap/>
                    <w:overflowPunct/>
                    <w:topLinePunct w:val="0"/>
                    <w:bidi w:val="0"/>
                    <w:snapToGrid w:val="0"/>
                    <w:spacing w:before="0" w:after="0" w:line="360" w:lineRule="exact"/>
                    <w:jc w:val="center"/>
                    <w:rPr>
                      <w:color w:val="auto"/>
                      <w:sz w:val="21"/>
                      <w:szCs w:val="21"/>
                      <w:highlight w:val="none"/>
                    </w:rPr>
                  </w:pPr>
                  <w:r>
                    <w:rPr>
                      <w:rFonts w:hint="eastAsia"/>
                      <w:color w:val="auto"/>
                      <w:sz w:val="21"/>
                      <w:szCs w:val="21"/>
                      <w:highlight w:val="none"/>
                    </w:rPr>
                    <w:t>65</w:t>
                  </w:r>
                </w:p>
              </w:tc>
              <w:tc>
                <w:tcPr>
                  <w:tcW w:w="850" w:type="dxa"/>
                  <w:shd w:val="clear" w:color="auto" w:fill="auto"/>
                  <w:vAlign w:val="center"/>
                </w:tcPr>
                <w:p>
                  <w:pPr>
                    <w:pStyle w:val="74"/>
                    <w:pageBreakBefore w:val="0"/>
                    <w:kinsoku/>
                    <w:wordWrap/>
                    <w:overflowPunct/>
                    <w:topLinePunct w:val="0"/>
                    <w:bidi w:val="0"/>
                    <w:snapToGrid w:val="0"/>
                    <w:spacing w:before="0" w:after="0" w:line="360" w:lineRule="exact"/>
                    <w:jc w:val="center"/>
                    <w:rPr>
                      <w:color w:val="auto"/>
                      <w:sz w:val="21"/>
                      <w:szCs w:val="21"/>
                      <w:highlight w:val="none"/>
                    </w:rPr>
                  </w:pPr>
                  <w:r>
                    <w:rPr>
                      <w:rFonts w:hint="eastAsia"/>
                      <w:color w:val="auto"/>
                      <w:sz w:val="21"/>
                      <w:szCs w:val="21"/>
                      <w:highlight w:val="none"/>
                    </w:rPr>
                    <w:t>120</w:t>
                  </w:r>
                </w:p>
              </w:tc>
              <w:tc>
                <w:tcPr>
                  <w:tcW w:w="851" w:type="dxa"/>
                  <w:shd w:val="clear" w:color="auto" w:fill="auto"/>
                  <w:vAlign w:val="center"/>
                </w:tcPr>
                <w:p>
                  <w:pPr>
                    <w:pStyle w:val="74"/>
                    <w:pageBreakBefore w:val="0"/>
                    <w:kinsoku/>
                    <w:wordWrap/>
                    <w:overflowPunct/>
                    <w:topLinePunct w:val="0"/>
                    <w:bidi w:val="0"/>
                    <w:snapToGrid w:val="0"/>
                    <w:spacing w:before="0" w:after="0" w:line="360" w:lineRule="exact"/>
                    <w:jc w:val="center"/>
                    <w:rPr>
                      <w:color w:val="auto"/>
                      <w:sz w:val="21"/>
                      <w:szCs w:val="21"/>
                      <w:highlight w:val="none"/>
                    </w:rPr>
                  </w:pPr>
                  <w:r>
                    <w:rPr>
                      <w:rFonts w:hint="eastAsia"/>
                      <w:color w:val="auto"/>
                      <w:sz w:val="21"/>
                      <w:szCs w:val="21"/>
                      <w:highlight w:val="none"/>
                    </w:rPr>
                    <w:t>90</w:t>
                  </w:r>
                </w:p>
              </w:tc>
              <w:tc>
                <w:tcPr>
                  <w:tcW w:w="2923" w:type="dxa"/>
                  <w:shd w:val="clear" w:color="auto" w:fill="auto"/>
                  <w:vAlign w:val="center"/>
                </w:tcPr>
                <w:p>
                  <w:pPr>
                    <w:pageBreakBefore w:val="0"/>
                    <w:kinsoku/>
                    <w:wordWrap/>
                    <w:overflowPunct/>
                    <w:topLinePunct w:val="0"/>
                    <w:bidi w:val="0"/>
                    <w:snapToGrid w:val="0"/>
                    <w:jc w:val="center"/>
                    <w:rPr>
                      <w:color w:val="auto"/>
                      <w:sz w:val="21"/>
                      <w:szCs w:val="21"/>
                      <w:highlight w:val="none"/>
                    </w:rPr>
                  </w:pPr>
                  <w:r>
                    <w:rPr>
                      <w:rFonts w:hint="eastAsia"/>
                      <w:color w:val="auto"/>
                      <w:sz w:val="21"/>
                      <w:szCs w:val="21"/>
                      <w:highlight w:val="none"/>
                    </w:rPr>
                    <w:t>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1646" w:type="dxa"/>
                  <w:shd w:val="clear" w:color="auto" w:fill="auto"/>
                  <w:vAlign w:val="center"/>
                </w:tcPr>
                <w:p>
                  <w:pPr>
                    <w:pageBreakBefore w:val="0"/>
                    <w:kinsoku/>
                    <w:wordWrap/>
                    <w:overflowPunct/>
                    <w:topLinePunct w:val="0"/>
                    <w:bidi w:val="0"/>
                    <w:snapToGrid w:val="0"/>
                    <w:jc w:val="center"/>
                    <w:rPr>
                      <w:color w:val="auto"/>
                      <w:sz w:val="21"/>
                      <w:szCs w:val="21"/>
                      <w:highlight w:val="none"/>
                    </w:rPr>
                  </w:pPr>
                  <w:r>
                    <w:rPr>
                      <w:rFonts w:hint="eastAsia"/>
                      <w:color w:val="auto"/>
                      <w:sz w:val="21"/>
                      <w:szCs w:val="21"/>
                      <w:highlight w:val="none"/>
                    </w:rPr>
                    <w:t>双色印刷机1</w:t>
                  </w:r>
                </w:p>
              </w:tc>
              <w:tc>
                <w:tcPr>
                  <w:tcW w:w="852" w:type="dxa"/>
                  <w:shd w:val="clear" w:color="auto" w:fill="auto"/>
                  <w:vAlign w:val="center"/>
                </w:tcPr>
                <w:p>
                  <w:pPr>
                    <w:pStyle w:val="74"/>
                    <w:pageBreakBefore w:val="0"/>
                    <w:kinsoku/>
                    <w:wordWrap/>
                    <w:overflowPunct/>
                    <w:topLinePunct w:val="0"/>
                    <w:bidi w:val="0"/>
                    <w:snapToGrid w:val="0"/>
                    <w:spacing w:before="0" w:after="0" w:line="360" w:lineRule="exact"/>
                    <w:jc w:val="center"/>
                    <w:rPr>
                      <w:color w:val="auto"/>
                      <w:sz w:val="21"/>
                      <w:szCs w:val="21"/>
                      <w:highlight w:val="none"/>
                    </w:rPr>
                  </w:pPr>
                  <w:r>
                    <w:rPr>
                      <w:rFonts w:hint="eastAsia"/>
                      <w:color w:val="auto"/>
                      <w:sz w:val="21"/>
                      <w:szCs w:val="21"/>
                      <w:highlight w:val="none"/>
                    </w:rPr>
                    <w:t>150</w:t>
                  </w:r>
                </w:p>
              </w:tc>
              <w:tc>
                <w:tcPr>
                  <w:tcW w:w="709" w:type="dxa"/>
                  <w:shd w:val="clear" w:color="auto" w:fill="auto"/>
                  <w:vAlign w:val="center"/>
                </w:tcPr>
                <w:p>
                  <w:pPr>
                    <w:pStyle w:val="74"/>
                    <w:pageBreakBefore w:val="0"/>
                    <w:kinsoku/>
                    <w:wordWrap/>
                    <w:overflowPunct/>
                    <w:topLinePunct w:val="0"/>
                    <w:bidi w:val="0"/>
                    <w:snapToGrid w:val="0"/>
                    <w:spacing w:before="0" w:after="0" w:line="360" w:lineRule="exact"/>
                    <w:jc w:val="center"/>
                    <w:rPr>
                      <w:color w:val="auto"/>
                      <w:sz w:val="21"/>
                      <w:szCs w:val="21"/>
                      <w:highlight w:val="none"/>
                    </w:rPr>
                  </w:pPr>
                  <w:r>
                    <w:rPr>
                      <w:rFonts w:hint="eastAsia"/>
                      <w:color w:val="auto"/>
                      <w:sz w:val="21"/>
                      <w:szCs w:val="21"/>
                      <w:highlight w:val="none"/>
                    </w:rPr>
                    <w:t>70</w:t>
                  </w:r>
                </w:p>
              </w:tc>
              <w:tc>
                <w:tcPr>
                  <w:tcW w:w="850" w:type="dxa"/>
                  <w:shd w:val="clear" w:color="auto" w:fill="auto"/>
                  <w:vAlign w:val="center"/>
                </w:tcPr>
                <w:p>
                  <w:pPr>
                    <w:pStyle w:val="74"/>
                    <w:pageBreakBefore w:val="0"/>
                    <w:kinsoku/>
                    <w:wordWrap/>
                    <w:overflowPunct/>
                    <w:topLinePunct w:val="0"/>
                    <w:bidi w:val="0"/>
                    <w:snapToGrid w:val="0"/>
                    <w:spacing w:before="0" w:after="0" w:line="360" w:lineRule="exact"/>
                    <w:jc w:val="center"/>
                    <w:rPr>
                      <w:color w:val="auto"/>
                      <w:sz w:val="21"/>
                      <w:szCs w:val="21"/>
                      <w:highlight w:val="none"/>
                    </w:rPr>
                  </w:pPr>
                  <w:r>
                    <w:rPr>
                      <w:rFonts w:hint="eastAsia"/>
                      <w:color w:val="auto"/>
                      <w:sz w:val="21"/>
                      <w:szCs w:val="21"/>
                      <w:highlight w:val="none"/>
                    </w:rPr>
                    <w:t>120</w:t>
                  </w:r>
                </w:p>
              </w:tc>
              <w:tc>
                <w:tcPr>
                  <w:tcW w:w="851" w:type="dxa"/>
                  <w:shd w:val="clear" w:color="auto" w:fill="auto"/>
                  <w:vAlign w:val="center"/>
                </w:tcPr>
                <w:p>
                  <w:pPr>
                    <w:pStyle w:val="74"/>
                    <w:pageBreakBefore w:val="0"/>
                    <w:kinsoku/>
                    <w:wordWrap/>
                    <w:overflowPunct/>
                    <w:topLinePunct w:val="0"/>
                    <w:bidi w:val="0"/>
                    <w:snapToGrid w:val="0"/>
                    <w:spacing w:before="0" w:after="0" w:line="360" w:lineRule="exact"/>
                    <w:jc w:val="center"/>
                    <w:rPr>
                      <w:color w:val="auto"/>
                      <w:sz w:val="21"/>
                      <w:szCs w:val="21"/>
                      <w:highlight w:val="none"/>
                    </w:rPr>
                  </w:pPr>
                  <w:r>
                    <w:rPr>
                      <w:rFonts w:hint="eastAsia"/>
                      <w:color w:val="auto"/>
                      <w:sz w:val="21"/>
                      <w:szCs w:val="21"/>
                      <w:highlight w:val="none"/>
                    </w:rPr>
                    <w:t>85</w:t>
                  </w:r>
                </w:p>
              </w:tc>
              <w:tc>
                <w:tcPr>
                  <w:tcW w:w="2923" w:type="dxa"/>
                  <w:shd w:val="clear" w:color="auto" w:fill="auto"/>
                  <w:vAlign w:val="center"/>
                </w:tcPr>
                <w:p>
                  <w:pPr>
                    <w:pageBreakBefore w:val="0"/>
                    <w:kinsoku/>
                    <w:wordWrap/>
                    <w:overflowPunct/>
                    <w:topLinePunct w:val="0"/>
                    <w:bidi w:val="0"/>
                    <w:snapToGrid w:val="0"/>
                    <w:jc w:val="center"/>
                    <w:rPr>
                      <w:color w:val="auto"/>
                      <w:sz w:val="21"/>
                      <w:szCs w:val="21"/>
                      <w:highlight w:val="none"/>
                    </w:rPr>
                  </w:pPr>
                  <w:r>
                    <w:rPr>
                      <w:rFonts w:hint="eastAsia"/>
                      <w:color w:val="auto"/>
                      <w:sz w:val="21"/>
                      <w:szCs w:val="21"/>
                      <w:highlight w:val="none"/>
                    </w:rPr>
                    <w:t>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1646" w:type="dxa"/>
                  <w:shd w:val="clear" w:color="auto" w:fill="auto"/>
                  <w:vAlign w:val="center"/>
                </w:tcPr>
                <w:p>
                  <w:pPr>
                    <w:pageBreakBefore w:val="0"/>
                    <w:kinsoku/>
                    <w:wordWrap/>
                    <w:overflowPunct/>
                    <w:topLinePunct w:val="0"/>
                    <w:bidi w:val="0"/>
                    <w:snapToGrid w:val="0"/>
                    <w:jc w:val="center"/>
                    <w:rPr>
                      <w:color w:val="auto"/>
                      <w:sz w:val="21"/>
                      <w:szCs w:val="21"/>
                      <w:highlight w:val="none"/>
                    </w:rPr>
                  </w:pPr>
                  <w:r>
                    <w:rPr>
                      <w:rFonts w:hint="eastAsia"/>
                      <w:color w:val="auto"/>
                      <w:sz w:val="21"/>
                      <w:szCs w:val="21"/>
                      <w:highlight w:val="none"/>
                    </w:rPr>
                    <w:t>双色印刷机2</w:t>
                  </w:r>
                </w:p>
              </w:tc>
              <w:tc>
                <w:tcPr>
                  <w:tcW w:w="852" w:type="dxa"/>
                  <w:shd w:val="clear" w:color="auto" w:fill="auto"/>
                  <w:vAlign w:val="center"/>
                </w:tcPr>
                <w:p>
                  <w:pPr>
                    <w:pStyle w:val="74"/>
                    <w:pageBreakBefore w:val="0"/>
                    <w:kinsoku/>
                    <w:wordWrap/>
                    <w:overflowPunct/>
                    <w:topLinePunct w:val="0"/>
                    <w:bidi w:val="0"/>
                    <w:snapToGrid w:val="0"/>
                    <w:spacing w:before="0" w:after="0" w:line="360" w:lineRule="exact"/>
                    <w:jc w:val="center"/>
                    <w:rPr>
                      <w:color w:val="auto"/>
                      <w:sz w:val="21"/>
                      <w:szCs w:val="21"/>
                      <w:highlight w:val="none"/>
                    </w:rPr>
                  </w:pPr>
                  <w:r>
                    <w:rPr>
                      <w:rFonts w:hint="eastAsia"/>
                      <w:color w:val="auto"/>
                      <w:sz w:val="21"/>
                      <w:szCs w:val="21"/>
                      <w:highlight w:val="none"/>
                    </w:rPr>
                    <w:t>145</w:t>
                  </w:r>
                </w:p>
              </w:tc>
              <w:tc>
                <w:tcPr>
                  <w:tcW w:w="709" w:type="dxa"/>
                  <w:shd w:val="clear" w:color="auto" w:fill="auto"/>
                  <w:vAlign w:val="center"/>
                </w:tcPr>
                <w:p>
                  <w:pPr>
                    <w:pStyle w:val="74"/>
                    <w:pageBreakBefore w:val="0"/>
                    <w:kinsoku/>
                    <w:wordWrap/>
                    <w:overflowPunct/>
                    <w:topLinePunct w:val="0"/>
                    <w:bidi w:val="0"/>
                    <w:snapToGrid w:val="0"/>
                    <w:spacing w:before="0" w:after="0" w:line="360" w:lineRule="exact"/>
                    <w:jc w:val="center"/>
                    <w:rPr>
                      <w:color w:val="auto"/>
                      <w:sz w:val="21"/>
                      <w:szCs w:val="21"/>
                      <w:highlight w:val="none"/>
                    </w:rPr>
                  </w:pPr>
                  <w:r>
                    <w:rPr>
                      <w:rFonts w:hint="eastAsia"/>
                      <w:color w:val="auto"/>
                      <w:sz w:val="21"/>
                      <w:szCs w:val="21"/>
                      <w:highlight w:val="none"/>
                    </w:rPr>
                    <w:t>70</w:t>
                  </w:r>
                </w:p>
              </w:tc>
              <w:tc>
                <w:tcPr>
                  <w:tcW w:w="850" w:type="dxa"/>
                  <w:shd w:val="clear" w:color="auto" w:fill="auto"/>
                  <w:vAlign w:val="center"/>
                </w:tcPr>
                <w:p>
                  <w:pPr>
                    <w:pStyle w:val="74"/>
                    <w:pageBreakBefore w:val="0"/>
                    <w:kinsoku/>
                    <w:wordWrap/>
                    <w:overflowPunct/>
                    <w:topLinePunct w:val="0"/>
                    <w:bidi w:val="0"/>
                    <w:snapToGrid w:val="0"/>
                    <w:spacing w:before="0" w:after="0" w:line="360" w:lineRule="exact"/>
                    <w:jc w:val="center"/>
                    <w:rPr>
                      <w:color w:val="auto"/>
                      <w:sz w:val="21"/>
                      <w:szCs w:val="21"/>
                      <w:highlight w:val="none"/>
                    </w:rPr>
                  </w:pPr>
                  <w:r>
                    <w:rPr>
                      <w:rFonts w:hint="eastAsia"/>
                      <w:color w:val="auto"/>
                      <w:sz w:val="21"/>
                      <w:szCs w:val="21"/>
                      <w:highlight w:val="none"/>
                    </w:rPr>
                    <w:t>125</w:t>
                  </w:r>
                </w:p>
              </w:tc>
              <w:tc>
                <w:tcPr>
                  <w:tcW w:w="851" w:type="dxa"/>
                  <w:shd w:val="clear" w:color="auto" w:fill="auto"/>
                  <w:vAlign w:val="center"/>
                </w:tcPr>
                <w:p>
                  <w:pPr>
                    <w:pStyle w:val="74"/>
                    <w:pageBreakBefore w:val="0"/>
                    <w:kinsoku/>
                    <w:wordWrap/>
                    <w:overflowPunct/>
                    <w:topLinePunct w:val="0"/>
                    <w:bidi w:val="0"/>
                    <w:snapToGrid w:val="0"/>
                    <w:spacing w:before="0" w:after="0" w:line="360" w:lineRule="exact"/>
                    <w:jc w:val="center"/>
                    <w:rPr>
                      <w:color w:val="auto"/>
                      <w:sz w:val="21"/>
                      <w:szCs w:val="21"/>
                      <w:highlight w:val="none"/>
                    </w:rPr>
                  </w:pPr>
                  <w:r>
                    <w:rPr>
                      <w:rFonts w:hint="eastAsia"/>
                      <w:color w:val="auto"/>
                      <w:sz w:val="21"/>
                      <w:szCs w:val="21"/>
                      <w:highlight w:val="none"/>
                    </w:rPr>
                    <w:t>85</w:t>
                  </w:r>
                </w:p>
              </w:tc>
              <w:tc>
                <w:tcPr>
                  <w:tcW w:w="2923" w:type="dxa"/>
                  <w:shd w:val="clear" w:color="auto" w:fill="auto"/>
                  <w:vAlign w:val="center"/>
                </w:tcPr>
                <w:p>
                  <w:pPr>
                    <w:pageBreakBefore w:val="0"/>
                    <w:kinsoku/>
                    <w:wordWrap/>
                    <w:overflowPunct/>
                    <w:topLinePunct w:val="0"/>
                    <w:bidi w:val="0"/>
                    <w:snapToGrid w:val="0"/>
                    <w:jc w:val="center"/>
                    <w:rPr>
                      <w:color w:val="auto"/>
                      <w:sz w:val="21"/>
                      <w:szCs w:val="21"/>
                      <w:highlight w:val="none"/>
                    </w:rPr>
                  </w:pPr>
                  <w:r>
                    <w:rPr>
                      <w:rFonts w:hint="eastAsia"/>
                      <w:color w:val="auto"/>
                      <w:sz w:val="21"/>
                      <w:szCs w:val="21"/>
                      <w:highlight w:val="none"/>
                    </w:rPr>
                    <w:t>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1646" w:type="dxa"/>
                  <w:shd w:val="clear" w:color="auto" w:fill="auto"/>
                  <w:vAlign w:val="center"/>
                </w:tcPr>
                <w:p>
                  <w:pPr>
                    <w:pageBreakBefore w:val="0"/>
                    <w:kinsoku/>
                    <w:wordWrap/>
                    <w:overflowPunct/>
                    <w:topLinePunct w:val="0"/>
                    <w:bidi w:val="0"/>
                    <w:snapToGrid w:val="0"/>
                    <w:jc w:val="center"/>
                    <w:rPr>
                      <w:color w:val="auto"/>
                      <w:sz w:val="21"/>
                      <w:szCs w:val="21"/>
                      <w:highlight w:val="none"/>
                    </w:rPr>
                  </w:pPr>
                  <w:r>
                    <w:rPr>
                      <w:rFonts w:hint="eastAsia"/>
                      <w:color w:val="auto"/>
                      <w:sz w:val="21"/>
                      <w:szCs w:val="21"/>
                      <w:highlight w:val="none"/>
                    </w:rPr>
                    <w:t>切纸机</w:t>
                  </w:r>
                </w:p>
              </w:tc>
              <w:tc>
                <w:tcPr>
                  <w:tcW w:w="852" w:type="dxa"/>
                  <w:shd w:val="clear" w:color="auto" w:fill="auto"/>
                  <w:vAlign w:val="center"/>
                </w:tcPr>
                <w:p>
                  <w:pPr>
                    <w:pStyle w:val="74"/>
                    <w:pageBreakBefore w:val="0"/>
                    <w:kinsoku/>
                    <w:wordWrap/>
                    <w:overflowPunct/>
                    <w:topLinePunct w:val="0"/>
                    <w:bidi w:val="0"/>
                    <w:snapToGrid w:val="0"/>
                    <w:spacing w:before="0" w:after="0" w:line="360" w:lineRule="exact"/>
                    <w:jc w:val="center"/>
                    <w:rPr>
                      <w:color w:val="auto"/>
                      <w:sz w:val="21"/>
                      <w:szCs w:val="21"/>
                      <w:highlight w:val="none"/>
                    </w:rPr>
                  </w:pPr>
                  <w:r>
                    <w:rPr>
                      <w:rFonts w:hint="eastAsia"/>
                      <w:color w:val="auto"/>
                      <w:sz w:val="21"/>
                      <w:szCs w:val="21"/>
                      <w:highlight w:val="none"/>
                    </w:rPr>
                    <w:t>140</w:t>
                  </w:r>
                </w:p>
              </w:tc>
              <w:tc>
                <w:tcPr>
                  <w:tcW w:w="709" w:type="dxa"/>
                  <w:shd w:val="clear" w:color="auto" w:fill="auto"/>
                  <w:vAlign w:val="center"/>
                </w:tcPr>
                <w:p>
                  <w:pPr>
                    <w:pStyle w:val="74"/>
                    <w:pageBreakBefore w:val="0"/>
                    <w:kinsoku/>
                    <w:wordWrap/>
                    <w:overflowPunct/>
                    <w:topLinePunct w:val="0"/>
                    <w:bidi w:val="0"/>
                    <w:snapToGrid w:val="0"/>
                    <w:spacing w:before="0" w:after="0" w:line="360" w:lineRule="exact"/>
                    <w:jc w:val="center"/>
                    <w:rPr>
                      <w:color w:val="auto"/>
                      <w:sz w:val="21"/>
                      <w:szCs w:val="21"/>
                      <w:highlight w:val="none"/>
                    </w:rPr>
                  </w:pPr>
                  <w:r>
                    <w:rPr>
                      <w:rFonts w:hint="eastAsia"/>
                      <w:color w:val="auto"/>
                      <w:sz w:val="21"/>
                      <w:szCs w:val="21"/>
                      <w:highlight w:val="none"/>
                    </w:rPr>
                    <w:t>75</w:t>
                  </w:r>
                </w:p>
              </w:tc>
              <w:tc>
                <w:tcPr>
                  <w:tcW w:w="850" w:type="dxa"/>
                  <w:shd w:val="clear" w:color="auto" w:fill="auto"/>
                  <w:vAlign w:val="center"/>
                </w:tcPr>
                <w:p>
                  <w:pPr>
                    <w:pStyle w:val="74"/>
                    <w:pageBreakBefore w:val="0"/>
                    <w:kinsoku/>
                    <w:wordWrap/>
                    <w:overflowPunct/>
                    <w:topLinePunct w:val="0"/>
                    <w:bidi w:val="0"/>
                    <w:snapToGrid w:val="0"/>
                    <w:spacing w:before="0" w:after="0" w:line="360" w:lineRule="exact"/>
                    <w:jc w:val="center"/>
                    <w:rPr>
                      <w:color w:val="auto"/>
                      <w:sz w:val="21"/>
                      <w:szCs w:val="21"/>
                      <w:highlight w:val="none"/>
                    </w:rPr>
                  </w:pPr>
                  <w:r>
                    <w:rPr>
                      <w:rFonts w:hint="eastAsia"/>
                      <w:color w:val="auto"/>
                      <w:sz w:val="21"/>
                      <w:szCs w:val="21"/>
                      <w:highlight w:val="none"/>
                    </w:rPr>
                    <w:t>130</w:t>
                  </w:r>
                </w:p>
              </w:tc>
              <w:tc>
                <w:tcPr>
                  <w:tcW w:w="851" w:type="dxa"/>
                  <w:shd w:val="clear" w:color="auto" w:fill="auto"/>
                  <w:vAlign w:val="center"/>
                </w:tcPr>
                <w:p>
                  <w:pPr>
                    <w:pStyle w:val="74"/>
                    <w:pageBreakBefore w:val="0"/>
                    <w:kinsoku/>
                    <w:wordWrap/>
                    <w:overflowPunct/>
                    <w:topLinePunct w:val="0"/>
                    <w:bidi w:val="0"/>
                    <w:snapToGrid w:val="0"/>
                    <w:spacing w:before="0" w:after="0" w:line="360" w:lineRule="exact"/>
                    <w:jc w:val="center"/>
                    <w:rPr>
                      <w:color w:val="auto"/>
                      <w:sz w:val="21"/>
                      <w:szCs w:val="21"/>
                      <w:highlight w:val="none"/>
                    </w:rPr>
                  </w:pPr>
                  <w:r>
                    <w:rPr>
                      <w:rFonts w:hint="eastAsia"/>
                      <w:color w:val="auto"/>
                      <w:sz w:val="21"/>
                      <w:szCs w:val="21"/>
                      <w:highlight w:val="none"/>
                    </w:rPr>
                    <w:t>80</w:t>
                  </w:r>
                </w:p>
              </w:tc>
              <w:tc>
                <w:tcPr>
                  <w:tcW w:w="2923" w:type="dxa"/>
                  <w:shd w:val="clear" w:color="auto" w:fill="auto"/>
                  <w:vAlign w:val="center"/>
                </w:tcPr>
                <w:p>
                  <w:pPr>
                    <w:pageBreakBefore w:val="0"/>
                    <w:kinsoku/>
                    <w:wordWrap/>
                    <w:overflowPunct/>
                    <w:topLinePunct w:val="0"/>
                    <w:bidi w:val="0"/>
                    <w:snapToGrid w:val="0"/>
                    <w:jc w:val="center"/>
                    <w:rPr>
                      <w:color w:val="auto"/>
                      <w:sz w:val="21"/>
                      <w:szCs w:val="21"/>
                      <w:highlight w:val="none"/>
                    </w:rPr>
                  </w:pPr>
                  <w:r>
                    <w:rPr>
                      <w:rFonts w:hint="eastAsia"/>
                      <w:color w:val="auto"/>
                      <w:sz w:val="21"/>
                      <w:szCs w:val="21"/>
                      <w:highlight w:val="none"/>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1646" w:type="dxa"/>
                  <w:shd w:val="clear" w:color="auto" w:fill="auto"/>
                  <w:vAlign w:val="center"/>
                </w:tcPr>
                <w:p>
                  <w:pPr>
                    <w:pageBreakBefore w:val="0"/>
                    <w:kinsoku/>
                    <w:wordWrap/>
                    <w:overflowPunct/>
                    <w:topLinePunct w:val="0"/>
                    <w:bidi w:val="0"/>
                    <w:snapToGrid w:val="0"/>
                    <w:jc w:val="center"/>
                    <w:rPr>
                      <w:color w:val="auto"/>
                      <w:sz w:val="21"/>
                      <w:szCs w:val="21"/>
                      <w:highlight w:val="none"/>
                    </w:rPr>
                  </w:pPr>
                  <w:r>
                    <w:rPr>
                      <w:rFonts w:hint="eastAsia"/>
                      <w:color w:val="auto"/>
                      <w:sz w:val="21"/>
                      <w:szCs w:val="21"/>
                      <w:highlight w:val="none"/>
                    </w:rPr>
                    <w:t>废气处理设备</w:t>
                  </w:r>
                </w:p>
              </w:tc>
              <w:tc>
                <w:tcPr>
                  <w:tcW w:w="852" w:type="dxa"/>
                  <w:shd w:val="clear" w:color="auto" w:fill="auto"/>
                  <w:vAlign w:val="center"/>
                </w:tcPr>
                <w:p>
                  <w:pPr>
                    <w:pStyle w:val="74"/>
                    <w:pageBreakBefore w:val="0"/>
                    <w:kinsoku/>
                    <w:wordWrap/>
                    <w:overflowPunct/>
                    <w:topLinePunct w:val="0"/>
                    <w:bidi w:val="0"/>
                    <w:snapToGrid w:val="0"/>
                    <w:spacing w:before="0" w:after="0" w:line="360" w:lineRule="exact"/>
                    <w:jc w:val="center"/>
                    <w:rPr>
                      <w:color w:val="auto"/>
                      <w:sz w:val="21"/>
                      <w:szCs w:val="21"/>
                      <w:highlight w:val="none"/>
                    </w:rPr>
                  </w:pPr>
                  <w:r>
                    <w:rPr>
                      <w:rFonts w:hint="eastAsia"/>
                      <w:color w:val="auto"/>
                      <w:sz w:val="21"/>
                      <w:szCs w:val="21"/>
                      <w:highlight w:val="none"/>
                    </w:rPr>
                    <w:t>145</w:t>
                  </w:r>
                </w:p>
              </w:tc>
              <w:tc>
                <w:tcPr>
                  <w:tcW w:w="709" w:type="dxa"/>
                  <w:shd w:val="clear" w:color="auto" w:fill="auto"/>
                  <w:vAlign w:val="center"/>
                </w:tcPr>
                <w:p>
                  <w:pPr>
                    <w:pStyle w:val="74"/>
                    <w:pageBreakBefore w:val="0"/>
                    <w:kinsoku/>
                    <w:wordWrap/>
                    <w:overflowPunct/>
                    <w:topLinePunct w:val="0"/>
                    <w:bidi w:val="0"/>
                    <w:snapToGrid w:val="0"/>
                    <w:spacing w:before="0" w:after="0" w:line="360" w:lineRule="exact"/>
                    <w:jc w:val="center"/>
                    <w:rPr>
                      <w:color w:val="auto"/>
                      <w:sz w:val="21"/>
                      <w:szCs w:val="21"/>
                      <w:highlight w:val="none"/>
                    </w:rPr>
                  </w:pPr>
                  <w:r>
                    <w:rPr>
                      <w:rFonts w:hint="eastAsia"/>
                      <w:color w:val="auto"/>
                      <w:sz w:val="21"/>
                      <w:szCs w:val="21"/>
                      <w:highlight w:val="none"/>
                    </w:rPr>
                    <w:t>70</w:t>
                  </w:r>
                </w:p>
              </w:tc>
              <w:tc>
                <w:tcPr>
                  <w:tcW w:w="850" w:type="dxa"/>
                  <w:shd w:val="clear" w:color="auto" w:fill="auto"/>
                  <w:vAlign w:val="center"/>
                </w:tcPr>
                <w:p>
                  <w:pPr>
                    <w:pStyle w:val="74"/>
                    <w:pageBreakBefore w:val="0"/>
                    <w:kinsoku/>
                    <w:wordWrap/>
                    <w:overflowPunct/>
                    <w:topLinePunct w:val="0"/>
                    <w:bidi w:val="0"/>
                    <w:snapToGrid w:val="0"/>
                    <w:spacing w:before="0" w:after="0" w:line="360" w:lineRule="exact"/>
                    <w:jc w:val="center"/>
                    <w:rPr>
                      <w:color w:val="auto"/>
                      <w:sz w:val="21"/>
                      <w:szCs w:val="21"/>
                      <w:highlight w:val="none"/>
                    </w:rPr>
                  </w:pPr>
                  <w:r>
                    <w:rPr>
                      <w:rFonts w:hint="eastAsia"/>
                      <w:color w:val="auto"/>
                      <w:sz w:val="21"/>
                      <w:szCs w:val="21"/>
                      <w:highlight w:val="none"/>
                    </w:rPr>
                    <w:t>120</w:t>
                  </w:r>
                </w:p>
              </w:tc>
              <w:tc>
                <w:tcPr>
                  <w:tcW w:w="851" w:type="dxa"/>
                  <w:shd w:val="clear" w:color="auto" w:fill="auto"/>
                  <w:vAlign w:val="center"/>
                </w:tcPr>
                <w:p>
                  <w:pPr>
                    <w:pStyle w:val="74"/>
                    <w:pageBreakBefore w:val="0"/>
                    <w:kinsoku/>
                    <w:wordWrap/>
                    <w:overflowPunct/>
                    <w:topLinePunct w:val="0"/>
                    <w:bidi w:val="0"/>
                    <w:snapToGrid w:val="0"/>
                    <w:spacing w:before="0" w:after="0" w:line="360" w:lineRule="exact"/>
                    <w:jc w:val="center"/>
                    <w:rPr>
                      <w:color w:val="auto"/>
                      <w:sz w:val="21"/>
                      <w:szCs w:val="21"/>
                      <w:highlight w:val="none"/>
                    </w:rPr>
                  </w:pPr>
                  <w:r>
                    <w:rPr>
                      <w:rFonts w:hint="eastAsia"/>
                      <w:color w:val="auto"/>
                      <w:sz w:val="21"/>
                      <w:szCs w:val="21"/>
                      <w:highlight w:val="none"/>
                    </w:rPr>
                    <w:t>85</w:t>
                  </w:r>
                </w:p>
              </w:tc>
              <w:tc>
                <w:tcPr>
                  <w:tcW w:w="2923" w:type="dxa"/>
                  <w:shd w:val="clear" w:color="auto" w:fill="auto"/>
                  <w:vAlign w:val="center"/>
                </w:tcPr>
                <w:p>
                  <w:pPr>
                    <w:pageBreakBefore w:val="0"/>
                    <w:kinsoku/>
                    <w:wordWrap/>
                    <w:overflowPunct/>
                    <w:topLinePunct w:val="0"/>
                    <w:bidi w:val="0"/>
                    <w:snapToGrid w:val="0"/>
                    <w:jc w:val="center"/>
                    <w:rPr>
                      <w:color w:val="auto"/>
                      <w:sz w:val="21"/>
                      <w:szCs w:val="21"/>
                      <w:highlight w:val="none"/>
                    </w:rPr>
                  </w:pPr>
                  <w:r>
                    <w:rPr>
                      <w:rFonts w:hint="eastAsia"/>
                      <w:color w:val="auto"/>
                      <w:sz w:val="21"/>
                      <w:szCs w:val="21"/>
                      <w:highlight w:val="none"/>
                    </w:rPr>
                    <w:t>78</w:t>
                  </w:r>
                </w:p>
              </w:tc>
            </w:tr>
          </w:tbl>
          <w:p>
            <w:pPr>
              <w:pageBreakBefore w:val="0"/>
              <w:kinsoku/>
              <w:wordWrap/>
              <w:overflowPunct/>
              <w:topLinePunct w:val="0"/>
              <w:bidi w:val="0"/>
              <w:snapToGrid w:val="0"/>
              <w:spacing w:line="360" w:lineRule="auto"/>
              <w:ind w:firstLine="440" w:firstLineChars="200"/>
              <w:jc w:val="center"/>
              <w:rPr>
                <w:rFonts w:eastAsia="黑体"/>
                <w:color w:val="auto"/>
                <w:sz w:val="22"/>
                <w:highlight w:val="none"/>
              </w:rPr>
            </w:pPr>
          </w:p>
          <w:p>
            <w:pPr>
              <w:pageBreakBefore w:val="0"/>
              <w:kinsoku/>
              <w:wordWrap/>
              <w:overflowPunct/>
              <w:topLinePunct w:val="0"/>
              <w:autoSpaceDE w:val="0"/>
              <w:autoSpaceDN w:val="0"/>
              <w:bidi w:val="0"/>
              <w:adjustRightInd w:val="0"/>
              <w:snapToGrid w:val="0"/>
              <w:spacing w:line="360" w:lineRule="auto"/>
              <w:ind w:firstLine="480" w:firstLineChars="200"/>
              <w:jc w:val="left"/>
              <w:rPr>
                <w:color w:val="auto"/>
                <w:sz w:val="24"/>
                <w:highlight w:val="none"/>
              </w:rPr>
            </w:pPr>
            <w:r>
              <w:rPr>
                <w:rFonts w:hint="eastAsia"/>
                <w:color w:val="auto"/>
                <w:sz w:val="24"/>
                <w:highlight w:val="none"/>
              </w:rPr>
              <w:t>2、</w:t>
            </w:r>
            <w:r>
              <w:rPr>
                <w:color w:val="auto"/>
                <w:sz w:val="24"/>
                <w:highlight w:val="none"/>
              </w:rPr>
              <w:t>预测点的布置</w:t>
            </w:r>
          </w:p>
          <w:p>
            <w:pPr>
              <w:autoSpaceDE w:val="0"/>
              <w:autoSpaceDN w:val="0"/>
              <w:adjustRightInd w:val="0"/>
              <w:spacing w:line="360" w:lineRule="auto"/>
              <w:ind w:firstLine="480" w:firstLineChars="200"/>
              <w:jc w:val="left"/>
              <w:rPr>
                <w:color w:val="auto"/>
                <w:sz w:val="24"/>
                <w:highlight w:val="none"/>
              </w:rPr>
            </w:pPr>
            <w:r>
              <w:rPr>
                <w:bCs/>
                <w:color w:val="auto"/>
                <w:sz w:val="24"/>
                <w:highlight w:val="none"/>
              </w:rPr>
              <w:t>预测点位为</w:t>
            </w:r>
            <w:r>
              <w:rPr>
                <w:rFonts w:hint="eastAsia"/>
                <w:bCs/>
                <w:color w:val="auto"/>
                <w:sz w:val="24"/>
                <w:highlight w:val="none"/>
              </w:rPr>
              <w:t>东、西、南、北厂界四周外1m处，声环境敏感点</w:t>
            </w:r>
            <w:r>
              <w:rPr>
                <w:rFonts w:hint="eastAsia"/>
                <w:color w:val="auto"/>
                <w:sz w:val="24"/>
                <w:highlight w:val="none"/>
              </w:rPr>
              <w:t>神峪寺沟村六组</w:t>
            </w:r>
            <w:r>
              <w:rPr>
                <w:rFonts w:hint="eastAsia"/>
                <w:bCs/>
                <w:color w:val="auto"/>
                <w:sz w:val="24"/>
                <w:highlight w:val="none"/>
              </w:rPr>
              <w:t>距本项目最近处</w:t>
            </w:r>
            <w:r>
              <w:rPr>
                <w:bCs/>
                <w:color w:val="auto"/>
                <w:sz w:val="24"/>
                <w:highlight w:val="none"/>
              </w:rPr>
              <w:t>。</w:t>
            </w:r>
          </w:p>
          <w:p>
            <w:pPr>
              <w:autoSpaceDE w:val="0"/>
              <w:autoSpaceDN w:val="0"/>
              <w:adjustRightInd w:val="0"/>
              <w:spacing w:line="360" w:lineRule="auto"/>
              <w:ind w:firstLine="480" w:firstLineChars="200"/>
              <w:jc w:val="left"/>
              <w:rPr>
                <w:color w:val="auto"/>
                <w:sz w:val="24"/>
                <w:highlight w:val="none"/>
              </w:rPr>
            </w:pPr>
            <w:r>
              <w:rPr>
                <w:rFonts w:hint="eastAsia"/>
                <w:color w:val="auto"/>
                <w:sz w:val="24"/>
                <w:highlight w:val="none"/>
              </w:rPr>
              <w:t>3、</w:t>
            </w:r>
            <w:r>
              <w:rPr>
                <w:color w:val="auto"/>
                <w:sz w:val="24"/>
                <w:highlight w:val="none"/>
              </w:rPr>
              <w:t>预测模式</w:t>
            </w:r>
          </w:p>
          <w:p>
            <w:pPr>
              <w:pStyle w:val="67"/>
              <w:snapToGrid/>
              <w:ind w:firstLine="480"/>
              <w:rPr>
                <w:color w:val="auto"/>
                <w:highlight w:val="none"/>
              </w:rPr>
            </w:pPr>
            <w:r>
              <w:rPr>
                <w:color w:val="auto"/>
                <w:highlight w:val="none"/>
              </w:rPr>
              <w:t>根据《环境影响评价技术导则声环境》(HJ2.4-2009)推荐的室内声源的声传播模式，</w:t>
            </w:r>
            <w:r>
              <w:rPr>
                <w:rFonts w:hint="eastAsia"/>
                <w:color w:val="auto"/>
                <w:highlight w:val="none"/>
              </w:rPr>
              <w:t>采用环安科技NoiseSystem2.1噪声预测软件对本项目噪声进行预测。</w:t>
            </w:r>
          </w:p>
          <w:p>
            <w:pPr>
              <w:spacing w:line="360" w:lineRule="auto"/>
              <w:ind w:firstLine="480" w:firstLineChars="200"/>
              <w:rPr>
                <w:color w:val="auto"/>
                <w:sz w:val="24"/>
                <w:highlight w:val="none"/>
              </w:rPr>
            </w:pPr>
            <w:r>
              <w:rPr>
                <w:rFonts w:hint="eastAsia"/>
                <w:color w:val="auto"/>
                <w:sz w:val="24"/>
                <w:highlight w:val="none"/>
              </w:rPr>
              <w:t>4、</w:t>
            </w:r>
            <w:r>
              <w:rPr>
                <w:color w:val="auto"/>
                <w:sz w:val="24"/>
                <w:highlight w:val="none"/>
              </w:rPr>
              <w:t>预测结果</w:t>
            </w:r>
          </w:p>
          <w:p>
            <w:pPr>
              <w:spacing w:line="360" w:lineRule="auto"/>
              <w:ind w:firstLine="480" w:firstLineChars="200"/>
              <w:rPr>
                <w:bCs/>
                <w:color w:val="auto"/>
                <w:sz w:val="24"/>
                <w:highlight w:val="none"/>
              </w:rPr>
            </w:pPr>
            <w:r>
              <w:rPr>
                <w:bCs/>
                <w:color w:val="auto"/>
                <w:sz w:val="24"/>
                <w:highlight w:val="none"/>
              </w:rPr>
              <w:t>拟建项目正常运行工况时，噪声级预测结果见表</w:t>
            </w:r>
            <w:r>
              <w:rPr>
                <w:rFonts w:hint="eastAsia"/>
                <w:bCs/>
                <w:color w:val="auto"/>
                <w:sz w:val="24"/>
                <w:highlight w:val="none"/>
              </w:rPr>
              <w:t>7-13</w:t>
            </w:r>
            <w:r>
              <w:rPr>
                <w:bCs/>
                <w:color w:val="auto"/>
                <w:sz w:val="24"/>
                <w:highlight w:val="none"/>
              </w:rPr>
              <w:t>。</w:t>
            </w:r>
          </w:p>
          <w:p>
            <w:pPr>
              <w:adjustRightInd w:val="0"/>
              <w:snapToGrid w:val="0"/>
              <w:jc w:val="center"/>
              <w:rPr>
                <w:rFonts w:eastAsia="黑体"/>
                <w:color w:val="auto"/>
                <w:sz w:val="24"/>
                <w:highlight w:val="none"/>
              </w:rPr>
            </w:pPr>
            <w:r>
              <w:rPr>
                <w:rFonts w:ascii="黑体" w:hAnsi="黑体" w:eastAsia="黑体"/>
                <w:color w:val="auto"/>
                <w:sz w:val="24"/>
                <w:highlight w:val="none"/>
              </w:rPr>
              <w:t>表</w:t>
            </w:r>
            <w:r>
              <w:rPr>
                <w:rFonts w:hint="eastAsia" w:eastAsia="黑体"/>
                <w:color w:val="auto"/>
                <w:sz w:val="24"/>
                <w:highlight w:val="none"/>
              </w:rPr>
              <w:t>7-13</w:t>
            </w:r>
            <w:r>
              <w:rPr>
                <w:rFonts w:eastAsia="黑体"/>
                <w:color w:val="auto"/>
                <w:sz w:val="24"/>
                <w:highlight w:val="none"/>
              </w:rPr>
              <w:t xml:space="preserve">   </w:t>
            </w:r>
            <w:r>
              <w:rPr>
                <w:rFonts w:ascii="黑体" w:hAnsi="黑体" w:eastAsia="黑体"/>
                <w:color w:val="auto"/>
                <w:sz w:val="24"/>
                <w:highlight w:val="none"/>
              </w:rPr>
              <w:t>噪声影响预测结果  单位：</w:t>
            </w:r>
            <w:r>
              <w:rPr>
                <w:rFonts w:eastAsia="黑体"/>
                <w:color w:val="auto"/>
                <w:sz w:val="24"/>
                <w:highlight w:val="none"/>
              </w:rPr>
              <w:t>dB(A)</w:t>
            </w:r>
            <w:r>
              <w:rPr>
                <w:rFonts w:hint="eastAsia" w:ascii="黑体" w:hAnsi="黑体" w:eastAsia="黑体"/>
                <w:color w:val="auto"/>
                <w:sz w:val="24"/>
                <w:highlight w:val="none"/>
              </w:rPr>
              <w:t xml:space="preserve">  </w:t>
            </w:r>
          </w:p>
          <w:tbl>
            <w:tblPr>
              <w:tblStyle w:val="27"/>
              <w:tblW w:w="80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393"/>
              <w:gridCol w:w="1761"/>
              <w:gridCol w:w="3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43"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1"/>
                      <w:szCs w:val="21"/>
                      <w:highlight w:val="none"/>
                    </w:rPr>
                  </w:pPr>
                  <w:r>
                    <w:rPr>
                      <w:color w:val="auto"/>
                      <w:sz w:val="21"/>
                      <w:szCs w:val="21"/>
                      <w:highlight w:val="none"/>
                    </w:rPr>
                    <w:t>预测点</w:t>
                  </w:r>
                </w:p>
              </w:tc>
              <w:tc>
                <w:tcPr>
                  <w:tcW w:w="1393" w:type="dxa"/>
                  <w:vMerge w:val="restart"/>
                  <w:tcBorders>
                    <w:top w:val="single" w:color="auto" w:sz="4" w:space="0"/>
                    <w:left w:val="nil"/>
                    <w:bottom w:val="single" w:color="auto" w:sz="4" w:space="0"/>
                    <w:right w:val="single" w:color="auto" w:sz="4" w:space="0"/>
                  </w:tcBorders>
                  <w:vAlign w:val="center"/>
                </w:tcPr>
                <w:p>
                  <w:pPr>
                    <w:snapToGrid w:val="0"/>
                    <w:jc w:val="center"/>
                    <w:rPr>
                      <w:color w:val="auto"/>
                      <w:sz w:val="21"/>
                      <w:szCs w:val="21"/>
                      <w:highlight w:val="none"/>
                    </w:rPr>
                  </w:pPr>
                  <w:r>
                    <w:rPr>
                      <w:color w:val="auto"/>
                      <w:sz w:val="21"/>
                      <w:szCs w:val="21"/>
                      <w:highlight w:val="none"/>
                    </w:rPr>
                    <w:t>贡献值</w:t>
                  </w:r>
                </w:p>
                <w:p>
                  <w:pPr>
                    <w:snapToGrid w:val="0"/>
                    <w:jc w:val="center"/>
                    <w:rPr>
                      <w:color w:val="auto"/>
                      <w:sz w:val="21"/>
                      <w:szCs w:val="21"/>
                      <w:highlight w:val="none"/>
                    </w:rPr>
                  </w:pPr>
                  <w:r>
                    <w:rPr>
                      <w:color w:val="auto"/>
                      <w:sz w:val="21"/>
                      <w:szCs w:val="21"/>
                      <w:highlight w:val="none"/>
                    </w:rPr>
                    <w:t>[dB(A)]</w:t>
                  </w:r>
                </w:p>
              </w:tc>
              <w:tc>
                <w:tcPr>
                  <w:tcW w:w="1761" w:type="dxa"/>
                  <w:tcBorders>
                    <w:top w:val="single" w:color="auto" w:sz="4" w:space="0"/>
                    <w:left w:val="nil"/>
                    <w:bottom w:val="single" w:color="auto" w:sz="4" w:space="0"/>
                    <w:right w:val="single" w:color="auto" w:sz="4" w:space="0"/>
                  </w:tcBorders>
                  <w:vAlign w:val="center"/>
                </w:tcPr>
                <w:p>
                  <w:pPr>
                    <w:snapToGrid w:val="0"/>
                    <w:jc w:val="center"/>
                    <w:rPr>
                      <w:color w:val="auto"/>
                      <w:sz w:val="21"/>
                      <w:szCs w:val="21"/>
                      <w:highlight w:val="none"/>
                    </w:rPr>
                  </w:pPr>
                  <w:r>
                    <w:rPr>
                      <w:color w:val="auto"/>
                      <w:sz w:val="21"/>
                      <w:szCs w:val="21"/>
                      <w:highlight w:val="none"/>
                    </w:rPr>
                    <w:t>背景值[dB(A)]</w:t>
                  </w:r>
                </w:p>
              </w:tc>
              <w:tc>
                <w:tcPr>
                  <w:tcW w:w="3010" w:type="dxa"/>
                  <w:tcBorders>
                    <w:top w:val="single" w:color="auto" w:sz="4" w:space="0"/>
                    <w:left w:val="nil"/>
                    <w:bottom w:val="single" w:color="auto" w:sz="4" w:space="0"/>
                    <w:right w:val="single" w:color="auto" w:sz="4" w:space="0"/>
                  </w:tcBorders>
                  <w:vAlign w:val="center"/>
                </w:tcPr>
                <w:p>
                  <w:pPr>
                    <w:snapToGrid w:val="0"/>
                    <w:jc w:val="center"/>
                    <w:rPr>
                      <w:color w:val="auto"/>
                      <w:sz w:val="21"/>
                      <w:szCs w:val="21"/>
                      <w:highlight w:val="none"/>
                    </w:rPr>
                  </w:pPr>
                  <w:r>
                    <w:rPr>
                      <w:color w:val="auto"/>
                      <w:sz w:val="21"/>
                      <w:szCs w:val="21"/>
                      <w:highlight w:val="none"/>
                    </w:rPr>
                    <w:t>预测值[dB(A)]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 w:val="21"/>
                      <w:szCs w:val="21"/>
                      <w:highlight w:val="none"/>
                    </w:rPr>
                  </w:pPr>
                </w:p>
              </w:tc>
              <w:tc>
                <w:tcPr>
                  <w:tcW w:w="1393" w:type="dxa"/>
                  <w:vMerge w:val="continue"/>
                  <w:tcBorders>
                    <w:top w:val="single" w:color="auto" w:sz="4" w:space="0"/>
                    <w:left w:val="nil"/>
                    <w:bottom w:val="single" w:color="auto" w:sz="4" w:space="0"/>
                    <w:right w:val="single" w:color="auto" w:sz="4" w:space="0"/>
                  </w:tcBorders>
                  <w:vAlign w:val="center"/>
                </w:tcPr>
                <w:p>
                  <w:pPr>
                    <w:widowControl/>
                    <w:jc w:val="left"/>
                    <w:rPr>
                      <w:color w:val="auto"/>
                      <w:sz w:val="21"/>
                      <w:szCs w:val="21"/>
                      <w:highlight w:val="none"/>
                    </w:rPr>
                  </w:pPr>
                </w:p>
              </w:tc>
              <w:tc>
                <w:tcPr>
                  <w:tcW w:w="1761" w:type="dxa"/>
                  <w:tcBorders>
                    <w:top w:val="single" w:color="auto" w:sz="4" w:space="0"/>
                    <w:left w:val="nil"/>
                    <w:bottom w:val="single" w:color="auto" w:sz="4" w:space="0"/>
                    <w:right w:val="single" w:color="auto" w:sz="4" w:space="0"/>
                  </w:tcBorders>
                  <w:vAlign w:val="center"/>
                </w:tcPr>
                <w:p>
                  <w:pPr>
                    <w:snapToGrid w:val="0"/>
                    <w:jc w:val="center"/>
                    <w:rPr>
                      <w:color w:val="auto"/>
                      <w:sz w:val="21"/>
                      <w:szCs w:val="21"/>
                      <w:highlight w:val="none"/>
                    </w:rPr>
                  </w:pPr>
                  <w:r>
                    <w:rPr>
                      <w:color w:val="auto"/>
                      <w:sz w:val="21"/>
                      <w:szCs w:val="21"/>
                      <w:highlight w:val="none"/>
                    </w:rPr>
                    <w:t>昼间值</w:t>
                  </w:r>
                </w:p>
              </w:tc>
              <w:tc>
                <w:tcPr>
                  <w:tcW w:w="3010" w:type="dxa"/>
                  <w:tcBorders>
                    <w:top w:val="single" w:color="auto" w:sz="4" w:space="0"/>
                    <w:left w:val="nil"/>
                    <w:bottom w:val="single" w:color="auto" w:sz="4" w:space="0"/>
                    <w:right w:val="single" w:color="auto" w:sz="4" w:space="0"/>
                  </w:tcBorders>
                  <w:vAlign w:val="center"/>
                </w:tcPr>
                <w:p>
                  <w:pPr>
                    <w:snapToGrid w:val="0"/>
                    <w:jc w:val="center"/>
                    <w:rPr>
                      <w:color w:val="auto"/>
                      <w:sz w:val="21"/>
                      <w:szCs w:val="21"/>
                      <w:highlight w:val="none"/>
                    </w:rPr>
                  </w:pPr>
                  <w:r>
                    <w:rPr>
                      <w:color w:val="auto"/>
                      <w:sz w:val="21"/>
                      <w:szCs w:val="21"/>
                      <w:highlight w:val="none"/>
                    </w:rPr>
                    <w:t>昼间值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1"/>
                      <w:szCs w:val="21"/>
                      <w:highlight w:val="none"/>
                    </w:rPr>
                  </w:pPr>
                  <w:r>
                    <w:rPr>
                      <w:color w:val="auto"/>
                      <w:sz w:val="21"/>
                      <w:szCs w:val="21"/>
                      <w:highlight w:val="none"/>
                    </w:rPr>
                    <w:t>东厂界</w:t>
                  </w:r>
                </w:p>
              </w:tc>
              <w:tc>
                <w:tcPr>
                  <w:tcW w:w="1393" w:type="dxa"/>
                  <w:tcBorders>
                    <w:top w:val="single" w:color="auto" w:sz="4" w:space="0"/>
                    <w:left w:val="nil"/>
                    <w:bottom w:val="single" w:color="auto" w:sz="4" w:space="0"/>
                    <w:right w:val="single" w:color="auto" w:sz="4" w:space="0"/>
                  </w:tcBorders>
                  <w:vAlign w:val="center"/>
                </w:tcPr>
                <w:p>
                  <w:pPr>
                    <w:snapToGrid w:val="0"/>
                    <w:jc w:val="center"/>
                    <w:rPr>
                      <w:color w:val="auto"/>
                      <w:sz w:val="21"/>
                      <w:szCs w:val="21"/>
                      <w:highlight w:val="none"/>
                    </w:rPr>
                  </w:pPr>
                  <w:r>
                    <w:rPr>
                      <w:rFonts w:hint="eastAsia"/>
                      <w:color w:val="auto"/>
                      <w:sz w:val="21"/>
                      <w:szCs w:val="21"/>
                      <w:highlight w:val="none"/>
                    </w:rPr>
                    <w:t>38</w:t>
                  </w:r>
                </w:p>
              </w:tc>
              <w:tc>
                <w:tcPr>
                  <w:tcW w:w="1761" w:type="dxa"/>
                  <w:tcBorders>
                    <w:top w:val="single" w:color="auto" w:sz="4" w:space="0"/>
                    <w:left w:val="nil"/>
                    <w:bottom w:val="single" w:color="auto" w:sz="4" w:space="0"/>
                    <w:right w:val="single" w:color="auto" w:sz="4" w:space="0"/>
                  </w:tcBorders>
                  <w:vAlign w:val="center"/>
                </w:tcPr>
                <w:p>
                  <w:pPr>
                    <w:snapToGrid w:val="0"/>
                    <w:jc w:val="center"/>
                    <w:rPr>
                      <w:color w:val="auto"/>
                      <w:sz w:val="21"/>
                      <w:szCs w:val="21"/>
                      <w:highlight w:val="none"/>
                    </w:rPr>
                  </w:pPr>
                  <w:r>
                    <w:rPr>
                      <w:bCs/>
                      <w:color w:val="auto"/>
                      <w:sz w:val="24"/>
                      <w:highlight w:val="none"/>
                    </w:rPr>
                    <w:t>/</w:t>
                  </w:r>
                </w:p>
              </w:tc>
              <w:tc>
                <w:tcPr>
                  <w:tcW w:w="3010" w:type="dxa"/>
                  <w:tcBorders>
                    <w:top w:val="single" w:color="auto" w:sz="4" w:space="0"/>
                    <w:left w:val="nil"/>
                    <w:bottom w:val="single" w:color="auto" w:sz="4" w:space="0"/>
                    <w:right w:val="single" w:color="auto" w:sz="4" w:space="0"/>
                  </w:tcBorders>
                  <w:vAlign w:val="center"/>
                </w:tcPr>
                <w:p>
                  <w:pPr>
                    <w:snapToGrid w:val="0"/>
                    <w:jc w:val="center"/>
                    <w:rPr>
                      <w:color w:val="auto"/>
                      <w:sz w:val="21"/>
                      <w:szCs w:val="21"/>
                      <w:highlight w:val="none"/>
                    </w:rPr>
                  </w:pPr>
                  <w:r>
                    <w:rPr>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1"/>
                      <w:szCs w:val="21"/>
                      <w:highlight w:val="none"/>
                    </w:rPr>
                  </w:pPr>
                  <w:r>
                    <w:rPr>
                      <w:color w:val="auto"/>
                      <w:sz w:val="21"/>
                      <w:szCs w:val="21"/>
                      <w:highlight w:val="none"/>
                    </w:rPr>
                    <w:t>南厂界</w:t>
                  </w:r>
                </w:p>
              </w:tc>
              <w:tc>
                <w:tcPr>
                  <w:tcW w:w="1393" w:type="dxa"/>
                  <w:tcBorders>
                    <w:top w:val="single" w:color="auto" w:sz="4" w:space="0"/>
                    <w:left w:val="nil"/>
                    <w:bottom w:val="single" w:color="auto" w:sz="4" w:space="0"/>
                    <w:right w:val="single" w:color="auto" w:sz="4" w:space="0"/>
                  </w:tcBorders>
                  <w:vAlign w:val="center"/>
                </w:tcPr>
                <w:p>
                  <w:pPr>
                    <w:snapToGrid w:val="0"/>
                    <w:jc w:val="center"/>
                    <w:rPr>
                      <w:color w:val="auto"/>
                      <w:sz w:val="21"/>
                      <w:szCs w:val="21"/>
                      <w:highlight w:val="none"/>
                    </w:rPr>
                  </w:pPr>
                  <w:r>
                    <w:rPr>
                      <w:rFonts w:hint="eastAsia"/>
                      <w:color w:val="auto"/>
                      <w:sz w:val="21"/>
                      <w:szCs w:val="21"/>
                      <w:highlight w:val="none"/>
                    </w:rPr>
                    <w:t>44.5</w:t>
                  </w:r>
                </w:p>
              </w:tc>
              <w:tc>
                <w:tcPr>
                  <w:tcW w:w="1761" w:type="dxa"/>
                  <w:tcBorders>
                    <w:top w:val="single" w:color="auto" w:sz="4" w:space="0"/>
                    <w:left w:val="nil"/>
                    <w:bottom w:val="single" w:color="auto" w:sz="4" w:space="0"/>
                    <w:right w:val="single" w:color="auto" w:sz="4" w:space="0"/>
                  </w:tcBorders>
                  <w:vAlign w:val="center"/>
                </w:tcPr>
                <w:p>
                  <w:pPr>
                    <w:snapToGrid w:val="0"/>
                    <w:jc w:val="center"/>
                    <w:rPr>
                      <w:color w:val="auto"/>
                      <w:sz w:val="21"/>
                      <w:szCs w:val="21"/>
                      <w:highlight w:val="none"/>
                    </w:rPr>
                  </w:pPr>
                  <w:r>
                    <w:rPr>
                      <w:bCs/>
                      <w:color w:val="auto"/>
                      <w:sz w:val="24"/>
                      <w:highlight w:val="none"/>
                    </w:rPr>
                    <w:t>/</w:t>
                  </w:r>
                </w:p>
              </w:tc>
              <w:tc>
                <w:tcPr>
                  <w:tcW w:w="3010" w:type="dxa"/>
                  <w:tcBorders>
                    <w:top w:val="single" w:color="auto" w:sz="4" w:space="0"/>
                    <w:left w:val="nil"/>
                    <w:bottom w:val="single" w:color="auto" w:sz="4" w:space="0"/>
                    <w:right w:val="single" w:color="auto" w:sz="4" w:space="0"/>
                  </w:tcBorders>
                  <w:vAlign w:val="center"/>
                </w:tcPr>
                <w:p>
                  <w:pPr>
                    <w:snapToGrid w:val="0"/>
                    <w:jc w:val="center"/>
                    <w:rPr>
                      <w:color w:val="auto"/>
                      <w:sz w:val="21"/>
                      <w:szCs w:val="21"/>
                      <w:highlight w:val="none"/>
                    </w:rPr>
                  </w:pPr>
                  <w:r>
                    <w:rPr>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1"/>
                      <w:szCs w:val="21"/>
                      <w:highlight w:val="none"/>
                    </w:rPr>
                  </w:pPr>
                  <w:r>
                    <w:rPr>
                      <w:color w:val="auto"/>
                      <w:sz w:val="21"/>
                      <w:szCs w:val="21"/>
                      <w:highlight w:val="none"/>
                    </w:rPr>
                    <w:t>西厂界</w:t>
                  </w:r>
                </w:p>
              </w:tc>
              <w:tc>
                <w:tcPr>
                  <w:tcW w:w="1393" w:type="dxa"/>
                  <w:tcBorders>
                    <w:top w:val="single" w:color="auto" w:sz="4" w:space="0"/>
                    <w:left w:val="nil"/>
                    <w:bottom w:val="single" w:color="auto" w:sz="4" w:space="0"/>
                    <w:right w:val="single" w:color="auto" w:sz="4" w:space="0"/>
                  </w:tcBorders>
                  <w:vAlign w:val="center"/>
                </w:tcPr>
                <w:p>
                  <w:pPr>
                    <w:snapToGrid w:val="0"/>
                    <w:jc w:val="center"/>
                    <w:rPr>
                      <w:color w:val="auto"/>
                      <w:sz w:val="21"/>
                      <w:szCs w:val="21"/>
                      <w:highlight w:val="none"/>
                    </w:rPr>
                  </w:pPr>
                  <w:r>
                    <w:rPr>
                      <w:rFonts w:hint="eastAsia"/>
                      <w:color w:val="auto"/>
                      <w:sz w:val="21"/>
                      <w:szCs w:val="21"/>
                      <w:highlight w:val="none"/>
                    </w:rPr>
                    <w:t>39.7</w:t>
                  </w:r>
                </w:p>
              </w:tc>
              <w:tc>
                <w:tcPr>
                  <w:tcW w:w="1761" w:type="dxa"/>
                  <w:tcBorders>
                    <w:top w:val="single" w:color="auto" w:sz="4" w:space="0"/>
                    <w:left w:val="nil"/>
                    <w:bottom w:val="single" w:color="auto" w:sz="4" w:space="0"/>
                    <w:right w:val="single" w:color="auto" w:sz="4" w:space="0"/>
                  </w:tcBorders>
                  <w:vAlign w:val="center"/>
                </w:tcPr>
                <w:p>
                  <w:pPr>
                    <w:snapToGrid w:val="0"/>
                    <w:jc w:val="center"/>
                    <w:rPr>
                      <w:color w:val="auto"/>
                      <w:sz w:val="21"/>
                      <w:szCs w:val="21"/>
                      <w:highlight w:val="none"/>
                    </w:rPr>
                  </w:pPr>
                  <w:r>
                    <w:rPr>
                      <w:bCs/>
                      <w:color w:val="auto"/>
                      <w:sz w:val="24"/>
                      <w:highlight w:val="none"/>
                    </w:rPr>
                    <w:t>/</w:t>
                  </w:r>
                </w:p>
              </w:tc>
              <w:tc>
                <w:tcPr>
                  <w:tcW w:w="3010" w:type="dxa"/>
                  <w:tcBorders>
                    <w:top w:val="single" w:color="auto" w:sz="4" w:space="0"/>
                    <w:left w:val="nil"/>
                    <w:bottom w:val="single" w:color="auto" w:sz="4" w:space="0"/>
                    <w:right w:val="single" w:color="auto" w:sz="4" w:space="0"/>
                  </w:tcBorders>
                  <w:vAlign w:val="center"/>
                </w:tcPr>
                <w:p>
                  <w:pPr>
                    <w:snapToGrid w:val="0"/>
                    <w:jc w:val="center"/>
                    <w:rPr>
                      <w:color w:val="auto"/>
                      <w:sz w:val="21"/>
                      <w:szCs w:val="21"/>
                      <w:highlight w:val="none"/>
                    </w:rPr>
                  </w:pPr>
                  <w:r>
                    <w:rPr>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1"/>
                      <w:szCs w:val="21"/>
                      <w:highlight w:val="none"/>
                    </w:rPr>
                  </w:pPr>
                  <w:r>
                    <w:rPr>
                      <w:color w:val="auto"/>
                      <w:sz w:val="21"/>
                      <w:szCs w:val="21"/>
                      <w:highlight w:val="none"/>
                    </w:rPr>
                    <w:t>北厂界</w:t>
                  </w:r>
                </w:p>
              </w:tc>
              <w:tc>
                <w:tcPr>
                  <w:tcW w:w="1393" w:type="dxa"/>
                  <w:tcBorders>
                    <w:top w:val="single" w:color="auto" w:sz="4" w:space="0"/>
                    <w:left w:val="nil"/>
                    <w:bottom w:val="single" w:color="auto" w:sz="4" w:space="0"/>
                    <w:right w:val="single" w:color="auto" w:sz="4" w:space="0"/>
                  </w:tcBorders>
                  <w:vAlign w:val="center"/>
                </w:tcPr>
                <w:p>
                  <w:pPr>
                    <w:snapToGrid w:val="0"/>
                    <w:jc w:val="center"/>
                    <w:rPr>
                      <w:color w:val="auto"/>
                      <w:sz w:val="21"/>
                      <w:szCs w:val="21"/>
                      <w:highlight w:val="none"/>
                    </w:rPr>
                  </w:pPr>
                  <w:r>
                    <w:rPr>
                      <w:rFonts w:hint="eastAsia"/>
                      <w:color w:val="auto"/>
                      <w:sz w:val="21"/>
                      <w:szCs w:val="21"/>
                      <w:highlight w:val="none"/>
                    </w:rPr>
                    <w:t>42.6</w:t>
                  </w:r>
                </w:p>
              </w:tc>
              <w:tc>
                <w:tcPr>
                  <w:tcW w:w="1761" w:type="dxa"/>
                  <w:tcBorders>
                    <w:top w:val="single" w:color="auto" w:sz="4" w:space="0"/>
                    <w:left w:val="nil"/>
                    <w:bottom w:val="single" w:color="auto" w:sz="4" w:space="0"/>
                    <w:right w:val="single" w:color="auto" w:sz="4" w:space="0"/>
                  </w:tcBorders>
                  <w:vAlign w:val="center"/>
                </w:tcPr>
                <w:p>
                  <w:pPr>
                    <w:snapToGrid w:val="0"/>
                    <w:jc w:val="center"/>
                    <w:rPr>
                      <w:color w:val="auto"/>
                      <w:sz w:val="21"/>
                      <w:szCs w:val="21"/>
                      <w:highlight w:val="none"/>
                    </w:rPr>
                  </w:pPr>
                  <w:r>
                    <w:rPr>
                      <w:bCs/>
                      <w:color w:val="auto"/>
                      <w:sz w:val="24"/>
                      <w:highlight w:val="none"/>
                    </w:rPr>
                    <w:t>/</w:t>
                  </w:r>
                </w:p>
              </w:tc>
              <w:tc>
                <w:tcPr>
                  <w:tcW w:w="3010" w:type="dxa"/>
                  <w:tcBorders>
                    <w:top w:val="single" w:color="auto" w:sz="4" w:space="0"/>
                    <w:left w:val="nil"/>
                    <w:bottom w:val="single" w:color="auto" w:sz="4" w:space="0"/>
                    <w:right w:val="single" w:color="auto" w:sz="4" w:space="0"/>
                  </w:tcBorders>
                  <w:vAlign w:val="center"/>
                </w:tcPr>
                <w:p>
                  <w:pPr>
                    <w:snapToGrid w:val="0"/>
                    <w:jc w:val="center"/>
                    <w:rPr>
                      <w:color w:val="auto"/>
                      <w:sz w:val="21"/>
                      <w:szCs w:val="21"/>
                      <w:highlight w:val="none"/>
                    </w:rPr>
                  </w:pPr>
                  <w:r>
                    <w:rPr>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843"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auto"/>
                      <w:sz w:val="21"/>
                      <w:szCs w:val="21"/>
                      <w:highlight w:val="none"/>
                    </w:rPr>
                  </w:pPr>
                  <w:r>
                    <w:rPr>
                      <w:rFonts w:hint="eastAsia"/>
                      <w:color w:val="auto"/>
                      <w:sz w:val="21"/>
                      <w:szCs w:val="21"/>
                      <w:highlight w:val="none"/>
                    </w:rPr>
                    <w:t>神峪寺沟村六组</w:t>
                  </w:r>
                </w:p>
              </w:tc>
              <w:tc>
                <w:tcPr>
                  <w:tcW w:w="1393" w:type="dxa"/>
                  <w:tcBorders>
                    <w:top w:val="single" w:color="auto" w:sz="4" w:space="0"/>
                    <w:left w:val="nil"/>
                    <w:bottom w:val="single" w:color="auto" w:sz="4" w:space="0"/>
                    <w:right w:val="single" w:color="auto" w:sz="4" w:space="0"/>
                  </w:tcBorders>
                  <w:vAlign w:val="center"/>
                </w:tcPr>
                <w:p>
                  <w:pPr>
                    <w:snapToGrid w:val="0"/>
                    <w:jc w:val="center"/>
                    <w:rPr>
                      <w:color w:val="auto"/>
                      <w:sz w:val="21"/>
                      <w:szCs w:val="21"/>
                      <w:highlight w:val="none"/>
                    </w:rPr>
                  </w:pPr>
                  <w:r>
                    <w:rPr>
                      <w:rFonts w:hint="eastAsia"/>
                      <w:color w:val="auto"/>
                      <w:sz w:val="21"/>
                      <w:szCs w:val="21"/>
                      <w:highlight w:val="none"/>
                    </w:rPr>
                    <w:t>43.7</w:t>
                  </w:r>
                </w:p>
              </w:tc>
              <w:tc>
                <w:tcPr>
                  <w:tcW w:w="1761" w:type="dxa"/>
                  <w:tcBorders>
                    <w:top w:val="single" w:color="auto" w:sz="4" w:space="0"/>
                    <w:left w:val="nil"/>
                    <w:bottom w:val="single" w:color="auto" w:sz="4" w:space="0"/>
                    <w:right w:val="single" w:color="auto" w:sz="4" w:space="0"/>
                  </w:tcBorders>
                  <w:vAlign w:val="center"/>
                </w:tcPr>
                <w:p>
                  <w:pPr>
                    <w:snapToGrid w:val="0"/>
                    <w:jc w:val="center"/>
                    <w:rPr>
                      <w:color w:val="auto"/>
                      <w:sz w:val="21"/>
                      <w:szCs w:val="21"/>
                      <w:highlight w:val="none"/>
                    </w:rPr>
                  </w:pPr>
                  <w:r>
                    <w:rPr>
                      <w:rFonts w:hint="eastAsia"/>
                      <w:color w:val="auto"/>
                      <w:sz w:val="21"/>
                      <w:szCs w:val="21"/>
                      <w:highlight w:val="none"/>
                    </w:rPr>
                    <w:t>52.6</w:t>
                  </w:r>
                </w:p>
              </w:tc>
              <w:tc>
                <w:tcPr>
                  <w:tcW w:w="3010" w:type="dxa"/>
                  <w:tcBorders>
                    <w:top w:val="single" w:color="auto" w:sz="4" w:space="0"/>
                    <w:left w:val="nil"/>
                    <w:bottom w:val="single" w:color="auto" w:sz="4" w:space="0"/>
                    <w:right w:val="single" w:color="auto" w:sz="4" w:space="0"/>
                  </w:tcBorders>
                  <w:vAlign w:val="center"/>
                </w:tcPr>
                <w:p>
                  <w:pPr>
                    <w:snapToGrid w:val="0"/>
                    <w:jc w:val="center"/>
                    <w:rPr>
                      <w:color w:val="auto"/>
                      <w:sz w:val="21"/>
                      <w:szCs w:val="21"/>
                      <w:highlight w:val="none"/>
                    </w:rPr>
                  </w:pPr>
                  <w:r>
                    <w:rPr>
                      <w:rFonts w:hint="eastAsia"/>
                      <w:color w:val="auto"/>
                      <w:sz w:val="21"/>
                      <w:szCs w:val="21"/>
                      <w:highlight w:val="none"/>
                    </w:rPr>
                    <w:t>53.13</w:t>
                  </w:r>
                </w:p>
              </w:tc>
            </w:tr>
          </w:tbl>
          <w:p>
            <w:pPr>
              <w:autoSpaceDE w:val="0"/>
              <w:autoSpaceDN w:val="0"/>
              <w:adjustRightInd w:val="0"/>
              <w:snapToGrid w:val="0"/>
              <w:spacing w:line="360" w:lineRule="auto"/>
              <w:ind w:firstLine="450" w:firstLineChars="196"/>
              <w:jc w:val="left"/>
              <w:rPr>
                <w:color w:val="auto"/>
                <w:sz w:val="24"/>
                <w:highlight w:val="none"/>
              </w:rPr>
            </w:pPr>
            <w:r>
              <w:rPr>
                <w:rFonts w:ascii="宋体" w:hAnsi="宋体"/>
                <w:color w:val="auto"/>
                <w:spacing w:val="-5"/>
                <w:sz w:val="24"/>
                <w:highlight w:val="none"/>
              </w:rPr>
              <w:t>由表</w:t>
            </w:r>
            <w:r>
              <w:rPr>
                <w:rFonts w:eastAsia="黑体"/>
                <w:color w:val="auto"/>
                <w:sz w:val="24"/>
                <w:highlight w:val="none"/>
              </w:rPr>
              <w:t>7-</w:t>
            </w:r>
            <w:r>
              <w:rPr>
                <w:rFonts w:hint="eastAsia" w:eastAsia="黑体"/>
                <w:color w:val="auto"/>
                <w:sz w:val="24"/>
                <w:highlight w:val="none"/>
              </w:rPr>
              <w:t>12</w:t>
            </w:r>
            <w:r>
              <w:rPr>
                <w:rFonts w:ascii="宋体" w:hAnsi="宋体"/>
                <w:color w:val="auto"/>
                <w:spacing w:val="-5"/>
                <w:sz w:val="24"/>
                <w:highlight w:val="none"/>
              </w:rPr>
              <w:t>可知，项目设备噪声经隔声、减振和距离衰减后，各厂界昼、夜间噪声值均可满足《工业企业厂界环境噪声排放标准》（</w:t>
            </w:r>
            <w:r>
              <w:rPr>
                <w:color w:val="auto"/>
                <w:spacing w:val="-5"/>
                <w:sz w:val="24"/>
                <w:highlight w:val="none"/>
              </w:rPr>
              <w:t>GB12348-2008</w:t>
            </w:r>
            <w:r>
              <w:rPr>
                <w:rFonts w:ascii="宋体" w:hAnsi="宋体"/>
                <w:color w:val="auto"/>
                <w:spacing w:val="-5"/>
                <w:sz w:val="24"/>
                <w:highlight w:val="none"/>
              </w:rPr>
              <w:t>）中</w:t>
            </w:r>
            <w:r>
              <w:rPr>
                <w:rFonts w:hint="eastAsia"/>
                <w:color w:val="auto"/>
                <w:spacing w:val="-5"/>
                <w:sz w:val="24"/>
                <w:highlight w:val="none"/>
                <w:lang w:eastAsia="zh-CN"/>
              </w:rPr>
              <w:t>2类</w:t>
            </w:r>
            <w:r>
              <w:rPr>
                <w:rFonts w:ascii="宋体" w:hAnsi="宋体"/>
                <w:color w:val="auto"/>
                <w:spacing w:val="-5"/>
                <w:sz w:val="24"/>
                <w:highlight w:val="none"/>
              </w:rPr>
              <w:t>标准要求，</w:t>
            </w:r>
            <w:r>
              <w:rPr>
                <w:rFonts w:hint="eastAsia"/>
                <w:color w:val="auto"/>
                <w:sz w:val="24"/>
                <w:szCs w:val="20"/>
                <w:highlight w:val="none"/>
              </w:rPr>
              <w:t>敏感点</w:t>
            </w:r>
            <w:r>
              <w:rPr>
                <w:rFonts w:hint="eastAsia"/>
                <w:color w:val="auto"/>
                <w:sz w:val="24"/>
                <w:highlight w:val="none"/>
              </w:rPr>
              <w:t>神峪寺沟村六组</w:t>
            </w:r>
            <w:r>
              <w:rPr>
                <w:rFonts w:hint="eastAsia"/>
                <w:color w:val="auto"/>
                <w:sz w:val="24"/>
                <w:szCs w:val="20"/>
                <w:highlight w:val="none"/>
              </w:rPr>
              <w:t>噪声值满足</w:t>
            </w:r>
            <w:r>
              <w:rPr>
                <w:color w:val="auto"/>
                <w:sz w:val="24"/>
                <w:highlight w:val="none"/>
              </w:rPr>
              <w:t>《声环境质量标准》（GB3096-2008）中的2类标准</w:t>
            </w:r>
            <w:r>
              <w:rPr>
                <w:rFonts w:hint="eastAsia"/>
                <w:color w:val="auto"/>
                <w:sz w:val="24"/>
                <w:highlight w:val="none"/>
              </w:rPr>
              <w:t>，本项目运营对环境影响较小。</w:t>
            </w:r>
          </w:p>
          <w:p>
            <w:pPr>
              <w:spacing w:line="336" w:lineRule="auto"/>
              <w:ind w:firstLine="480" w:firstLineChars="200"/>
              <w:rPr>
                <w:rFonts w:eastAsia="黑体"/>
                <w:bCs/>
                <w:color w:val="auto"/>
                <w:sz w:val="24"/>
                <w:highlight w:val="none"/>
              </w:rPr>
            </w:pPr>
            <w:r>
              <w:rPr>
                <w:rFonts w:eastAsia="黑体"/>
                <w:bCs/>
                <w:color w:val="auto"/>
                <w:sz w:val="24"/>
                <w:highlight w:val="none"/>
              </w:rPr>
              <w:t xml:space="preserve">7.2.4 固体废弃物影响分析 </w:t>
            </w:r>
          </w:p>
          <w:p>
            <w:pPr>
              <w:spacing w:line="360" w:lineRule="auto"/>
              <w:ind w:firstLine="480" w:firstLineChars="200"/>
              <w:rPr>
                <w:color w:val="auto"/>
                <w:sz w:val="24"/>
                <w:highlight w:val="none"/>
              </w:rPr>
            </w:pPr>
            <w:r>
              <w:rPr>
                <w:rFonts w:hint="eastAsia"/>
                <w:color w:val="auto"/>
                <w:sz w:val="24"/>
                <w:highlight w:val="none"/>
              </w:rPr>
              <w:t>本项目生产过程</w:t>
            </w:r>
            <w:r>
              <w:rPr>
                <w:color w:val="auto"/>
                <w:sz w:val="24"/>
                <w:highlight w:val="none"/>
              </w:rPr>
              <w:t>产生的固体废物主要为</w:t>
            </w:r>
            <w:r>
              <w:rPr>
                <w:rFonts w:hint="eastAsia"/>
                <w:color w:val="auto"/>
                <w:sz w:val="24"/>
                <w:highlight w:val="none"/>
              </w:rPr>
              <w:t>废纸、废油墨桶、废含油抹布、废洗辊液、废机油、废活性炭和生活垃圾</w:t>
            </w:r>
            <w:r>
              <w:rPr>
                <w:color w:val="auto"/>
                <w:sz w:val="24"/>
                <w:highlight w:val="none"/>
              </w:rPr>
              <w:t>。</w:t>
            </w:r>
            <w:r>
              <w:rPr>
                <w:rFonts w:hint="eastAsia"/>
                <w:color w:val="auto"/>
                <w:sz w:val="24"/>
                <w:highlight w:val="none"/>
              </w:rPr>
              <w:t>对照《国家危险废物名录》（2016版），其中危险废物有废油墨桶、废含油抹布、废活性炭、废油墨桶，本项目固体废物产生和处理情况汇总见表5。建设单位已租用陕西澳利森现有厂房改造为危废暂存间。危废暂存间已采取的措施有：</w:t>
            </w:r>
          </w:p>
          <w:p>
            <w:pPr>
              <w:spacing w:line="360" w:lineRule="auto"/>
              <w:ind w:firstLine="480" w:firstLineChars="200"/>
              <w:rPr>
                <w:color w:val="auto"/>
                <w:sz w:val="24"/>
                <w:highlight w:val="none"/>
              </w:rPr>
            </w:pPr>
            <w:r>
              <w:rPr>
                <w:color w:val="auto"/>
                <w:sz w:val="24"/>
                <w:highlight w:val="none"/>
              </w:rPr>
              <w:t>①地面</w:t>
            </w:r>
            <w:r>
              <w:rPr>
                <w:rFonts w:hint="eastAsia"/>
                <w:color w:val="auto"/>
                <w:sz w:val="24"/>
                <w:highlight w:val="none"/>
              </w:rPr>
              <w:t>已</w:t>
            </w:r>
            <w:r>
              <w:rPr>
                <w:color w:val="auto"/>
                <w:sz w:val="24"/>
                <w:highlight w:val="none"/>
              </w:rPr>
              <w:t>硬化</w:t>
            </w:r>
            <w:r>
              <w:rPr>
                <w:rFonts w:hint="eastAsia"/>
                <w:color w:val="auto"/>
                <w:sz w:val="24"/>
                <w:highlight w:val="none"/>
              </w:rPr>
              <w:t>，已</w:t>
            </w:r>
            <w:r>
              <w:rPr>
                <w:color w:val="auto"/>
                <w:sz w:val="24"/>
                <w:highlight w:val="none"/>
              </w:rPr>
              <w:t>按照《危险废物贮存污染控制标准》要求进行基础防渗，</w:t>
            </w:r>
            <w:r>
              <w:rPr>
                <w:rFonts w:hint="eastAsia"/>
                <w:color w:val="auto"/>
                <w:sz w:val="24"/>
                <w:highlight w:val="none"/>
              </w:rPr>
              <w:t>使其</w:t>
            </w:r>
            <w:r>
              <w:rPr>
                <w:color w:val="auto"/>
                <w:sz w:val="24"/>
                <w:highlight w:val="none"/>
              </w:rPr>
              <w:t>防渗层渗透系数不大于1.0×10</w:t>
            </w:r>
            <w:r>
              <w:rPr>
                <w:color w:val="auto"/>
                <w:sz w:val="24"/>
                <w:highlight w:val="none"/>
                <w:vertAlign w:val="superscript"/>
              </w:rPr>
              <w:t>-10</w:t>
            </w:r>
            <w:r>
              <w:rPr>
                <w:color w:val="auto"/>
                <w:sz w:val="24"/>
                <w:highlight w:val="none"/>
              </w:rPr>
              <w:t>cm/s；</w:t>
            </w:r>
            <w:r>
              <w:rPr>
                <w:rFonts w:hint="eastAsia"/>
                <w:color w:val="auto"/>
                <w:sz w:val="24"/>
                <w:highlight w:val="none"/>
              </w:rPr>
              <w:t>且耐腐蚀，表面无裂隙；</w:t>
            </w:r>
          </w:p>
          <w:p>
            <w:pPr>
              <w:spacing w:line="360" w:lineRule="auto"/>
              <w:ind w:firstLine="480" w:firstLineChars="200"/>
              <w:rPr>
                <w:color w:val="auto"/>
                <w:sz w:val="24"/>
                <w:highlight w:val="none"/>
              </w:rPr>
            </w:pPr>
            <w:r>
              <w:rPr>
                <w:color w:val="auto"/>
                <w:sz w:val="24"/>
                <w:highlight w:val="none"/>
              </w:rPr>
              <w:t>②贮存场所设置危险废物识别标志；</w:t>
            </w:r>
          </w:p>
          <w:p>
            <w:pPr>
              <w:spacing w:line="360" w:lineRule="auto"/>
              <w:ind w:firstLine="480" w:firstLineChars="200"/>
              <w:rPr>
                <w:color w:val="auto"/>
                <w:sz w:val="24"/>
                <w:highlight w:val="none"/>
              </w:rPr>
            </w:pPr>
            <w:r>
              <w:rPr>
                <w:color w:val="auto"/>
                <w:sz w:val="24"/>
                <w:highlight w:val="none"/>
              </w:rPr>
              <w:t>③</w:t>
            </w:r>
            <w:r>
              <w:rPr>
                <w:rFonts w:hint="eastAsia"/>
                <w:color w:val="auto"/>
                <w:sz w:val="24"/>
                <w:highlight w:val="none"/>
              </w:rPr>
              <w:t>已做堵截泄漏的裙脚；</w:t>
            </w:r>
          </w:p>
          <w:p>
            <w:pPr>
              <w:spacing w:line="360" w:lineRule="auto"/>
              <w:ind w:firstLine="480" w:firstLineChars="200"/>
              <w:rPr>
                <w:color w:val="auto"/>
                <w:sz w:val="24"/>
                <w:highlight w:val="none"/>
              </w:rPr>
            </w:pPr>
            <w:r>
              <w:rPr>
                <w:rFonts w:hint="eastAsia"/>
                <w:color w:val="auto"/>
                <w:sz w:val="24"/>
                <w:highlight w:val="none"/>
              </w:rPr>
              <w:t>④废含油抹布、废机油、废洗辊液、废活性炭分类</w:t>
            </w:r>
            <w:r>
              <w:rPr>
                <w:color w:val="auto"/>
                <w:sz w:val="24"/>
                <w:highlight w:val="none"/>
              </w:rPr>
              <w:t>装入专用容器内、保留余量空间，并贴标签标识；</w:t>
            </w:r>
          </w:p>
          <w:p>
            <w:pPr>
              <w:spacing w:line="360" w:lineRule="auto"/>
              <w:ind w:firstLine="480" w:firstLineChars="200"/>
              <w:rPr>
                <w:color w:val="auto"/>
                <w:sz w:val="24"/>
                <w:highlight w:val="none"/>
              </w:rPr>
            </w:pPr>
            <w:r>
              <w:rPr>
                <w:rFonts w:hint="eastAsia"/>
                <w:color w:val="auto"/>
                <w:sz w:val="24"/>
                <w:highlight w:val="none"/>
              </w:rPr>
              <w:t>⑤建立危险废物转移联单制度，并办理相关手续。</w:t>
            </w:r>
          </w:p>
          <w:p>
            <w:pPr>
              <w:spacing w:line="360" w:lineRule="auto"/>
              <w:ind w:firstLine="480" w:firstLineChars="200"/>
              <w:rPr>
                <w:color w:val="auto"/>
                <w:sz w:val="24"/>
                <w:highlight w:val="none"/>
              </w:rPr>
            </w:pPr>
            <w:r>
              <w:rPr>
                <w:rFonts w:hint="eastAsia"/>
                <w:color w:val="auto"/>
                <w:sz w:val="24"/>
                <w:highlight w:val="none"/>
              </w:rPr>
              <w:t>⑥建设单位已与陕西新天地固体废物综合处置有限公司签订危险废物委托处置合同，本项目产生的危险废物全部委托该公司处置</w:t>
            </w:r>
            <w:r>
              <w:rPr>
                <w:bCs/>
                <w:color w:val="auto"/>
                <w:sz w:val="24"/>
                <w:highlight w:val="none"/>
              </w:rPr>
              <w:t>。</w:t>
            </w:r>
          </w:p>
          <w:p>
            <w:pPr>
              <w:spacing w:line="360" w:lineRule="auto"/>
              <w:ind w:firstLine="480" w:firstLineChars="200"/>
              <w:rPr>
                <w:bCs/>
                <w:color w:val="auto"/>
                <w:sz w:val="24"/>
                <w:highlight w:val="none"/>
              </w:rPr>
            </w:pPr>
            <w:r>
              <w:rPr>
                <w:bCs/>
                <w:color w:val="auto"/>
                <w:sz w:val="24"/>
                <w:highlight w:val="none"/>
              </w:rPr>
              <w:t>综上，</w:t>
            </w:r>
            <w:r>
              <w:rPr>
                <w:rFonts w:hint="eastAsia"/>
                <w:bCs/>
                <w:color w:val="auto"/>
                <w:sz w:val="24"/>
                <w:highlight w:val="none"/>
              </w:rPr>
              <w:t>本项目产生的固体废物都能得到合理处置，</w:t>
            </w:r>
            <w:r>
              <w:rPr>
                <w:bCs/>
                <w:color w:val="auto"/>
                <w:sz w:val="24"/>
                <w:highlight w:val="none"/>
              </w:rPr>
              <w:t>本项目固废对外环境产生影响较小。</w:t>
            </w:r>
          </w:p>
          <w:p>
            <w:pPr>
              <w:adjustRightInd w:val="0"/>
              <w:snapToGrid w:val="0"/>
              <w:spacing w:line="360" w:lineRule="auto"/>
              <w:ind w:firstLine="480" w:firstLineChars="200"/>
              <w:rPr>
                <w:rFonts w:eastAsia="黑体"/>
                <w:color w:val="auto"/>
                <w:sz w:val="24"/>
                <w:szCs w:val="20"/>
                <w:highlight w:val="none"/>
              </w:rPr>
            </w:pPr>
            <w:r>
              <w:rPr>
                <w:rFonts w:eastAsia="黑体"/>
                <w:color w:val="auto"/>
                <w:sz w:val="24"/>
                <w:szCs w:val="20"/>
                <w:highlight w:val="none"/>
              </w:rPr>
              <w:t>7.2.5土壤环境影响分析</w:t>
            </w:r>
          </w:p>
          <w:p>
            <w:pPr>
              <w:pStyle w:val="6"/>
              <w:spacing w:line="360" w:lineRule="auto"/>
              <w:ind w:firstLine="480"/>
              <w:rPr>
                <w:color w:val="auto"/>
                <w:sz w:val="24"/>
                <w:highlight w:val="none"/>
              </w:rPr>
            </w:pPr>
            <w:r>
              <w:rPr>
                <w:color w:val="auto"/>
                <w:sz w:val="24"/>
                <w:highlight w:val="none"/>
              </w:rPr>
              <w:t>本项目</w:t>
            </w:r>
            <w:r>
              <w:rPr>
                <w:rFonts w:hint="eastAsia"/>
                <w:color w:val="auto"/>
                <w:sz w:val="24"/>
                <w:highlight w:val="none"/>
              </w:rPr>
              <w:t>租用</w:t>
            </w:r>
            <w:r>
              <w:rPr>
                <w:color w:val="auto"/>
                <w:sz w:val="24"/>
                <w:highlight w:val="none"/>
              </w:rPr>
              <w:t>已建成</w:t>
            </w:r>
            <w:r>
              <w:rPr>
                <w:rFonts w:hint="eastAsia"/>
                <w:color w:val="auto"/>
                <w:sz w:val="24"/>
                <w:highlight w:val="none"/>
              </w:rPr>
              <w:t>厂房</w:t>
            </w:r>
            <w:r>
              <w:rPr>
                <w:color w:val="auto"/>
                <w:sz w:val="24"/>
                <w:highlight w:val="none"/>
              </w:rPr>
              <w:t>，</w:t>
            </w:r>
            <w:r>
              <w:rPr>
                <w:rFonts w:hint="eastAsia"/>
                <w:color w:val="auto"/>
                <w:sz w:val="24"/>
                <w:highlight w:val="none"/>
              </w:rPr>
              <w:t>没有生产废水排放，</w:t>
            </w:r>
            <w:r>
              <w:rPr>
                <w:color w:val="auto"/>
                <w:sz w:val="24"/>
                <w:highlight w:val="none"/>
              </w:rPr>
              <w:t>生活污水</w:t>
            </w:r>
            <w:r>
              <w:rPr>
                <w:rFonts w:hint="eastAsia"/>
                <w:color w:val="auto"/>
                <w:sz w:val="24"/>
                <w:highlight w:val="none"/>
              </w:rPr>
              <w:t>排入陕西澳利森公司化粪池</w:t>
            </w:r>
            <w:r>
              <w:rPr>
                <w:color w:val="auto"/>
                <w:sz w:val="24"/>
                <w:highlight w:val="none"/>
              </w:rPr>
              <w:t>，</w:t>
            </w:r>
            <w:r>
              <w:rPr>
                <w:rFonts w:hint="eastAsia"/>
                <w:color w:val="auto"/>
                <w:sz w:val="24"/>
                <w:highlight w:val="none"/>
              </w:rPr>
              <w:t>进入西安市第三污水处理厂</w:t>
            </w:r>
            <w:r>
              <w:rPr>
                <w:color w:val="auto"/>
                <w:sz w:val="24"/>
                <w:highlight w:val="none"/>
              </w:rPr>
              <w:t>；产生的</w:t>
            </w:r>
            <w:r>
              <w:rPr>
                <w:rFonts w:hint="eastAsia"/>
                <w:color w:val="auto"/>
                <w:sz w:val="24"/>
                <w:highlight w:val="none"/>
              </w:rPr>
              <w:t>有机废气经光催化氧化和活性炭吸附</w:t>
            </w:r>
            <w:r>
              <w:rPr>
                <w:color w:val="auto"/>
                <w:sz w:val="24"/>
                <w:highlight w:val="none"/>
              </w:rPr>
              <w:t>处理后达标排放；</w:t>
            </w:r>
            <w:r>
              <w:rPr>
                <w:rFonts w:hint="eastAsia"/>
                <w:color w:val="auto"/>
                <w:sz w:val="24"/>
                <w:highlight w:val="none"/>
              </w:rPr>
              <w:t>一般固体废物在场内特定地点暂存，场地</w:t>
            </w:r>
            <w:r>
              <w:rPr>
                <w:color w:val="auto"/>
                <w:sz w:val="24"/>
                <w:highlight w:val="none"/>
              </w:rPr>
              <w:t>内所有的地面</w:t>
            </w:r>
            <w:r>
              <w:rPr>
                <w:rFonts w:hint="eastAsia"/>
                <w:color w:val="auto"/>
                <w:sz w:val="24"/>
                <w:highlight w:val="none"/>
              </w:rPr>
              <w:t>均</w:t>
            </w:r>
            <w:r>
              <w:rPr>
                <w:color w:val="auto"/>
                <w:sz w:val="24"/>
                <w:highlight w:val="none"/>
              </w:rPr>
              <w:t>进行硬化</w:t>
            </w:r>
            <w:r>
              <w:rPr>
                <w:rFonts w:hint="eastAsia"/>
                <w:color w:val="auto"/>
                <w:sz w:val="24"/>
                <w:highlight w:val="none"/>
              </w:rPr>
              <w:t>防渗，危废暂存间按环保要求做防渗措施，这些措施</w:t>
            </w:r>
            <w:r>
              <w:rPr>
                <w:color w:val="auto"/>
                <w:sz w:val="24"/>
                <w:highlight w:val="none"/>
              </w:rPr>
              <w:t>可以有效杜绝污染物向土壤转移，故项目运行对土壤影响小。</w:t>
            </w:r>
          </w:p>
          <w:p>
            <w:pPr>
              <w:adjustRightInd w:val="0"/>
              <w:snapToGrid w:val="0"/>
              <w:spacing w:line="360" w:lineRule="auto"/>
              <w:ind w:firstLine="480" w:firstLineChars="200"/>
              <w:rPr>
                <w:color w:val="auto"/>
                <w:sz w:val="24"/>
                <w:highlight w:val="none"/>
              </w:rPr>
            </w:pPr>
          </w:p>
        </w:tc>
      </w:tr>
    </w:tbl>
    <w:p>
      <w:pPr>
        <w:rPr>
          <w:b/>
          <w:color w:val="auto"/>
          <w:highlight w:val="none"/>
        </w:rPr>
        <w:sectPr>
          <w:pgSz w:w="11906" w:h="16838"/>
          <w:pgMar w:top="1440" w:right="1418" w:bottom="873" w:left="1797" w:header="851" w:footer="992" w:gutter="0"/>
          <w:cols w:space="720" w:num="1"/>
          <w:docGrid w:linePitch="381" w:charSpace="0"/>
        </w:sectPr>
      </w:pPr>
    </w:p>
    <w:p>
      <w:pPr>
        <w:spacing w:line="360" w:lineRule="auto"/>
        <w:rPr>
          <w:rFonts w:eastAsia="黑体"/>
          <w:color w:val="auto"/>
          <w:szCs w:val="20"/>
          <w:highlight w:val="none"/>
        </w:rPr>
      </w:pPr>
      <w:r>
        <w:rPr>
          <w:rFonts w:eastAsia="黑体"/>
          <w:color w:val="auto"/>
          <w:szCs w:val="20"/>
          <w:highlight w:val="none"/>
        </w:rPr>
        <w:t>8 环境管理与监测计划</w:t>
      </w:r>
    </w:p>
    <w:tbl>
      <w:tblPr>
        <w:tblStyle w:val="27"/>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89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080" w:hRule="atLeast"/>
        </w:trPr>
        <w:tc>
          <w:tcPr>
            <w:tcW w:w="8897" w:type="dxa"/>
            <w:tcBorders>
              <w:top w:val="single" w:color="000000" w:sz="12" w:space="0"/>
              <w:bottom w:val="single" w:color="auto" w:sz="12" w:space="0"/>
            </w:tcBorders>
          </w:tcPr>
          <w:p>
            <w:pPr>
              <w:snapToGrid w:val="0"/>
              <w:spacing w:line="360" w:lineRule="auto"/>
              <w:ind w:firstLine="480" w:firstLineChars="200"/>
              <w:rPr>
                <w:rFonts w:eastAsia="黑体"/>
                <w:color w:val="auto"/>
                <w:sz w:val="24"/>
                <w:highlight w:val="none"/>
              </w:rPr>
            </w:pPr>
            <w:r>
              <w:rPr>
                <w:rFonts w:eastAsia="黑体"/>
                <w:color w:val="auto"/>
                <w:sz w:val="24"/>
                <w:highlight w:val="none"/>
              </w:rPr>
              <w:t>8.1 污染物排放清单</w:t>
            </w:r>
          </w:p>
          <w:p>
            <w:pPr>
              <w:spacing w:line="360" w:lineRule="auto"/>
              <w:ind w:firstLine="480" w:firstLineChars="200"/>
              <w:rPr>
                <w:color w:val="auto"/>
                <w:sz w:val="24"/>
                <w:highlight w:val="none"/>
              </w:rPr>
            </w:pPr>
            <w:r>
              <w:rPr>
                <w:color w:val="auto"/>
                <w:sz w:val="24"/>
                <w:highlight w:val="none"/>
              </w:rPr>
              <w:t>本项目污染物排放清单见表8-1。</w:t>
            </w:r>
          </w:p>
          <w:p>
            <w:pPr>
              <w:tabs>
                <w:tab w:val="left" w:pos="2025"/>
              </w:tabs>
              <w:ind w:right="140" w:rightChars="50"/>
              <w:jc w:val="center"/>
              <w:rPr>
                <w:rFonts w:eastAsia="黑体"/>
                <w:color w:val="auto"/>
                <w:sz w:val="24"/>
                <w:highlight w:val="none"/>
              </w:rPr>
            </w:pPr>
            <w:r>
              <w:rPr>
                <w:rFonts w:eastAsia="黑体"/>
                <w:color w:val="auto"/>
                <w:sz w:val="24"/>
                <w:highlight w:val="none"/>
              </w:rPr>
              <w:t>表8-1        污染物排放清单</w:t>
            </w:r>
          </w:p>
          <w:tbl>
            <w:tblPr>
              <w:tblStyle w:val="2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51"/>
              <w:gridCol w:w="851"/>
              <w:gridCol w:w="850"/>
              <w:gridCol w:w="1134"/>
              <w:gridCol w:w="851"/>
              <w:gridCol w:w="850"/>
              <w:gridCol w:w="1701"/>
              <w:gridCol w:w="18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551" w:type="dxa"/>
                  <w:vAlign w:val="center"/>
                </w:tcPr>
                <w:p>
                  <w:pPr>
                    <w:autoSpaceDE w:val="0"/>
                    <w:autoSpaceDN w:val="0"/>
                    <w:adjustRightInd w:val="0"/>
                    <w:spacing w:line="0" w:lineRule="atLeast"/>
                    <w:jc w:val="center"/>
                    <w:rPr>
                      <w:bCs/>
                      <w:color w:val="auto"/>
                      <w:sz w:val="21"/>
                      <w:szCs w:val="21"/>
                      <w:highlight w:val="none"/>
                    </w:rPr>
                  </w:pPr>
                  <w:r>
                    <w:rPr>
                      <w:bCs/>
                      <w:color w:val="auto"/>
                      <w:sz w:val="21"/>
                      <w:szCs w:val="21"/>
                      <w:highlight w:val="none"/>
                    </w:rPr>
                    <w:t>类别</w:t>
                  </w:r>
                </w:p>
              </w:tc>
              <w:tc>
                <w:tcPr>
                  <w:tcW w:w="851" w:type="dxa"/>
                  <w:vAlign w:val="center"/>
                </w:tcPr>
                <w:p>
                  <w:pPr>
                    <w:autoSpaceDE w:val="0"/>
                    <w:autoSpaceDN w:val="0"/>
                    <w:adjustRightInd w:val="0"/>
                    <w:spacing w:line="0" w:lineRule="atLeast"/>
                    <w:jc w:val="center"/>
                    <w:rPr>
                      <w:bCs/>
                      <w:color w:val="auto"/>
                      <w:sz w:val="21"/>
                      <w:szCs w:val="21"/>
                      <w:highlight w:val="none"/>
                    </w:rPr>
                  </w:pPr>
                  <w:r>
                    <w:rPr>
                      <w:bCs/>
                      <w:color w:val="auto"/>
                      <w:sz w:val="21"/>
                      <w:szCs w:val="21"/>
                      <w:highlight w:val="none"/>
                    </w:rPr>
                    <w:t>污染源</w:t>
                  </w:r>
                </w:p>
              </w:tc>
              <w:tc>
                <w:tcPr>
                  <w:tcW w:w="850" w:type="dxa"/>
                  <w:vAlign w:val="center"/>
                </w:tcPr>
                <w:p>
                  <w:pPr>
                    <w:autoSpaceDE w:val="0"/>
                    <w:autoSpaceDN w:val="0"/>
                    <w:adjustRightInd w:val="0"/>
                    <w:spacing w:line="0" w:lineRule="atLeast"/>
                    <w:jc w:val="center"/>
                    <w:rPr>
                      <w:bCs/>
                      <w:color w:val="auto"/>
                      <w:sz w:val="21"/>
                      <w:szCs w:val="21"/>
                      <w:highlight w:val="none"/>
                    </w:rPr>
                  </w:pPr>
                  <w:r>
                    <w:rPr>
                      <w:bCs/>
                      <w:color w:val="auto"/>
                      <w:sz w:val="21"/>
                      <w:szCs w:val="21"/>
                      <w:highlight w:val="none"/>
                    </w:rPr>
                    <w:t>污染物名称</w:t>
                  </w:r>
                </w:p>
              </w:tc>
              <w:tc>
                <w:tcPr>
                  <w:tcW w:w="1134" w:type="dxa"/>
                  <w:vAlign w:val="center"/>
                </w:tcPr>
                <w:p>
                  <w:pPr>
                    <w:autoSpaceDE w:val="0"/>
                    <w:autoSpaceDN w:val="0"/>
                    <w:adjustRightInd w:val="0"/>
                    <w:spacing w:line="0" w:lineRule="atLeast"/>
                    <w:jc w:val="center"/>
                    <w:rPr>
                      <w:bCs/>
                      <w:color w:val="auto"/>
                      <w:sz w:val="21"/>
                      <w:szCs w:val="21"/>
                      <w:highlight w:val="none"/>
                    </w:rPr>
                  </w:pPr>
                  <w:r>
                    <w:rPr>
                      <w:bCs/>
                      <w:color w:val="auto"/>
                      <w:sz w:val="21"/>
                      <w:szCs w:val="21"/>
                      <w:highlight w:val="none"/>
                    </w:rPr>
                    <w:t>排放浓度</w:t>
                  </w:r>
                </w:p>
                <w:p>
                  <w:pPr>
                    <w:autoSpaceDE w:val="0"/>
                    <w:autoSpaceDN w:val="0"/>
                    <w:adjustRightInd w:val="0"/>
                    <w:spacing w:line="0" w:lineRule="atLeast"/>
                    <w:jc w:val="center"/>
                    <w:rPr>
                      <w:bCs/>
                      <w:color w:val="auto"/>
                      <w:sz w:val="21"/>
                      <w:szCs w:val="21"/>
                      <w:highlight w:val="none"/>
                    </w:rPr>
                  </w:pPr>
                  <w:r>
                    <w:rPr>
                      <w:bCs/>
                      <w:color w:val="auto"/>
                      <w:sz w:val="21"/>
                      <w:szCs w:val="21"/>
                      <w:highlight w:val="none"/>
                    </w:rPr>
                    <w:t>（</w:t>
                  </w:r>
                  <w:r>
                    <w:rPr>
                      <w:color w:val="auto"/>
                      <w:sz w:val="21"/>
                      <w:szCs w:val="21"/>
                      <w:highlight w:val="none"/>
                    </w:rPr>
                    <w:t>mg/m</w:t>
                  </w:r>
                  <w:r>
                    <w:rPr>
                      <w:color w:val="auto"/>
                      <w:sz w:val="21"/>
                      <w:szCs w:val="21"/>
                      <w:highlight w:val="none"/>
                      <w:vertAlign w:val="superscript"/>
                    </w:rPr>
                    <w:t>3</w:t>
                  </w:r>
                  <w:r>
                    <w:rPr>
                      <w:bCs/>
                      <w:color w:val="auto"/>
                      <w:sz w:val="21"/>
                      <w:szCs w:val="21"/>
                      <w:highlight w:val="none"/>
                    </w:rPr>
                    <w:t>）</w:t>
                  </w:r>
                </w:p>
              </w:tc>
              <w:tc>
                <w:tcPr>
                  <w:tcW w:w="851" w:type="dxa"/>
                  <w:vAlign w:val="center"/>
                </w:tcPr>
                <w:p>
                  <w:pPr>
                    <w:autoSpaceDE w:val="0"/>
                    <w:autoSpaceDN w:val="0"/>
                    <w:adjustRightInd w:val="0"/>
                    <w:spacing w:line="0" w:lineRule="atLeast"/>
                    <w:jc w:val="center"/>
                    <w:rPr>
                      <w:bCs/>
                      <w:color w:val="auto"/>
                      <w:sz w:val="21"/>
                      <w:szCs w:val="21"/>
                      <w:highlight w:val="none"/>
                    </w:rPr>
                  </w:pPr>
                  <w:r>
                    <w:rPr>
                      <w:bCs/>
                      <w:color w:val="auto"/>
                      <w:sz w:val="21"/>
                      <w:szCs w:val="21"/>
                      <w:highlight w:val="none"/>
                    </w:rPr>
                    <w:t>排放量（</w:t>
                  </w:r>
                  <w:r>
                    <w:rPr>
                      <w:color w:val="auto"/>
                      <w:sz w:val="21"/>
                      <w:szCs w:val="21"/>
                      <w:highlight w:val="none"/>
                    </w:rPr>
                    <w:t>t/a</w:t>
                  </w:r>
                  <w:r>
                    <w:rPr>
                      <w:bCs/>
                      <w:color w:val="auto"/>
                      <w:sz w:val="21"/>
                      <w:szCs w:val="21"/>
                      <w:highlight w:val="none"/>
                    </w:rPr>
                    <w:t>）</w:t>
                  </w:r>
                </w:p>
              </w:tc>
              <w:tc>
                <w:tcPr>
                  <w:tcW w:w="850" w:type="dxa"/>
                  <w:vAlign w:val="center"/>
                </w:tcPr>
                <w:p>
                  <w:pPr>
                    <w:autoSpaceDE w:val="0"/>
                    <w:autoSpaceDN w:val="0"/>
                    <w:adjustRightInd w:val="0"/>
                    <w:spacing w:line="0" w:lineRule="atLeast"/>
                    <w:jc w:val="center"/>
                    <w:rPr>
                      <w:bCs/>
                      <w:color w:val="auto"/>
                      <w:sz w:val="21"/>
                      <w:szCs w:val="21"/>
                      <w:highlight w:val="none"/>
                    </w:rPr>
                  </w:pPr>
                  <w:r>
                    <w:rPr>
                      <w:bCs/>
                      <w:color w:val="auto"/>
                      <w:sz w:val="21"/>
                      <w:szCs w:val="21"/>
                      <w:highlight w:val="none"/>
                    </w:rPr>
                    <w:t>总量指标（</w:t>
                  </w:r>
                  <w:r>
                    <w:rPr>
                      <w:color w:val="auto"/>
                      <w:sz w:val="21"/>
                      <w:szCs w:val="21"/>
                      <w:highlight w:val="none"/>
                    </w:rPr>
                    <w:t>t/a</w:t>
                  </w:r>
                  <w:r>
                    <w:rPr>
                      <w:bCs/>
                      <w:color w:val="auto"/>
                      <w:sz w:val="21"/>
                      <w:szCs w:val="21"/>
                      <w:highlight w:val="none"/>
                    </w:rPr>
                    <w:t>）</w:t>
                  </w:r>
                </w:p>
              </w:tc>
              <w:tc>
                <w:tcPr>
                  <w:tcW w:w="1701" w:type="dxa"/>
                  <w:vAlign w:val="center"/>
                </w:tcPr>
                <w:p>
                  <w:pPr>
                    <w:autoSpaceDE w:val="0"/>
                    <w:autoSpaceDN w:val="0"/>
                    <w:adjustRightInd w:val="0"/>
                    <w:spacing w:line="0" w:lineRule="atLeast"/>
                    <w:jc w:val="center"/>
                    <w:rPr>
                      <w:bCs/>
                      <w:color w:val="auto"/>
                      <w:sz w:val="21"/>
                      <w:szCs w:val="21"/>
                      <w:highlight w:val="none"/>
                    </w:rPr>
                  </w:pPr>
                  <w:r>
                    <w:rPr>
                      <w:bCs/>
                      <w:color w:val="auto"/>
                      <w:sz w:val="21"/>
                      <w:szCs w:val="21"/>
                      <w:highlight w:val="none"/>
                    </w:rPr>
                    <w:t>环保</w:t>
                  </w:r>
                </w:p>
                <w:p>
                  <w:pPr>
                    <w:autoSpaceDE w:val="0"/>
                    <w:autoSpaceDN w:val="0"/>
                    <w:adjustRightInd w:val="0"/>
                    <w:spacing w:line="0" w:lineRule="atLeast"/>
                    <w:jc w:val="center"/>
                    <w:rPr>
                      <w:bCs/>
                      <w:color w:val="auto"/>
                      <w:sz w:val="21"/>
                      <w:szCs w:val="21"/>
                      <w:highlight w:val="none"/>
                    </w:rPr>
                  </w:pPr>
                  <w:r>
                    <w:rPr>
                      <w:bCs/>
                      <w:color w:val="auto"/>
                      <w:sz w:val="21"/>
                      <w:szCs w:val="21"/>
                      <w:highlight w:val="none"/>
                    </w:rPr>
                    <w:t>措施</w:t>
                  </w:r>
                </w:p>
              </w:tc>
              <w:tc>
                <w:tcPr>
                  <w:tcW w:w="1861" w:type="dxa"/>
                  <w:vAlign w:val="center"/>
                </w:tcPr>
                <w:p>
                  <w:pPr>
                    <w:autoSpaceDE w:val="0"/>
                    <w:autoSpaceDN w:val="0"/>
                    <w:adjustRightInd w:val="0"/>
                    <w:spacing w:line="0" w:lineRule="atLeast"/>
                    <w:jc w:val="center"/>
                    <w:rPr>
                      <w:bCs/>
                      <w:color w:val="auto"/>
                      <w:sz w:val="21"/>
                      <w:szCs w:val="21"/>
                      <w:highlight w:val="none"/>
                    </w:rPr>
                  </w:pPr>
                  <w:r>
                    <w:rPr>
                      <w:bCs/>
                      <w:color w:val="auto"/>
                      <w:sz w:val="21"/>
                      <w:szCs w:val="21"/>
                      <w:highlight w:val="none"/>
                    </w:rPr>
                    <w:t>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551" w:type="dxa"/>
                  <w:vMerge w:val="restart"/>
                  <w:vAlign w:val="center"/>
                </w:tcPr>
                <w:p>
                  <w:pPr>
                    <w:autoSpaceDE w:val="0"/>
                    <w:autoSpaceDN w:val="0"/>
                    <w:adjustRightInd w:val="0"/>
                    <w:spacing w:line="0" w:lineRule="atLeast"/>
                    <w:jc w:val="center"/>
                    <w:rPr>
                      <w:bCs/>
                      <w:color w:val="auto"/>
                      <w:sz w:val="21"/>
                      <w:szCs w:val="21"/>
                      <w:highlight w:val="none"/>
                    </w:rPr>
                  </w:pPr>
                  <w:r>
                    <w:rPr>
                      <w:bCs/>
                      <w:color w:val="auto"/>
                      <w:sz w:val="21"/>
                      <w:szCs w:val="21"/>
                      <w:highlight w:val="none"/>
                    </w:rPr>
                    <w:t>废气</w:t>
                  </w:r>
                </w:p>
              </w:tc>
              <w:tc>
                <w:tcPr>
                  <w:tcW w:w="851" w:type="dxa"/>
                  <w:vMerge w:val="restart"/>
                  <w:vAlign w:val="center"/>
                </w:tcPr>
                <w:p>
                  <w:pPr>
                    <w:autoSpaceDE w:val="0"/>
                    <w:autoSpaceDN w:val="0"/>
                    <w:adjustRightInd w:val="0"/>
                    <w:spacing w:line="0" w:lineRule="atLeast"/>
                    <w:jc w:val="center"/>
                    <w:rPr>
                      <w:bCs/>
                      <w:color w:val="auto"/>
                      <w:sz w:val="21"/>
                      <w:szCs w:val="21"/>
                      <w:highlight w:val="none"/>
                    </w:rPr>
                  </w:pPr>
                  <w:r>
                    <w:rPr>
                      <w:rFonts w:hint="eastAsia" w:ascii="宋体" w:hAnsi="宋体"/>
                      <w:color w:val="auto"/>
                      <w:sz w:val="21"/>
                      <w:szCs w:val="21"/>
                      <w:highlight w:val="none"/>
                    </w:rPr>
                    <w:t>印刷机</w:t>
                  </w:r>
                </w:p>
              </w:tc>
              <w:tc>
                <w:tcPr>
                  <w:tcW w:w="850" w:type="dxa"/>
                  <w:vAlign w:val="center"/>
                </w:tcPr>
                <w:p>
                  <w:pPr>
                    <w:autoSpaceDE w:val="0"/>
                    <w:autoSpaceDN w:val="0"/>
                    <w:adjustRightInd w:val="0"/>
                    <w:spacing w:line="0" w:lineRule="atLeast"/>
                    <w:jc w:val="center"/>
                    <w:rPr>
                      <w:bCs/>
                      <w:color w:val="auto"/>
                      <w:sz w:val="21"/>
                      <w:szCs w:val="21"/>
                      <w:highlight w:val="none"/>
                    </w:rPr>
                  </w:pPr>
                  <w:r>
                    <w:rPr>
                      <w:rFonts w:hint="eastAsia"/>
                      <w:color w:val="auto"/>
                      <w:sz w:val="21"/>
                      <w:szCs w:val="21"/>
                      <w:highlight w:val="none"/>
                      <w:lang w:eastAsia="zh-CN"/>
                    </w:rPr>
                    <w:t>有组织</w:t>
                  </w:r>
                  <w:r>
                    <w:rPr>
                      <w:rFonts w:hint="eastAsia"/>
                      <w:color w:val="auto"/>
                      <w:sz w:val="21"/>
                      <w:szCs w:val="21"/>
                      <w:highlight w:val="none"/>
                    </w:rPr>
                    <w:t>VOCs</w:t>
                  </w:r>
                </w:p>
              </w:tc>
              <w:tc>
                <w:tcPr>
                  <w:tcW w:w="1134" w:type="dxa"/>
                  <w:vAlign w:val="center"/>
                </w:tcPr>
                <w:p>
                  <w:pPr>
                    <w:autoSpaceDE w:val="0"/>
                    <w:autoSpaceDN w:val="0"/>
                    <w:adjustRightInd w:val="0"/>
                    <w:spacing w:line="0" w:lineRule="atLeast"/>
                    <w:jc w:val="center"/>
                    <w:rPr>
                      <w:bCs/>
                      <w:color w:val="auto"/>
                      <w:sz w:val="21"/>
                      <w:szCs w:val="21"/>
                      <w:highlight w:val="none"/>
                    </w:rPr>
                  </w:pPr>
                  <w:r>
                    <w:rPr>
                      <w:rFonts w:hint="eastAsia"/>
                      <w:color w:val="auto"/>
                      <w:sz w:val="21"/>
                      <w:szCs w:val="21"/>
                      <w:highlight w:val="none"/>
                    </w:rPr>
                    <w:t>0.930</w:t>
                  </w:r>
                </w:p>
              </w:tc>
              <w:tc>
                <w:tcPr>
                  <w:tcW w:w="851" w:type="dxa"/>
                  <w:vAlign w:val="center"/>
                </w:tcPr>
                <w:p>
                  <w:pPr>
                    <w:autoSpaceDE w:val="0"/>
                    <w:autoSpaceDN w:val="0"/>
                    <w:adjustRightInd w:val="0"/>
                    <w:spacing w:line="0" w:lineRule="atLeast"/>
                    <w:jc w:val="center"/>
                    <w:rPr>
                      <w:bCs/>
                      <w:color w:val="auto"/>
                      <w:sz w:val="21"/>
                      <w:szCs w:val="21"/>
                      <w:highlight w:val="none"/>
                    </w:rPr>
                  </w:pPr>
                  <w:r>
                    <w:rPr>
                      <w:rFonts w:hint="eastAsia"/>
                      <w:color w:val="auto"/>
                      <w:sz w:val="21"/>
                      <w:szCs w:val="21"/>
                      <w:highlight w:val="none"/>
                    </w:rPr>
                    <w:t>0.0</w:t>
                  </w:r>
                  <w:r>
                    <w:rPr>
                      <w:rFonts w:hint="eastAsia"/>
                      <w:color w:val="auto"/>
                      <w:sz w:val="21"/>
                      <w:szCs w:val="21"/>
                      <w:highlight w:val="none"/>
                      <w:lang w:val="en-US" w:eastAsia="zh-CN"/>
                    </w:rPr>
                    <w:t>1</w:t>
                  </w:r>
                  <w:r>
                    <w:rPr>
                      <w:rFonts w:hint="eastAsia"/>
                      <w:color w:val="auto"/>
                      <w:sz w:val="21"/>
                      <w:szCs w:val="21"/>
                      <w:highlight w:val="none"/>
                    </w:rPr>
                    <w:t>4</w:t>
                  </w:r>
                </w:p>
              </w:tc>
              <w:tc>
                <w:tcPr>
                  <w:tcW w:w="850" w:type="dxa"/>
                  <w:vMerge w:val="restart"/>
                  <w:vAlign w:val="center"/>
                </w:tcPr>
                <w:p>
                  <w:pPr>
                    <w:autoSpaceDE w:val="0"/>
                    <w:autoSpaceDN w:val="0"/>
                    <w:adjustRightInd w:val="0"/>
                    <w:spacing w:line="0" w:lineRule="atLeast"/>
                    <w:jc w:val="center"/>
                    <w:rPr>
                      <w:bCs/>
                      <w:color w:val="auto"/>
                      <w:sz w:val="21"/>
                      <w:szCs w:val="21"/>
                      <w:highlight w:val="none"/>
                    </w:rPr>
                  </w:pPr>
                  <w:r>
                    <w:rPr>
                      <w:rFonts w:hint="eastAsia"/>
                      <w:color w:val="auto"/>
                      <w:sz w:val="21"/>
                      <w:szCs w:val="21"/>
                      <w:highlight w:val="none"/>
                    </w:rPr>
                    <w:t>0.0</w:t>
                  </w:r>
                  <w:r>
                    <w:rPr>
                      <w:rFonts w:hint="eastAsia"/>
                      <w:color w:val="auto"/>
                      <w:sz w:val="21"/>
                      <w:szCs w:val="21"/>
                      <w:highlight w:val="none"/>
                      <w:lang w:val="en-US" w:eastAsia="zh-CN"/>
                    </w:rPr>
                    <w:t>2</w:t>
                  </w:r>
                  <w:r>
                    <w:rPr>
                      <w:rFonts w:hint="eastAsia"/>
                      <w:color w:val="auto"/>
                      <w:sz w:val="21"/>
                      <w:szCs w:val="21"/>
                      <w:highlight w:val="none"/>
                    </w:rPr>
                    <w:t>4</w:t>
                  </w:r>
                </w:p>
              </w:tc>
              <w:tc>
                <w:tcPr>
                  <w:tcW w:w="1701" w:type="dxa"/>
                  <w:vAlign w:val="center"/>
                </w:tcPr>
                <w:p>
                  <w:pPr>
                    <w:autoSpaceDE w:val="0"/>
                    <w:autoSpaceDN w:val="0"/>
                    <w:adjustRightInd w:val="0"/>
                    <w:spacing w:line="0" w:lineRule="atLeast"/>
                    <w:jc w:val="center"/>
                    <w:rPr>
                      <w:bCs/>
                      <w:color w:val="auto"/>
                      <w:sz w:val="21"/>
                      <w:szCs w:val="21"/>
                      <w:highlight w:val="none"/>
                    </w:rPr>
                  </w:pPr>
                  <w:r>
                    <w:rPr>
                      <w:rFonts w:hint="eastAsia"/>
                      <w:color w:val="auto"/>
                      <w:sz w:val="21"/>
                      <w:szCs w:val="21"/>
                      <w:highlight w:val="none"/>
                    </w:rPr>
                    <w:t>集气罩+UV光催化+活性炭</w:t>
                  </w:r>
                </w:p>
              </w:tc>
              <w:tc>
                <w:tcPr>
                  <w:tcW w:w="1861" w:type="dxa"/>
                  <w:vMerge w:val="restart"/>
                  <w:vAlign w:val="center"/>
                </w:tcPr>
                <w:p>
                  <w:pPr>
                    <w:autoSpaceDE w:val="0"/>
                    <w:autoSpaceDN w:val="0"/>
                    <w:adjustRightInd w:val="0"/>
                    <w:spacing w:line="0" w:lineRule="atLeast"/>
                    <w:jc w:val="center"/>
                    <w:rPr>
                      <w:rFonts w:hint="eastAsia" w:eastAsia="宋体"/>
                      <w:bCs/>
                      <w:color w:val="auto"/>
                      <w:sz w:val="21"/>
                      <w:szCs w:val="21"/>
                      <w:highlight w:val="none"/>
                      <w:lang w:val="en-US" w:eastAsia="zh-CN"/>
                    </w:rPr>
                  </w:pPr>
                  <w:r>
                    <w:rPr>
                      <w:rFonts w:hint="eastAsia"/>
                      <w:bCs/>
                      <w:color w:val="auto"/>
                      <w:sz w:val="21"/>
                      <w:szCs w:val="21"/>
                      <w:highlight w:val="none"/>
                    </w:rPr>
                    <w:t>陕西省地方标准《挥发性有机物排放控制标准》（</w:t>
                  </w:r>
                  <w:r>
                    <w:rPr>
                      <w:bCs/>
                      <w:color w:val="auto"/>
                      <w:sz w:val="21"/>
                      <w:szCs w:val="21"/>
                      <w:highlight w:val="none"/>
                    </w:rPr>
                    <w:t>DB61/T1061-2017</w:t>
                  </w:r>
                  <w:r>
                    <w:rPr>
                      <w:rFonts w:hint="eastAsia"/>
                      <w:bCs/>
                      <w:color w:val="auto"/>
                      <w:sz w:val="21"/>
                      <w:szCs w:val="21"/>
                      <w:highlight w:val="none"/>
                    </w:rPr>
                    <w:t>）印刷行业标准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551" w:type="dxa"/>
                  <w:vMerge w:val="continue"/>
                  <w:vAlign w:val="center"/>
                </w:tcPr>
                <w:p>
                  <w:pPr>
                    <w:autoSpaceDE w:val="0"/>
                    <w:autoSpaceDN w:val="0"/>
                    <w:adjustRightInd w:val="0"/>
                    <w:spacing w:line="0" w:lineRule="atLeast"/>
                    <w:jc w:val="center"/>
                    <w:rPr>
                      <w:bCs/>
                      <w:color w:val="auto"/>
                      <w:sz w:val="21"/>
                      <w:szCs w:val="21"/>
                      <w:highlight w:val="none"/>
                    </w:rPr>
                  </w:pPr>
                </w:p>
              </w:tc>
              <w:tc>
                <w:tcPr>
                  <w:tcW w:w="851" w:type="dxa"/>
                  <w:vMerge w:val="continue"/>
                  <w:vAlign w:val="center"/>
                </w:tcPr>
                <w:p>
                  <w:pPr>
                    <w:autoSpaceDE w:val="0"/>
                    <w:autoSpaceDN w:val="0"/>
                    <w:adjustRightInd w:val="0"/>
                    <w:spacing w:line="0" w:lineRule="atLeast"/>
                    <w:jc w:val="center"/>
                    <w:rPr>
                      <w:rFonts w:hint="eastAsia" w:ascii="宋体" w:hAnsi="宋体"/>
                      <w:color w:val="auto"/>
                      <w:sz w:val="21"/>
                      <w:szCs w:val="21"/>
                      <w:highlight w:val="none"/>
                    </w:rPr>
                  </w:pPr>
                </w:p>
              </w:tc>
              <w:tc>
                <w:tcPr>
                  <w:tcW w:w="850" w:type="dxa"/>
                  <w:vAlign w:val="center"/>
                </w:tcPr>
                <w:p>
                  <w:pPr>
                    <w:autoSpaceDE w:val="0"/>
                    <w:autoSpaceDN w:val="0"/>
                    <w:adjustRightInd w:val="0"/>
                    <w:spacing w:line="0" w:lineRule="atLeast"/>
                    <w:jc w:val="center"/>
                    <w:rPr>
                      <w:rFonts w:hint="eastAsia" w:eastAsia="宋体"/>
                      <w:color w:val="auto"/>
                      <w:sz w:val="21"/>
                      <w:szCs w:val="21"/>
                      <w:highlight w:val="none"/>
                      <w:lang w:eastAsia="zh-CN"/>
                    </w:rPr>
                  </w:pPr>
                  <w:r>
                    <w:rPr>
                      <w:rFonts w:hint="eastAsia"/>
                      <w:color w:val="auto"/>
                      <w:sz w:val="21"/>
                      <w:szCs w:val="21"/>
                      <w:highlight w:val="none"/>
                      <w:lang w:eastAsia="zh-CN"/>
                    </w:rPr>
                    <w:t>无组织</w:t>
                  </w:r>
                  <w:r>
                    <w:rPr>
                      <w:rFonts w:hint="eastAsia"/>
                      <w:color w:val="auto"/>
                      <w:sz w:val="21"/>
                      <w:szCs w:val="21"/>
                      <w:highlight w:val="none"/>
                    </w:rPr>
                    <w:t>VOCs</w:t>
                  </w:r>
                </w:p>
              </w:tc>
              <w:tc>
                <w:tcPr>
                  <w:tcW w:w="1134" w:type="dxa"/>
                  <w:vAlign w:val="center"/>
                </w:tcPr>
                <w:p>
                  <w:pPr>
                    <w:autoSpaceDE w:val="0"/>
                    <w:autoSpaceDN w:val="0"/>
                    <w:adjustRightInd w:val="0"/>
                    <w:spacing w:line="0" w:lineRule="atLeast"/>
                    <w:jc w:val="center"/>
                    <w:rPr>
                      <w:rFonts w:hint="eastAsia" w:eastAsia="宋体"/>
                      <w:color w:val="auto"/>
                      <w:sz w:val="21"/>
                      <w:szCs w:val="21"/>
                      <w:highlight w:val="none"/>
                      <w:lang w:val="en-US" w:eastAsia="zh-CN"/>
                    </w:rPr>
                  </w:pPr>
                  <w:r>
                    <w:rPr>
                      <w:rFonts w:hint="eastAsia"/>
                      <w:color w:val="auto"/>
                      <w:sz w:val="21"/>
                      <w:szCs w:val="21"/>
                      <w:highlight w:val="none"/>
                      <w:lang w:val="en-US" w:eastAsia="zh-CN"/>
                    </w:rPr>
                    <w:t>/</w:t>
                  </w:r>
                </w:p>
              </w:tc>
              <w:tc>
                <w:tcPr>
                  <w:tcW w:w="851" w:type="dxa"/>
                  <w:vAlign w:val="center"/>
                </w:tcPr>
                <w:p>
                  <w:pPr>
                    <w:autoSpaceDE w:val="0"/>
                    <w:autoSpaceDN w:val="0"/>
                    <w:adjustRightInd w:val="0"/>
                    <w:spacing w:line="0" w:lineRule="atLeast"/>
                    <w:jc w:val="center"/>
                    <w:rPr>
                      <w:rFonts w:hint="eastAsia"/>
                      <w:color w:val="auto"/>
                      <w:sz w:val="21"/>
                      <w:szCs w:val="21"/>
                      <w:highlight w:val="none"/>
                    </w:rPr>
                  </w:pPr>
                  <w:r>
                    <w:rPr>
                      <w:rFonts w:hint="eastAsia"/>
                      <w:color w:val="auto"/>
                      <w:sz w:val="21"/>
                      <w:szCs w:val="21"/>
                      <w:highlight w:val="none"/>
                      <w:lang w:val="en-US" w:eastAsia="zh-CN"/>
                    </w:rPr>
                    <w:t>0.010</w:t>
                  </w:r>
                  <w:r>
                    <w:rPr>
                      <w:rFonts w:hint="eastAsia"/>
                      <w:color w:val="auto"/>
                      <w:sz w:val="21"/>
                      <w:szCs w:val="21"/>
                      <w:highlight w:val="none"/>
                    </w:rPr>
                    <w:t xml:space="preserve"> </w:t>
                  </w:r>
                </w:p>
              </w:tc>
              <w:tc>
                <w:tcPr>
                  <w:tcW w:w="850" w:type="dxa"/>
                  <w:vMerge w:val="continue"/>
                  <w:vAlign w:val="center"/>
                </w:tcPr>
                <w:p>
                  <w:pPr>
                    <w:autoSpaceDE w:val="0"/>
                    <w:autoSpaceDN w:val="0"/>
                    <w:adjustRightInd w:val="0"/>
                    <w:spacing w:line="0" w:lineRule="atLeast"/>
                    <w:jc w:val="center"/>
                    <w:rPr>
                      <w:rFonts w:hint="eastAsia"/>
                      <w:color w:val="auto"/>
                      <w:sz w:val="21"/>
                      <w:szCs w:val="21"/>
                      <w:highlight w:val="none"/>
                    </w:rPr>
                  </w:pPr>
                </w:p>
              </w:tc>
              <w:tc>
                <w:tcPr>
                  <w:tcW w:w="1701" w:type="dxa"/>
                  <w:vAlign w:val="center"/>
                </w:tcPr>
                <w:p>
                  <w:pPr>
                    <w:autoSpaceDE w:val="0"/>
                    <w:autoSpaceDN w:val="0"/>
                    <w:adjustRightInd w:val="0"/>
                    <w:spacing w:line="0" w:lineRule="atLeast"/>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w:t>
                  </w:r>
                </w:p>
              </w:tc>
              <w:tc>
                <w:tcPr>
                  <w:tcW w:w="1861" w:type="dxa"/>
                  <w:vMerge w:val="continue"/>
                  <w:vAlign w:val="center"/>
                </w:tcPr>
                <w:p>
                  <w:pPr>
                    <w:autoSpaceDE w:val="0"/>
                    <w:autoSpaceDN w:val="0"/>
                    <w:adjustRightInd w:val="0"/>
                    <w:spacing w:line="0" w:lineRule="atLeast"/>
                    <w:jc w:val="center"/>
                    <w:rPr>
                      <w:rFonts w:hint="eastAsia" w:eastAsia="宋体"/>
                      <w:bCs/>
                      <w:color w:val="auto"/>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551" w:type="dxa"/>
                  <w:vMerge w:val="restart"/>
                  <w:vAlign w:val="center"/>
                </w:tcPr>
                <w:p>
                  <w:pPr>
                    <w:autoSpaceDE w:val="0"/>
                    <w:autoSpaceDN w:val="0"/>
                    <w:adjustRightInd w:val="0"/>
                    <w:spacing w:line="0" w:lineRule="atLeast"/>
                    <w:jc w:val="center"/>
                    <w:rPr>
                      <w:bCs/>
                      <w:color w:val="auto"/>
                      <w:sz w:val="21"/>
                      <w:szCs w:val="21"/>
                      <w:highlight w:val="none"/>
                    </w:rPr>
                  </w:pPr>
                  <w:r>
                    <w:rPr>
                      <w:bCs/>
                      <w:color w:val="auto"/>
                      <w:sz w:val="21"/>
                      <w:szCs w:val="21"/>
                      <w:highlight w:val="none"/>
                    </w:rPr>
                    <w:t>废水</w:t>
                  </w:r>
                </w:p>
              </w:tc>
              <w:tc>
                <w:tcPr>
                  <w:tcW w:w="851" w:type="dxa"/>
                  <w:vMerge w:val="restart"/>
                  <w:vAlign w:val="center"/>
                </w:tcPr>
                <w:p>
                  <w:pPr>
                    <w:autoSpaceDE w:val="0"/>
                    <w:autoSpaceDN w:val="0"/>
                    <w:adjustRightInd w:val="0"/>
                    <w:spacing w:line="0" w:lineRule="atLeast"/>
                    <w:jc w:val="center"/>
                    <w:rPr>
                      <w:bCs/>
                      <w:color w:val="auto"/>
                      <w:sz w:val="21"/>
                      <w:szCs w:val="21"/>
                      <w:highlight w:val="none"/>
                    </w:rPr>
                  </w:pPr>
                  <w:r>
                    <w:rPr>
                      <w:rFonts w:hint="eastAsia"/>
                      <w:bCs/>
                      <w:color w:val="auto"/>
                      <w:sz w:val="21"/>
                      <w:szCs w:val="21"/>
                      <w:highlight w:val="none"/>
                    </w:rPr>
                    <w:t>职工生活</w:t>
                  </w:r>
                  <w:r>
                    <w:rPr>
                      <w:rFonts w:hint="eastAsia"/>
                      <w:color w:val="auto"/>
                      <w:sz w:val="21"/>
                      <w:szCs w:val="21"/>
                      <w:highlight w:val="none"/>
                    </w:rPr>
                    <w:t>58.8</w:t>
                  </w:r>
                  <w:r>
                    <w:rPr>
                      <w:color w:val="auto"/>
                      <w:sz w:val="21"/>
                      <w:szCs w:val="21"/>
                      <w:highlight w:val="none"/>
                    </w:rPr>
                    <w:t>m</w:t>
                  </w:r>
                  <w:r>
                    <w:rPr>
                      <w:color w:val="auto"/>
                      <w:sz w:val="21"/>
                      <w:szCs w:val="21"/>
                      <w:highlight w:val="none"/>
                      <w:vertAlign w:val="superscript"/>
                    </w:rPr>
                    <w:t>3</w:t>
                  </w:r>
                  <w:r>
                    <w:rPr>
                      <w:color w:val="auto"/>
                      <w:sz w:val="21"/>
                      <w:szCs w:val="21"/>
                      <w:highlight w:val="none"/>
                    </w:rPr>
                    <w:t>/a</w:t>
                  </w:r>
                </w:p>
              </w:tc>
              <w:tc>
                <w:tcPr>
                  <w:tcW w:w="850" w:type="dxa"/>
                  <w:vAlign w:val="center"/>
                </w:tcPr>
                <w:p>
                  <w:pPr>
                    <w:adjustRightInd w:val="0"/>
                    <w:snapToGrid w:val="0"/>
                    <w:jc w:val="center"/>
                    <w:rPr>
                      <w:color w:val="auto"/>
                      <w:sz w:val="21"/>
                      <w:szCs w:val="21"/>
                      <w:highlight w:val="none"/>
                    </w:rPr>
                  </w:pPr>
                  <w:r>
                    <w:rPr>
                      <w:color w:val="auto"/>
                      <w:sz w:val="21"/>
                      <w:szCs w:val="21"/>
                      <w:highlight w:val="none"/>
                    </w:rPr>
                    <w:t>COD</w:t>
                  </w:r>
                </w:p>
              </w:tc>
              <w:tc>
                <w:tcPr>
                  <w:tcW w:w="1134" w:type="dxa"/>
                  <w:vAlign w:val="center"/>
                </w:tcPr>
                <w:p>
                  <w:pPr>
                    <w:jc w:val="center"/>
                    <w:rPr>
                      <w:color w:val="auto"/>
                      <w:sz w:val="21"/>
                      <w:szCs w:val="21"/>
                      <w:highlight w:val="none"/>
                    </w:rPr>
                  </w:pPr>
                  <w:r>
                    <w:rPr>
                      <w:color w:val="auto"/>
                      <w:sz w:val="21"/>
                      <w:szCs w:val="21"/>
                      <w:highlight w:val="none"/>
                    </w:rPr>
                    <w:t>340</w:t>
                  </w:r>
                </w:p>
              </w:tc>
              <w:tc>
                <w:tcPr>
                  <w:tcW w:w="851" w:type="dxa"/>
                  <w:vAlign w:val="center"/>
                </w:tcPr>
                <w:p>
                  <w:pPr>
                    <w:jc w:val="right"/>
                    <w:rPr>
                      <w:rFonts w:ascii="宋体" w:hAnsi="宋体" w:cs="宋体"/>
                      <w:color w:val="auto"/>
                      <w:sz w:val="21"/>
                      <w:szCs w:val="21"/>
                      <w:highlight w:val="none"/>
                    </w:rPr>
                  </w:pPr>
                  <w:r>
                    <w:rPr>
                      <w:rFonts w:hint="eastAsia"/>
                      <w:color w:val="auto"/>
                      <w:sz w:val="21"/>
                      <w:szCs w:val="21"/>
                      <w:highlight w:val="none"/>
                    </w:rPr>
                    <w:t xml:space="preserve">0.0200 </w:t>
                  </w:r>
                </w:p>
              </w:tc>
              <w:tc>
                <w:tcPr>
                  <w:tcW w:w="850" w:type="dxa"/>
                  <w:vAlign w:val="center"/>
                </w:tcPr>
                <w:p>
                  <w:pPr>
                    <w:autoSpaceDE w:val="0"/>
                    <w:autoSpaceDN w:val="0"/>
                    <w:adjustRightInd w:val="0"/>
                    <w:spacing w:line="0" w:lineRule="atLeast"/>
                    <w:jc w:val="center"/>
                    <w:rPr>
                      <w:bCs/>
                      <w:color w:val="auto"/>
                      <w:sz w:val="21"/>
                      <w:szCs w:val="21"/>
                      <w:highlight w:val="none"/>
                    </w:rPr>
                  </w:pPr>
                  <w:r>
                    <w:rPr>
                      <w:color w:val="auto"/>
                      <w:sz w:val="21"/>
                      <w:szCs w:val="21"/>
                      <w:highlight w:val="none"/>
                    </w:rPr>
                    <w:t>0.02</w:t>
                  </w:r>
                </w:p>
              </w:tc>
              <w:tc>
                <w:tcPr>
                  <w:tcW w:w="1701" w:type="dxa"/>
                  <w:vMerge w:val="restart"/>
                  <w:vAlign w:val="center"/>
                </w:tcPr>
                <w:p>
                  <w:pPr>
                    <w:autoSpaceDE w:val="0"/>
                    <w:autoSpaceDN w:val="0"/>
                    <w:adjustRightInd w:val="0"/>
                    <w:spacing w:line="0" w:lineRule="atLeast"/>
                    <w:jc w:val="center"/>
                    <w:rPr>
                      <w:bCs/>
                      <w:color w:val="auto"/>
                      <w:sz w:val="21"/>
                      <w:szCs w:val="21"/>
                      <w:highlight w:val="none"/>
                    </w:rPr>
                  </w:pPr>
                  <w:r>
                    <w:rPr>
                      <w:rFonts w:hint="eastAsia"/>
                      <w:bCs/>
                      <w:color w:val="auto"/>
                      <w:sz w:val="21"/>
                      <w:szCs w:val="21"/>
                      <w:highlight w:val="none"/>
                    </w:rPr>
                    <w:t>化粪池</w:t>
                  </w:r>
                </w:p>
              </w:tc>
              <w:tc>
                <w:tcPr>
                  <w:tcW w:w="1861" w:type="dxa"/>
                  <w:vMerge w:val="restart"/>
                  <w:vAlign w:val="center"/>
                </w:tcPr>
                <w:p>
                  <w:pPr>
                    <w:autoSpaceDE w:val="0"/>
                    <w:autoSpaceDN w:val="0"/>
                    <w:adjustRightInd w:val="0"/>
                    <w:spacing w:line="0" w:lineRule="atLeast"/>
                    <w:jc w:val="center"/>
                    <w:rPr>
                      <w:bCs/>
                      <w:color w:val="auto"/>
                      <w:sz w:val="21"/>
                      <w:szCs w:val="21"/>
                      <w:highlight w:val="none"/>
                    </w:rPr>
                  </w:pPr>
                  <w:r>
                    <w:rPr>
                      <w:rFonts w:hint="eastAsia" w:hAnsi="宋体"/>
                      <w:color w:val="auto"/>
                      <w:kern w:val="0"/>
                      <w:sz w:val="21"/>
                      <w:szCs w:val="21"/>
                      <w:highlight w:val="none"/>
                    </w:rPr>
                    <w:t>《污水综合排放标准》（GB8978-1996）表4中三级标准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551" w:type="dxa"/>
                  <w:vMerge w:val="continue"/>
                  <w:vAlign w:val="center"/>
                </w:tcPr>
                <w:p>
                  <w:pPr>
                    <w:autoSpaceDE w:val="0"/>
                    <w:autoSpaceDN w:val="0"/>
                    <w:adjustRightInd w:val="0"/>
                    <w:spacing w:line="0" w:lineRule="atLeast"/>
                    <w:jc w:val="center"/>
                    <w:rPr>
                      <w:bCs/>
                      <w:color w:val="auto"/>
                      <w:sz w:val="21"/>
                      <w:szCs w:val="21"/>
                      <w:highlight w:val="none"/>
                    </w:rPr>
                  </w:pPr>
                </w:p>
              </w:tc>
              <w:tc>
                <w:tcPr>
                  <w:tcW w:w="851" w:type="dxa"/>
                  <w:vMerge w:val="continue"/>
                  <w:vAlign w:val="center"/>
                </w:tcPr>
                <w:p>
                  <w:pPr>
                    <w:autoSpaceDE w:val="0"/>
                    <w:autoSpaceDN w:val="0"/>
                    <w:adjustRightInd w:val="0"/>
                    <w:spacing w:line="0" w:lineRule="atLeast"/>
                    <w:jc w:val="center"/>
                    <w:rPr>
                      <w:bCs/>
                      <w:color w:val="auto"/>
                      <w:sz w:val="21"/>
                      <w:szCs w:val="21"/>
                      <w:highlight w:val="none"/>
                    </w:rPr>
                  </w:pPr>
                </w:p>
              </w:tc>
              <w:tc>
                <w:tcPr>
                  <w:tcW w:w="850" w:type="dxa"/>
                  <w:vAlign w:val="center"/>
                </w:tcPr>
                <w:p>
                  <w:pPr>
                    <w:adjustRightInd w:val="0"/>
                    <w:snapToGrid w:val="0"/>
                    <w:jc w:val="center"/>
                    <w:rPr>
                      <w:color w:val="auto"/>
                      <w:sz w:val="21"/>
                      <w:szCs w:val="21"/>
                      <w:highlight w:val="none"/>
                      <w:vertAlign w:val="subscript"/>
                    </w:rPr>
                  </w:pPr>
                  <w:r>
                    <w:rPr>
                      <w:color w:val="auto"/>
                      <w:sz w:val="21"/>
                      <w:szCs w:val="21"/>
                      <w:highlight w:val="none"/>
                    </w:rPr>
                    <w:t>BOD</w:t>
                  </w:r>
                  <w:r>
                    <w:rPr>
                      <w:color w:val="auto"/>
                      <w:sz w:val="21"/>
                      <w:szCs w:val="21"/>
                      <w:highlight w:val="none"/>
                      <w:vertAlign w:val="subscript"/>
                    </w:rPr>
                    <w:t>5</w:t>
                  </w:r>
                </w:p>
              </w:tc>
              <w:tc>
                <w:tcPr>
                  <w:tcW w:w="1134" w:type="dxa"/>
                  <w:vAlign w:val="center"/>
                </w:tcPr>
                <w:p>
                  <w:pPr>
                    <w:jc w:val="center"/>
                    <w:rPr>
                      <w:color w:val="auto"/>
                      <w:sz w:val="21"/>
                      <w:szCs w:val="21"/>
                      <w:highlight w:val="none"/>
                    </w:rPr>
                  </w:pPr>
                  <w:r>
                    <w:rPr>
                      <w:color w:val="auto"/>
                      <w:sz w:val="21"/>
                      <w:szCs w:val="21"/>
                      <w:highlight w:val="none"/>
                    </w:rPr>
                    <w:t>180</w:t>
                  </w:r>
                </w:p>
              </w:tc>
              <w:tc>
                <w:tcPr>
                  <w:tcW w:w="851" w:type="dxa"/>
                  <w:vAlign w:val="center"/>
                </w:tcPr>
                <w:p>
                  <w:pPr>
                    <w:jc w:val="right"/>
                    <w:rPr>
                      <w:rFonts w:ascii="宋体" w:hAnsi="宋体" w:cs="宋体"/>
                      <w:color w:val="auto"/>
                      <w:sz w:val="21"/>
                      <w:szCs w:val="21"/>
                      <w:highlight w:val="none"/>
                    </w:rPr>
                  </w:pPr>
                  <w:r>
                    <w:rPr>
                      <w:rFonts w:hint="eastAsia"/>
                      <w:color w:val="auto"/>
                      <w:sz w:val="21"/>
                      <w:szCs w:val="21"/>
                      <w:highlight w:val="none"/>
                    </w:rPr>
                    <w:t xml:space="preserve">0.0106 </w:t>
                  </w:r>
                </w:p>
              </w:tc>
              <w:tc>
                <w:tcPr>
                  <w:tcW w:w="850" w:type="dxa"/>
                  <w:vAlign w:val="center"/>
                </w:tcPr>
                <w:p>
                  <w:pPr>
                    <w:autoSpaceDE w:val="0"/>
                    <w:autoSpaceDN w:val="0"/>
                    <w:adjustRightInd w:val="0"/>
                    <w:spacing w:line="0" w:lineRule="atLeast"/>
                    <w:jc w:val="center"/>
                    <w:rPr>
                      <w:bCs/>
                      <w:color w:val="auto"/>
                      <w:sz w:val="21"/>
                      <w:szCs w:val="21"/>
                      <w:highlight w:val="none"/>
                    </w:rPr>
                  </w:pPr>
                  <w:r>
                    <w:rPr>
                      <w:rFonts w:hint="eastAsia"/>
                      <w:bCs/>
                      <w:color w:val="auto"/>
                      <w:sz w:val="21"/>
                      <w:szCs w:val="21"/>
                      <w:highlight w:val="none"/>
                    </w:rPr>
                    <w:t>/</w:t>
                  </w:r>
                </w:p>
              </w:tc>
              <w:tc>
                <w:tcPr>
                  <w:tcW w:w="1701" w:type="dxa"/>
                  <w:vMerge w:val="continue"/>
                  <w:vAlign w:val="center"/>
                </w:tcPr>
                <w:p>
                  <w:pPr>
                    <w:autoSpaceDE w:val="0"/>
                    <w:autoSpaceDN w:val="0"/>
                    <w:adjustRightInd w:val="0"/>
                    <w:spacing w:line="0" w:lineRule="atLeast"/>
                    <w:jc w:val="center"/>
                    <w:rPr>
                      <w:bCs/>
                      <w:color w:val="auto"/>
                      <w:sz w:val="21"/>
                      <w:szCs w:val="21"/>
                      <w:highlight w:val="none"/>
                    </w:rPr>
                  </w:pPr>
                </w:p>
              </w:tc>
              <w:tc>
                <w:tcPr>
                  <w:tcW w:w="1861" w:type="dxa"/>
                  <w:vMerge w:val="continue"/>
                  <w:vAlign w:val="center"/>
                </w:tcPr>
                <w:p>
                  <w:pPr>
                    <w:autoSpaceDE w:val="0"/>
                    <w:autoSpaceDN w:val="0"/>
                    <w:adjustRightInd w:val="0"/>
                    <w:spacing w:line="0" w:lineRule="atLeast"/>
                    <w:jc w:val="center"/>
                    <w:rPr>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551" w:type="dxa"/>
                  <w:vMerge w:val="continue"/>
                  <w:vAlign w:val="center"/>
                </w:tcPr>
                <w:p>
                  <w:pPr>
                    <w:autoSpaceDE w:val="0"/>
                    <w:autoSpaceDN w:val="0"/>
                    <w:adjustRightInd w:val="0"/>
                    <w:spacing w:line="0" w:lineRule="atLeast"/>
                    <w:jc w:val="center"/>
                    <w:rPr>
                      <w:bCs/>
                      <w:color w:val="auto"/>
                      <w:sz w:val="21"/>
                      <w:szCs w:val="21"/>
                      <w:highlight w:val="none"/>
                    </w:rPr>
                  </w:pPr>
                </w:p>
              </w:tc>
              <w:tc>
                <w:tcPr>
                  <w:tcW w:w="851" w:type="dxa"/>
                  <w:vMerge w:val="continue"/>
                  <w:vAlign w:val="center"/>
                </w:tcPr>
                <w:p>
                  <w:pPr>
                    <w:autoSpaceDE w:val="0"/>
                    <w:autoSpaceDN w:val="0"/>
                    <w:adjustRightInd w:val="0"/>
                    <w:spacing w:line="0" w:lineRule="atLeast"/>
                    <w:jc w:val="center"/>
                    <w:rPr>
                      <w:bCs/>
                      <w:color w:val="auto"/>
                      <w:sz w:val="21"/>
                      <w:szCs w:val="21"/>
                      <w:highlight w:val="none"/>
                    </w:rPr>
                  </w:pPr>
                </w:p>
              </w:tc>
              <w:tc>
                <w:tcPr>
                  <w:tcW w:w="850" w:type="dxa"/>
                  <w:vAlign w:val="center"/>
                </w:tcPr>
                <w:p>
                  <w:pPr>
                    <w:adjustRightInd w:val="0"/>
                    <w:snapToGrid w:val="0"/>
                    <w:jc w:val="center"/>
                    <w:rPr>
                      <w:color w:val="auto"/>
                      <w:sz w:val="21"/>
                      <w:szCs w:val="21"/>
                      <w:highlight w:val="none"/>
                    </w:rPr>
                  </w:pPr>
                  <w:r>
                    <w:rPr>
                      <w:color w:val="auto"/>
                      <w:sz w:val="21"/>
                      <w:szCs w:val="21"/>
                      <w:highlight w:val="none"/>
                    </w:rPr>
                    <w:t>SS</w:t>
                  </w:r>
                </w:p>
              </w:tc>
              <w:tc>
                <w:tcPr>
                  <w:tcW w:w="1134" w:type="dxa"/>
                  <w:vAlign w:val="center"/>
                </w:tcPr>
                <w:p>
                  <w:pPr>
                    <w:jc w:val="center"/>
                    <w:rPr>
                      <w:color w:val="auto"/>
                      <w:sz w:val="21"/>
                      <w:szCs w:val="21"/>
                      <w:highlight w:val="none"/>
                    </w:rPr>
                  </w:pPr>
                  <w:r>
                    <w:rPr>
                      <w:color w:val="auto"/>
                      <w:sz w:val="21"/>
                      <w:szCs w:val="21"/>
                      <w:highlight w:val="none"/>
                    </w:rPr>
                    <w:t>160</w:t>
                  </w:r>
                </w:p>
              </w:tc>
              <w:tc>
                <w:tcPr>
                  <w:tcW w:w="851" w:type="dxa"/>
                  <w:vAlign w:val="center"/>
                </w:tcPr>
                <w:p>
                  <w:pPr>
                    <w:jc w:val="right"/>
                    <w:rPr>
                      <w:rFonts w:ascii="宋体" w:hAnsi="宋体" w:cs="宋体"/>
                      <w:color w:val="auto"/>
                      <w:sz w:val="21"/>
                      <w:szCs w:val="21"/>
                      <w:highlight w:val="none"/>
                    </w:rPr>
                  </w:pPr>
                  <w:r>
                    <w:rPr>
                      <w:rFonts w:hint="eastAsia"/>
                      <w:color w:val="auto"/>
                      <w:sz w:val="21"/>
                      <w:szCs w:val="21"/>
                      <w:highlight w:val="none"/>
                    </w:rPr>
                    <w:t xml:space="preserve">0.0094 </w:t>
                  </w:r>
                </w:p>
              </w:tc>
              <w:tc>
                <w:tcPr>
                  <w:tcW w:w="850" w:type="dxa"/>
                  <w:vAlign w:val="center"/>
                </w:tcPr>
                <w:p>
                  <w:pPr>
                    <w:autoSpaceDE w:val="0"/>
                    <w:autoSpaceDN w:val="0"/>
                    <w:adjustRightInd w:val="0"/>
                    <w:spacing w:line="0" w:lineRule="atLeast"/>
                    <w:jc w:val="center"/>
                    <w:rPr>
                      <w:bCs/>
                      <w:color w:val="auto"/>
                      <w:sz w:val="21"/>
                      <w:szCs w:val="21"/>
                      <w:highlight w:val="none"/>
                    </w:rPr>
                  </w:pPr>
                  <w:r>
                    <w:rPr>
                      <w:rFonts w:hint="eastAsia"/>
                      <w:bCs/>
                      <w:color w:val="auto"/>
                      <w:sz w:val="21"/>
                      <w:szCs w:val="21"/>
                      <w:highlight w:val="none"/>
                    </w:rPr>
                    <w:t>/</w:t>
                  </w:r>
                </w:p>
              </w:tc>
              <w:tc>
                <w:tcPr>
                  <w:tcW w:w="1701" w:type="dxa"/>
                  <w:vMerge w:val="continue"/>
                  <w:vAlign w:val="center"/>
                </w:tcPr>
                <w:p>
                  <w:pPr>
                    <w:autoSpaceDE w:val="0"/>
                    <w:autoSpaceDN w:val="0"/>
                    <w:adjustRightInd w:val="0"/>
                    <w:spacing w:line="0" w:lineRule="atLeast"/>
                    <w:jc w:val="center"/>
                    <w:rPr>
                      <w:bCs/>
                      <w:color w:val="auto"/>
                      <w:sz w:val="21"/>
                      <w:szCs w:val="21"/>
                      <w:highlight w:val="none"/>
                    </w:rPr>
                  </w:pPr>
                </w:p>
              </w:tc>
              <w:tc>
                <w:tcPr>
                  <w:tcW w:w="1861" w:type="dxa"/>
                  <w:vMerge w:val="continue"/>
                  <w:vAlign w:val="center"/>
                </w:tcPr>
                <w:p>
                  <w:pPr>
                    <w:autoSpaceDE w:val="0"/>
                    <w:autoSpaceDN w:val="0"/>
                    <w:adjustRightInd w:val="0"/>
                    <w:spacing w:line="0" w:lineRule="atLeast"/>
                    <w:jc w:val="center"/>
                    <w:rPr>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551" w:type="dxa"/>
                  <w:vMerge w:val="continue"/>
                  <w:vAlign w:val="center"/>
                </w:tcPr>
                <w:p>
                  <w:pPr>
                    <w:autoSpaceDE w:val="0"/>
                    <w:autoSpaceDN w:val="0"/>
                    <w:adjustRightInd w:val="0"/>
                    <w:spacing w:line="0" w:lineRule="atLeast"/>
                    <w:jc w:val="center"/>
                    <w:rPr>
                      <w:bCs/>
                      <w:color w:val="auto"/>
                      <w:sz w:val="21"/>
                      <w:szCs w:val="21"/>
                      <w:highlight w:val="none"/>
                    </w:rPr>
                  </w:pPr>
                </w:p>
              </w:tc>
              <w:tc>
                <w:tcPr>
                  <w:tcW w:w="851" w:type="dxa"/>
                  <w:vMerge w:val="continue"/>
                  <w:vAlign w:val="center"/>
                </w:tcPr>
                <w:p>
                  <w:pPr>
                    <w:autoSpaceDE w:val="0"/>
                    <w:autoSpaceDN w:val="0"/>
                    <w:adjustRightInd w:val="0"/>
                    <w:spacing w:line="0" w:lineRule="atLeast"/>
                    <w:jc w:val="center"/>
                    <w:rPr>
                      <w:bCs/>
                      <w:color w:val="auto"/>
                      <w:sz w:val="21"/>
                      <w:szCs w:val="21"/>
                      <w:highlight w:val="none"/>
                    </w:rPr>
                  </w:pPr>
                </w:p>
              </w:tc>
              <w:tc>
                <w:tcPr>
                  <w:tcW w:w="850" w:type="dxa"/>
                  <w:vAlign w:val="center"/>
                </w:tcPr>
                <w:p>
                  <w:pPr>
                    <w:adjustRightInd w:val="0"/>
                    <w:snapToGrid w:val="0"/>
                    <w:jc w:val="center"/>
                    <w:rPr>
                      <w:color w:val="auto"/>
                      <w:sz w:val="21"/>
                      <w:szCs w:val="21"/>
                      <w:highlight w:val="none"/>
                    </w:rPr>
                  </w:pPr>
                  <w:r>
                    <w:rPr>
                      <w:color w:val="auto"/>
                      <w:sz w:val="21"/>
                      <w:szCs w:val="21"/>
                      <w:highlight w:val="none"/>
                    </w:rPr>
                    <w:t>氨氮</w:t>
                  </w:r>
                </w:p>
              </w:tc>
              <w:tc>
                <w:tcPr>
                  <w:tcW w:w="1134" w:type="dxa"/>
                  <w:vAlign w:val="center"/>
                </w:tcPr>
                <w:p>
                  <w:pPr>
                    <w:jc w:val="center"/>
                    <w:rPr>
                      <w:color w:val="auto"/>
                      <w:sz w:val="21"/>
                      <w:szCs w:val="21"/>
                      <w:highlight w:val="none"/>
                    </w:rPr>
                  </w:pPr>
                  <w:r>
                    <w:rPr>
                      <w:color w:val="auto"/>
                      <w:sz w:val="21"/>
                      <w:szCs w:val="21"/>
                      <w:highlight w:val="none"/>
                    </w:rPr>
                    <w:t>45</w:t>
                  </w:r>
                </w:p>
              </w:tc>
              <w:tc>
                <w:tcPr>
                  <w:tcW w:w="851" w:type="dxa"/>
                  <w:vAlign w:val="center"/>
                </w:tcPr>
                <w:p>
                  <w:pPr>
                    <w:jc w:val="right"/>
                    <w:rPr>
                      <w:rFonts w:ascii="宋体" w:hAnsi="宋体" w:cs="宋体"/>
                      <w:color w:val="auto"/>
                      <w:sz w:val="21"/>
                      <w:szCs w:val="21"/>
                      <w:highlight w:val="none"/>
                    </w:rPr>
                  </w:pPr>
                  <w:r>
                    <w:rPr>
                      <w:rFonts w:hint="eastAsia"/>
                      <w:color w:val="auto"/>
                      <w:sz w:val="21"/>
                      <w:szCs w:val="21"/>
                      <w:highlight w:val="none"/>
                    </w:rPr>
                    <w:t xml:space="preserve">0.0026 </w:t>
                  </w:r>
                </w:p>
              </w:tc>
              <w:tc>
                <w:tcPr>
                  <w:tcW w:w="850" w:type="dxa"/>
                  <w:vAlign w:val="center"/>
                </w:tcPr>
                <w:p>
                  <w:pPr>
                    <w:autoSpaceDE w:val="0"/>
                    <w:autoSpaceDN w:val="0"/>
                    <w:adjustRightInd w:val="0"/>
                    <w:spacing w:line="0" w:lineRule="atLeast"/>
                    <w:jc w:val="center"/>
                    <w:rPr>
                      <w:bCs/>
                      <w:color w:val="auto"/>
                      <w:sz w:val="21"/>
                      <w:szCs w:val="21"/>
                      <w:highlight w:val="none"/>
                    </w:rPr>
                  </w:pPr>
                  <w:r>
                    <w:rPr>
                      <w:color w:val="auto"/>
                      <w:sz w:val="21"/>
                      <w:szCs w:val="21"/>
                      <w:highlight w:val="none"/>
                    </w:rPr>
                    <w:t>0.002</w:t>
                  </w:r>
                  <w:r>
                    <w:rPr>
                      <w:rFonts w:hint="eastAsia"/>
                      <w:color w:val="auto"/>
                      <w:sz w:val="21"/>
                      <w:szCs w:val="21"/>
                      <w:highlight w:val="none"/>
                    </w:rPr>
                    <w:t>6</w:t>
                  </w:r>
                </w:p>
              </w:tc>
              <w:tc>
                <w:tcPr>
                  <w:tcW w:w="1701" w:type="dxa"/>
                  <w:vMerge w:val="continue"/>
                  <w:vAlign w:val="center"/>
                </w:tcPr>
                <w:p>
                  <w:pPr>
                    <w:autoSpaceDE w:val="0"/>
                    <w:autoSpaceDN w:val="0"/>
                    <w:adjustRightInd w:val="0"/>
                    <w:spacing w:line="0" w:lineRule="atLeast"/>
                    <w:jc w:val="center"/>
                    <w:rPr>
                      <w:bCs/>
                      <w:color w:val="auto"/>
                      <w:sz w:val="21"/>
                      <w:szCs w:val="21"/>
                      <w:highlight w:val="none"/>
                    </w:rPr>
                  </w:pPr>
                </w:p>
              </w:tc>
              <w:tc>
                <w:tcPr>
                  <w:tcW w:w="1861" w:type="dxa"/>
                  <w:vMerge w:val="continue"/>
                  <w:vAlign w:val="center"/>
                </w:tcPr>
                <w:p>
                  <w:pPr>
                    <w:autoSpaceDE w:val="0"/>
                    <w:autoSpaceDN w:val="0"/>
                    <w:adjustRightInd w:val="0"/>
                    <w:spacing w:line="0" w:lineRule="atLeast"/>
                    <w:jc w:val="center"/>
                    <w:rPr>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551" w:type="dxa"/>
                  <w:vMerge w:val="continue"/>
                  <w:vAlign w:val="center"/>
                </w:tcPr>
                <w:p>
                  <w:pPr>
                    <w:autoSpaceDE w:val="0"/>
                    <w:autoSpaceDN w:val="0"/>
                    <w:adjustRightInd w:val="0"/>
                    <w:spacing w:line="0" w:lineRule="atLeast"/>
                    <w:jc w:val="center"/>
                    <w:rPr>
                      <w:bCs/>
                      <w:color w:val="auto"/>
                      <w:sz w:val="21"/>
                      <w:szCs w:val="21"/>
                      <w:highlight w:val="none"/>
                    </w:rPr>
                  </w:pPr>
                </w:p>
              </w:tc>
              <w:tc>
                <w:tcPr>
                  <w:tcW w:w="851" w:type="dxa"/>
                  <w:vMerge w:val="continue"/>
                  <w:vAlign w:val="center"/>
                </w:tcPr>
                <w:p>
                  <w:pPr>
                    <w:autoSpaceDE w:val="0"/>
                    <w:autoSpaceDN w:val="0"/>
                    <w:adjustRightInd w:val="0"/>
                    <w:spacing w:line="0" w:lineRule="atLeast"/>
                    <w:jc w:val="center"/>
                    <w:rPr>
                      <w:bCs/>
                      <w:color w:val="auto"/>
                      <w:sz w:val="21"/>
                      <w:szCs w:val="21"/>
                      <w:highlight w:val="none"/>
                    </w:rPr>
                  </w:pPr>
                </w:p>
              </w:tc>
              <w:tc>
                <w:tcPr>
                  <w:tcW w:w="850" w:type="dxa"/>
                  <w:vAlign w:val="center"/>
                </w:tcPr>
                <w:p>
                  <w:pPr>
                    <w:adjustRightInd w:val="0"/>
                    <w:snapToGrid w:val="0"/>
                    <w:jc w:val="center"/>
                    <w:rPr>
                      <w:color w:val="auto"/>
                      <w:sz w:val="21"/>
                      <w:szCs w:val="21"/>
                      <w:highlight w:val="none"/>
                    </w:rPr>
                  </w:pPr>
                  <w:r>
                    <w:rPr>
                      <w:rFonts w:hint="eastAsia"/>
                      <w:color w:val="auto"/>
                      <w:sz w:val="21"/>
                      <w:szCs w:val="21"/>
                      <w:highlight w:val="none"/>
                    </w:rPr>
                    <w:t>总磷</w:t>
                  </w:r>
                </w:p>
              </w:tc>
              <w:tc>
                <w:tcPr>
                  <w:tcW w:w="1134" w:type="dxa"/>
                  <w:vAlign w:val="center"/>
                </w:tcPr>
                <w:p>
                  <w:pPr>
                    <w:jc w:val="center"/>
                    <w:rPr>
                      <w:color w:val="auto"/>
                      <w:sz w:val="21"/>
                      <w:szCs w:val="21"/>
                      <w:highlight w:val="none"/>
                    </w:rPr>
                  </w:pPr>
                  <w:r>
                    <w:rPr>
                      <w:color w:val="auto"/>
                      <w:sz w:val="21"/>
                      <w:szCs w:val="21"/>
                      <w:highlight w:val="none"/>
                    </w:rPr>
                    <w:t>7.56</w:t>
                  </w:r>
                </w:p>
              </w:tc>
              <w:tc>
                <w:tcPr>
                  <w:tcW w:w="851" w:type="dxa"/>
                  <w:vAlign w:val="center"/>
                </w:tcPr>
                <w:p>
                  <w:pPr>
                    <w:jc w:val="right"/>
                    <w:rPr>
                      <w:rFonts w:ascii="宋体" w:hAnsi="宋体" w:cs="宋体"/>
                      <w:color w:val="auto"/>
                      <w:sz w:val="21"/>
                      <w:szCs w:val="21"/>
                      <w:highlight w:val="none"/>
                    </w:rPr>
                  </w:pPr>
                  <w:r>
                    <w:rPr>
                      <w:rFonts w:hint="eastAsia"/>
                      <w:color w:val="auto"/>
                      <w:sz w:val="21"/>
                      <w:szCs w:val="21"/>
                      <w:highlight w:val="none"/>
                    </w:rPr>
                    <w:t xml:space="preserve">0.0004 </w:t>
                  </w:r>
                </w:p>
              </w:tc>
              <w:tc>
                <w:tcPr>
                  <w:tcW w:w="850" w:type="dxa"/>
                  <w:vAlign w:val="center"/>
                </w:tcPr>
                <w:p>
                  <w:pPr>
                    <w:autoSpaceDE w:val="0"/>
                    <w:autoSpaceDN w:val="0"/>
                    <w:adjustRightInd w:val="0"/>
                    <w:spacing w:line="0" w:lineRule="atLeast"/>
                    <w:jc w:val="center"/>
                    <w:rPr>
                      <w:bCs/>
                      <w:color w:val="auto"/>
                      <w:sz w:val="21"/>
                      <w:szCs w:val="21"/>
                      <w:highlight w:val="none"/>
                    </w:rPr>
                  </w:pPr>
                  <w:r>
                    <w:rPr>
                      <w:rFonts w:hint="eastAsia"/>
                      <w:bCs/>
                      <w:color w:val="auto"/>
                      <w:sz w:val="21"/>
                      <w:szCs w:val="21"/>
                      <w:highlight w:val="none"/>
                    </w:rPr>
                    <w:t>/</w:t>
                  </w:r>
                </w:p>
              </w:tc>
              <w:tc>
                <w:tcPr>
                  <w:tcW w:w="1701" w:type="dxa"/>
                  <w:vMerge w:val="continue"/>
                  <w:vAlign w:val="center"/>
                </w:tcPr>
                <w:p>
                  <w:pPr>
                    <w:autoSpaceDE w:val="0"/>
                    <w:autoSpaceDN w:val="0"/>
                    <w:adjustRightInd w:val="0"/>
                    <w:spacing w:line="0" w:lineRule="atLeast"/>
                    <w:jc w:val="center"/>
                    <w:rPr>
                      <w:bCs/>
                      <w:color w:val="auto"/>
                      <w:sz w:val="21"/>
                      <w:szCs w:val="21"/>
                      <w:highlight w:val="none"/>
                    </w:rPr>
                  </w:pPr>
                </w:p>
              </w:tc>
              <w:tc>
                <w:tcPr>
                  <w:tcW w:w="1861" w:type="dxa"/>
                  <w:vMerge w:val="continue"/>
                  <w:vAlign w:val="center"/>
                </w:tcPr>
                <w:p>
                  <w:pPr>
                    <w:autoSpaceDE w:val="0"/>
                    <w:autoSpaceDN w:val="0"/>
                    <w:adjustRightInd w:val="0"/>
                    <w:spacing w:line="0" w:lineRule="atLeast"/>
                    <w:jc w:val="center"/>
                    <w:rPr>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6" w:hRule="atLeast"/>
                <w:jc w:val="center"/>
              </w:trPr>
              <w:tc>
                <w:tcPr>
                  <w:tcW w:w="551" w:type="dxa"/>
                  <w:vMerge w:val="continue"/>
                  <w:vAlign w:val="center"/>
                </w:tcPr>
                <w:p>
                  <w:pPr>
                    <w:autoSpaceDE w:val="0"/>
                    <w:autoSpaceDN w:val="0"/>
                    <w:adjustRightInd w:val="0"/>
                    <w:spacing w:line="0" w:lineRule="atLeast"/>
                    <w:jc w:val="center"/>
                    <w:rPr>
                      <w:bCs/>
                      <w:color w:val="auto"/>
                      <w:sz w:val="21"/>
                      <w:szCs w:val="21"/>
                      <w:highlight w:val="none"/>
                    </w:rPr>
                  </w:pPr>
                </w:p>
              </w:tc>
              <w:tc>
                <w:tcPr>
                  <w:tcW w:w="851" w:type="dxa"/>
                  <w:vMerge w:val="continue"/>
                  <w:vAlign w:val="center"/>
                </w:tcPr>
                <w:p>
                  <w:pPr>
                    <w:autoSpaceDE w:val="0"/>
                    <w:autoSpaceDN w:val="0"/>
                    <w:adjustRightInd w:val="0"/>
                    <w:spacing w:line="0" w:lineRule="atLeast"/>
                    <w:jc w:val="center"/>
                    <w:rPr>
                      <w:bCs/>
                      <w:color w:val="auto"/>
                      <w:sz w:val="21"/>
                      <w:szCs w:val="21"/>
                      <w:highlight w:val="none"/>
                    </w:rPr>
                  </w:pPr>
                </w:p>
              </w:tc>
              <w:tc>
                <w:tcPr>
                  <w:tcW w:w="850" w:type="dxa"/>
                  <w:vAlign w:val="center"/>
                </w:tcPr>
                <w:p>
                  <w:pPr>
                    <w:adjustRightInd w:val="0"/>
                    <w:snapToGrid w:val="0"/>
                    <w:jc w:val="center"/>
                    <w:rPr>
                      <w:color w:val="auto"/>
                      <w:sz w:val="21"/>
                      <w:szCs w:val="21"/>
                      <w:highlight w:val="none"/>
                    </w:rPr>
                  </w:pPr>
                  <w:r>
                    <w:rPr>
                      <w:rFonts w:hint="eastAsia"/>
                      <w:color w:val="auto"/>
                      <w:sz w:val="21"/>
                      <w:szCs w:val="21"/>
                      <w:highlight w:val="none"/>
                    </w:rPr>
                    <w:t>总氮</w:t>
                  </w:r>
                </w:p>
              </w:tc>
              <w:tc>
                <w:tcPr>
                  <w:tcW w:w="1134" w:type="dxa"/>
                  <w:vAlign w:val="center"/>
                </w:tcPr>
                <w:p>
                  <w:pPr>
                    <w:jc w:val="center"/>
                    <w:rPr>
                      <w:color w:val="auto"/>
                      <w:sz w:val="21"/>
                      <w:szCs w:val="21"/>
                      <w:highlight w:val="none"/>
                    </w:rPr>
                  </w:pPr>
                  <w:r>
                    <w:rPr>
                      <w:color w:val="auto"/>
                      <w:sz w:val="21"/>
                      <w:szCs w:val="21"/>
                      <w:highlight w:val="none"/>
                    </w:rPr>
                    <w:t>84.96</w:t>
                  </w:r>
                </w:p>
              </w:tc>
              <w:tc>
                <w:tcPr>
                  <w:tcW w:w="851" w:type="dxa"/>
                  <w:vAlign w:val="center"/>
                </w:tcPr>
                <w:p>
                  <w:pPr>
                    <w:jc w:val="right"/>
                    <w:rPr>
                      <w:rFonts w:ascii="宋体" w:hAnsi="宋体" w:cs="宋体"/>
                      <w:color w:val="auto"/>
                      <w:sz w:val="21"/>
                      <w:szCs w:val="21"/>
                      <w:highlight w:val="none"/>
                    </w:rPr>
                  </w:pPr>
                  <w:r>
                    <w:rPr>
                      <w:rFonts w:hint="eastAsia"/>
                      <w:color w:val="auto"/>
                      <w:sz w:val="21"/>
                      <w:szCs w:val="21"/>
                      <w:highlight w:val="none"/>
                    </w:rPr>
                    <w:t xml:space="preserve">0.0050 </w:t>
                  </w:r>
                </w:p>
              </w:tc>
              <w:tc>
                <w:tcPr>
                  <w:tcW w:w="850" w:type="dxa"/>
                  <w:vAlign w:val="center"/>
                </w:tcPr>
                <w:p>
                  <w:pPr>
                    <w:autoSpaceDE w:val="0"/>
                    <w:autoSpaceDN w:val="0"/>
                    <w:adjustRightInd w:val="0"/>
                    <w:spacing w:line="0" w:lineRule="atLeast"/>
                    <w:jc w:val="center"/>
                    <w:rPr>
                      <w:bCs/>
                      <w:color w:val="auto"/>
                      <w:sz w:val="21"/>
                      <w:szCs w:val="21"/>
                      <w:highlight w:val="none"/>
                    </w:rPr>
                  </w:pPr>
                  <w:r>
                    <w:rPr>
                      <w:rFonts w:hint="eastAsia"/>
                      <w:bCs/>
                      <w:color w:val="auto"/>
                      <w:sz w:val="21"/>
                      <w:szCs w:val="21"/>
                      <w:highlight w:val="none"/>
                    </w:rPr>
                    <w:t>/</w:t>
                  </w:r>
                </w:p>
              </w:tc>
              <w:tc>
                <w:tcPr>
                  <w:tcW w:w="1701" w:type="dxa"/>
                  <w:vMerge w:val="continue"/>
                  <w:vAlign w:val="center"/>
                </w:tcPr>
                <w:p>
                  <w:pPr>
                    <w:autoSpaceDE w:val="0"/>
                    <w:autoSpaceDN w:val="0"/>
                    <w:adjustRightInd w:val="0"/>
                    <w:spacing w:line="0" w:lineRule="atLeast"/>
                    <w:jc w:val="center"/>
                    <w:rPr>
                      <w:bCs/>
                      <w:color w:val="auto"/>
                      <w:sz w:val="21"/>
                      <w:szCs w:val="21"/>
                      <w:highlight w:val="none"/>
                    </w:rPr>
                  </w:pPr>
                </w:p>
              </w:tc>
              <w:tc>
                <w:tcPr>
                  <w:tcW w:w="1861" w:type="dxa"/>
                  <w:vMerge w:val="continue"/>
                  <w:vAlign w:val="center"/>
                </w:tcPr>
                <w:p>
                  <w:pPr>
                    <w:autoSpaceDE w:val="0"/>
                    <w:autoSpaceDN w:val="0"/>
                    <w:adjustRightInd w:val="0"/>
                    <w:spacing w:line="0" w:lineRule="atLeast"/>
                    <w:jc w:val="center"/>
                    <w:rPr>
                      <w:b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551" w:type="dxa"/>
                  <w:vMerge w:val="restart"/>
                  <w:vAlign w:val="center"/>
                </w:tcPr>
                <w:p>
                  <w:pPr>
                    <w:autoSpaceDE w:val="0"/>
                    <w:autoSpaceDN w:val="0"/>
                    <w:adjustRightInd w:val="0"/>
                    <w:spacing w:line="0" w:lineRule="atLeast"/>
                    <w:jc w:val="center"/>
                    <w:rPr>
                      <w:bCs/>
                      <w:color w:val="auto"/>
                      <w:sz w:val="21"/>
                      <w:szCs w:val="21"/>
                      <w:highlight w:val="none"/>
                    </w:rPr>
                  </w:pPr>
                  <w:r>
                    <w:rPr>
                      <w:bCs/>
                      <w:color w:val="auto"/>
                      <w:sz w:val="21"/>
                      <w:szCs w:val="21"/>
                      <w:highlight w:val="none"/>
                    </w:rPr>
                    <w:t>固体废物</w:t>
                  </w:r>
                </w:p>
              </w:tc>
              <w:tc>
                <w:tcPr>
                  <w:tcW w:w="851" w:type="dxa"/>
                  <w:vAlign w:val="center"/>
                </w:tcPr>
                <w:p>
                  <w:pPr>
                    <w:spacing w:line="280" w:lineRule="exact"/>
                    <w:jc w:val="center"/>
                    <w:rPr>
                      <w:color w:val="auto"/>
                      <w:sz w:val="21"/>
                      <w:szCs w:val="21"/>
                      <w:highlight w:val="none"/>
                    </w:rPr>
                  </w:pPr>
                  <w:r>
                    <w:rPr>
                      <w:rFonts w:hint="eastAsia"/>
                      <w:color w:val="auto"/>
                      <w:sz w:val="21"/>
                      <w:szCs w:val="21"/>
                      <w:highlight w:val="none"/>
                    </w:rPr>
                    <w:t>职工生活</w:t>
                  </w:r>
                </w:p>
              </w:tc>
              <w:tc>
                <w:tcPr>
                  <w:tcW w:w="850" w:type="dxa"/>
                  <w:vAlign w:val="center"/>
                </w:tcPr>
                <w:p>
                  <w:pPr>
                    <w:spacing w:line="280" w:lineRule="exact"/>
                    <w:jc w:val="center"/>
                    <w:rPr>
                      <w:color w:val="auto"/>
                      <w:sz w:val="21"/>
                      <w:szCs w:val="21"/>
                      <w:highlight w:val="none"/>
                    </w:rPr>
                  </w:pPr>
                  <w:r>
                    <w:rPr>
                      <w:rFonts w:hint="eastAsia"/>
                      <w:color w:val="auto"/>
                      <w:sz w:val="21"/>
                      <w:szCs w:val="21"/>
                      <w:highlight w:val="none"/>
                    </w:rPr>
                    <w:t>生活垃圾</w:t>
                  </w:r>
                </w:p>
              </w:tc>
              <w:tc>
                <w:tcPr>
                  <w:tcW w:w="1134" w:type="dxa"/>
                  <w:vAlign w:val="center"/>
                </w:tcPr>
                <w:p>
                  <w:pPr>
                    <w:spacing w:line="280" w:lineRule="exact"/>
                    <w:jc w:val="center"/>
                    <w:rPr>
                      <w:color w:val="auto"/>
                      <w:sz w:val="21"/>
                      <w:szCs w:val="21"/>
                      <w:highlight w:val="none"/>
                    </w:rPr>
                  </w:pPr>
                  <w:r>
                    <w:rPr>
                      <w:rFonts w:hint="eastAsia"/>
                      <w:color w:val="auto"/>
                      <w:sz w:val="21"/>
                      <w:szCs w:val="21"/>
                      <w:highlight w:val="none"/>
                    </w:rPr>
                    <w:t>/</w:t>
                  </w:r>
                </w:p>
              </w:tc>
              <w:tc>
                <w:tcPr>
                  <w:tcW w:w="851" w:type="dxa"/>
                  <w:vAlign w:val="center"/>
                </w:tcPr>
                <w:p>
                  <w:pPr>
                    <w:spacing w:line="280" w:lineRule="exact"/>
                    <w:jc w:val="center"/>
                    <w:rPr>
                      <w:color w:val="auto"/>
                      <w:sz w:val="21"/>
                      <w:szCs w:val="21"/>
                      <w:highlight w:val="none"/>
                    </w:rPr>
                  </w:pPr>
                  <w:r>
                    <w:rPr>
                      <w:color w:val="auto"/>
                      <w:sz w:val="21"/>
                      <w:szCs w:val="21"/>
                      <w:highlight w:val="none"/>
                    </w:rPr>
                    <w:t>1.05</w:t>
                  </w:r>
                </w:p>
              </w:tc>
              <w:tc>
                <w:tcPr>
                  <w:tcW w:w="850" w:type="dxa"/>
                  <w:vAlign w:val="center"/>
                </w:tcPr>
                <w:p>
                  <w:pPr>
                    <w:adjustRightInd w:val="0"/>
                    <w:snapToGrid w:val="0"/>
                    <w:jc w:val="center"/>
                    <w:rPr>
                      <w:color w:val="auto"/>
                      <w:sz w:val="21"/>
                      <w:szCs w:val="21"/>
                      <w:highlight w:val="none"/>
                    </w:rPr>
                  </w:pPr>
                  <w:r>
                    <w:rPr>
                      <w:rFonts w:hint="eastAsia"/>
                      <w:color w:val="auto"/>
                      <w:sz w:val="21"/>
                      <w:szCs w:val="21"/>
                      <w:highlight w:val="none"/>
                    </w:rPr>
                    <w:t>/</w:t>
                  </w:r>
                </w:p>
              </w:tc>
              <w:tc>
                <w:tcPr>
                  <w:tcW w:w="1701" w:type="dxa"/>
                  <w:vAlign w:val="center"/>
                </w:tcPr>
                <w:p>
                  <w:pPr>
                    <w:adjustRightInd w:val="0"/>
                    <w:snapToGrid w:val="0"/>
                    <w:jc w:val="center"/>
                    <w:rPr>
                      <w:color w:val="auto"/>
                      <w:sz w:val="21"/>
                      <w:szCs w:val="21"/>
                      <w:highlight w:val="none"/>
                    </w:rPr>
                  </w:pPr>
                  <w:r>
                    <w:rPr>
                      <w:color w:val="auto"/>
                      <w:sz w:val="21"/>
                      <w:szCs w:val="21"/>
                      <w:highlight w:val="none"/>
                    </w:rPr>
                    <w:t>厂内设若干垃圾桶集中收集暂存，当地环卫部门及时清运</w:t>
                  </w:r>
                </w:p>
              </w:tc>
              <w:tc>
                <w:tcPr>
                  <w:tcW w:w="1861" w:type="dxa"/>
                  <w:vMerge w:val="restart"/>
                  <w:vAlign w:val="center"/>
                </w:tcPr>
                <w:p>
                  <w:pPr>
                    <w:adjustRightInd w:val="0"/>
                    <w:snapToGrid w:val="0"/>
                    <w:jc w:val="center"/>
                    <w:rPr>
                      <w:color w:val="auto"/>
                      <w:sz w:val="21"/>
                      <w:szCs w:val="21"/>
                      <w:highlight w:val="none"/>
                    </w:rPr>
                  </w:pPr>
                  <w:r>
                    <w:rPr>
                      <w:color w:val="auto"/>
                      <w:sz w:val="21"/>
                      <w:szCs w:val="21"/>
                      <w:highlight w:val="none"/>
                    </w:rPr>
                    <w:t>资源化、减量化、无害化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551" w:type="dxa"/>
                  <w:vMerge w:val="continue"/>
                  <w:vAlign w:val="center"/>
                </w:tcPr>
                <w:p>
                  <w:pPr>
                    <w:autoSpaceDE w:val="0"/>
                    <w:autoSpaceDN w:val="0"/>
                    <w:adjustRightInd w:val="0"/>
                    <w:spacing w:line="0" w:lineRule="atLeast"/>
                    <w:jc w:val="center"/>
                    <w:rPr>
                      <w:bCs/>
                      <w:color w:val="auto"/>
                      <w:sz w:val="21"/>
                      <w:szCs w:val="21"/>
                      <w:highlight w:val="none"/>
                    </w:rPr>
                  </w:pPr>
                </w:p>
              </w:tc>
              <w:tc>
                <w:tcPr>
                  <w:tcW w:w="851" w:type="dxa"/>
                  <w:vAlign w:val="center"/>
                </w:tcPr>
                <w:p>
                  <w:pPr>
                    <w:spacing w:line="280" w:lineRule="exact"/>
                    <w:jc w:val="center"/>
                    <w:rPr>
                      <w:color w:val="auto"/>
                      <w:sz w:val="21"/>
                      <w:szCs w:val="21"/>
                      <w:highlight w:val="none"/>
                    </w:rPr>
                  </w:pPr>
                  <w:r>
                    <w:rPr>
                      <w:rFonts w:hint="eastAsia"/>
                      <w:color w:val="auto"/>
                      <w:sz w:val="21"/>
                      <w:szCs w:val="21"/>
                      <w:highlight w:val="none"/>
                    </w:rPr>
                    <w:t>生产</w:t>
                  </w:r>
                </w:p>
              </w:tc>
              <w:tc>
                <w:tcPr>
                  <w:tcW w:w="850" w:type="dxa"/>
                  <w:vAlign w:val="center"/>
                </w:tcPr>
                <w:p>
                  <w:pPr>
                    <w:spacing w:line="280" w:lineRule="exact"/>
                    <w:jc w:val="center"/>
                    <w:rPr>
                      <w:color w:val="auto"/>
                      <w:sz w:val="21"/>
                      <w:szCs w:val="21"/>
                      <w:highlight w:val="none"/>
                    </w:rPr>
                  </w:pPr>
                  <w:r>
                    <w:rPr>
                      <w:rFonts w:hint="eastAsia"/>
                      <w:color w:val="auto"/>
                      <w:sz w:val="21"/>
                      <w:szCs w:val="21"/>
                      <w:highlight w:val="none"/>
                    </w:rPr>
                    <w:t>废纸</w:t>
                  </w:r>
                </w:p>
              </w:tc>
              <w:tc>
                <w:tcPr>
                  <w:tcW w:w="1134" w:type="dxa"/>
                  <w:vAlign w:val="center"/>
                </w:tcPr>
                <w:p>
                  <w:pPr>
                    <w:spacing w:line="280" w:lineRule="exact"/>
                    <w:jc w:val="center"/>
                    <w:rPr>
                      <w:color w:val="auto"/>
                      <w:sz w:val="21"/>
                      <w:szCs w:val="21"/>
                      <w:highlight w:val="none"/>
                    </w:rPr>
                  </w:pPr>
                  <w:r>
                    <w:rPr>
                      <w:rFonts w:hint="eastAsia"/>
                      <w:color w:val="auto"/>
                      <w:sz w:val="21"/>
                      <w:szCs w:val="21"/>
                      <w:highlight w:val="none"/>
                    </w:rPr>
                    <w:t>/</w:t>
                  </w:r>
                </w:p>
              </w:tc>
              <w:tc>
                <w:tcPr>
                  <w:tcW w:w="851" w:type="dxa"/>
                  <w:vAlign w:val="center"/>
                </w:tcPr>
                <w:p>
                  <w:pPr>
                    <w:spacing w:line="280" w:lineRule="exact"/>
                    <w:jc w:val="center"/>
                    <w:rPr>
                      <w:color w:val="auto"/>
                      <w:sz w:val="21"/>
                      <w:szCs w:val="21"/>
                      <w:highlight w:val="none"/>
                    </w:rPr>
                  </w:pPr>
                  <w:r>
                    <w:rPr>
                      <w:color w:val="auto"/>
                      <w:sz w:val="21"/>
                      <w:szCs w:val="21"/>
                      <w:highlight w:val="none"/>
                    </w:rPr>
                    <w:t xml:space="preserve">0.5 </w:t>
                  </w:r>
                </w:p>
              </w:tc>
              <w:tc>
                <w:tcPr>
                  <w:tcW w:w="850" w:type="dxa"/>
                  <w:vAlign w:val="center"/>
                </w:tcPr>
                <w:p>
                  <w:pPr>
                    <w:adjustRightInd w:val="0"/>
                    <w:snapToGrid w:val="0"/>
                    <w:jc w:val="center"/>
                    <w:rPr>
                      <w:color w:val="auto"/>
                      <w:sz w:val="21"/>
                      <w:szCs w:val="21"/>
                      <w:highlight w:val="none"/>
                    </w:rPr>
                  </w:pPr>
                  <w:r>
                    <w:rPr>
                      <w:rFonts w:hint="eastAsia"/>
                      <w:color w:val="auto"/>
                      <w:sz w:val="21"/>
                      <w:szCs w:val="21"/>
                      <w:highlight w:val="none"/>
                    </w:rPr>
                    <w:t>/</w:t>
                  </w:r>
                </w:p>
              </w:tc>
              <w:tc>
                <w:tcPr>
                  <w:tcW w:w="1701" w:type="dxa"/>
                  <w:vAlign w:val="center"/>
                </w:tcPr>
                <w:p>
                  <w:pPr>
                    <w:adjustRightInd w:val="0"/>
                    <w:snapToGrid w:val="0"/>
                    <w:jc w:val="center"/>
                    <w:rPr>
                      <w:color w:val="auto"/>
                      <w:sz w:val="21"/>
                      <w:szCs w:val="21"/>
                      <w:highlight w:val="none"/>
                    </w:rPr>
                  </w:pPr>
                  <w:r>
                    <w:rPr>
                      <w:rFonts w:hint="eastAsia"/>
                      <w:color w:val="auto"/>
                      <w:sz w:val="21"/>
                      <w:szCs w:val="21"/>
                      <w:highlight w:val="none"/>
                    </w:rPr>
                    <w:t>外售回收公司</w:t>
                  </w:r>
                </w:p>
              </w:tc>
              <w:tc>
                <w:tcPr>
                  <w:tcW w:w="1861" w:type="dxa"/>
                  <w:vMerge w:val="continue"/>
                  <w:vAlign w:val="center"/>
                </w:tcPr>
                <w:p>
                  <w:pPr>
                    <w:adjustRightInd w:val="0"/>
                    <w:snapToGrid w:val="0"/>
                    <w:jc w:val="center"/>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551" w:type="dxa"/>
                  <w:vMerge w:val="continue"/>
                  <w:vAlign w:val="center"/>
                </w:tcPr>
                <w:p>
                  <w:pPr>
                    <w:autoSpaceDE w:val="0"/>
                    <w:autoSpaceDN w:val="0"/>
                    <w:adjustRightInd w:val="0"/>
                    <w:spacing w:line="0" w:lineRule="atLeast"/>
                    <w:jc w:val="center"/>
                    <w:rPr>
                      <w:bCs/>
                      <w:color w:val="auto"/>
                      <w:sz w:val="21"/>
                      <w:szCs w:val="21"/>
                      <w:highlight w:val="none"/>
                    </w:rPr>
                  </w:pPr>
                </w:p>
              </w:tc>
              <w:tc>
                <w:tcPr>
                  <w:tcW w:w="851" w:type="dxa"/>
                  <w:vAlign w:val="center"/>
                </w:tcPr>
                <w:p>
                  <w:pPr>
                    <w:spacing w:line="280" w:lineRule="exact"/>
                    <w:jc w:val="center"/>
                    <w:rPr>
                      <w:color w:val="auto"/>
                      <w:sz w:val="21"/>
                      <w:szCs w:val="21"/>
                      <w:highlight w:val="none"/>
                    </w:rPr>
                  </w:pPr>
                  <w:r>
                    <w:rPr>
                      <w:rFonts w:hint="eastAsia"/>
                      <w:color w:val="auto"/>
                      <w:sz w:val="21"/>
                      <w:szCs w:val="21"/>
                      <w:highlight w:val="none"/>
                    </w:rPr>
                    <w:t>设备清洁</w:t>
                  </w:r>
                </w:p>
              </w:tc>
              <w:tc>
                <w:tcPr>
                  <w:tcW w:w="850" w:type="dxa"/>
                  <w:vAlign w:val="center"/>
                </w:tcPr>
                <w:p>
                  <w:pPr>
                    <w:spacing w:line="280" w:lineRule="exact"/>
                    <w:jc w:val="center"/>
                    <w:rPr>
                      <w:color w:val="auto"/>
                      <w:sz w:val="21"/>
                      <w:szCs w:val="21"/>
                      <w:highlight w:val="none"/>
                    </w:rPr>
                  </w:pPr>
                  <w:r>
                    <w:rPr>
                      <w:rFonts w:hint="eastAsia"/>
                      <w:color w:val="auto"/>
                      <w:sz w:val="21"/>
                      <w:szCs w:val="21"/>
                      <w:highlight w:val="none"/>
                    </w:rPr>
                    <w:t>含油抹布</w:t>
                  </w:r>
                </w:p>
              </w:tc>
              <w:tc>
                <w:tcPr>
                  <w:tcW w:w="1134" w:type="dxa"/>
                  <w:vAlign w:val="center"/>
                </w:tcPr>
                <w:p>
                  <w:pPr>
                    <w:spacing w:line="280" w:lineRule="exact"/>
                    <w:jc w:val="center"/>
                    <w:rPr>
                      <w:color w:val="auto"/>
                      <w:sz w:val="21"/>
                      <w:szCs w:val="21"/>
                      <w:highlight w:val="none"/>
                    </w:rPr>
                  </w:pPr>
                  <w:r>
                    <w:rPr>
                      <w:rFonts w:hint="eastAsia"/>
                      <w:color w:val="auto"/>
                      <w:sz w:val="21"/>
                      <w:szCs w:val="21"/>
                      <w:highlight w:val="none"/>
                    </w:rPr>
                    <w:t>/</w:t>
                  </w:r>
                </w:p>
              </w:tc>
              <w:tc>
                <w:tcPr>
                  <w:tcW w:w="851" w:type="dxa"/>
                  <w:vAlign w:val="center"/>
                </w:tcPr>
                <w:p>
                  <w:pPr>
                    <w:spacing w:line="280" w:lineRule="exact"/>
                    <w:jc w:val="center"/>
                    <w:rPr>
                      <w:color w:val="auto"/>
                      <w:sz w:val="21"/>
                      <w:szCs w:val="21"/>
                      <w:highlight w:val="none"/>
                    </w:rPr>
                  </w:pPr>
                  <w:r>
                    <w:rPr>
                      <w:color w:val="auto"/>
                      <w:sz w:val="21"/>
                      <w:szCs w:val="21"/>
                      <w:highlight w:val="none"/>
                    </w:rPr>
                    <w:t>0.01</w:t>
                  </w:r>
                </w:p>
              </w:tc>
              <w:tc>
                <w:tcPr>
                  <w:tcW w:w="850" w:type="dxa"/>
                  <w:vAlign w:val="center"/>
                </w:tcPr>
                <w:p>
                  <w:pPr>
                    <w:adjustRightInd w:val="0"/>
                    <w:snapToGrid w:val="0"/>
                    <w:jc w:val="center"/>
                    <w:rPr>
                      <w:color w:val="auto"/>
                      <w:sz w:val="21"/>
                      <w:szCs w:val="21"/>
                      <w:highlight w:val="none"/>
                    </w:rPr>
                  </w:pPr>
                  <w:r>
                    <w:rPr>
                      <w:rFonts w:hint="eastAsia"/>
                      <w:color w:val="auto"/>
                      <w:sz w:val="21"/>
                      <w:szCs w:val="21"/>
                      <w:highlight w:val="none"/>
                    </w:rPr>
                    <w:t>/</w:t>
                  </w:r>
                </w:p>
              </w:tc>
              <w:tc>
                <w:tcPr>
                  <w:tcW w:w="1701" w:type="dxa"/>
                  <w:vMerge w:val="restart"/>
                  <w:vAlign w:val="center"/>
                </w:tcPr>
                <w:p>
                  <w:pPr>
                    <w:adjustRightInd w:val="0"/>
                    <w:snapToGrid w:val="0"/>
                    <w:jc w:val="center"/>
                    <w:rPr>
                      <w:color w:val="auto"/>
                      <w:sz w:val="21"/>
                      <w:szCs w:val="21"/>
                      <w:highlight w:val="none"/>
                    </w:rPr>
                  </w:pPr>
                  <w:r>
                    <w:rPr>
                      <w:rFonts w:hint="eastAsia"/>
                      <w:color w:val="auto"/>
                      <w:sz w:val="21"/>
                      <w:szCs w:val="21"/>
                      <w:highlight w:val="none"/>
                    </w:rPr>
                    <w:t>陕西新天地固体废物综合处置有限公司</w:t>
                  </w:r>
                </w:p>
              </w:tc>
              <w:tc>
                <w:tcPr>
                  <w:tcW w:w="1861" w:type="dxa"/>
                  <w:vMerge w:val="continue"/>
                  <w:vAlign w:val="center"/>
                </w:tcPr>
                <w:p>
                  <w:pPr>
                    <w:adjustRightInd w:val="0"/>
                    <w:snapToGrid w:val="0"/>
                    <w:jc w:val="center"/>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551" w:type="dxa"/>
                  <w:vMerge w:val="continue"/>
                  <w:vAlign w:val="center"/>
                </w:tcPr>
                <w:p>
                  <w:pPr>
                    <w:autoSpaceDE w:val="0"/>
                    <w:autoSpaceDN w:val="0"/>
                    <w:adjustRightInd w:val="0"/>
                    <w:spacing w:line="0" w:lineRule="atLeast"/>
                    <w:jc w:val="center"/>
                    <w:rPr>
                      <w:bCs/>
                      <w:color w:val="auto"/>
                      <w:sz w:val="21"/>
                      <w:szCs w:val="21"/>
                      <w:highlight w:val="none"/>
                    </w:rPr>
                  </w:pPr>
                </w:p>
              </w:tc>
              <w:tc>
                <w:tcPr>
                  <w:tcW w:w="851" w:type="dxa"/>
                  <w:vAlign w:val="center"/>
                </w:tcPr>
                <w:p>
                  <w:pPr>
                    <w:spacing w:line="280" w:lineRule="exact"/>
                    <w:jc w:val="center"/>
                    <w:rPr>
                      <w:color w:val="auto"/>
                      <w:sz w:val="21"/>
                      <w:szCs w:val="21"/>
                      <w:highlight w:val="none"/>
                    </w:rPr>
                  </w:pPr>
                  <w:r>
                    <w:rPr>
                      <w:rFonts w:hint="eastAsia"/>
                      <w:color w:val="auto"/>
                      <w:sz w:val="21"/>
                      <w:szCs w:val="21"/>
                      <w:highlight w:val="none"/>
                    </w:rPr>
                    <w:t>生产</w:t>
                  </w:r>
                </w:p>
              </w:tc>
              <w:tc>
                <w:tcPr>
                  <w:tcW w:w="850" w:type="dxa"/>
                  <w:vAlign w:val="center"/>
                </w:tcPr>
                <w:p>
                  <w:pPr>
                    <w:spacing w:line="280" w:lineRule="exact"/>
                    <w:jc w:val="center"/>
                    <w:rPr>
                      <w:color w:val="auto"/>
                      <w:sz w:val="21"/>
                      <w:szCs w:val="21"/>
                      <w:highlight w:val="none"/>
                    </w:rPr>
                  </w:pPr>
                  <w:r>
                    <w:rPr>
                      <w:rFonts w:hint="eastAsia"/>
                      <w:color w:val="auto"/>
                      <w:sz w:val="21"/>
                      <w:szCs w:val="21"/>
                      <w:highlight w:val="none"/>
                    </w:rPr>
                    <w:t>废油墨桶</w:t>
                  </w:r>
                </w:p>
              </w:tc>
              <w:tc>
                <w:tcPr>
                  <w:tcW w:w="1134" w:type="dxa"/>
                  <w:vAlign w:val="center"/>
                </w:tcPr>
                <w:p>
                  <w:pPr>
                    <w:spacing w:line="280" w:lineRule="exact"/>
                    <w:jc w:val="center"/>
                    <w:rPr>
                      <w:color w:val="auto"/>
                      <w:sz w:val="21"/>
                      <w:szCs w:val="21"/>
                      <w:highlight w:val="none"/>
                    </w:rPr>
                  </w:pPr>
                  <w:r>
                    <w:rPr>
                      <w:rFonts w:hint="eastAsia"/>
                      <w:color w:val="auto"/>
                      <w:sz w:val="21"/>
                      <w:szCs w:val="21"/>
                      <w:highlight w:val="none"/>
                    </w:rPr>
                    <w:t>/</w:t>
                  </w:r>
                </w:p>
              </w:tc>
              <w:tc>
                <w:tcPr>
                  <w:tcW w:w="851" w:type="dxa"/>
                  <w:vAlign w:val="center"/>
                </w:tcPr>
                <w:p>
                  <w:pPr>
                    <w:spacing w:line="280" w:lineRule="exact"/>
                    <w:jc w:val="center"/>
                    <w:rPr>
                      <w:color w:val="auto"/>
                      <w:sz w:val="21"/>
                      <w:szCs w:val="21"/>
                      <w:highlight w:val="none"/>
                    </w:rPr>
                  </w:pPr>
                  <w:r>
                    <w:rPr>
                      <w:color w:val="auto"/>
                      <w:sz w:val="21"/>
                      <w:szCs w:val="21"/>
                      <w:highlight w:val="none"/>
                    </w:rPr>
                    <w:t>0.02</w:t>
                  </w:r>
                </w:p>
              </w:tc>
              <w:tc>
                <w:tcPr>
                  <w:tcW w:w="850" w:type="dxa"/>
                  <w:vAlign w:val="center"/>
                </w:tcPr>
                <w:p>
                  <w:pPr>
                    <w:adjustRightInd w:val="0"/>
                    <w:snapToGrid w:val="0"/>
                    <w:jc w:val="center"/>
                    <w:rPr>
                      <w:color w:val="auto"/>
                      <w:sz w:val="21"/>
                      <w:szCs w:val="21"/>
                      <w:highlight w:val="none"/>
                    </w:rPr>
                  </w:pPr>
                  <w:r>
                    <w:rPr>
                      <w:rFonts w:hint="eastAsia"/>
                      <w:color w:val="auto"/>
                      <w:sz w:val="21"/>
                      <w:szCs w:val="21"/>
                      <w:highlight w:val="none"/>
                    </w:rPr>
                    <w:t>/</w:t>
                  </w:r>
                </w:p>
              </w:tc>
              <w:tc>
                <w:tcPr>
                  <w:tcW w:w="1701" w:type="dxa"/>
                  <w:vMerge w:val="continue"/>
                  <w:vAlign w:val="center"/>
                </w:tcPr>
                <w:p>
                  <w:pPr>
                    <w:adjustRightInd w:val="0"/>
                    <w:snapToGrid w:val="0"/>
                    <w:jc w:val="center"/>
                    <w:rPr>
                      <w:color w:val="auto"/>
                      <w:sz w:val="21"/>
                      <w:szCs w:val="21"/>
                      <w:highlight w:val="none"/>
                    </w:rPr>
                  </w:pPr>
                </w:p>
              </w:tc>
              <w:tc>
                <w:tcPr>
                  <w:tcW w:w="1861" w:type="dxa"/>
                  <w:vMerge w:val="continue"/>
                  <w:vAlign w:val="center"/>
                </w:tcPr>
                <w:p>
                  <w:pPr>
                    <w:adjustRightInd w:val="0"/>
                    <w:snapToGrid w:val="0"/>
                    <w:jc w:val="center"/>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551" w:type="dxa"/>
                  <w:vMerge w:val="continue"/>
                  <w:vAlign w:val="center"/>
                </w:tcPr>
                <w:p>
                  <w:pPr>
                    <w:autoSpaceDE w:val="0"/>
                    <w:autoSpaceDN w:val="0"/>
                    <w:adjustRightInd w:val="0"/>
                    <w:spacing w:line="0" w:lineRule="atLeast"/>
                    <w:jc w:val="center"/>
                    <w:rPr>
                      <w:bCs/>
                      <w:color w:val="auto"/>
                      <w:sz w:val="21"/>
                      <w:szCs w:val="21"/>
                      <w:highlight w:val="none"/>
                    </w:rPr>
                  </w:pPr>
                </w:p>
              </w:tc>
              <w:tc>
                <w:tcPr>
                  <w:tcW w:w="851" w:type="dxa"/>
                  <w:vAlign w:val="center"/>
                </w:tcPr>
                <w:p>
                  <w:pPr>
                    <w:spacing w:line="280" w:lineRule="exact"/>
                    <w:jc w:val="center"/>
                    <w:rPr>
                      <w:color w:val="auto"/>
                      <w:sz w:val="21"/>
                      <w:szCs w:val="21"/>
                      <w:highlight w:val="none"/>
                    </w:rPr>
                  </w:pPr>
                  <w:r>
                    <w:rPr>
                      <w:rFonts w:hint="eastAsia"/>
                      <w:color w:val="auto"/>
                      <w:sz w:val="21"/>
                      <w:szCs w:val="21"/>
                      <w:highlight w:val="none"/>
                    </w:rPr>
                    <w:t>设备养护</w:t>
                  </w:r>
                </w:p>
              </w:tc>
              <w:tc>
                <w:tcPr>
                  <w:tcW w:w="850" w:type="dxa"/>
                  <w:vAlign w:val="center"/>
                </w:tcPr>
                <w:p>
                  <w:pPr>
                    <w:spacing w:line="280" w:lineRule="exact"/>
                    <w:jc w:val="center"/>
                    <w:rPr>
                      <w:color w:val="auto"/>
                      <w:sz w:val="21"/>
                      <w:szCs w:val="21"/>
                      <w:highlight w:val="none"/>
                    </w:rPr>
                  </w:pPr>
                  <w:r>
                    <w:rPr>
                      <w:rFonts w:hint="eastAsia"/>
                      <w:color w:val="auto"/>
                      <w:sz w:val="21"/>
                      <w:szCs w:val="21"/>
                      <w:highlight w:val="none"/>
                    </w:rPr>
                    <w:t>废机油</w:t>
                  </w:r>
                </w:p>
              </w:tc>
              <w:tc>
                <w:tcPr>
                  <w:tcW w:w="1134" w:type="dxa"/>
                  <w:vAlign w:val="center"/>
                </w:tcPr>
                <w:p>
                  <w:pPr>
                    <w:spacing w:line="280" w:lineRule="exact"/>
                    <w:jc w:val="center"/>
                    <w:rPr>
                      <w:color w:val="auto"/>
                      <w:sz w:val="21"/>
                      <w:szCs w:val="21"/>
                      <w:highlight w:val="none"/>
                    </w:rPr>
                  </w:pPr>
                  <w:r>
                    <w:rPr>
                      <w:rFonts w:hint="eastAsia"/>
                      <w:color w:val="auto"/>
                      <w:sz w:val="21"/>
                      <w:szCs w:val="21"/>
                      <w:highlight w:val="none"/>
                    </w:rPr>
                    <w:t>/</w:t>
                  </w:r>
                </w:p>
              </w:tc>
              <w:tc>
                <w:tcPr>
                  <w:tcW w:w="851" w:type="dxa"/>
                  <w:vAlign w:val="center"/>
                </w:tcPr>
                <w:p>
                  <w:pPr>
                    <w:spacing w:line="280" w:lineRule="exact"/>
                    <w:jc w:val="center"/>
                    <w:rPr>
                      <w:color w:val="auto"/>
                      <w:sz w:val="21"/>
                      <w:szCs w:val="21"/>
                      <w:highlight w:val="none"/>
                    </w:rPr>
                  </w:pPr>
                  <w:r>
                    <w:rPr>
                      <w:color w:val="auto"/>
                      <w:sz w:val="21"/>
                      <w:szCs w:val="21"/>
                      <w:highlight w:val="none"/>
                    </w:rPr>
                    <w:t>0.02</w:t>
                  </w:r>
                </w:p>
              </w:tc>
              <w:tc>
                <w:tcPr>
                  <w:tcW w:w="850" w:type="dxa"/>
                  <w:vAlign w:val="center"/>
                </w:tcPr>
                <w:p>
                  <w:pPr>
                    <w:adjustRightInd w:val="0"/>
                    <w:snapToGrid w:val="0"/>
                    <w:jc w:val="center"/>
                    <w:rPr>
                      <w:color w:val="auto"/>
                      <w:sz w:val="21"/>
                      <w:szCs w:val="21"/>
                      <w:highlight w:val="none"/>
                    </w:rPr>
                  </w:pPr>
                  <w:r>
                    <w:rPr>
                      <w:rFonts w:hint="eastAsia"/>
                      <w:color w:val="auto"/>
                      <w:sz w:val="21"/>
                      <w:szCs w:val="21"/>
                      <w:highlight w:val="none"/>
                    </w:rPr>
                    <w:t>/</w:t>
                  </w:r>
                </w:p>
              </w:tc>
              <w:tc>
                <w:tcPr>
                  <w:tcW w:w="1701" w:type="dxa"/>
                  <w:vMerge w:val="continue"/>
                  <w:vAlign w:val="center"/>
                </w:tcPr>
                <w:p>
                  <w:pPr>
                    <w:adjustRightInd w:val="0"/>
                    <w:snapToGrid w:val="0"/>
                    <w:jc w:val="center"/>
                    <w:rPr>
                      <w:color w:val="auto"/>
                      <w:sz w:val="21"/>
                      <w:szCs w:val="21"/>
                      <w:highlight w:val="none"/>
                    </w:rPr>
                  </w:pPr>
                </w:p>
              </w:tc>
              <w:tc>
                <w:tcPr>
                  <w:tcW w:w="1861" w:type="dxa"/>
                  <w:vMerge w:val="continue"/>
                  <w:vAlign w:val="center"/>
                </w:tcPr>
                <w:p>
                  <w:pPr>
                    <w:adjustRightInd w:val="0"/>
                    <w:snapToGrid w:val="0"/>
                    <w:jc w:val="center"/>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551" w:type="dxa"/>
                  <w:vMerge w:val="continue"/>
                  <w:vAlign w:val="center"/>
                </w:tcPr>
                <w:p>
                  <w:pPr>
                    <w:autoSpaceDE w:val="0"/>
                    <w:autoSpaceDN w:val="0"/>
                    <w:adjustRightInd w:val="0"/>
                    <w:spacing w:line="0" w:lineRule="atLeast"/>
                    <w:jc w:val="center"/>
                    <w:rPr>
                      <w:bCs/>
                      <w:color w:val="auto"/>
                      <w:sz w:val="21"/>
                      <w:szCs w:val="21"/>
                      <w:highlight w:val="none"/>
                    </w:rPr>
                  </w:pPr>
                </w:p>
              </w:tc>
              <w:tc>
                <w:tcPr>
                  <w:tcW w:w="851" w:type="dxa"/>
                  <w:vAlign w:val="center"/>
                </w:tcPr>
                <w:p>
                  <w:pPr>
                    <w:spacing w:line="280" w:lineRule="exact"/>
                    <w:jc w:val="center"/>
                    <w:rPr>
                      <w:color w:val="auto"/>
                      <w:sz w:val="21"/>
                      <w:szCs w:val="21"/>
                      <w:highlight w:val="none"/>
                    </w:rPr>
                  </w:pPr>
                  <w:r>
                    <w:rPr>
                      <w:rFonts w:hint="eastAsia"/>
                      <w:color w:val="auto"/>
                      <w:sz w:val="21"/>
                      <w:szCs w:val="21"/>
                      <w:highlight w:val="none"/>
                    </w:rPr>
                    <w:t>生产</w:t>
                  </w:r>
                </w:p>
              </w:tc>
              <w:tc>
                <w:tcPr>
                  <w:tcW w:w="850" w:type="dxa"/>
                  <w:vAlign w:val="center"/>
                </w:tcPr>
                <w:p>
                  <w:pPr>
                    <w:spacing w:line="280" w:lineRule="exact"/>
                    <w:jc w:val="center"/>
                    <w:rPr>
                      <w:color w:val="auto"/>
                      <w:sz w:val="21"/>
                      <w:szCs w:val="21"/>
                      <w:highlight w:val="none"/>
                    </w:rPr>
                  </w:pPr>
                  <w:r>
                    <w:rPr>
                      <w:rFonts w:hint="eastAsia"/>
                      <w:color w:val="auto"/>
                      <w:sz w:val="21"/>
                      <w:szCs w:val="21"/>
                      <w:highlight w:val="none"/>
                    </w:rPr>
                    <w:t>废洗辊液</w:t>
                  </w:r>
                </w:p>
              </w:tc>
              <w:tc>
                <w:tcPr>
                  <w:tcW w:w="1134" w:type="dxa"/>
                  <w:vAlign w:val="center"/>
                </w:tcPr>
                <w:p>
                  <w:pPr>
                    <w:spacing w:line="280" w:lineRule="exact"/>
                    <w:jc w:val="center"/>
                    <w:rPr>
                      <w:color w:val="auto"/>
                      <w:sz w:val="21"/>
                      <w:szCs w:val="21"/>
                      <w:highlight w:val="none"/>
                    </w:rPr>
                  </w:pPr>
                  <w:r>
                    <w:rPr>
                      <w:rFonts w:hint="eastAsia"/>
                      <w:color w:val="auto"/>
                      <w:sz w:val="21"/>
                      <w:szCs w:val="21"/>
                      <w:highlight w:val="none"/>
                    </w:rPr>
                    <w:t>/</w:t>
                  </w:r>
                </w:p>
              </w:tc>
              <w:tc>
                <w:tcPr>
                  <w:tcW w:w="851" w:type="dxa"/>
                  <w:vAlign w:val="center"/>
                </w:tcPr>
                <w:p>
                  <w:pPr>
                    <w:spacing w:line="280" w:lineRule="exact"/>
                    <w:jc w:val="center"/>
                    <w:rPr>
                      <w:color w:val="auto"/>
                      <w:sz w:val="21"/>
                      <w:szCs w:val="21"/>
                      <w:highlight w:val="none"/>
                    </w:rPr>
                  </w:pPr>
                  <w:r>
                    <w:rPr>
                      <w:rFonts w:hint="eastAsia"/>
                      <w:color w:val="auto"/>
                      <w:sz w:val="21"/>
                      <w:szCs w:val="21"/>
                      <w:highlight w:val="none"/>
                    </w:rPr>
                    <w:t>0.002</w:t>
                  </w:r>
                </w:p>
              </w:tc>
              <w:tc>
                <w:tcPr>
                  <w:tcW w:w="850" w:type="dxa"/>
                  <w:vAlign w:val="center"/>
                </w:tcPr>
                <w:p>
                  <w:pPr>
                    <w:adjustRightInd w:val="0"/>
                    <w:snapToGrid w:val="0"/>
                    <w:jc w:val="center"/>
                    <w:rPr>
                      <w:color w:val="auto"/>
                      <w:sz w:val="21"/>
                      <w:szCs w:val="21"/>
                      <w:highlight w:val="none"/>
                    </w:rPr>
                  </w:pPr>
                  <w:r>
                    <w:rPr>
                      <w:rFonts w:hint="eastAsia"/>
                      <w:color w:val="auto"/>
                      <w:sz w:val="21"/>
                      <w:szCs w:val="21"/>
                      <w:highlight w:val="none"/>
                    </w:rPr>
                    <w:t>/</w:t>
                  </w:r>
                </w:p>
              </w:tc>
              <w:tc>
                <w:tcPr>
                  <w:tcW w:w="1701" w:type="dxa"/>
                  <w:vMerge w:val="continue"/>
                  <w:vAlign w:val="center"/>
                </w:tcPr>
                <w:p>
                  <w:pPr>
                    <w:adjustRightInd w:val="0"/>
                    <w:snapToGrid w:val="0"/>
                    <w:jc w:val="center"/>
                    <w:rPr>
                      <w:color w:val="auto"/>
                      <w:sz w:val="21"/>
                      <w:szCs w:val="21"/>
                      <w:highlight w:val="none"/>
                    </w:rPr>
                  </w:pPr>
                </w:p>
              </w:tc>
              <w:tc>
                <w:tcPr>
                  <w:tcW w:w="1861" w:type="dxa"/>
                  <w:vMerge w:val="continue"/>
                  <w:vAlign w:val="center"/>
                </w:tcPr>
                <w:p>
                  <w:pPr>
                    <w:adjustRightInd w:val="0"/>
                    <w:snapToGrid w:val="0"/>
                    <w:jc w:val="center"/>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551" w:type="dxa"/>
                  <w:vMerge w:val="continue"/>
                  <w:vAlign w:val="center"/>
                </w:tcPr>
                <w:p>
                  <w:pPr>
                    <w:autoSpaceDE w:val="0"/>
                    <w:autoSpaceDN w:val="0"/>
                    <w:adjustRightInd w:val="0"/>
                    <w:spacing w:line="0" w:lineRule="atLeast"/>
                    <w:jc w:val="center"/>
                    <w:rPr>
                      <w:bCs/>
                      <w:color w:val="auto"/>
                      <w:sz w:val="21"/>
                      <w:szCs w:val="21"/>
                      <w:highlight w:val="none"/>
                    </w:rPr>
                  </w:pPr>
                </w:p>
              </w:tc>
              <w:tc>
                <w:tcPr>
                  <w:tcW w:w="851" w:type="dxa"/>
                  <w:vAlign w:val="center"/>
                </w:tcPr>
                <w:p>
                  <w:pPr>
                    <w:spacing w:line="280" w:lineRule="exact"/>
                    <w:jc w:val="center"/>
                    <w:rPr>
                      <w:color w:val="auto"/>
                      <w:sz w:val="21"/>
                      <w:szCs w:val="21"/>
                      <w:highlight w:val="none"/>
                    </w:rPr>
                  </w:pPr>
                  <w:r>
                    <w:rPr>
                      <w:rFonts w:hint="eastAsia"/>
                      <w:color w:val="auto"/>
                      <w:sz w:val="21"/>
                      <w:szCs w:val="21"/>
                      <w:highlight w:val="none"/>
                    </w:rPr>
                    <w:t>废气处理</w:t>
                  </w:r>
                </w:p>
              </w:tc>
              <w:tc>
                <w:tcPr>
                  <w:tcW w:w="850" w:type="dxa"/>
                  <w:vAlign w:val="center"/>
                </w:tcPr>
                <w:p>
                  <w:pPr>
                    <w:spacing w:line="280" w:lineRule="exact"/>
                    <w:jc w:val="center"/>
                    <w:rPr>
                      <w:color w:val="auto"/>
                      <w:sz w:val="21"/>
                      <w:szCs w:val="21"/>
                      <w:highlight w:val="none"/>
                    </w:rPr>
                  </w:pPr>
                  <w:r>
                    <w:rPr>
                      <w:rFonts w:hint="eastAsia"/>
                      <w:color w:val="auto"/>
                      <w:sz w:val="21"/>
                      <w:szCs w:val="21"/>
                      <w:highlight w:val="none"/>
                    </w:rPr>
                    <w:t>废活性炭</w:t>
                  </w:r>
                </w:p>
              </w:tc>
              <w:tc>
                <w:tcPr>
                  <w:tcW w:w="1134" w:type="dxa"/>
                  <w:vAlign w:val="center"/>
                </w:tcPr>
                <w:p>
                  <w:pPr>
                    <w:spacing w:line="280" w:lineRule="exact"/>
                    <w:jc w:val="center"/>
                    <w:rPr>
                      <w:color w:val="auto"/>
                      <w:sz w:val="21"/>
                      <w:szCs w:val="21"/>
                      <w:highlight w:val="none"/>
                    </w:rPr>
                  </w:pPr>
                  <w:r>
                    <w:rPr>
                      <w:rFonts w:hint="eastAsia"/>
                      <w:color w:val="auto"/>
                      <w:sz w:val="21"/>
                      <w:szCs w:val="21"/>
                      <w:highlight w:val="none"/>
                    </w:rPr>
                    <w:t>/</w:t>
                  </w:r>
                </w:p>
              </w:tc>
              <w:tc>
                <w:tcPr>
                  <w:tcW w:w="851" w:type="dxa"/>
                  <w:vAlign w:val="center"/>
                </w:tcPr>
                <w:p>
                  <w:pPr>
                    <w:spacing w:line="280" w:lineRule="exact"/>
                    <w:jc w:val="center"/>
                    <w:rPr>
                      <w:color w:val="auto"/>
                      <w:sz w:val="21"/>
                      <w:szCs w:val="21"/>
                      <w:highlight w:val="none"/>
                    </w:rPr>
                  </w:pPr>
                  <w:r>
                    <w:rPr>
                      <w:color w:val="auto"/>
                      <w:sz w:val="21"/>
                      <w:szCs w:val="21"/>
                      <w:highlight w:val="none"/>
                    </w:rPr>
                    <w:t>0.024</w:t>
                  </w:r>
                </w:p>
              </w:tc>
              <w:tc>
                <w:tcPr>
                  <w:tcW w:w="850" w:type="dxa"/>
                  <w:vAlign w:val="center"/>
                </w:tcPr>
                <w:p>
                  <w:pPr>
                    <w:adjustRightInd w:val="0"/>
                    <w:snapToGrid w:val="0"/>
                    <w:jc w:val="center"/>
                    <w:rPr>
                      <w:color w:val="auto"/>
                      <w:sz w:val="21"/>
                      <w:szCs w:val="21"/>
                      <w:highlight w:val="none"/>
                    </w:rPr>
                  </w:pPr>
                  <w:r>
                    <w:rPr>
                      <w:rFonts w:hint="eastAsia"/>
                      <w:color w:val="auto"/>
                      <w:sz w:val="21"/>
                      <w:szCs w:val="21"/>
                      <w:highlight w:val="none"/>
                    </w:rPr>
                    <w:t>/</w:t>
                  </w:r>
                </w:p>
              </w:tc>
              <w:tc>
                <w:tcPr>
                  <w:tcW w:w="1701" w:type="dxa"/>
                  <w:vMerge w:val="continue"/>
                  <w:vAlign w:val="center"/>
                </w:tcPr>
                <w:p>
                  <w:pPr>
                    <w:adjustRightInd w:val="0"/>
                    <w:snapToGrid w:val="0"/>
                    <w:jc w:val="center"/>
                    <w:rPr>
                      <w:color w:val="auto"/>
                      <w:sz w:val="21"/>
                      <w:szCs w:val="21"/>
                      <w:highlight w:val="none"/>
                    </w:rPr>
                  </w:pPr>
                </w:p>
              </w:tc>
              <w:tc>
                <w:tcPr>
                  <w:tcW w:w="1861" w:type="dxa"/>
                  <w:vMerge w:val="continue"/>
                  <w:vAlign w:val="center"/>
                </w:tcPr>
                <w:p>
                  <w:pPr>
                    <w:adjustRightInd w:val="0"/>
                    <w:snapToGrid w:val="0"/>
                    <w:jc w:val="center"/>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51" w:type="dxa"/>
                  <w:vAlign w:val="center"/>
                </w:tcPr>
                <w:p>
                  <w:pPr>
                    <w:autoSpaceDE w:val="0"/>
                    <w:autoSpaceDN w:val="0"/>
                    <w:adjustRightInd w:val="0"/>
                    <w:spacing w:line="0" w:lineRule="atLeast"/>
                    <w:jc w:val="center"/>
                    <w:rPr>
                      <w:bCs/>
                      <w:color w:val="auto"/>
                      <w:sz w:val="21"/>
                      <w:szCs w:val="21"/>
                      <w:highlight w:val="none"/>
                    </w:rPr>
                  </w:pPr>
                  <w:r>
                    <w:rPr>
                      <w:bCs/>
                      <w:color w:val="auto"/>
                      <w:sz w:val="21"/>
                      <w:szCs w:val="21"/>
                      <w:highlight w:val="none"/>
                    </w:rPr>
                    <w:t>噪声</w:t>
                  </w:r>
                </w:p>
              </w:tc>
              <w:tc>
                <w:tcPr>
                  <w:tcW w:w="851" w:type="dxa"/>
                  <w:vAlign w:val="center"/>
                </w:tcPr>
                <w:p>
                  <w:pPr>
                    <w:autoSpaceDE w:val="0"/>
                    <w:autoSpaceDN w:val="0"/>
                    <w:adjustRightInd w:val="0"/>
                    <w:spacing w:line="0" w:lineRule="atLeast"/>
                    <w:jc w:val="center"/>
                    <w:rPr>
                      <w:bCs/>
                      <w:color w:val="auto"/>
                      <w:sz w:val="21"/>
                      <w:szCs w:val="21"/>
                      <w:highlight w:val="none"/>
                    </w:rPr>
                  </w:pPr>
                  <w:r>
                    <w:rPr>
                      <w:bCs/>
                      <w:color w:val="auto"/>
                      <w:sz w:val="21"/>
                      <w:szCs w:val="21"/>
                      <w:highlight w:val="none"/>
                    </w:rPr>
                    <w:t>设备运行</w:t>
                  </w:r>
                </w:p>
              </w:tc>
              <w:tc>
                <w:tcPr>
                  <w:tcW w:w="850" w:type="dxa"/>
                  <w:vAlign w:val="center"/>
                </w:tcPr>
                <w:p>
                  <w:pPr>
                    <w:jc w:val="center"/>
                    <w:rPr>
                      <w:bCs/>
                      <w:color w:val="auto"/>
                      <w:sz w:val="21"/>
                      <w:szCs w:val="21"/>
                      <w:highlight w:val="none"/>
                    </w:rPr>
                  </w:pPr>
                  <w:r>
                    <w:rPr>
                      <w:bCs/>
                      <w:color w:val="auto"/>
                      <w:sz w:val="21"/>
                      <w:szCs w:val="21"/>
                      <w:highlight w:val="none"/>
                    </w:rPr>
                    <w:t>设备噪声</w:t>
                  </w:r>
                </w:p>
              </w:tc>
              <w:tc>
                <w:tcPr>
                  <w:tcW w:w="1134" w:type="dxa"/>
                  <w:vAlign w:val="center"/>
                </w:tcPr>
                <w:p>
                  <w:pPr>
                    <w:jc w:val="center"/>
                    <w:rPr>
                      <w:color w:val="auto"/>
                      <w:sz w:val="21"/>
                      <w:szCs w:val="21"/>
                      <w:highlight w:val="none"/>
                    </w:rPr>
                  </w:pPr>
                  <w:r>
                    <w:rPr>
                      <w:bCs/>
                      <w:color w:val="auto"/>
                      <w:sz w:val="21"/>
                      <w:szCs w:val="21"/>
                      <w:highlight w:val="none"/>
                    </w:rPr>
                    <w:t>—</w:t>
                  </w:r>
                </w:p>
              </w:tc>
              <w:tc>
                <w:tcPr>
                  <w:tcW w:w="851" w:type="dxa"/>
                  <w:vAlign w:val="center"/>
                </w:tcPr>
                <w:p>
                  <w:pPr>
                    <w:autoSpaceDE w:val="0"/>
                    <w:autoSpaceDN w:val="0"/>
                    <w:adjustRightInd w:val="0"/>
                    <w:spacing w:line="0" w:lineRule="atLeast"/>
                    <w:jc w:val="center"/>
                    <w:rPr>
                      <w:bCs/>
                      <w:color w:val="auto"/>
                      <w:sz w:val="21"/>
                      <w:szCs w:val="21"/>
                      <w:highlight w:val="none"/>
                    </w:rPr>
                  </w:pPr>
                  <w:r>
                    <w:rPr>
                      <w:bCs/>
                      <w:color w:val="auto"/>
                      <w:sz w:val="21"/>
                      <w:szCs w:val="21"/>
                      <w:highlight w:val="none"/>
                    </w:rPr>
                    <w:t>－</w:t>
                  </w:r>
                </w:p>
              </w:tc>
              <w:tc>
                <w:tcPr>
                  <w:tcW w:w="850" w:type="dxa"/>
                  <w:vAlign w:val="center"/>
                </w:tcPr>
                <w:p>
                  <w:pPr>
                    <w:jc w:val="center"/>
                    <w:rPr>
                      <w:color w:val="auto"/>
                      <w:sz w:val="21"/>
                      <w:szCs w:val="21"/>
                      <w:highlight w:val="none"/>
                    </w:rPr>
                  </w:pPr>
                  <w:r>
                    <w:rPr>
                      <w:color w:val="auto"/>
                      <w:sz w:val="21"/>
                      <w:szCs w:val="21"/>
                      <w:highlight w:val="none"/>
                    </w:rPr>
                    <w:t>/</w:t>
                  </w:r>
                </w:p>
              </w:tc>
              <w:tc>
                <w:tcPr>
                  <w:tcW w:w="1701" w:type="dxa"/>
                  <w:vAlign w:val="center"/>
                </w:tcPr>
                <w:p>
                  <w:pPr>
                    <w:autoSpaceDE w:val="0"/>
                    <w:autoSpaceDN w:val="0"/>
                    <w:adjustRightInd w:val="0"/>
                    <w:spacing w:line="0" w:lineRule="atLeast"/>
                    <w:jc w:val="center"/>
                    <w:rPr>
                      <w:bCs/>
                      <w:color w:val="auto"/>
                      <w:sz w:val="21"/>
                      <w:szCs w:val="21"/>
                      <w:highlight w:val="none"/>
                    </w:rPr>
                  </w:pPr>
                  <w:r>
                    <w:rPr>
                      <w:bCs/>
                      <w:color w:val="auto"/>
                      <w:sz w:val="21"/>
                      <w:szCs w:val="21"/>
                      <w:highlight w:val="none"/>
                    </w:rPr>
                    <w:t>隔声、减振</w:t>
                  </w:r>
                </w:p>
              </w:tc>
              <w:tc>
                <w:tcPr>
                  <w:tcW w:w="1861" w:type="dxa"/>
                  <w:vAlign w:val="center"/>
                </w:tcPr>
                <w:p>
                  <w:pPr>
                    <w:autoSpaceDE w:val="0"/>
                    <w:autoSpaceDN w:val="0"/>
                    <w:adjustRightInd w:val="0"/>
                    <w:spacing w:line="0" w:lineRule="atLeast"/>
                    <w:jc w:val="center"/>
                    <w:rPr>
                      <w:rFonts w:hint="eastAsia" w:eastAsia="宋体"/>
                      <w:bCs/>
                      <w:color w:val="auto"/>
                      <w:sz w:val="21"/>
                      <w:szCs w:val="21"/>
                      <w:highlight w:val="none"/>
                      <w:lang w:eastAsia="zh-CN"/>
                    </w:rPr>
                  </w:pPr>
                  <w:r>
                    <w:rPr>
                      <w:color w:val="auto"/>
                      <w:sz w:val="21"/>
                      <w:szCs w:val="21"/>
                      <w:highlight w:val="none"/>
                    </w:rPr>
                    <w:t>《工业企业厂界环境噪声排放标准》</w:t>
                  </w:r>
                  <w:r>
                    <w:rPr>
                      <w:bCs/>
                      <w:color w:val="auto"/>
                      <w:sz w:val="21"/>
                      <w:szCs w:val="21"/>
                      <w:highlight w:val="none"/>
                    </w:rPr>
                    <w:t>（GB12348-2008）中</w:t>
                  </w:r>
                  <w:r>
                    <w:rPr>
                      <w:rFonts w:hint="eastAsia"/>
                      <w:bCs/>
                      <w:color w:val="auto"/>
                      <w:sz w:val="21"/>
                      <w:szCs w:val="21"/>
                      <w:highlight w:val="none"/>
                      <w:lang w:eastAsia="zh-CN"/>
                    </w:rPr>
                    <w:t>2类</w:t>
                  </w:r>
                </w:p>
              </w:tc>
            </w:tr>
          </w:tbl>
          <w:p>
            <w:pPr>
              <w:snapToGrid w:val="0"/>
              <w:spacing w:line="360" w:lineRule="auto"/>
              <w:ind w:firstLine="480" w:firstLineChars="200"/>
              <w:rPr>
                <w:color w:val="auto"/>
                <w:sz w:val="24"/>
                <w:highlight w:val="none"/>
              </w:rPr>
            </w:pPr>
          </w:p>
          <w:p>
            <w:pPr>
              <w:snapToGrid w:val="0"/>
              <w:spacing w:line="360" w:lineRule="auto"/>
              <w:ind w:firstLine="480" w:firstLineChars="200"/>
              <w:rPr>
                <w:rFonts w:eastAsia="黑体"/>
                <w:color w:val="auto"/>
                <w:sz w:val="24"/>
                <w:highlight w:val="none"/>
              </w:rPr>
            </w:pPr>
            <w:r>
              <w:rPr>
                <w:rFonts w:eastAsia="黑体"/>
                <w:color w:val="auto"/>
                <w:sz w:val="24"/>
                <w:highlight w:val="none"/>
              </w:rPr>
              <w:t>8.2 环境管理与环境监测</w:t>
            </w:r>
          </w:p>
          <w:p>
            <w:pPr>
              <w:snapToGrid w:val="0"/>
              <w:spacing w:line="360" w:lineRule="auto"/>
              <w:ind w:firstLine="480" w:firstLineChars="200"/>
              <w:rPr>
                <w:rFonts w:eastAsia="黑体"/>
                <w:bCs/>
                <w:color w:val="auto"/>
                <w:sz w:val="24"/>
                <w:highlight w:val="none"/>
              </w:rPr>
            </w:pPr>
            <w:r>
              <w:rPr>
                <w:rFonts w:eastAsia="黑体"/>
                <w:bCs/>
                <w:color w:val="auto"/>
                <w:sz w:val="24"/>
                <w:highlight w:val="none"/>
              </w:rPr>
              <w:t>8.2.1环境管理机构及职责</w:t>
            </w:r>
          </w:p>
          <w:p>
            <w:pPr>
              <w:snapToGrid w:val="0"/>
              <w:spacing w:line="360" w:lineRule="auto"/>
              <w:ind w:firstLine="480" w:firstLineChars="200"/>
              <w:rPr>
                <w:bCs/>
                <w:color w:val="auto"/>
                <w:sz w:val="24"/>
                <w:highlight w:val="none"/>
              </w:rPr>
            </w:pPr>
            <w:r>
              <w:rPr>
                <w:bCs/>
                <w:color w:val="auto"/>
                <w:sz w:val="24"/>
                <w:highlight w:val="none"/>
              </w:rPr>
              <w:t>1、机构的设置</w:t>
            </w:r>
          </w:p>
          <w:p>
            <w:pPr>
              <w:snapToGrid w:val="0"/>
              <w:spacing w:line="360" w:lineRule="auto"/>
              <w:ind w:firstLine="480" w:firstLineChars="200"/>
              <w:rPr>
                <w:bCs/>
                <w:color w:val="auto"/>
                <w:sz w:val="24"/>
                <w:highlight w:val="none"/>
              </w:rPr>
            </w:pPr>
            <w:r>
              <w:rPr>
                <w:bCs/>
                <w:color w:val="auto"/>
                <w:sz w:val="24"/>
                <w:highlight w:val="none"/>
              </w:rPr>
              <w:t>运营期的环境管理是需要长期负责的工作，因此，要求以建设单位的最高管理者为代表组成的环境管理结构。营运期设置</w:t>
            </w:r>
            <w:r>
              <w:rPr>
                <w:rFonts w:hint="eastAsia"/>
                <w:bCs/>
                <w:color w:val="auto"/>
                <w:sz w:val="24"/>
                <w:highlight w:val="none"/>
              </w:rPr>
              <w:t>人员</w:t>
            </w:r>
            <w:r>
              <w:rPr>
                <w:bCs/>
                <w:color w:val="auto"/>
                <w:sz w:val="24"/>
                <w:highlight w:val="none"/>
              </w:rPr>
              <w:t>负责环保业务。</w:t>
            </w:r>
          </w:p>
          <w:p>
            <w:pPr>
              <w:snapToGrid w:val="0"/>
              <w:spacing w:line="360" w:lineRule="auto"/>
              <w:ind w:firstLine="480" w:firstLineChars="200"/>
              <w:rPr>
                <w:bCs/>
                <w:color w:val="auto"/>
                <w:sz w:val="24"/>
                <w:highlight w:val="none"/>
              </w:rPr>
            </w:pPr>
            <w:r>
              <w:rPr>
                <w:bCs/>
                <w:color w:val="auto"/>
                <w:sz w:val="24"/>
                <w:highlight w:val="none"/>
              </w:rPr>
              <w:t>2、环境管理职责和权限</w:t>
            </w:r>
          </w:p>
          <w:p>
            <w:pPr>
              <w:snapToGrid w:val="0"/>
              <w:spacing w:line="360" w:lineRule="auto"/>
              <w:ind w:firstLine="480" w:firstLineChars="200"/>
              <w:rPr>
                <w:bCs/>
                <w:color w:val="auto"/>
                <w:sz w:val="24"/>
                <w:highlight w:val="none"/>
              </w:rPr>
            </w:pPr>
            <w:r>
              <w:rPr>
                <w:bCs/>
                <w:color w:val="auto"/>
                <w:sz w:val="24"/>
                <w:highlight w:val="none"/>
              </w:rPr>
              <w:t>环境管理小组应贯彻执行各行环境保护政策、法规及标准，并负环境管理体系的建立、修订和实施；负责环境管理的日常运行，对发现的潜在环境问题提出解决意见，同时负责协调环境监督部门管理工作；负责环境要素的检查、环境保护设施的运行情况、监测计划的实施，并建立环保档案；接受市、区各级环保部门的检查、监督，并定期向上级主管部门汇报环境保护工作情况。</w:t>
            </w:r>
          </w:p>
          <w:p>
            <w:pPr>
              <w:snapToGrid w:val="0"/>
              <w:spacing w:line="360" w:lineRule="auto"/>
              <w:ind w:firstLine="480" w:firstLineChars="200"/>
              <w:rPr>
                <w:rFonts w:eastAsia="黑体"/>
                <w:bCs/>
                <w:color w:val="auto"/>
                <w:sz w:val="24"/>
                <w:highlight w:val="none"/>
              </w:rPr>
            </w:pPr>
            <w:r>
              <w:rPr>
                <w:rFonts w:eastAsia="黑体"/>
                <w:bCs/>
                <w:color w:val="auto"/>
                <w:sz w:val="24"/>
                <w:highlight w:val="none"/>
              </w:rPr>
              <w:t>8.2.2环境管理计划</w:t>
            </w:r>
          </w:p>
          <w:p>
            <w:pPr>
              <w:snapToGrid w:val="0"/>
              <w:spacing w:line="360" w:lineRule="auto"/>
              <w:ind w:firstLine="480" w:firstLineChars="200"/>
              <w:rPr>
                <w:bCs/>
                <w:color w:val="auto"/>
                <w:sz w:val="24"/>
                <w:highlight w:val="none"/>
              </w:rPr>
            </w:pPr>
            <w:r>
              <w:rPr>
                <w:rFonts w:hint="eastAsia"/>
                <w:bCs/>
                <w:color w:val="auto"/>
                <w:sz w:val="24"/>
                <w:highlight w:val="none"/>
              </w:rPr>
              <w:t>项目运营期应</w:t>
            </w:r>
            <w:r>
              <w:rPr>
                <w:bCs/>
                <w:color w:val="auto"/>
                <w:sz w:val="24"/>
                <w:highlight w:val="none"/>
              </w:rPr>
              <w:t>由专人负责环境管理工作，</w:t>
            </w:r>
            <w:r>
              <w:rPr>
                <w:rFonts w:hint="eastAsia"/>
                <w:bCs/>
                <w:color w:val="auto"/>
                <w:sz w:val="24"/>
                <w:highlight w:val="none"/>
              </w:rPr>
              <w:t>并</w:t>
            </w:r>
            <w:r>
              <w:rPr>
                <w:bCs/>
                <w:color w:val="auto"/>
                <w:sz w:val="24"/>
                <w:highlight w:val="none"/>
              </w:rPr>
              <w:t>与当地环保部门及其授权监测部门直接监管污染物的排放情况，对超标排放及污染事故、纠纷进行处理。由分管环境的主要领导负责环保指标的落实，将环保指标逐级分解到个人，确保环保设施正常运转和污染物达标排放；配合地方环保部门监测部门进行日常环境监测，记录并及时上报污染源及环保措施运转动态。</w:t>
            </w:r>
          </w:p>
          <w:p>
            <w:pPr>
              <w:snapToGrid w:val="0"/>
              <w:spacing w:line="360" w:lineRule="auto"/>
              <w:ind w:firstLine="480" w:firstLineChars="200"/>
              <w:rPr>
                <w:bCs/>
                <w:color w:val="auto"/>
                <w:sz w:val="24"/>
                <w:highlight w:val="none"/>
              </w:rPr>
            </w:pPr>
            <w:r>
              <w:rPr>
                <w:rFonts w:hint="eastAsia"/>
                <w:bCs/>
                <w:color w:val="auto"/>
                <w:sz w:val="24"/>
                <w:highlight w:val="none"/>
              </w:rPr>
              <w:t>项目具体环境环境管理及监督计划见表8-2。</w:t>
            </w:r>
          </w:p>
          <w:p>
            <w:pPr>
              <w:spacing w:line="360" w:lineRule="auto"/>
              <w:ind w:firstLine="480" w:firstLineChars="200"/>
              <w:jc w:val="center"/>
              <w:rPr>
                <w:rFonts w:ascii="黑体" w:hAnsi="黑体" w:eastAsia="黑体"/>
                <w:color w:val="auto"/>
                <w:sz w:val="24"/>
                <w:szCs w:val="20"/>
                <w:highlight w:val="none"/>
              </w:rPr>
            </w:pPr>
            <w:r>
              <w:rPr>
                <w:rFonts w:ascii="黑体" w:hAnsi="黑体" w:eastAsia="黑体"/>
                <w:color w:val="auto"/>
                <w:sz w:val="24"/>
                <w:szCs w:val="20"/>
                <w:highlight w:val="none"/>
              </w:rPr>
              <w:t>表</w:t>
            </w:r>
            <w:r>
              <w:rPr>
                <w:rFonts w:hint="eastAsia" w:ascii="黑体" w:hAnsi="黑体" w:eastAsia="黑体"/>
                <w:color w:val="auto"/>
                <w:sz w:val="24"/>
                <w:szCs w:val="20"/>
                <w:highlight w:val="none"/>
              </w:rPr>
              <w:t>8-2   项目环境管理及监督计划</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2"/>
              <w:gridCol w:w="1404"/>
              <w:gridCol w:w="3265"/>
              <w:gridCol w:w="1593"/>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12" w:type="dxa"/>
                  <w:vAlign w:val="center"/>
                </w:tcPr>
                <w:p>
                  <w:pPr>
                    <w:snapToGrid w:val="0"/>
                    <w:jc w:val="center"/>
                    <w:rPr>
                      <w:color w:val="auto"/>
                      <w:sz w:val="21"/>
                      <w:szCs w:val="21"/>
                      <w:highlight w:val="none"/>
                    </w:rPr>
                  </w:pPr>
                  <w:r>
                    <w:rPr>
                      <w:color w:val="auto"/>
                      <w:sz w:val="21"/>
                      <w:szCs w:val="21"/>
                      <w:highlight w:val="none"/>
                    </w:rPr>
                    <w:t>防治对象</w:t>
                  </w:r>
                </w:p>
              </w:tc>
              <w:tc>
                <w:tcPr>
                  <w:tcW w:w="4669" w:type="dxa"/>
                  <w:gridSpan w:val="2"/>
                  <w:vAlign w:val="center"/>
                </w:tcPr>
                <w:p>
                  <w:pPr>
                    <w:snapToGrid w:val="0"/>
                    <w:jc w:val="center"/>
                    <w:rPr>
                      <w:color w:val="auto"/>
                      <w:sz w:val="21"/>
                      <w:szCs w:val="21"/>
                      <w:highlight w:val="none"/>
                    </w:rPr>
                  </w:pPr>
                  <w:r>
                    <w:rPr>
                      <w:color w:val="auto"/>
                      <w:sz w:val="21"/>
                      <w:szCs w:val="21"/>
                      <w:highlight w:val="none"/>
                    </w:rPr>
                    <w:t>防治措施</w:t>
                  </w:r>
                </w:p>
              </w:tc>
              <w:tc>
                <w:tcPr>
                  <w:tcW w:w="1593" w:type="dxa"/>
                  <w:vAlign w:val="center"/>
                </w:tcPr>
                <w:p>
                  <w:pPr>
                    <w:snapToGrid w:val="0"/>
                    <w:jc w:val="center"/>
                    <w:rPr>
                      <w:color w:val="auto"/>
                      <w:sz w:val="21"/>
                      <w:szCs w:val="21"/>
                      <w:highlight w:val="none"/>
                    </w:rPr>
                  </w:pPr>
                  <w:r>
                    <w:rPr>
                      <w:color w:val="auto"/>
                      <w:sz w:val="21"/>
                      <w:szCs w:val="21"/>
                      <w:highlight w:val="none"/>
                    </w:rPr>
                    <w:t>环境管理</w:t>
                  </w:r>
                </w:p>
              </w:tc>
              <w:tc>
                <w:tcPr>
                  <w:tcW w:w="1318" w:type="dxa"/>
                  <w:vAlign w:val="center"/>
                </w:tcPr>
                <w:p>
                  <w:pPr>
                    <w:snapToGrid w:val="0"/>
                    <w:jc w:val="center"/>
                    <w:rPr>
                      <w:color w:val="auto"/>
                      <w:sz w:val="21"/>
                      <w:szCs w:val="21"/>
                      <w:highlight w:val="none"/>
                    </w:rPr>
                  </w:pPr>
                  <w:r>
                    <w:rPr>
                      <w:color w:val="auto"/>
                      <w:sz w:val="21"/>
                      <w:szCs w:val="21"/>
                      <w:highlight w:val="none"/>
                    </w:rPr>
                    <w:t>环境监督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12" w:type="dxa"/>
                  <w:vAlign w:val="center"/>
                </w:tcPr>
                <w:p>
                  <w:pPr>
                    <w:adjustRightInd w:val="0"/>
                    <w:snapToGrid w:val="0"/>
                    <w:jc w:val="center"/>
                    <w:rPr>
                      <w:color w:val="auto"/>
                      <w:sz w:val="21"/>
                      <w:szCs w:val="21"/>
                      <w:highlight w:val="none"/>
                    </w:rPr>
                  </w:pPr>
                  <w:r>
                    <w:rPr>
                      <w:color w:val="auto"/>
                      <w:sz w:val="21"/>
                      <w:szCs w:val="21"/>
                      <w:highlight w:val="none"/>
                    </w:rPr>
                    <w:t>废水</w:t>
                  </w:r>
                </w:p>
              </w:tc>
              <w:tc>
                <w:tcPr>
                  <w:tcW w:w="1404" w:type="dxa"/>
                  <w:vAlign w:val="center"/>
                </w:tcPr>
                <w:p>
                  <w:pPr>
                    <w:snapToGrid w:val="0"/>
                    <w:jc w:val="center"/>
                    <w:rPr>
                      <w:color w:val="auto"/>
                      <w:sz w:val="21"/>
                      <w:szCs w:val="21"/>
                      <w:highlight w:val="none"/>
                    </w:rPr>
                  </w:pPr>
                  <w:r>
                    <w:rPr>
                      <w:color w:val="auto"/>
                      <w:sz w:val="21"/>
                      <w:szCs w:val="21"/>
                      <w:highlight w:val="none"/>
                    </w:rPr>
                    <w:t>生活污水</w:t>
                  </w:r>
                </w:p>
              </w:tc>
              <w:tc>
                <w:tcPr>
                  <w:tcW w:w="3265" w:type="dxa"/>
                  <w:vAlign w:val="center"/>
                </w:tcPr>
                <w:p>
                  <w:pPr>
                    <w:snapToGrid w:val="0"/>
                    <w:jc w:val="center"/>
                    <w:rPr>
                      <w:color w:val="auto"/>
                      <w:sz w:val="21"/>
                      <w:szCs w:val="21"/>
                      <w:highlight w:val="none"/>
                    </w:rPr>
                  </w:pPr>
                  <w:r>
                    <w:rPr>
                      <w:rFonts w:hint="eastAsia"/>
                      <w:color w:val="auto"/>
                      <w:sz w:val="21"/>
                      <w:szCs w:val="21"/>
                      <w:highlight w:val="none"/>
                    </w:rPr>
                    <w:t>排入化粪池,经市政管网排入西安市第三污水处理厂</w:t>
                  </w:r>
                </w:p>
              </w:tc>
              <w:tc>
                <w:tcPr>
                  <w:tcW w:w="1593" w:type="dxa"/>
                  <w:vMerge w:val="restart"/>
                  <w:vAlign w:val="center"/>
                </w:tcPr>
                <w:p>
                  <w:pPr>
                    <w:snapToGrid w:val="0"/>
                    <w:jc w:val="center"/>
                    <w:rPr>
                      <w:color w:val="auto"/>
                      <w:sz w:val="21"/>
                      <w:szCs w:val="21"/>
                      <w:highlight w:val="none"/>
                    </w:rPr>
                  </w:pPr>
                  <w:r>
                    <w:rPr>
                      <w:color w:val="auto"/>
                      <w:sz w:val="21"/>
                      <w:szCs w:val="21"/>
                      <w:highlight w:val="none"/>
                    </w:rPr>
                    <w:t>专人负责，</w:t>
                  </w:r>
                  <w:r>
                    <w:rPr>
                      <w:bCs/>
                      <w:color w:val="auto"/>
                      <w:kern w:val="0"/>
                      <w:sz w:val="21"/>
                      <w:szCs w:val="21"/>
                      <w:highlight w:val="none"/>
                    </w:rPr>
                    <w:t>确保环保设施正常运转和污染物达标排放</w:t>
                  </w:r>
                </w:p>
              </w:tc>
              <w:tc>
                <w:tcPr>
                  <w:tcW w:w="1318" w:type="dxa"/>
                  <w:vMerge w:val="restart"/>
                  <w:vAlign w:val="center"/>
                </w:tcPr>
                <w:p>
                  <w:pPr>
                    <w:snapToGrid w:val="0"/>
                    <w:jc w:val="center"/>
                    <w:rPr>
                      <w:color w:val="auto"/>
                      <w:sz w:val="21"/>
                      <w:szCs w:val="21"/>
                      <w:highlight w:val="none"/>
                    </w:rPr>
                  </w:pPr>
                  <w:r>
                    <w:rPr>
                      <w:color w:val="auto"/>
                      <w:sz w:val="21"/>
                      <w:szCs w:val="21"/>
                      <w:highlight w:val="none"/>
                    </w:rPr>
                    <w:t>建设行政管理部门及环境管理部门进行定期检查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7" w:hRule="atLeast"/>
                <w:jc w:val="center"/>
              </w:trPr>
              <w:tc>
                <w:tcPr>
                  <w:tcW w:w="912" w:type="dxa"/>
                  <w:vMerge w:val="restart"/>
                  <w:vAlign w:val="center"/>
                </w:tcPr>
                <w:p>
                  <w:pPr>
                    <w:adjustRightInd w:val="0"/>
                    <w:snapToGrid w:val="0"/>
                    <w:jc w:val="center"/>
                    <w:rPr>
                      <w:color w:val="auto"/>
                      <w:sz w:val="21"/>
                      <w:szCs w:val="21"/>
                      <w:highlight w:val="none"/>
                    </w:rPr>
                  </w:pPr>
                  <w:r>
                    <w:rPr>
                      <w:color w:val="auto"/>
                      <w:sz w:val="21"/>
                      <w:szCs w:val="21"/>
                      <w:highlight w:val="none"/>
                    </w:rPr>
                    <w:t>固废</w:t>
                  </w:r>
                </w:p>
              </w:tc>
              <w:tc>
                <w:tcPr>
                  <w:tcW w:w="1404" w:type="dxa"/>
                  <w:vAlign w:val="center"/>
                </w:tcPr>
                <w:p>
                  <w:pPr>
                    <w:spacing w:line="280" w:lineRule="exact"/>
                    <w:jc w:val="center"/>
                    <w:rPr>
                      <w:color w:val="auto"/>
                      <w:sz w:val="21"/>
                      <w:szCs w:val="21"/>
                      <w:highlight w:val="none"/>
                    </w:rPr>
                  </w:pPr>
                  <w:r>
                    <w:rPr>
                      <w:rFonts w:hint="eastAsia"/>
                      <w:color w:val="auto"/>
                      <w:sz w:val="21"/>
                      <w:szCs w:val="21"/>
                      <w:highlight w:val="none"/>
                    </w:rPr>
                    <w:t>生活垃圾</w:t>
                  </w:r>
                </w:p>
              </w:tc>
              <w:tc>
                <w:tcPr>
                  <w:tcW w:w="3265" w:type="dxa"/>
                  <w:vAlign w:val="center"/>
                </w:tcPr>
                <w:p>
                  <w:pPr>
                    <w:adjustRightInd w:val="0"/>
                    <w:snapToGrid w:val="0"/>
                    <w:jc w:val="center"/>
                    <w:rPr>
                      <w:color w:val="auto"/>
                      <w:sz w:val="21"/>
                      <w:szCs w:val="21"/>
                      <w:highlight w:val="none"/>
                    </w:rPr>
                  </w:pPr>
                  <w:r>
                    <w:rPr>
                      <w:color w:val="auto"/>
                      <w:sz w:val="21"/>
                      <w:szCs w:val="21"/>
                      <w:highlight w:val="none"/>
                    </w:rPr>
                    <w:t>厂内设若干垃圾桶集中收集暂存，当地环卫部门及时清运</w:t>
                  </w:r>
                </w:p>
              </w:tc>
              <w:tc>
                <w:tcPr>
                  <w:tcW w:w="1593" w:type="dxa"/>
                  <w:vMerge w:val="continue"/>
                  <w:vAlign w:val="center"/>
                </w:tcPr>
                <w:p>
                  <w:pPr>
                    <w:snapToGrid w:val="0"/>
                    <w:jc w:val="center"/>
                    <w:rPr>
                      <w:color w:val="auto"/>
                      <w:sz w:val="21"/>
                      <w:szCs w:val="21"/>
                      <w:highlight w:val="none"/>
                    </w:rPr>
                  </w:pPr>
                </w:p>
              </w:tc>
              <w:tc>
                <w:tcPr>
                  <w:tcW w:w="1318" w:type="dxa"/>
                  <w:vMerge w:val="continue"/>
                  <w:vAlign w:val="center"/>
                </w:tcPr>
                <w:p>
                  <w:pPr>
                    <w:snapToGrid w:val="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7" w:hRule="atLeast"/>
                <w:jc w:val="center"/>
              </w:trPr>
              <w:tc>
                <w:tcPr>
                  <w:tcW w:w="912" w:type="dxa"/>
                  <w:vMerge w:val="continue"/>
                  <w:vAlign w:val="center"/>
                </w:tcPr>
                <w:p>
                  <w:pPr>
                    <w:adjustRightInd w:val="0"/>
                    <w:snapToGrid w:val="0"/>
                    <w:jc w:val="center"/>
                    <w:rPr>
                      <w:color w:val="auto"/>
                      <w:sz w:val="21"/>
                      <w:szCs w:val="21"/>
                      <w:highlight w:val="none"/>
                    </w:rPr>
                  </w:pPr>
                </w:p>
              </w:tc>
              <w:tc>
                <w:tcPr>
                  <w:tcW w:w="1404" w:type="dxa"/>
                  <w:vAlign w:val="center"/>
                </w:tcPr>
                <w:p>
                  <w:pPr>
                    <w:spacing w:line="280" w:lineRule="exact"/>
                    <w:jc w:val="center"/>
                    <w:rPr>
                      <w:color w:val="auto"/>
                      <w:sz w:val="21"/>
                      <w:szCs w:val="21"/>
                      <w:highlight w:val="none"/>
                    </w:rPr>
                  </w:pPr>
                  <w:r>
                    <w:rPr>
                      <w:rFonts w:hint="eastAsia"/>
                      <w:color w:val="auto"/>
                      <w:sz w:val="21"/>
                      <w:szCs w:val="21"/>
                      <w:highlight w:val="none"/>
                    </w:rPr>
                    <w:t>废纸</w:t>
                  </w:r>
                </w:p>
              </w:tc>
              <w:tc>
                <w:tcPr>
                  <w:tcW w:w="3265" w:type="dxa"/>
                  <w:vAlign w:val="center"/>
                </w:tcPr>
                <w:p>
                  <w:pPr>
                    <w:adjustRightInd w:val="0"/>
                    <w:snapToGrid w:val="0"/>
                    <w:jc w:val="center"/>
                    <w:rPr>
                      <w:color w:val="auto"/>
                      <w:sz w:val="21"/>
                      <w:szCs w:val="21"/>
                      <w:highlight w:val="none"/>
                    </w:rPr>
                  </w:pPr>
                  <w:r>
                    <w:rPr>
                      <w:rFonts w:hint="eastAsia"/>
                      <w:color w:val="auto"/>
                      <w:sz w:val="21"/>
                      <w:szCs w:val="21"/>
                      <w:highlight w:val="none"/>
                    </w:rPr>
                    <w:t>外售废品公司</w:t>
                  </w:r>
                </w:p>
              </w:tc>
              <w:tc>
                <w:tcPr>
                  <w:tcW w:w="1593" w:type="dxa"/>
                  <w:vMerge w:val="continue"/>
                  <w:vAlign w:val="center"/>
                </w:tcPr>
                <w:p>
                  <w:pPr>
                    <w:snapToGrid w:val="0"/>
                    <w:jc w:val="center"/>
                    <w:rPr>
                      <w:color w:val="auto"/>
                      <w:sz w:val="21"/>
                      <w:szCs w:val="21"/>
                      <w:highlight w:val="none"/>
                    </w:rPr>
                  </w:pPr>
                </w:p>
              </w:tc>
              <w:tc>
                <w:tcPr>
                  <w:tcW w:w="1318" w:type="dxa"/>
                  <w:vMerge w:val="continue"/>
                  <w:vAlign w:val="center"/>
                </w:tcPr>
                <w:p>
                  <w:pPr>
                    <w:snapToGrid w:val="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7" w:hRule="atLeast"/>
                <w:jc w:val="center"/>
              </w:trPr>
              <w:tc>
                <w:tcPr>
                  <w:tcW w:w="912" w:type="dxa"/>
                  <w:vMerge w:val="continue"/>
                  <w:vAlign w:val="center"/>
                </w:tcPr>
                <w:p>
                  <w:pPr>
                    <w:adjustRightInd w:val="0"/>
                    <w:snapToGrid w:val="0"/>
                    <w:jc w:val="center"/>
                    <w:rPr>
                      <w:color w:val="auto"/>
                      <w:sz w:val="21"/>
                      <w:szCs w:val="21"/>
                      <w:highlight w:val="none"/>
                    </w:rPr>
                  </w:pPr>
                </w:p>
              </w:tc>
              <w:tc>
                <w:tcPr>
                  <w:tcW w:w="1404" w:type="dxa"/>
                  <w:vAlign w:val="center"/>
                </w:tcPr>
                <w:p>
                  <w:pPr>
                    <w:spacing w:line="280" w:lineRule="exact"/>
                    <w:jc w:val="center"/>
                    <w:rPr>
                      <w:color w:val="auto"/>
                      <w:sz w:val="21"/>
                      <w:szCs w:val="21"/>
                      <w:highlight w:val="none"/>
                    </w:rPr>
                  </w:pPr>
                  <w:r>
                    <w:rPr>
                      <w:rFonts w:hint="eastAsia"/>
                      <w:color w:val="auto"/>
                      <w:sz w:val="21"/>
                      <w:szCs w:val="21"/>
                      <w:highlight w:val="none"/>
                    </w:rPr>
                    <w:t>含油抹布</w:t>
                  </w:r>
                </w:p>
              </w:tc>
              <w:tc>
                <w:tcPr>
                  <w:tcW w:w="3265" w:type="dxa"/>
                  <w:vMerge w:val="restart"/>
                  <w:vAlign w:val="center"/>
                </w:tcPr>
                <w:p>
                  <w:pPr>
                    <w:adjustRightInd w:val="0"/>
                    <w:snapToGrid w:val="0"/>
                    <w:jc w:val="center"/>
                    <w:rPr>
                      <w:color w:val="auto"/>
                      <w:sz w:val="21"/>
                      <w:szCs w:val="21"/>
                      <w:highlight w:val="none"/>
                    </w:rPr>
                  </w:pPr>
                  <w:r>
                    <w:rPr>
                      <w:rFonts w:hint="eastAsia"/>
                      <w:color w:val="auto"/>
                      <w:sz w:val="21"/>
                      <w:szCs w:val="21"/>
                      <w:highlight w:val="none"/>
                    </w:rPr>
                    <w:t>委托陕西新天地固体废物综合处置有限公司处置</w:t>
                  </w:r>
                </w:p>
              </w:tc>
              <w:tc>
                <w:tcPr>
                  <w:tcW w:w="1593" w:type="dxa"/>
                  <w:vMerge w:val="continue"/>
                  <w:vAlign w:val="center"/>
                </w:tcPr>
                <w:p>
                  <w:pPr>
                    <w:snapToGrid w:val="0"/>
                    <w:jc w:val="center"/>
                    <w:rPr>
                      <w:color w:val="auto"/>
                      <w:sz w:val="21"/>
                      <w:szCs w:val="21"/>
                      <w:highlight w:val="none"/>
                    </w:rPr>
                  </w:pPr>
                </w:p>
              </w:tc>
              <w:tc>
                <w:tcPr>
                  <w:tcW w:w="1318" w:type="dxa"/>
                  <w:vMerge w:val="continue"/>
                  <w:vAlign w:val="center"/>
                </w:tcPr>
                <w:p>
                  <w:pPr>
                    <w:snapToGrid w:val="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7" w:hRule="atLeast"/>
                <w:jc w:val="center"/>
              </w:trPr>
              <w:tc>
                <w:tcPr>
                  <w:tcW w:w="912" w:type="dxa"/>
                  <w:vMerge w:val="continue"/>
                  <w:vAlign w:val="center"/>
                </w:tcPr>
                <w:p>
                  <w:pPr>
                    <w:adjustRightInd w:val="0"/>
                    <w:snapToGrid w:val="0"/>
                    <w:jc w:val="center"/>
                    <w:rPr>
                      <w:color w:val="auto"/>
                      <w:sz w:val="21"/>
                      <w:szCs w:val="21"/>
                      <w:highlight w:val="none"/>
                    </w:rPr>
                  </w:pPr>
                </w:p>
              </w:tc>
              <w:tc>
                <w:tcPr>
                  <w:tcW w:w="1404" w:type="dxa"/>
                  <w:vAlign w:val="center"/>
                </w:tcPr>
                <w:p>
                  <w:pPr>
                    <w:spacing w:line="280" w:lineRule="exact"/>
                    <w:jc w:val="center"/>
                    <w:rPr>
                      <w:color w:val="auto"/>
                      <w:sz w:val="21"/>
                      <w:szCs w:val="21"/>
                      <w:highlight w:val="none"/>
                    </w:rPr>
                  </w:pPr>
                  <w:r>
                    <w:rPr>
                      <w:rFonts w:hint="eastAsia"/>
                      <w:color w:val="auto"/>
                      <w:sz w:val="21"/>
                      <w:szCs w:val="21"/>
                      <w:highlight w:val="none"/>
                    </w:rPr>
                    <w:t>废机油</w:t>
                  </w:r>
                </w:p>
              </w:tc>
              <w:tc>
                <w:tcPr>
                  <w:tcW w:w="3265" w:type="dxa"/>
                  <w:vMerge w:val="continue"/>
                  <w:vAlign w:val="center"/>
                </w:tcPr>
                <w:p>
                  <w:pPr>
                    <w:adjustRightInd w:val="0"/>
                    <w:snapToGrid w:val="0"/>
                    <w:jc w:val="center"/>
                    <w:rPr>
                      <w:color w:val="auto"/>
                      <w:sz w:val="21"/>
                      <w:szCs w:val="21"/>
                      <w:highlight w:val="none"/>
                    </w:rPr>
                  </w:pPr>
                </w:p>
              </w:tc>
              <w:tc>
                <w:tcPr>
                  <w:tcW w:w="1593" w:type="dxa"/>
                  <w:vMerge w:val="continue"/>
                  <w:vAlign w:val="center"/>
                </w:tcPr>
                <w:p>
                  <w:pPr>
                    <w:snapToGrid w:val="0"/>
                    <w:jc w:val="center"/>
                    <w:rPr>
                      <w:color w:val="auto"/>
                      <w:sz w:val="21"/>
                      <w:szCs w:val="21"/>
                      <w:highlight w:val="none"/>
                    </w:rPr>
                  </w:pPr>
                </w:p>
              </w:tc>
              <w:tc>
                <w:tcPr>
                  <w:tcW w:w="1318" w:type="dxa"/>
                  <w:vMerge w:val="continue"/>
                  <w:vAlign w:val="center"/>
                </w:tcPr>
                <w:p>
                  <w:pPr>
                    <w:snapToGrid w:val="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912" w:type="dxa"/>
                  <w:vMerge w:val="continue"/>
                  <w:vAlign w:val="center"/>
                </w:tcPr>
                <w:p>
                  <w:pPr>
                    <w:adjustRightInd w:val="0"/>
                    <w:snapToGrid w:val="0"/>
                    <w:jc w:val="center"/>
                    <w:rPr>
                      <w:color w:val="auto"/>
                      <w:sz w:val="21"/>
                      <w:szCs w:val="21"/>
                      <w:highlight w:val="none"/>
                    </w:rPr>
                  </w:pPr>
                </w:p>
              </w:tc>
              <w:tc>
                <w:tcPr>
                  <w:tcW w:w="1404" w:type="dxa"/>
                  <w:vAlign w:val="center"/>
                </w:tcPr>
                <w:p>
                  <w:pPr>
                    <w:spacing w:line="280" w:lineRule="exact"/>
                    <w:jc w:val="center"/>
                    <w:rPr>
                      <w:color w:val="auto"/>
                      <w:sz w:val="21"/>
                      <w:szCs w:val="21"/>
                      <w:highlight w:val="none"/>
                    </w:rPr>
                  </w:pPr>
                  <w:r>
                    <w:rPr>
                      <w:rFonts w:hint="eastAsia"/>
                      <w:color w:val="auto"/>
                      <w:sz w:val="21"/>
                      <w:szCs w:val="21"/>
                      <w:highlight w:val="none"/>
                    </w:rPr>
                    <w:t>废油墨桶</w:t>
                  </w:r>
                </w:p>
              </w:tc>
              <w:tc>
                <w:tcPr>
                  <w:tcW w:w="3265" w:type="dxa"/>
                  <w:vMerge w:val="continue"/>
                  <w:vAlign w:val="center"/>
                </w:tcPr>
                <w:p>
                  <w:pPr>
                    <w:adjustRightInd w:val="0"/>
                    <w:snapToGrid w:val="0"/>
                    <w:jc w:val="center"/>
                    <w:rPr>
                      <w:color w:val="auto"/>
                      <w:sz w:val="21"/>
                      <w:szCs w:val="21"/>
                      <w:highlight w:val="none"/>
                    </w:rPr>
                  </w:pPr>
                </w:p>
              </w:tc>
              <w:tc>
                <w:tcPr>
                  <w:tcW w:w="1593" w:type="dxa"/>
                  <w:vMerge w:val="continue"/>
                  <w:vAlign w:val="center"/>
                </w:tcPr>
                <w:p>
                  <w:pPr>
                    <w:snapToGrid w:val="0"/>
                    <w:jc w:val="center"/>
                    <w:rPr>
                      <w:color w:val="auto"/>
                      <w:sz w:val="21"/>
                      <w:szCs w:val="21"/>
                      <w:highlight w:val="none"/>
                    </w:rPr>
                  </w:pPr>
                </w:p>
              </w:tc>
              <w:tc>
                <w:tcPr>
                  <w:tcW w:w="1318" w:type="dxa"/>
                  <w:vMerge w:val="continue"/>
                  <w:vAlign w:val="center"/>
                </w:tcPr>
                <w:p>
                  <w:pPr>
                    <w:snapToGrid w:val="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2" w:hRule="atLeast"/>
                <w:jc w:val="center"/>
              </w:trPr>
              <w:tc>
                <w:tcPr>
                  <w:tcW w:w="912" w:type="dxa"/>
                  <w:vMerge w:val="continue"/>
                  <w:vAlign w:val="center"/>
                </w:tcPr>
                <w:p>
                  <w:pPr>
                    <w:adjustRightInd w:val="0"/>
                    <w:snapToGrid w:val="0"/>
                    <w:jc w:val="center"/>
                    <w:rPr>
                      <w:color w:val="auto"/>
                      <w:sz w:val="21"/>
                      <w:szCs w:val="21"/>
                      <w:highlight w:val="none"/>
                    </w:rPr>
                  </w:pPr>
                </w:p>
              </w:tc>
              <w:tc>
                <w:tcPr>
                  <w:tcW w:w="1404" w:type="dxa"/>
                  <w:vAlign w:val="center"/>
                </w:tcPr>
                <w:p>
                  <w:pPr>
                    <w:spacing w:line="280" w:lineRule="exact"/>
                    <w:jc w:val="center"/>
                    <w:rPr>
                      <w:color w:val="auto"/>
                      <w:sz w:val="21"/>
                      <w:szCs w:val="21"/>
                      <w:highlight w:val="none"/>
                    </w:rPr>
                  </w:pPr>
                  <w:r>
                    <w:rPr>
                      <w:rFonts w:hint="eastAsia"/>
                      <w:color w:val="auto"/>
                      <w:sz w:val="21"/>
                      <w:szCs w:val="21"/>
                      <w:highlight w:val="none"/>
                    </w:rPr>
                    <w:t>废洗辊液</w:t>
                  </w:r>
                </w:p>
              </w:tc>
              <w:tc>
                <w:tcPr>
                  <w:tcW w:w="3265" w:type="dxa"/>
                  <w:vMerge w:val="continue"/>
                  <w:vAlign w:val="center"/>
                </w:tcPr>
                <w:p>
                  <w:pPr>
                    <w:adjustRightInd w:val="0"/>
                    <w:snapToGrid w:val="0"/>
                    <w:jc w:val="center"/>
                    <w:rPr>
                      <w:color w:val="auto"/>
                      <w:sz w:val="21"/>
                      <w:szCs w:val="21"/>
                      <w:highlight w:val="none"/>
                    </w:rPr>
                  </w:pPr>
                </w:p>
              </w:tc>
              <w:tc>
                <w:tcPr>
                  <w:tcW w:w="1593" w:type="dxa"/>
                  <w:vMerge w:val="continue"/>
                  <w:vAlign w:val="center"/>
                </w:tcPr>
                <w:p>
                  <w:pPr>
                    <w:snapToGrid w:val="0"/>
                    <w:jc w:val="center"/>
                    <w:rPr>
                      <w:color w:val="auto"/>
                      <w:sz w:val="21"/>
                      <w:szCs w:val="21"/>
                      <w:highlight w:val="none"/>
                    </w:rPr>
                  </w:pPr>
                </w:p>
              </w:tc>
              <w:tc>
                <w:tcPr>
                  <w:tcW w:w="1318" w:type="dxa"/>
                  <w:vMerge w:val="continue"/>
                  <w:vAlign w:val="center"/>
                </w:tcPr>
                <w:p>
                  <w:pPr>
                    <w:snapToGrid w:val="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12" w:type="dxa"/>
                  <w:vMerge w:val="continue"/>
                  <w:vAlign w:val="center"/>
                </w:tcPr>
                <w:p>
                  <w:pPr>
                    <w:adjustRightInd w:val="0"/>
                    <w:snapToGrid w:val="0"/>
                    <w:jc w:val="center"/>
                    <w:rPr>
                      <w:color w:val="auto"/>
                      <w:sz w:val="21"/>
                      <w:szCs w:val="21"/>
                      <w:highlight w:val="none"/>
                    </w:rPr>
                  </w:pPr>
                </w:p>
              </w:tc>
              <w:tc>
                <w:tcPr>
                  <w:tcW w:w="1404" w:type="dxa"/>
                  <w:vAlign w:val="center"/>
                </w:tcPr>
                <w:p>
                  <w:pPr>
                    <w:spacing w:line="280" w:lineRule="exact"/>
                    <w:jc w:val="center"/>
                    <w:rPr>
                      <w:color w:val="auto"/>
                      <w:sz w:val="21"/>
                      <w:szCs w:val="21"/>
                      <w:highlight w:val="none"/>
                    </w:rPr>
                  </w:pPr>
                  <w:r>
                    <w:rPr>
                      <w:rFonts w:hint="eastAsia"/>
                      <w:color w:val="auto"/>
                      <w:sz w:val="21"/>
                      <w:szCs w:val="21"/>
                      <w:highlight w:val="none"/>
                    </w:rPr>
                    <w:t>废活性炭</w:t>
                  </w:r>
                </w:p>
              </w:tc>
              <w:tc>
                <w:tcPr>
                  <w:tcW w:w="3265" w:type="dxa"/>
                  <w:vMerge w:val="continue"/>
                  <w:vAlign w:val="center"/>
                </w:tcPr>
                <w:p>
                  <w:pPr>
                    <w:adjustRightInd w:val="0"/>
                    <w:snapToGrid w:val="0"/>
                    <w:jc w:val="center"/>
                    <w:rPr>
                      <w:color w:val="auto"/>
                      <w:sz w:val="21"/>
                      <w:szCs w:val="21"/>
                      <w:highlight w:val="none"/>
                    </w:rPr>
                  </w:pPr>
                </w:p>
              </w:tc>
              <w:tc>
                <w:tcPr>
                  <w:tcW w:w="1593" w:type="dxa"/>
                  <w:vMerge w:val="continue"/>
                  <w:vAlign w:val="center"/>
                </w:tcPr>
                <w:p>
                  <w:pPr>
                    <w:snapToGrid w:val="0"/>
                    <w:jc w:val="center"/>
                    <w:rPr>
                      <w:color w:val="auto"/>
                      <w:sz w:val="21"/>
                      <w:szCs w:val="21"/>
                      <w:highlight w:val="none"/>
                    </w:rPr>
                  </w:pPr>
                </w:p>
              </w:tc>
              <w:tc>
                <w:tcPr>
                  <w:tcW w:w="1318" w:type="dxa"/>
                  <w:vMerge w:val="continue"/>
                  <w:vAlign w:val="center"/>
                </w:tcPr>
                <w:p>
                  <w:pPr>
                    <w:snapToGrid w:val="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12" w:type="dxa"/>
                  <w:vAlign w:val="center"/>
                </w:tcPr>
                <w:p>
                  <w:pPr>
                    <w:adjustRightInd w:val="0"/>
                    <w:snapToGrid w:val="0"/>
                    <w:jc w:val="center"/>
                    <w:rPr>
                      <w:color w:val="auto"/>
                      <w:sz w:val="21"/>
                      <w:szCs w:val="21"/>
                      <w:highlight w:val="none"/>
                    </w:rPr>
                  </w:pPr>
                  <w:r>
                    <w:rPr>
                      <w:rFonts w:hint="eastAsia"/>
                      <w:color w:val="auto"/>
                      <w:sz w:val="21"/>
                      <w:szCs w:val="21"/>
                      <w:highlight w:val="none"/>
                    </w:rPr>
                    <w:t>废气</w:t>
                  </w:r>
                </w:p>
              </w:tc>
              <w:tc>
                <w:tcPr>
                  <w:tcW w:w="1404" w:type="dxa"/>
                  <w:vAlign w:val="center"/>
                </w:tcPr>
                <w:p>
                  <w:pPr>
                    <w:spacing w:line="280" w:lineRule="exact"/>
                    <w:jc w:val="center"/>
                    <w:rPr>
                      <w:color w:val="auto"/>
                      <w:sz w:val="21"/>
                      <w:szCs w:val="21"/>
                      <w:highlight w:val="none"/>
                    </w:rPr>
                  </w:pPr>
                  <w:r>
                    <w:rPr>
                      <w:rFonts w:hint="eastAsia"/>
                      <w:color w:val="auto"/>
                      <w:sz w:val="21"/>
                      <w:szCs w:val="21"/>
                      <w:highlight w:val="none"/>
                    </w:rPr>
                    <w:t>VOCs</w:t>
                  </w:r>
                </w:p>
              </w:tc>
              <w:tc>
                <w:tcPr>
                  <w:tcW w:w="3265" w:type="dxa"/>
                  <w:vAlign w:val="center"/>
                </w:tcPr>
                <w:p>
                  <w:pPr>
                    <w:adjustRightInd w:val="0"/>
                    <w:snapToGrid w:val="0"/>
                    <w:jc w:val="center"/>
                    <w:rPr>
                      <w:color w:val="auto"/>
                      <w:sz w:val="21"/>
                      <w:szCs w:val="21"/>
                      <w:highlight w:val="none"/>
                    </w:rPr>
                  </w:pPr>
                  <w:r>
                    <w:rPr>
                      <w:rFonts w:hint="eastAsia"/>
                      <w:color w:val="auto"/>
                      <w:sz w:val="21"/>
                      <w:szCs w:val="21"/>
                      <w:highlight w:val="none"/>
                    </w:rPr>
                    <w:t>集气罩+UV光催化+活性炭</w:t>
                  </w:r>
                </w:p>
              </w:tc>
              <w:tc>
                <w:tcPr>
                  <w:tcW w:w="1593" w:type="dxa"/>
                  <w:vMerge w:val="continue"/>
                  <w:vAlign w:val="center"/>
                </w:tcPr>
                <w:p>
                  <w:pPr>
                    <w:snapToGrid w:val="0"/>
                    <w:jc w:val="center"/>
                    <w:rPr>
                      <w:color w:val="auto"/>
                      <w:sz w:val="21"/>
                      <w:szCs w:val="21"/>
                      <w:highlight w:val="none"/>
                    </w:rPr>
                  </w:pPr>
                </w:p>
              </w:tc>
              <w:tc>
                <w:tcPr>
                  <w:tcW w:w="1318" w:type="dxa"/>
                  <w:vMerge w:val="continue"/>
                  <w:vAlign w:val="center"/>
                </w:tcPr>
                <w:p>
                  <w:pPr>
                    <w:snapToGrid w:val="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12" w:type="dxa"/>
                  <w:vAlign w:val="center"/>
                </w:tcPr>
                <w:p>
                  <w:pPr>
                    <w:adjustRightInd w:val="0"/>
                    <w:snapToGrid w:val="0"/>
                    <w:jc w:val="center"/>
                    <w:rPr>
                      <w:color w:val="auto"/>
                      <w:sz w:val="21"/>
                      <w:szCs w:val="21"/>
                      <w:highlight w:val="none"/>
                    </w:rPr>
                  </w:pPr>
                  <w:r>
                    <w:rPr>
                      <w:color w:val="auto"/>
                      <w:sz w:val="21"/>
                      <w:szCs w:val="21"/>
                      <w:highlight w:val="none"/>
                    </w:rPr>
                    <w:t>噪声</w:t>
                  </w:r>
                </w:p>
              </w:tc>
              <w:tc>
                <w:tcPr>
                  <w:tcW w:w="1404" w:type="dxa"/>
                  <w:vAlign w:val="center"/>
                </w:tcPr>
                <w:p>
                  <w:pPr>
                    <w:snapToGrid w:val="0"/>
                    <w:jc w:val="center"/>
                    <w:rPr>
                      <w:color w:val="auto"/>
                      <w:sz w:val="21"/>
                      <w:szCs w:val="21"/>
                      <w:highlight w:val="none"/>
                    </w:rPr>
                  </w:pPr>
                  <w:r>
                    <w:rPr>
                      <w:color w:val="auto"/>
                      <w:sz w:val="21"/>
                      <w:szCs w:val="21"/>
                      <w:highlight w:val="none"/>
                    </w:rPr>
                    <w:t>设备噪声</w:t>
                  </w:r>
                </w:p>
              </w:tc>
              <w:tc>
                <w:tcPr>
                  <w:tcW w:w="3265" w:type="dxa"/>
                  <w:vAlign w:val="center"/>
                </w:tcPr>
                <w:p>
                  <w:pPr>
                    <w:snapToGrid w:val="0"/>
                    <w:jc w:val="center"/>
                    <w:rPr>
                      <w:color w:val="auto"/>
                      <w:sz w:val="21"/>
                      <w:szCs w:val="21"/>
                      <w:highlight w:val="none"/>
                    </w:rPr>
                  </w:pPr>
                  <w:r>
                    <w:rPr>
                      <w:bCs/>
                      <w:color w:val="auto"/>
                      <w:sz w:val="21"/>
                      <w:szCs w:val="21"/>
                      <w:highlight w:val="none"/>
                    </w:rPr>
                    <w:t>隔声、减振</w:t>
                  </w:r>
                </w:p>
              </w:tc>
              <w:tc>
                <w:tcPr>
                  <w:tcW w:w="1593" w:type="dxa"/>
                  <w:vMerge w:val="continue"/>
                  <w:vAlign w:val="center"/>
                </w:tcPr>
                <w:p>
                  <w:pPr>
                    <w:snapToGrid w:val="0"/>
                    <w:jc w:val="center"/>
                    <w:rPr>
                      <w:color w:val="auto"/>
                      <w:sz w:val="21"/>
                      <w:szCs w:val="21"/>
                      <w:highlight w:val="none"/>
                    </w:rPr>
                  </w:pPr>
                </w:p>
              </w:tc>
              <w:tc>
                <w:tcPr>
                  <w:tcW w:w="1318" w:type="dxa"/>
                  <w:vMerge w:val="continue"/>
                  <w:vAlign w:val="center"/>
                </w:tcPr>
                <w:p>
                  <w:pPr>
                    <w:snapToGrid w:val="0"/>
                    <w:jc w:val="center"/>
                    <w:rPr>
                      <w:color w:val="auto"/>
                      <w:sz w:val="21"/>
                      <w:szCs w:val="21"/>
                      <w:highlight w:val="none"/>
                    </w:rPr>
                  </w:pPr>
                </w:p>
              </w:tc>
            </w:tr>
          </w:tbl>
          <w:p>
            <w:pPr>
              <w:snapToGrid w:val="0"/>
              <w:ind w:firstLine="480" w:firstLineChars="200"/>
              <w:rPr>
                <w:color w:val="auto"/>
                <w:sz w:val="24"/>
                <w:szCs w:val="20"/>
                <w:highlight w:val="none"/>
              </w:rPr>
            </w:pPr>
          </w:p>
          <w:p>
            <w:pPr>
              <w:snapToGrid w:val="0"/>
              <w:spacing w:line="360" w:lineRule="auto"/>
              <w:ind w:firstLine="480" w:firstLineChars="200"/>
              <w:rPr>
                <w:rFonts w:eastAsia="黑体"/>
                <w:bCs/>
                <w:color w:val="auto"/>
                <w:sz w:val="24"/>
                <w:highlight w:val="none"/>
              </w:rPr>
            </w:pPr>
            <w:r>
              <w:rPr>
                <w:rFonts w:hint="eastAsia" w:eastAsia="黑体"/>
                <w:bCs/>
                <w:color w:val="auto"/>
                <w:sz w:val="24"/>
                <w:highlight w:val="none"/>
              </w:rPr>
              <w:t>8.2.3</w:t>
            </w:r>
            <w:r>
              <w:rPr>
                <w:rFonts w:eastAsia="黑体"/>
                <w:bCs/>
                <w:color w:val="auto"/>
                <w:sz w:val="24"/>
                <w:highlight w:val="none"/>
              </w:rPr>
              <w:t>社会公开信息内容</w:t>
            </w:r>
          </w:p>
          <w:p>
            <w:pPr>
              <w:adjustRightInd w:val="0"/>
              <w:snapToGrid w:val="0"/>
              <w:spacing w:line="360" w:lineRule="auto"/>
              <w:ind w:firstLine="480" w:firstLineChars="200"/>
              <w:jc w:val="left"/>
              <w:rPr>
                <w:color w:val="auto"/>
                <w:sz w:val="24"/>
                <w:szCs w:val="20"/>
                <w:highlight w:val="none"/>
              </w:rPr>
            </w:pPr>
            <w:r>
              <w:rPr>
                <w:color w:val="auto"/>
                <w:sz w:val="24"/>
                <w:szCs w:val="20"/>
                <w:highlight w:val="none"/>
              </w:rPr>
              <w:t>根据《企业事业单位环境信息公开办法》（环保部令第31号）的相关要求，企业事业单位应当建立健全本单位环境信息公开制度，指定机构负责本单位环境信息公开日常工作。</w:t>
            </w:r>
          </w:p>
          <w:p>
            <w:pPr>
              <w:adjustRightInd w:val="0"/>
              <w:snapToGrid w:val="0"/>
              <w:spacing w:line="360" w:lineRule="auto"/>
              <w:ind w:firstLine="480" w:firstLineChars="200"/>
              <w:jc w:val="left"/>
              <w:rPr>
                <w:color w:val="auto"/>
                <w:sz w:val="24"/>
                <w:szCs w:val="20"/>
                <w:highlight w:val="none"/>
              </w:rPr>
            </w:pPr>
            <w:r>
              <w:rPr>
                <w:color w:val="auto"/>
                <w:sz w:val="24"/>
                <w:szCs w:val="20"/>
                <w:highlight w:val="none"/>
              </w:rPr>
              <w:t>①环境信息公开方式</w:t>
            </w:r>
          </w:p>
          <w:p>
            <w:pPr>
              <w:adjustRightInd w:val="0"/>
              <w:snapToGrid w:val="0"/>
              <w:spacing w:line="360" w:lineRule="auto"/>
              <w:ind w:firstLine="480" w:firstLineChars="200"/>
              <w:jc w:val="left"/>
              <w:rPr>
                <w:color w:val="auto"/>
                <w:sz w:val="24"/>
                <w:szCs w:val="20"/>
                <w:highlight w:val="none"/>
              </w:rPr>
            </w:pPr>
            <w:r>
              <w:rPr>
                <w:color w:val="auto"/>
                <w:sz w:val="24"/>
                <w:szCs w:val="20"/>
                <w:highlight w:val="none"/>
              </w:rPr>
              <w:t>建设单位可通过采取以下一种或者几种方式予以公开：</w:t>
            </w:r>
          </w:p>
          <w:p>
            <w:pPr>
              <w:adjustRightInd w:val="0"/>
              <w:snapToGrid w:val="0"/>
              <w:spacing w:line="360" w:lineRule="auto"/>
              <w:ind w:firstLine="480" w:firstLineChars="200"/>
              <w:jc w:val="left"/>
              <w:rPr>
                <w:color w:val="auto"/>
                <w:sz w:val="24"/>
                <w:szCs w:val="20"/>
                <w:highlight w:val="none"/>
              </w:rPr>
            </w:pPr>
            <w:r>
              <w:rPr>
                <w:color w:val="auto"/>
                <w:sz w:val="24"/>
                <w:szCs w:val="20"/>
                <w:highlight w:val="none"/>
              </w:rPr>
              <w:t>a 公告或者公开发行的信息专刊；</w:t>
            </w:r>
          </w:p>
          <w:p>
            <w:pPr>
              <w:adjustRightInd w:val="0"/>
              <w:snapToGrid w:val="0"/>
              <w:spacing w:line="360" w:lineRule="auto"/>
              <w:ind w:firstLine="480" w:firstLineChars="200"/>
              <w:jc w:val="left"/>
              <w:rPr>
                <w:color w:val="auto"/>
                <w:sz w:val="24"/>
                <w:szCs w:val="20"/>
                <w:highlight w:val="none"/>
              </w:rPr>
            </w:pPr>
            <w:r>
              <w:rPr>
                <w:color w:val="auto"/>
                <w:sz w:val="24"/>
                <w:szCs w:val="20"/>
                <w:highlight w:val="none"/>
              </w:rPr>
              <w:t>b 广播、电视、网站等新闻媒体；</w:t>
            </w:r>
          </w:p>
          <w:p>
            <w:pPr>
              <w:adjustRightInd w:val="0"/>
              <w:snapToGrid w:val="0"/>
              <w:spacing w:line="360" w:lineRule="auto"/>
              <w:ind w:firstLine="480" w:firstLineChars="200"/>
              <w:jc w:val="left"/>
              <w:rPr>
                <w:color w:val="auto"/>
                <w:sz w:val="24"/>
                <w:szCs w:val="20"/>
                <w:highlight w:val="none"/>
              </w:rPr>
            </w:pPr>
            <w:r>
              <w:rPr>
                <w:color w:val="auto"/>
                <w:sz w:val="24"/>
                <w:szCs w:val="20"/>
                <w:highlight w:val="none"/>
              </w:rPr>
              <w:t>c 信息公开服务、监督热线电话；</w:t>
            </w:r>
          </w:p>
          <w:p>
            <w:pPr>
              <w:adjustRightInd w:val="0"/>
              <w:snapToGrid w:val="0"/>
              <w:spacing w:line="360" w:lineRule="auto"/>
              <w:ind w:firstLine="480" w:firstLineChars="200"/>
              <w:jc w:val="left"/>
              <w:rPr>
                <w:color w:val="auto"/>
                <w:sz w:val="24"/>
                <w:szCs w:val="20"/>
                <w:highlight w:val="none"/>
              </w:rPr>
            </w:pPr>
            <w:r>
              <w:rPr>
                <w:color w:val="auto"/>
                <w:sz w:val="24"/>
                <w:szCs w:val="20"/>
                <w:highlight w:val="none"/>
              </w:rPr>
              <w:t>d 单位的资料索取点、信息公开栏、信息亭、电子屏幕、电子触摸屏等场所或者设施；</w:t>
            </w:r>
          </w:p>
          <w:p>
            <w:pPr>
              <w:adjustRightInd w:val="0"/>
              <w:snapToGrid w:val="0"/>
              <w:spacing w:line="360" w:lineRule="auto"/>
              <w:ind w:firstLine="480" w:firstLineChars="200"/>
              <w:jc w:val="left"/>
              <w:rPr>
                <w:color w:val="auto"/>
                <w:sz w:val="24"/>
                <w:szCs w:val="20"/>
                <w:highlight w:val="none"/>
              </w:rPr>
            </w:pPr>
            <w:r>
              <w:rPr>
                <w:color w:val="auto"/>
                <w:sz w:val="24"/>
                <w:szCs w:val="20"/>
                <w:highlight w:val="none"/>
              </w:rPr>
              <w:t>e 其他便于公众及时、准确获得信息的方式。</w:t>
            </w:r>
          </w:p>
          <w:p>
            <w:pPr>
              <w:adjustRightInd w:val="0"/>
              <w:snapToGrid w:val="0"/>
              <w:spacing w:line="360" w:lineRule="auto"/>
              <w:ind w:firstLine="480" w:firstLineChars="200"/>
              <w:jc w:val="left"/>
              <w:rPr>
                <w:color w:val="auto"/>
                <w:sz w:val="24"/>
                <w:szCs w:val="20"/>
                <w:highlight w:val="none"/>
              </w:rPr>
            </w:pPr>
            <w:r>
              <w:rPr>
                <w:color w:val="auto"/>
                <w:sz w:val="24"/>
                <w:szCs w:val="20"/>
                <w:highlight w:val="none"/>
              </w:rPr>
              <w:t>②环境信息公开内容</w:t>
            </w:r>
          </w:p>
          <w:p>
            <w:pPr>
              <w:adjustRightInd w:val="0"/>
              <w:snapToGrid w:val="0"/>
              <w:spacing w:line="360" w:lineRule="auto"/>
              <w:ind w:firstLine="480" w:firstLineChars="200"/>
              <w:jc w:val="left"/>
              <w:rPr>
                <w:color w:val="auto"/>
                <w:sz w:val="24"/>
                <w:szCs w:val="20"/>
                <w:highlight w:val="none"/>
              </w:rPr>
            </w:pPr>
            <w:r>
              <w:rPr>
                <w:color w:val="auto"/>
                <w:sz w:val="24"/>
                <w:szCs w:val="20"/>
                <w:highlight w:val="none"/>
              </w:rPr>
              <w:t>a 基础信息，包括单位名称、组织机构代码、法定代表人、生产地址、联系方式，以及生产经营和管理服务的主要内容、产品及规模；</w:t>
            </w:r>
          </w:p>
          <w:p>
            <w:pPr>
              <w:adjustRightInd w:val="0"/>
              <w:snapToGrid w:val="0"/>
              <w:spacing w:line="360" w:lineRule="auto"/>
              <w:ind w:firstLine="480" w:firstLineChars="200"/>
              <w:jc w:val="left"/>
              <w:rPr>
                <w:color w:val="auto"/>
                <w:sz w:val="24"/>
                <w:szCs w:val="20"/>
                <w:highlight w:val="none"/>
              </w:rPr>
            </w:pPr>
            <w:r>
              <w:rPr>
                <w:color w:val="auto"/>
                <w:sz w:val="24"/>
                <w:szCs w:val="20"/>
                <w:highlight w:val="none"/>
              </w:rPr>
              <w:t>b 排污信息，包括主要污染物及特征污染物的名称、排放方式、排放口数量和分布情况、排放浓度和总量、超标情况，以及执行的污染物排放标准、核定的排放总量；</w:t>
            </w:r>
          </w:p>
          <w:p>
            <w:pPr>
              <w:adjustRightInd w:val="0"/>
              <w:snapToGrid w:val="0"/>
              <w:spacing w:line="360" w:lineRule="auto"/>
              <w:ind w:firstLine="480" w:firstLineChars="200"/>
              <w:jc w:val="left"/>
              <w:rPr>
                <w:color w:val="auto"/>
                <w:sz w:val="24"/>
                <w:szCs w:val="20"/>
                <w:highlight w:val="none"/>
              </w:rPr>
            </w:pPr>
            <w:r>
              <w:rPr>
                <w:color w:val="auto"/>
                <w:sz w:val="24"/>
                <w:szCs w:val="20"/>
                <w:highlight w:val="none"/>
              </w:rPr>
              <w:t>c 防治污染设施的建设和运行情况；</w:t>
            </w:r>
          </w:p>
          <w:p>
            <w:pPr>
              <w:adjustRightInd w:val="0"/>
              <w:snapToGrid w:val="0"/>
              <w:spacing w:line="360" w:lineRule="auto"/>
              <w:ind w:firstLine="480" w:firstLineChars="200"/>
              <w:jc w:val="left"/>
              <w:rPr>
                <w:color w:val="auto"/>
                <w:sz w:val="24"/>
                <w:szCs w:val="20"/>
                <w:highlight w:val="none"/>
              </w:rPr>
            </w:pPr>
            <w:r>
              <w:rPr>
                <w:color w:val="auto"/>
                <w:sz w:val="24"/>
                <w:szCs w:val="20"/>
                <w:highlight w:val="none"/>
              </w:rPr>
              <w:t>d 建设项目环境影响评价及其他环境保护行政许可情况；</w:t>
            </w:r>
          </w:p>
          <w:p>
            <w:pPr>
              <w:adjustRightInd w:val="0"/>
              <w:snapToGrid w:val="0"/>
              <w:spacing w:line="360" w:lineRule="auto"/>
              <w:ind w:firstLine="480" w:firstLineChars="200"/>
              <w:jc w:val="left"/>
              <w:rPr>
                <w:color w:val="auto"/>
                <w:sz w:val="24"/>
                <w:szCs w:val="20"/>
                <w:highlight w:val="none"/>
              </w:rPr>
            </w:pPr>
            <w:r>
              <w:rPr>
                <w:color w:val="auto"/>
                <w:sz w:val="24"/>
                <w:szCs w:val="20"/>
                <w:highlight w:val="none"/>
              </w:rPr>
              <w:t>e 其他应当公开的环境信息。</w:t>
            </w:r>
          </w:p>
          <w:p>
            <w:pPr>
              <w:spacing w:line="360" w:lineRule="auto"/>
              <w:ind w:firstLine="480" w:firstLineChars="200"/>
              <w:rPr>
                <w:rFonts w:eastAsia="黑体"/>
                <w:color w:val="auto"/>
                <w:sz w:val="24"/>
                <w:szCs w:val="20"/>
                <w:highlight w:val="none"/>
              </w:rPr>
            </w:pPr>
            <w:r>
              <w:rPr>
                <w:rFonts w:eastAsia="黑体"/>
                <w:color w:val="auto"/>
                <w:sz w:val="24"/>
                <w:szCs w:val="20"/>
                <w:highlight w:val="none"/>
              </w:rPr>
              <w:t>8.2.3环境监测计划</w:t>
            </w:r>
          </w:p>
          <w:p>
            <w:pPr>
              <w:spacing w:line="460" w:lineRule="exact"/>
              <w:ind w:firstLine="480" w:firstLineChars="200"/>
              <w:rPr>
                <w:color w:val="auto"/>
                <w:sz w:val="24"/>
                <w:szCs w:val="20"/>
                <w:highlight w:val="none"/>
              </w:rPr>
            </w:pPr>
            <w:r>
              <w:rPr>
                <w:rFonts w:hint="eastAsia"/>
                <w:color w:val="auto"/>
                <w:sz w:val="24"/>
                <w:szCs w:val="20"/>
                <w:highlight w:val="none"/>
              </w:rPr>
              <w:t>项目建成后的</w:t>
            </w:r>
            <w:r>
              <w:rPr>
                <w:color w:val="auto"/>
                <w:sz w:val="24"/>
                <w:szCs w:val="20"/>
                <w:highlight w:val="none"/>
              </w:rPr>
              <w:t>监测计划应包括两部分：一</w:t>
            </w:r>
            <w:r>
              <w:rPr>
                <w:rFonts w:hint="eastAsia"/>
                <w:color w:val="auto"/>
                <w:sz w:val="24"/>
                <w:szCs w:val="20"/>
                <w:highlight w:val="none"/>
              </w:rPr>
              <w:t>是</w:t>
            </w:r>
            <w:r>
              <w:rPr>
                <w:color w:val="auto"/>
                <w:sz w:val="24"/>
                <w:szCs w:val="20"/>
                <w:highlight w:val="none"/>
              </w:rPr>
              <w:t>验收监测，二</w:t>
            </w:r>
            <w:r>
              <w:rPr>
                <w:rFonts w:hint="eastAsia"/>
                <w:color w:val="auto"/>
                <w:sz w:val="24"/>
                <w:szCs w:val="20"/>
                <w:highlight w:val="none"/>
              </w:rPr>
              <w:t>是</w:t>
            </w:r>
            <w:r>
              <w:rPr>
                <w:color w:val="auto"/>
                <w:sz w:val="24"/>
                <w:szCs w:val="20"/>
                <w:highlight w:val="none"/>
              </w:rPr>
              <w:t>运营期的</w:t>
            </w:r>
            <w:r>
              <w:rPr>
                <w:rFonts w:hint="eastAsia"/>
                <w:color w:val="auto"/>
                <w:sz w:val="24"/>
                <w:szCs w:val="20"/>
                <w:highlight w:val="none"/>
              </w:rPr>
              <w:t>污染源</w:t>
            </w:r>
            <w:r>
              <w:rPr>
                <w:color w:val="auto"/>
                <w:sz w:val="24"/>
                <w:szCs w:val="20"/>
                <w:highlight w:val="none"/>
              </w:rPr>
              <w:t>监测。</w:t>
            </w:r>
          </w:p>
          <w:p>
            <w:pPr>
              <w:spacing w:line="360" w:lineRule="auto"/>
              <w:ind w:firstLine="480" w:firstLineChars="200"/>
              <w:rPr>
                <w:color w:val="auto"/>
                <w:sz w:val="24"/>
                <w:szCs w:val="20"/>
                <w:highlight w:val="none"/>
              </w:rPr>
            </w:pPr>
            <w:r>
              <w:rPr>
                <w:rFonts w:hint="eastAsia"/>
                <w:color w:val="auto"/>
                <w:sz w:val="24"/>
                <w:highlight w:val="none"/>
              </w:rPr>
              <w:t>1、</w:t>
            </w:r>
            <w:r>
              <w:rPr>
                <w:color w:val="auto"/>
                <w:sz w:val="24"/>
                <w:szCs w:val="20"/>
                <w:highlight w:val="none"/>
              </w:rPr>
              <w:t>验收监测：</w:t>
            </w:r>
            <w:r>
              <w:rPr>
                <w:rFonts w:hint="eastAsia"/>
                <w:color w:val="auto"/>
                <w:sz w:val="24"/>
                <w:szCs w:val="20"/>
                <w:highlight w:val="none"/>
              </w:rPr>
              <w:t>根据《排污单位自行监测技术指南 总则》（HJ819-2017），</w:t>
            </w:r>
            <w:r>
              <w:rPr>
                <w:color w:val="auto"/>
                <w:sz w:val="24"/>
                <w:szCs w:val="20"/>
                <w:highlight w:val="none"/>
              </w:rPr>
              <w:t>本项目环保设施投入试生产后3个月内，企业应及时和环保行政主管部门联系，</w:t>
            </w:r>
            <w:r>
              <w:rPr>
                <w:rFonts w:hint="eastAsia"/>
                <w:color w:val="auto"/>
                <w:sz w:val="24"/>
                <w:szCs w:val="20"/>
                <w:highlight w:val="none"/>
              </w:rPr>
              <w:t>应按照最新的监测方案开展监测活动，可根据自身条件和能力，利用自有人员、场所和设备自行监测；也可委托其它有资质的检（监）测机构代其开展自行监测。</w:t>
            </w:r>
          </w:p>
          <w:p>
            <w:pPr>
              <w:spacing w:line="360" w:lineRule="auto"/>
              <w:ind w:firstLine="480" w:firstLineChars="200"/>
              <w:rPr>
                <w:color w:val="auto"/>
                <w:sz w:val="24"/>
                <w:szCs w:val="20"/>
                <w:highlight w:val="none"/>
              </w:rPr>
            </w:pPr>
            <w:r>
              <w:rPr>
                <w:rFonts w:hint="eastAsia"/>
                <w:color w:val="auto"/>
                <w:sz w:val="24"/>
                <w:highlight w:val="none"/>
              </w:rPr>
              <w:t>2、</w:t>
            </w:r>
            <w:r>
              <w:rPr>
                <w:rFonts w:hint="eastAsia"/>
                <w:color w:val="auto"/>
                <w:sz w:val="24"/>
                <w:szCs w:val="20"/>
                <w:highlight w:val="none"/>
              </w:rPr>
              <w:t>运营期</w:t>
            </w:r>
            <w:r>
              <w:rPr>
                <w:color w:val="auto"/>
                <w:sz w:val="24"/>
                <w:szCs w:val="20"/>
                <w:highlight w:val="none"/>
              </w:rPr>
              <w:t>的</w:t>
            </w:r>
            <w:r>
              <w:rPr>
                <w:rFonts w:hint="eastAsia"/>
                <w:color w:val="auto"/>
                <w:sz w:val="24"/>
                <w:szCs w:val="20"/>
                <w:highlight w:val="none"/>
              </w:rPr>
              <w:t>污染源</w:t>
            </w:r>
            <w:r>
              <w:rPr>
                <w:color w:val="auto"/>
                <w:sz w:val="24"/>
                <w:szCs w:val="20"/>
                <w:highlight w:val="none"/>
              </w:rPr>
              <w:t>监测：主要是对项目建成运营后</w:t>
            </w:r>
            <w:r>
              <w:rPr>
                <w:rFonts w:hint="eastAsia"/>
                <w:color w:val="auto"/>
                <w:sz w:val="24"/>
                <w:szCs w:val="20"/>
                <w:highlight w:val="none"/>
              </w:rPr>
              <w:t>各</w:t>
            </w:r>
            <w:r>
              <w:rPr>
                <w:color w:val="auto"/>
                <w:sz w:val="24"/>
                <w:szCs w:val="20"/>
                <w:highlight w:val="none"/>
              </w:rPr>
              <w:t>污染源的</w:t>
            </w:r>
            <w:r>
              <w:rPr>
                <w:rFonts w:hint="eastAsia"/>
                <w:color w:val="auto"/>
                <w:sz w:val="24"/>
                <w:szCs w:val="20"/>
                <w:highlight w:val="none"/>
              </w:rPr>
              <w:t>排放</w:t>
            </w:r>
            <w:r>
              <w:rPr>
                <w:color w:val="auto"/>
                <w:sz w:val="24"/>
                <w:szCs w:val="20"/>
                <w:highlight w:val="none"/>
              </w:rPr>
              <w:t>监测。各环保设施运行情况应进行定期监测。监测计划如下：</w:t>
            </w:r>
          </w:p>
          <w:p>
            <w:pPr>
              <w:spacing w:line="360" w:lineRule="auto"/>
              <w:ind w:firstLine="480" w:firstLineChars="200"/>
              <w:rPr>
                <w:color w:val="auto"/>
                <w:sz w:val="24"/>
                <w:szCs w:val="20"/>
                <w:highlight w:val="none"/>
              </w:rPr>
            </w:pPr>
            <w:r>
              <w:rPr>
                <w:rFonts w:hint="eastAsia"/>
                <w:color w:val="auto"/>
                <w:sz w:val="24"/>
                <w:szCs w:val="20"/>
                <w:highlight w:val="none"/>
              </w:rPr>
              <w:t>a、</w:t>
            </w:r>
            <w:r>
              <w:rPr>
                <w:color w:val="auto"/>
                <w:sz w:val="24"/>
                <w:szCs w:val="20"/>
                <w:highlight w:val="none"/>
              </w:rPr>
              <w:t>在所有环保设备经过试</w:t>
            </w:r>
            <w:r>
              <w:rPr>
                <w:rFonts w:hint="eastAsia"/>
                <w:color w:val="auto"/>
                <w:sz w:val="24"/>
                <w:szCs w:val="20"/>
                <w:highlight w:val="none"/>
              </w:rPr>
              <w:t>运行</w:t>
            </w:r>
            <w:r>
              <w:rPr>
                <w:color w:val="auto"/>
                <w:sz w:val="24"/>
                <w:szCs w:val="20"/>
                <w:highlight w:val="none"/>
              </w:rPr>
              <w:t>，并经检验合格后，方可正式运行。</w:t>
            </w:r>
          </w:p>
          <w:p>
            <w:pPr>
              <w:spacing w:line="360" w:lineRule="auto"/>
              <w:ind w:firstLine="480" w:firstLineChars="200"/>
              <w:rPr>
                <w:color w:val="auto"/>
                <w:sz w:val="24"/>
                <w:szCs w:val="20"/>
                <w:highlight w:val="none"/>
              </w:rPr>
            </w:pPr>
            <w:r>
              <w:rPr>
                <w:rFonts w:hint="eastAsia"/>
                <w:color w:val="auto"/>
                <w:sz w:val="24"/>
                <w:szCs w:val="20"/>
                <w:highlight w:val="none"/>
              </w:rPr>
              <w:t>b、</w:t>
            </w:r>
            <w:r>
              <w:rPr>
                <w:color w:val="auto"/>
                <w:sz w:val="24"/>
                <w:szCs w:val="20"/>
                <w:highlight w:val="none"/>
              </w:rPr>
              <w:t>运行期的环保问题由</w:t>
            </w:r>
            <w:r>
              <w:rPr>
                <w:rFonts w:hint="eastAsia"/>
                <w:color w:val="auto"/>
                <w:sz w:val="24"/>
                <w:szCs w:val="20"/>
                <w:highlight w:val="none"/>
              </w:rPr>
              <w:t>建设单位</w:t>
            </w:r>
            <w:r>
              <w:rPr>
                <w:color w:val="auto"/>
                <w:sz w:val="24"/>
                <w:szCs w:val="20"/>
                <w:highlight w:val="none"/>
              </w:rPr>
              <w:t>负责。</w:t>
            </w:r>
          </w:p>
          <w:p>
            <w:pPr>
              <w:spacing w:line="360" w:lineRule="auto"/>
              <w:ind w:firstLine="480" w:firstLineChars="200"/>
              <w:rPr>
                <w:color w:val="auto"/>
                <w:sz w:val="24"/>
                <w:szCs w:val="20"/>
                <w:highlight w:val="none"/>
              </w:rPr>
            </w:pPr>
            <w:r>
              <w:rPr>
                <w:rFonts w:hint="eastAsia"/>
                <w:color w:val="auto"/>
                <w:sz w:val="24"/>
                <w:szCs w:val="20"/>
                <w:highlight w:val="none"/>
              </w:rPr>
              <w:t>c、建设单位</w:t>
            </w:r>
            <w:r>
              <w:rPr>
                <w:color w:val="auto"/>
                <w:sz w:val="24"/>
                <w:szCs w:val="20"/>
                <w:highlight w:val="none"/>
              </w:rPr>
              <w:t>必须保证所有环保设备的正常运行，并保证各类污染物达到国家的排放标准和当地环保部门的管理要求。</w:t>
            </w:r>
          </w:p>
          <w:p>
            <w:pPr>
              <w:snapToGrid w:val="0"/>
              <w:spacing w:line="360" w:lineRule="auto"/>
              <w:ind w:firstLine="480" w:firstLineChars="200"/>
              <w:rPr>
                <w:color w:val="auto"/>
                <w:sz w:val="24"/>
                <w:highlight w:val="none"/>
              </w:rPr>
            </w:pPr>
            <w:r>
              <w:rPr>
                <w:rFonts w:hint="eastAsia"/>
                <w:color w:val="auto"/>
                <w:sz w:val="24"/>
                <w:szCs w:val="20"/>
                <w:highlight w:val="none"/>
              </w:rPr>
              <w:t>d、</w:t>
            </w:r>
            <w:r>
              <w:rPr>
                <w:color w:val="auto"/>
                <w:sz w:val="24"/>
                <w:szCs w:val="20"/>
                <w:highlight w:val="none"/>
              </w:rPr>
              <w:t>对全部设施正常运转的情况下，最大的污染物排放量废水、废气、噪声设备向当地环保机构进行申报登记，交纳规费，领取排污许可证，并进行每年一次的年审。</w:t>
            </w:r>
          </w:p>
          <w:p>
            <w:pPr>
              <w:snapToGrid w:val="0"/>
              <w:spacing w:line="360" w:lineRule="auto"/>
              <w:ind w:firstLine="480" w:firstLineChars="200"/>
              <w:rPr>
                <w:color w:val="auto"/>
                <w:sz w:val="24"/>
                <w:highlight w:val="none"/>
              </w:rPr>
            </w:pPr>
            <w:r>
              <w:rPr>
                <w:rFonts w:hint="eastAsia"/>
                <w:color w:val="auto"/>
                <w:sz w:val="24"/>
                <w:highlight w:val="none"/>
              </w:rPr>
              <w:t>项目运营期污染源监测计划见表8-3。</w:t>
            </w:r>
          </w:p>
          <w:p>
            <w:pPr>
              <w:spacing w:line="480" w:lineRule="exact"/>
              <w:ind w:firstLine="480" w:firstLineChars="200"/>
              <w:jc w:val="center"/>
              <w:rPr>
                <w:rFonts w:ascii="黑体" w:hAnsi="黑体" w:eastAsia="黑体"/>
                <w:color w:val="auto"/>
                <w:sz w:val="24"/>
                <w:szCs w:val="20"/>
                <w:highlight w:val="none"/>
              </w:rPr>
            </w:pPr>
            <w:r>
              <w:rPr>
                <w:rFonts w:ascii="黑体" w:hAnsi="黑体" w:eastAsia="黑体"/>
                <w:color w:val="auto"/>
                <w:sz w:val="24"/>
                <w:szCs w:val="20"/>
                <w:highlight w:val="none"/>
              </w:rPr>
              <w:t>表</w:t>
            </w:r>
            <w:r>
              <w:rPr>
                <w:rFonts w:hint="eastAsia" w:ascii="黑体" w:hAnsi="黑体" w:eastAsia="黑体"/>
                <w:color w:val="auto"/>
                <w:sz w:val="24"/>
                <w:szCs w:val="20"/>
                <w:highlight w:val="none"/>
              </w:rPr>
              <w:t xml:space="preserve">8-3  </w:t>
            </w:r>
            <w:r>
              <w:rPr>
                <w:rFonts w:ascii="黑体" w:hAnsi="黑体" w:eastAsia="黑体"/>
                <w:color w:val="auto"/>
                <w:sz w:val="24"/>
                <w:szCs w:val="20"/>
                <w:highlight w:val="none"/>
              </w:rPr>
              <w:t xml:space="preserve">  营运期</w:t>
            </w:r>
            <w:r>
              <w:rPr>
                <w:rFonts w:hint="eastAsia" w:ascii="黑体" w:hAnsi="黑体" w:eastAsia="黑体"/>
                <w:color w:val="auto"/>
                <w:sz w:val="24"/>
                <w:szCs w:val="20"/>
                <w:highlight w:val="none"/>
              </w:rPr>
              <w:t>污染源</w:t>
            </w:r>
            <w:r>
              <w:rPr>
                <w:rFonts w:ascii="黑体" w:hAnsi="黑体" w:eastAsia="黑体"/>
                <w:color w:val="auto"/>
                <w:sz w:val="24"/>
                <w:szCs w:val="20"/>
                <w:highlight w:val="none"/>
              </w:rPr>
              <w:t>监测一览表</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894"/>
              <w:gridCol w:w="2268"/>
              <w:gridCol w:w="1735"/>
              <w:gridCol w:w="1134"/>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90" w:type="dxa"/>
                  <w:vAlign w:val="center"/>
                </w:tcPr>
                <w:p>
                  <w:pPr>
                    <w:widowControl/>
                    <w:spacing w:line="0" w:lineRule="atLeast"/>
                    <w:jc w:val="center"/>
                    <w:rPr>
                      <w:color w:val="auto"/>
                      <w:kern w:val="0"/>
                      <w:sz w:val="21"/>
                      <w:szCs w:val="21"/>
                      <w:highlight w:val="none"/>
                    </w:rPr>
                  </w:pPr>
                  <w:r>
                    <w:rPr>
                      <w:color w:val="auto"/>
                      <w:kern w:val="0"/>
                      <w:sz w:val="21"/>
                      <w:szCs w:val="21"/>
                      <w:highlight w:val="none"/>
                    </w:rPr>
                    <w:t>序号</w:t>
                  </w:r>
                </w:p>
              </w:tc>
              <w:tc>
                <w:tcPr>
                  <w:tcW w:w="894" w:type="dxa"/>
                  <w:vAlign w:val="center"/>
                </w:tcPr>
                <w:p>
                  <w:pPr>
                    <w:widowControl/>
                    <w:spacing w:line="0" w:lineRule="atLeast"/>
                    <w:jc w:val="center"/>
                    <w:rPr>
                      <w:color w:val="auto"/>
                      <w:kern w:val="0"/>
                      <w:sz w:val="21"/>
                      <w:szCs w:val="21"/>
                      <w:highlight w:val="none"/>
                    </w:rPr>
                  </w:pPr>
                  <w:r>
                    <w:rPr>
                      <w:color w:val="auto"/>
                      <w:kern w:val="0"/>
                      <w:sz w:val="21"/>
                      <w:szCs w:val="21"/>
                      <w:highlight w:val="none"/>
                    </w:rPr>
                    <w:t>类别</w:t>
                  </w:r>
                </w:p>
              </w:tc>
              <w:tc>
                <w:tcPr>
                  <w:tcW w:w="2268" w:type="dxa"/>
                  <w:vAlign w:val="center"/>
                </w:tcPr>
                <w:p>
                  <w:pPr>
                    <w:widowControl/>
                    <w:spacing w:line="0" w:lineRule="atLeast"/>
                    <w:jc w:val="center"/>
                    <w:rPr>
                      <w:color w:val="auto"/>
                      <w:kern w:val="0"/>
                      <w:sz w:val="21"/>
                      <w:szCs w:val="21"/>
                      <w:highlight w:val="none"/>
                    </w:rPr>
                  </w:pPr>
                  <w:r>
                    <w:rPr>
                      <w:color w:val="auto"/>
                      <w:kern w:val="0"/>
                      <w:sz w:val="21"/>
                      <w:szCs w:val="21"/>
                      <w:highlight w:val="none"/>
                    </w:rPr>
                    <w:t>监测点名称</w:t>
                  </w:r>
                </w:p>
              </w:tc>
              <w:tc>
                <w:tcPr>
                  <w:tcW w:w="1735" w:type="dxa"/>
                  <w:vAlign w:val="center"/>
                </w:tcPr>
                <w:p>
                  <w:pPr>
                    <w:widowControl/>
                    <w:spacing w:line="0" w:lineRule="atLeast"/>
                    <w:jc w:val="center"/>
                    <w:rPr>
                      <w:color w:val="auto"/>
                      <w:kern w:val="0"/>
                      <w:sz w:val="21"/>
                      <w:szCs w:val="21"/>
                      <w:highlight w:val="none"/>
                    </w:rPr>
                  </w:pPr>
                  <w:r>
                    <w:rPr>
                      <w:color w:val="auto"/>
                      <w:kern w:val="0"/>
                      <w:sz w:val="21"/>
                      <w:szCs w:val="21"/>
                      <w:highlight w:val="none"/>
                    </w:rPr>
                    <w:t>监测项目</w:t>
                  </w:r>
                </w:p>
              </w:tc>
              <w:tc>
                <w:tcPr>
                  <w:tcW w:w="1134" w:type="dxa"/>
                  <w:vAlign w:val="center"/>
                </w:tcPr>
                <w:p>
                  <w:pPr>
                    <w:widowControl/>
                    <w:spacing w:line="0" w:lineRule="atLeast"/>
                    <w:jc w:val="center"/>
                    <w:rPr>
                      <w:color w:val="auto"/>
                      <w:kern w:val="0"/>
                      <w:sz w:val="21"/>
                      <w:szCs w:val="21"/>
                      <w:highlight w:val="none"/>
                    </w:rPr>
                  </w:pPr>
                  <w:r>
                    <w:rPr>
                      <w:color w:val="auto"/>
                      <w:kern w:val="0"/>
                      <w:sz w:val="21"/>
                      <w:szCs w:val="21"/>
                      <w:highlight w:val="none"/>
                    </w:rPr>
                    <w:t>监测频率</w:t>
                  </w:r>
                </w:p>
              </w:tc>
              <w:tc>
                <w:tcPr>
                  <w:tcW w:w="1441" w:type="dxa"/>
                  <w:vAlign w:val="center"/>
                </w:tcPr>
                <w:p>
                  <w:pPr>
                    <w:adjustRightInd w:val="0"/>
                    <w:snapToGrid w:val="0"/>
                    <w:jc w:val="center"/>
                    <w:rPr>
                      <w:snapToGrid w:val="0"/>
                      <w:color w:val="auto"/>
                      <w:sz w:val="21"/>
                      <w:szCs w:val="21"/>
                      <w:highlight w:val="none"/>
                    </w:rPr>
                  </w:pPr>
                  <w:r>
                    <w:rPr>
                      <w:rFonts w:hint="eastAsia"/>
                      <w:snapToGrid w:val="0"/>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90" w:type="dxa"/>
                  <w:vAlign w:val="center"/>
                </w:tcPr>
                <w:p>
                  <w:pPr>
                    <w:widowControl/>
                    <w:spacing w:line="0" w:lineRule="atLeast"/>
                    <w:jc w:val="center"/>
                    <w:rPr>
                      <w:color w:val="auto"/>
                      <w:kern w:val="0"/>
                      <w:sz w:val="21"/>
                      <w:szCs w:val="21"/>
                      <w:highlight w:val="none"/>
                    </w:rPr>
                  </w:pPr>
                  <w:r>
                    <w:rPr>
                      <w:rFonts w:hint="eastAsia"/>
                      <w:color w:val="auto"/>
                      <w:kern w:val="0"/>
                      <w:sz w:val="21"/>
                      <w:szCs w:val="21"/>
                      <w:highlight w:val="none"/>
                    </w:rPr>
                    <w:t>1</w:t>
                  </w:r>
                </w:p>
              </w:tc>
              <w:tc>
                <w:tcPr>
                  <w:tcW w:w="894" w:type="dxa"/>
                  <w:vAlign w:val="center"/>
                </w:tcPr>
                <w:p>
                  <w:pPr>
                    <w:widowControl/>
                    <w:spacing w:line="0" w:lineRule="atLeast"/>
                    <w:jc w:val="center"/>
                    <w:rPr>
                      <w:color w:val="auto"/>
                      <w:kern w:val="0"/>
                      <w:sz w:val="21"/>
                      <w:szCs w:val="21"/>
                      <w:highlight w:val="none"/>
                    </w:rPr>
                  </w:pPr>
                  <w:r>
                    <w:rPr>
                      <w:color w:val="auto"/>
                      <w:kern w:val="0"/>
                      <w:sz w:val="21"/>
                      <w:szCs w:val="21"/>
                      <w:highlight w:val="none"/>
                    </w:rPr>
                    <w:t>厂界噪声</w:t>
                  </w:r>
                </w:p>
              </w:tc>
              <w:tc>
                <w:tcPr>
                  <w:tcW w:w="2268" w:type="dxa"/>
                  <w:vAlign w:val="center"/>
                </w:tcPr>
                <w:p>
                  <w:pPr>
                    <w:widowControl/>
                    <w:spacing w:line="0" w:lineRule="atLeast"/>
                    <w:jc w:val="center"/>
                    <w:rPr>
                      <w:color w:val="auto"/>
                      <w:kern w:val="0"/>
                      <w:sz w:val="21"/>
                      <w:szCs w:val="21"/>
                      <w:highlight w:val="none"/>
                    </w:rPr>
                  </w:pPr>
                  <w:r>
                    <w:rPr>
                      <w:color w:val="auto"/>
                      <w:kern w:val="0"/>
                      <w:sz w:val="21"/>
                      <w:szCs w:val="21"/>
                      <w:highlight w:val="none"/>
                    </w:rPr>
                    <w:t>厂界四周各1个监测点位</w:t>
                  </w:r>
                </w:p>
              </w:tc>
              <w:tc>
                <w:tcPr>
                  <w:tcW w:w="1735" w:type="dxa"/>
                  <w:vAlign w:val="center"/>
                </w:tcPr>
                <w:p>
                  <w:pPr>
                    <w:widowControl/>
                    <w:spacing w:line="0" w:lineRule="atLeast"/>
                    <w:jc w:val="center"/>
                    <w:rPr>
                      <w:color w:val="auto"/>
                      <w:sz w:val="21"/>
                      <w:szCs w:val="21"/>
                      <w:highlight w:val="none"/>
                    </w:rPr>
                  </w:pPr>
                  <w:r>
                    <w:rPr>
                      <w:color w:val="auto"/>
                      <w:sz w:val="21"/>
                      <w:szCs w:val="21"/>
                      <w:highlight w:val="none"/>
                    </w:rPr>
                    <w:t>等效声级Leq dB（A）</w:t>
                  </w:r>
                </w:p>
              </w:tc>
              <w:tc>
                <w:tcPr>
                  <w:tcW w:w="1134" w:type="dxa"/>
                  <w:vAlign w:val="center"/>
                </w:tcPr>
                <w:p>
                  <w:pPr>
                    <w:spacing w:line="0" w:lineRule="atLeast"/>
                    <w:jc w:val="center"/>
                    <w:rPr>
                      <w:color w:val="auto"/>
                      <w:sz w:val="21"/>
                      <w:szCs w:val="21"/>
                      <w:highlight w:val="none"/>
                    </w:rPr>
                  </w:pPr>
                  <w:r>
                    <w:rPr>
                      <w:rFonts w:hint="eastAsia"/>
                      <w:color w:val="auto"/>
                      <w:sz w:val="21"/>
                      <w:szCs w:val="21"/>
                      <w:highlight w:val="none"/>
                    </w:rPr>
                    <w:t>1</w:t>
                  </w:r>
                  <w:r>
                    <w:rPr>
                      <w:color w:val="auto"/>
                      <w:sz w:val="21"/>
                      <w:szCs w:val="21"/>
                      <w:highlight w:val="none"/>
                    </w:rPr>
                    <w:t>次/</w:t>
                  </w:r>
                  <w:r>
                    <w:rPr>
                      <w:rFonts w:hint="eastAsia"/>
                      <w:color w:val="auto"/>
                      <w:sz w:val="21"/>
                      <w:szCs w:val="21"/>
                      <w:highlight w:val="none"/>
                    </w:rPr>
                    <w:t>季</w:t>
                  </w:r>
                </w:p>
              </w:tc>
              <w:tc>
                <w:tcPr>
                  <w:tcW w:w="1441" w:type="dxa"/>
                  <w:vAlign w:val="center"/>
                </w:tcPr>
                <w:p>
                  <w:pPr>
                    <w:adjustRightInd w:val="0"/>
                    <w:snapToGrid w:val="0"/>
                    <w:jc w:val="center"/>
                    <w:rPr>
                      <w:snapToGrid w:val="0"/>
                      <w:color w:val="auto"/>
                      <w:sz w:val="21"/>
                      <w:szCs w:val="21"/>
                      <w:highlight w:val="none"/>
                    </w:rPr>
                  </w:pPr>
                  <w:r>
                    <w:rPr>
                      <w:rFonts w:hint="eastAsia"/>
                      <w:snapToGrid w:val="0"/>
                      <w:color w:val="auto"/>
                      <w:sz w:val="21"/>
                      <w:szCs w:val="21"/>
                      <w:highlight w:val="none"/>
                    </w:rPr>
                    <w:t>委托有资质的单位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90" w:type="dxa"/>
                  <w:vAlign w:val="center"/>
                </w:tcPr>
                <w:p>
                  <w:pPr>
                    <w:widowControl/>
                    <w:spacing w:line="0" w:lineRule="atLeast"/>
                    <w:jc w:val="center"/>
                    <w:rPr>
                      <w:color w:val="auto"/>
                      <w:kern w:val="0"/>
                      <w:sz w:val="21"/>
                      <w:szCs w:val="21"/>
                      <w:highlight w:val="none"/>
                    </w:rPr>
                  </w:pPr>
                  <w:r>
                    <w:rPr>
                      <w:rFonts w:hint="eastAsia"/>
                      <w:color w:val="auto"/>
                      <w:kern w:val="0"/>
                      <w:sz w:val="21"/>
                      <w:szCs w:val="21"/>
                      <w:highlight w:val="none"/>
                    </w:rPr>
                    <w:t>2</w:t>
                  </w:r>
                </w:p>
              </w:tc>
              <w:tc>
                <w:tcPr>
                  <w:tcW w:w="894" w:type="dxa"/>
                  <w:vMerge w:val="restart"/>
                  <w:vAlign w:val="center"/>
                </w:tcPr>
                <w:p>
                  <w:pPr>
                    <w:widowControl/>
                    <w:spacing w:line="0" w:lineRule="atLeast"/>
                    <w:jc w:val="center"/>
                    <w:rPr>
                      <w:color w:val="auto"/>
                      <w:kern w:val="0"/>
                      <w:sz w:val="21"/>
                      <w:szCs w:val="21"/>
                      <w:highlight w:val="none"/>
                    </w:rPr>
                  </w:pPr>
                  <w:r>
                    <w:rPr>
                      <w:rFonts w:hint="eastAsia"/>
                      <w:color w:val="auto"/>
                      <w:kern w:val="0"/>
                      <w:sz w:val="21"/>
                      <w:szCs w:val="21"/>
                      <w:highlight w:val="none"/>
                    </w:rPr>
                    <w:t>大气污染物</w:t>
                  </w:r>
                </w:p>
              </w:tc>
              <w:tc>
                <w:tcPr>
                  <w:tcW w:w="2268" w:type="dxa"/>
                  <w:vAlign w:val="center"/>
                </w:tcPr>
                <w:p>
                  <w:pPr>
                    <w:widowControl/>
                    <w:spacing w:line="0" w:lineRule="atLeast"/>
                    <w:jc w:val="center"/>
                    <w:rPr>
                      <w:color w:val="auto"/>
                      <w:kern w:val="0"/>
                      <w:sz w:val="21"/>
                      <w:szCs w:val="21"/>
                      <w:highlight w:val="none"/>
                    </w:rPr>
                  </w:pPr>
                  <w:r>
                    <w:rPr>
                      <w:rFonts w:hint="eastAsia"/>
                      <w:color w:val="auto"/>
                      <w:kern w:val="0"/>
                      <w:sz w:val="21"/>
                      <w:szCs w:val="21"/>
                      <w:highlight w:val="none"/>
                    </w:rPr>
                    <w:t>排气筒排放口</w:t>
                  </w:r>
                </w:p>
              </w:tc>
              <w:tc>
                <w:tcPr>
                  <w:tcW w:w="1735" w:type="dxa"/>
                  <w:vAlign w:val="center"/>
                </w:tcPr>
                <w:p>
                  <w:pPr>
                    <w:widowControl/>
                    <w:spacing w:line="0" w:lineRule="atLeast"/>
                    <w:jc w:val="center"/>
                    <w:rPr>
                      <w:color w:val="auto"/>
                      <w:sz w:val="21"/>
                      <w:szCs w:val="21"/>
                      <w:highlight w:val="none"/>
                    </w:rPr>
                  </w:pPr>
                  <w:r>
                    <w:rPr>
                      <w:rFonts w:hint="eastAsia"/>
                      <w:color w:val="auto"/>
                      <w:kern w:val="0"/>
                      <w:sz w:val="21"/>
                      <w:szCs w:val="21"/>
                      <w:highlight w:val="none"/>
                    </w:rPr>
                    <w:t>VOCs</w:t>
                  </w:r>
                </w:p>
              </w:tc>
              <w:tc>
                <w:tcPr>
                  <w:tcW w:w="1134" w:type="dxa"/>
                  <w:vAlign w:val="center"/>
                </w:tcPr>
                <w:p>
                  <w:pPr>
                    <w:spacing w:line="0" w:lineRule="atLeast"/>
                    <w:jc w:val="center"/>
                    <w:rPr>
                      <w:color w:val="auto"/>
                      <w:sz w:val="21"/>
                      <w:szCs w:val="21"/>
                      <w:highlight w:val="none"/>
                    </w:rPr>
                  </w:pPr>
                  <w:r>
                    <w:rPr>
                      <w:rFonts w:hint="eastAsia"/>
                      <w:color w:val="auto"/>
                      <w:sz w:val="21"/>
                      <w:szCs w:val="21"/>
                      <w:highlight w:val="none"/>
                    </w:rPr>
                    <w:t>1</w:t>
                  </w:r>
                  <w:r>
                    <w:rPr>
                      <w:color w:val="auto"/>
                      <w:sz w:val="21"/>
                      <w:szCs w:val="21"/>
                      <w:highlight w:val="none"/>
                    </w:rPr>
                    <w:t>次/</w:t>
                  </w:r>
                  <w:r>
                    <w:rPr>
                      <w:rFonts w:hint="eastAsia"/>
                      <w:color w:val="auto"/>
                      <w:sz w:val="21"/>
                      <w:szCs w:val="21"/>
                      <w:highlight w:val="none"/>
                    </w:rPr>
                    <w:t>年</w:t>
                  </w:r>
                </w:p>
              </w:tc>
              <w:tc>
                <w:tcPr>
                  <w:tcW w:w="1441" w:type="dxa"/>
                  <w:vAlign w:val="center"/>
                </w:tcPr>
                <w:p>
                  <w:pPr>
                    <w:adjustRightInd w:val="0"/>
                    <w:snapToGrid w:val="0"/>
                    <w:jc w:val="center"/>
                    <w:rPr>
                      <w:snapToGrid w:val="0"/>
                      <w:color w:val="auto"/>
                      <w:sz w:val="21"/>
                      <w:szCs w:val="21"/>
                      <w:highlight w:val="none"/>
                    </w:rPr>
                  </w:pPr>
                  <w:r>
                    <w:rPr>
                      <w:rFonts w:hint="eastAsia"/>
                      <w:snapToGrid w:val="0"/>
                      <w:color w:val="auto"/>
                      <w:sz w:val="21"/>
                      <w:szCs w:val="21"/>
                      <w:highlight w:val="none"/>
                    </w:rPr>
                    <w:t>委托有资质的单位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90" w:type="dxa"/>
                  <w:vAlign w:val="center"/>
                </w:tcPr>
                <w:p>
                  <w:pPr>
                    <w:widowControl/>
                    <w:spacing w:line="0" w:lineRule="atLeast"/>
                    <w:jc w:val="center"/>
                    <w:rPr>
                      <w:color w:val="auto"/>
                      <w:kern w:val="0"/>
                      <w:sz w:val="21"/>
                      <w:szCs w:val="21"/>
                      <w:highlight w:val="none"/>
                    </w:rPr>
                  </w:pPr>
                  <w:r>
                    <w:rPr>
                      <w:rFonts w:hint="eastAsia"/>
                      <w:color w:val="auto"/>
                      <w:kern w:val="0"/>
                      <w:sz w:val="21"/>
                      <w:szCs w:val="21"/>
                      <w:highlight w:val="none"/>
                    </w:rPr>
                    <w:t>3</w:t>
                  </w:r>
                </w:p>
              </w:tc>
              <w:tc>
                <w:tcPr>
                  <w:tcW w:w="894" w:type="dxa"/>
                  <w:vMerge w:val="continue"/>
                  <w:vAlign w:val="center"/>
                </w:tcPr>
                <w:p>
                  <w:pPr>
                    <w:widowControl/>
                    <w:spacing w:line="0" w:lineRule="atLeast"/>
                    <w:jc w:val="center"/>
                    <w:rPr>
                      <w:color w:val="auto"/>
                      <w:kern w:val="0"/>
                      <w:sz w:val="21"/>
                      <w:szCs w:val="21"/>
                      <w:highlight w:val="none"/>
                    </w:rPr>
                  </w:pPr>
                </w:p>
              </w:tc>
              <w:tc>
                <w:tcPr>
                  <w:tcW w:w="2268" w:type="dxa"/>
                  <w:vAlign w:val="center"/>
                </w:tcPr>
                <w:p>
                  <w:pPr>
                    <w:widowControl/>
                    <w:spacing w:line="0" w:lineRule="atLeast"/>
                    <w:jc w:val="center"/>
                    <w:rPr>
                      <w:color w:val="auto"/>
                      <w:kern w:val="0"/>
                      <w:sz w:val="21"/>
                      <w:szCs w:val="21"/>
                      <w:highlight w:val="none"/>
                    </w:rPr>
                  </w:pPr>
                  <w:r>
                    <w:rPr>
                      <w:rFonts w:hint="eastAsia"/>
                      <w:bCs/>
                      <w:color w:val="auto"/>
                      <w:kern w:val="0"/>
                      <w:sz w:val="21"/>
                      <w:szCs w:val="21"/>
                      <w:highlight w:val="none"/>
                    </w:rPr>
                    <w:t>无组织排放监测：厂区上风向设1个点，下风向设3个</w:t>
                  </w:r>
                </w:p>
              </w:tc>
              <w:tc>
                <w:tcPr>
                  <w:tcW w:w="1735" w:type="dxa"/>
                  <w:vAlign w:val="center"/>
                </w:tcPr>
                <w:p>
                  <w:pPr>
                    <w:widowControl/>
                    <w:spacing w:line="0" w:lineRule="atLeast"/>
                    <w:jc w:val="center"/>
                    <w:rPr>
                      <w:color w:val="auto"/>
                      <w:sz w:val="21"/>
                      <w:szCs w:val="21"/>
                      <w:highlight w:val="none"/>
                    </w:rPr>
                  </w:pPr>
                  <w:r>
                    <w:rPr>
                      <w:rFonts w:hint="eastAsia"/>
                      <w:color w:val="auto"/>
                      <w:kern w:val="0"/>
                      <w:sz w:val="21"/>
                      <w:szCs w:val="21"/>
                      <w:highlight w:val="none"/>
                    </w:rPr>
                    <w:t>VOCs</w:t>
                  </w:r>
                </w:p>
              </w:tc>
              <w:tc>
                <w:tcPr>
                  <w:tcW w:w="1134" w:type="dxa"/>
                  <w:vAlign w:val="center"/>
                </w:tcPr>
                <w:p>
                  <w:pPr>
                    <w:spacing w:line="0" w:lineRule="atLeast"/>
                    <w:jc w:val="center"/>
                    <w:rPr>
                      <w:color w:val="auto"/>
                      <w:sz w:val="21"/>
                      <w:szCs w:val="21"/>
                      <w:highlight w:val="none"/>
                    </w:rPr>
                  </w:pPr>
                  <w:r>
                    <w:rPr>
                      <w:rFonts w:hint="eastAsia"/>
                      <w:color w:val="auto"/>
                      <w:sz w:val="21"/>
                      <w:szCs w:val="21"/>
                      <w:highlight w:val="none"/>
                    </w:rPr>
                    <w:t>1</w:t>
                  </w:r>
                  <w:r>
                    <w:rPr>
                      <w:color w:val="auto"/>
                      <w:sz w:val="21"/>
                      <w:szCs w:val="21"/>
                      <w:highlight w:val="none"/>
                    </w:rPr>
                    <w:t>次/</w:t>
                  </w:r>
                  <w:r>
                    <w:rPr>
                      <w:rFonts w:hint="eastAsia"/>
                      <w:color w:val="auto"/>
                      <w:sz w:val="21"/>
                      <w:szCs w:val="21"/>
                      <w:highlight w:val="none"/>
                    </w:rPr>
                    <w:t>年</w:t>
                  </w:r>
                </w:p>
              </w:tc>
              <w:tc>
                <w:tcPr>
                  <w:tcW w:w="1441" w:type="dxa"/>
                  <w:vAlign w:val="center"/>
                </w:tcPr>
                <w:p>
                  <w:pPr>
                    <w:adjustRightInd w:val="0"/>
                    <w:snapToGrid w:val="0"/>
                    <w:jc w:val="center"/>
                    <w:rPr>
                      <w:snapToGrid w:val="0"/>
                      <w:color w:val="auto"/>
                      <w:sz w:val="21"/>
                      <w:szCs w:val="21"/>
                      <w:highlight w:val="none"/>
                    </w:rPr>
                  </w:pPr>
                  <w:r>
                    <w:rPr>
                      <w:rFonts w:hint="eastAsia"/>
                      <w:snapToGrid w:val="0"/>
                      <w:color w:val="auto"/>
                      <w:sz w:val="21"/>
                      <w:szCs w:val="21"/>
                      <w:highlight w:val="none"/>
                    </w:rPr>
                    <w:t>委托有资质的单位</w:t>
                  </w:r>
                </w:p>
              </w:tc>
            </w:tr>
          </w:tbl>
          <w:p>
            <w:pPr>
              <w:widowControl/>
              <w:spacing w:line="360" w:lineRule="auto"/>
              <w:ind w:firstLine="480" w:firstLineChars="200"/>
              <w:rPr>
                <w:rFonts w:eastAsia="黑体"/>
                <w:bCs/>
                <w:color w:val="auto"/>
                <w:kern w:val="0"/>
                <w:sz w:val="24"/>
                <w:szCs w:val="20"/>
                <w:highlight w:val="none"/>
              </w:rPr>
            </w:pPr>
            <w:r>
              <w:rPr>
                <w:rFonts w:eastAsia="黑体"/>
                <w:bCs/>
                <w:color w:val="auto"/>
                <w:kern w:val="0"/>
                <w:sz w:val="24"/>
                <w:szCs w:val="20"/>
                <w:highlight w:val="none"/>
              </w:rPr>
              <w:t>8.3环保投资与运行维护</w:t>
            </w:r>
          </w:p>
          <w:p>
            <w:pPr>
              <w:adjustRightInd w:val="0"/>
              <w:snapToGrid w:val="0"/>
              <w:spacing w:line="360" w:lineRule="auto"/>
              <w:ind w:firstLine="480" w:firstLineChars="200"/>
              <w:jc w:val="left"/>
              <w:rPr>
                <w:color w:val="auto"/>
                <w:sz w:val="24"/>
                <w:szCs w:val="20"/>
                <w:highlight w:val="none"/>
              </w:rPr>
            </w:pPr>
            <w:r>
              <w:rPr>
                <w:color w:val="auto"/>
                <w:sz w:val="24"/>
                <w:szCs w:val="20"/>
                <w:highlight w:val="none"/>
              </w:rPr>
              <w:t>本次项目总投资</w:t>
            </w:r>
            <w:r>
              <w:rPr>
                <w:rFonts w:hint="eastAsia"/>
                <w:color w:val="auto"/>
                <w:sz w:val="24"/>
                <w:szCs w:val="20"/>
                <w:highlight w:val="none"/>
              </w:rPr>
              <w:t>200</w:t>
            </w:r>
            <w:r>
              <w:rPr>
                <w:color w:val="auto"/>
                <w:sz w:val="24"/>
                <w:szCs w:val="20"/>
                <w:highlight w:val="none"/>
              </w:rPr>
              <w:t>万元，其中环保投入</w:t>
            </w:r>
            <w:r>
              <w:rPr>
                <w:rFonts w:hint="eastAsia"/>
                <w:color w:val="auto"/>
                <w:sz w:val="24"/>
                <w:szCs w:val="20"/>
                <w:highlight w:val="none"/>
              </w:rPr>
              <w:t>19.02</w:t>
            </w:r>
            <w:r>
              <w:rPr>
                <w:color w:val="auto"/>
                <w:sz w:val="24"/>
                <w:szCs w:val="20"/>
                <w:highlight w:val="none"/>
              </w:rPr>
              <w:t>万元，占总投资的</w:t>
            </w:r>
            <w:r>
              <w:rPr>
                <w:rFonts w:hint="eastAsia"/>
                <w:color w:val="auto"/>
                <w:sz w:val="24"/>
                <w:szCs w:val="20"/>
                <w:highlight w:val="none"/>
              </w:rPr>
              <w:t>9.51</w:t>
            </w:r>
            <w:r>
              <w:rPr>
                <w:color w:val="auto"/>
                <w:sz w:val="24"/>
                <w:szCs w:val="20"/>
                <w:highlight w:val="none"/>
              </w:rPr>
              <w:t>%，环保投入情况见表</w:t>
            </w:r>
            <w:r>
              <w:rPr>
                <w:rFonts w:hint="eastAsia"/>
                <w:color w:val="auto"/>
                <w:sz w:val="24"/>
                <w:szCs w:val="20"/>
                <w:highlight w:val="none"/>
              </w:rPr>
              <w:t>8-4</w:t>
            </w:r>
            <w:r>
              <w:rPr>
                <w:color w:val="auto"/>
                <w:sz w:val="24"/>
                <w:szCs w:val="20"/>
                <w:highlight w:val="none"/>
              </w:rPr>
              <w:t>。</w:t>
            </w:r>
          </w:p>
          <w:p>
            <w:pPr>
              <w:jc w:val="center"/>
              <w:rPr>
                <w:rFonts w:eastAsia="黑体"/>
                <w:color w:val="auto"/>
                <w:sz w:val="24"/>
                <w:highlight w:val="none"/>
              </w:rPr>
            </w:pPr>
            <w:r>
              <w:rPr>
                <w:rFonts w:hint="eastAsia" w:eastAsia="黑体"/>
                <w:color w:val="auto"/>
                <w:sz w:val="24"/>
                <w:highlight w:val="none"/>
              </w:rPr>
              <w:t>表</w:t>
            </w:r>
            <w:r>
              <w:rPr>
                <w:rFonts w:eastAsia="黑体"/>
                <w:color w:val="auto"/>
                <w:sz w:val="24"/>
                <w:highlight w:val="none"/>
              </w:rPr>
              <w:t xml:space="preserve">8-4   </w:t>
            </w:r>
            <w:r>
              <w:rPr>
                <w:rFonts w:hint="eastAsia" w:eastAsia="黑体"/>
                <w:color w:val="auto"/>
                <w:sz w:val="24"/>
                <w:highlight w:val="none"/>
              </w:rPr>
              <w:t>本次项目环保投入一览表</w:t>
            </w:r>
          </w:p>
          <w:tbl>
            <w:tblPr>
              <w:tblStyle w:val="2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7"/>
              <w:gridCol w:w="4081"/>
              <w:gridCol w:w="800"/>
              <w:gridCol w:w="18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997" w:type="dxa"/>
                  <w:tcMar>
                    <w:left w:w="0" w:type="dxa"/>
                    <w:right w:w="0" w:type="dxa"/>
                  </w:tcMar>
                  <w:vAlign w:val="center"/>
                </w:tcPr>
                <w:p>
                  <w:pPr>
                    <w:snapToGrid w:val="0"/>
                    <w:ind w:firstLine="105" w:firstLineChars="50"/>
                    <w:rPr>
                      <w:color w:val="auto"/>
                      <w:sz w:val="21"/>
                      <w:szCs w:val="21"/>
                      <w:highlight w:val="none"/>
                    </w:rPr>
                  </w:pPr>
                  <w:r>
                    <w:rPr>
                      <w:color w:val="auto"/>
                      <w:sz w:val="21"/>
                      <w:szCs w:val="21"/>
                      <w:highlight w:val="none"/>
                    </w:rPr>
                    <w:t>类别</w:t>
                  </w:r>
                </w:p>
              </w:tc>
              <w:tc>
                <w:tcPr>
                  <w:tcW w:w="4081" w:type="dxa"/>
                  <w:vAlign w:val="center"/>
                </w:tcPr>
                <w:p>
                  <w:pPr>
                    <w:snapToGrid w:val="0"/>
                    <w:jc w:val="center"/>
                    <w:rPr>
                      <w:color w:val="auto"/>
                      <w:sz w:val="21"/>
                      <w:szCs w:val="21"/>
                      <w:highlight w:val="none"/>
                    </w:rPr>
                  </w:pPr>
                  <w:r>
                    <w:rPr>
                      <w:color w:val="auto"/>
                      <w:sz w:val="21"/>
                      <w:szCs w:val="21"/>
                      <w:highlight w:val="none"/>
                    </w:rPr>
                    <w:t>污染防治设施</w:t>
                  </w:r>
                </w:p>
              </w:tc>
              <w:tc>
                <w:tcPr>
                  <w:tcW w:w="800" w:type="dxa"/>
                  <w:vAlign w:val="center"/>
                </w:tcPr>
                <w:p>
                  <w:pPr>
                    <w:snapToGrid w:val="0"/>
                    <w:jc w:val="center"/>
                    <w:rPr>
                      <w:color w:val="auto"/>
                      <w:sz w:val="21"/>
                      <w:szCs w:val="21"/>
                      <w:highlight w:val="none"/>
                    </w:rPr>
                  </w:pPr>
                  <w:r>
                    <w:rPr>
                      <w:color w:val="auto"/>
                      <w:sz w:val="21"/>
                      <w:szCs w:val="21"/>
                      <w:highlight w:val="none"/>
                    </w:rPr>
                    <w:t>数量</w:t>
                  </w:r>
                </w:p>
              </w:tc>
              <w:tc>
                <w:tcPr>
                  <w:tcW w:w="1835" w:type="dxa"/>
                  <w:tcMar>
                    <w:left w:w="0" w:type="dxa"/>
                    <w:right w:w="0" w:type="dxa"/>
                  </w:tcMar>
                  <w:vAlign w:val="center"/>
                </w:tcPr>
                <w:p>
                  <w:pPr>
                    <w:snapToGrid w:val="0"/>
                    <w:jc w:val="center"/>
                    <w:rPr>
                      <w:color w:val="auto"/>
                      <w:sz w:val="21"/>
                      <w:szCs w:val="21"/>
                      <w:highlight w:val="none"/>
                    </w:rPr>
                  </w:pPr>
                  <w:r>
                    <w:rPr>
                      <w:color w:val="auto"/>
                      <w:sz w:val="21"/>
                      <w:szCs w:val="21"/>
                      <w:highlight w:val="none"/>
                    </w:rPr>
                    <w:t>环保投资（万元）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997" w:type="dxa"/>
                  <w:tcMar>
                    <w:left w:w="0" w:type="dxa"/>
                    <w:right w:w="0" w:type="dxa"/>
                  </w:tcMar>
                  <w:vAlign w:val="center"/>
                </w:tcPr>
                <w:p>
                  <w:pPr>
                    <w:snapToGrid w:val="0"/>
                    <w:ind w:firstLine="105" w:firstLineChars="50"/>
                    <w:rPr>
                      <w:color w:val="auto"/>
                      <w:sz w:val="21"/>
                      <w:szCs w:val="21"/>
                      <w:highlight w:val="none"/>
                    </w:rPr>
                  </w:pPr>
                  <w:r>
                    <w:rPr>
                      <w:color w:val="auto"/>
                      <w:sz w:val="21"/>
                      <w:szCs w:val="21"/>
                      <w:highlight w:val="none"/>
                    </w:rPr>
                    <w:t>废气</w:t>
                  </w:r>
                </w:p>
              </w:tc>
              <w:tc>
                <w:tcPr>
                  <w:tcW w:w="4081" w:type="dxa"/>
                  <w:vAlign w:val="center"/>
                </w:tcPr>
                <w:p>
                  <w:pPr>
                    <w:snapToGrid w:val="0"/>
                    <w:jc w:val="center"/>
                    <w:rPr>
                      <w:color w:val="auto"/>
                      <w:sz w:val="21"/>
                      <w:szCs w:val="21"/>
                      <w:highlight w:val="none"/>
                    </w:rPr>
                  </w:pPr>
                  <w:r>
                    <w:rPr>
                      <w:rFonts w:hint="eastAsia"/>
                      <w:color w:val="auto"/>
                      <w:sz w:val="21"/>
                      <w:szCs w:val="21"/>
                      <w:highlight w:val="none"/>
                    </w:rPr>
                    <w:t>集气罩+UV光催化+活性炭+15m高排气筒</w:t>
                  </w:r>
                </w:p>
              </w:tc>
              <w:tc>
                <w:tcPr>
                  <w:tcW w:w="800" w:type="dxa"/>
                  <w:vAlign w:val="center"/>
                </w:tcPr>
                <w:p>
                  <w:pPr>
                    <w:snapToGrid w:val="0"/>
                    <w:jc w:val="center"/>
                    <w:rPr>
                      <w:color w:val="auto"/>
                      <w:sz w:val="21"/>
                      <w:szCs w:val="21"/>
                      <w:highlight w:val="none"/>
                    </w:rPr>
                  </w:pPr>
                  <w:r>
                    <w:rPr>
                      <w:rFonts w:hint="eastAsia"/>
                      <w:color w:val="auto"/>
                      <w:sz w:val="21"/>
                      <w:szCs w:val="21"/>
                      <w:highlight w:val="none"/>
                    </w:rPr>
                    <w:t>1</w:t>
                  </w:r>
                </w:p>
              </w:tc>
              <w:tc>
                <w:tcPr>
                  <w:tcW w:w="1835" w:type="dxa"/>
                  <w:tcMar>
                    <w:left w:w="0" w:type="dxa"/>
                    <w:right w:w="0" w:type="dxa"/>
                  </w:tcMar>
                  <w:vAlign w:val="center"/>
                </w:tcPr>
                <w:p>
                  <w:pPr>
                    <w:snapToGrid w:val="0"/>
                    <w:jc w:val="center"/>
                    <w:rPr>
                      <w:color w:val="auto"/>
                      <w:sz w:val="21"/>
                      <w:szCs w:val="21"/>
                      <w:highlight w:val="none"/>
                    </w:rPr>
                  </w:pPr>
                  <w:r>
                    <w:rPr>
                      <w:rFonts w:hint="eastAsia"/>
                      <w:color w:val="auto"/>
                      <w:sz w:val="21"/>
                      <w:szCs w:val="21"/>
                      <w:highlight w:val="none"/>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7" w:type="dxa"/>
                  <w:tcMar>
                    <w:left w:w="0" w:type="dxa"/>
                    <w:right w:w="0" w:type="dxa"/>
                  </w:tcMar>
                  <w:vAlign w:val="center"/>
                </w:tcPr>
                <w:p>
                  <w:pPr>
                    <w:snapToGrid w:val="0"/>
                    <w:jc w:val="center"/>
                    <w:rPr>
                      <w:color w:val="auto"/>
                      <w:sz w:val="21"/>
                      <w:szCs w:val="21"/>
                      <w:highlight w:val="none"/>
                    </w:rPr>
                  </w:pPr>
                  <w:r>
                    <w:rPr>
                      <w:color w:val="auto"/>
                      <w:sz w:val="21"/>
                      <w:szCs w:val="21"/>
                      <w:highlight w:val="none"/>
                    </w:rPr>
                    <w:t>噪声</w:t>
                  </w:r>
                </w:p>
              </w:tc>
              <w:tc>
                <w:tcPr>
                  <w:tcW w:w="4081" w:type="dxa"/>
                  <w:tcMar>
                    <w:left w:w="0" w:type="dxa"/>
                    <w:right w:w="0" w:type="dxa"/>
                  </w:tcMar>
                  <w:vAlign w:val="center"/>
                </w:tcPr>
                <w:p>
                  <w:pPr>
                    <w:jc w:val="center"/>
                    <w:rPr>
                      <w:color w:val="auto"/>
                      <w:sz w:val="21"/>
                      <w:szCs w:val="21"/>
                      <w:highlight w:val="none"/>
                    </w:rPr>
                  </w:pPr>
                  <w:r>
                    <w:rPr>
                      <w:color w:val="auto"/>
                      <w:sz w:val="21"/>
                      <w:szCs w:val="21"/>
                      <w:highlight w:val="none"/>
                    </w:rPr>
                    <w:t>基础减振</w:t>
                  </w:r>
                </w:p>
              </w:tc>
              <w:tc>
                <w:tcPr>
                  <w:tcW w:w="800" w:type="dxa"/>
                  <w:vAlign w:val="center"/>
                </w:tcPr>
                <w:p>
                  <w:pPr>
                    <w:jc w:val="center"/>
                    <w:rPr>
                      <w:color w:val="auto"/>
                      <w:sz w:val="21"/>
                      <w:szCs w:val="21"/>
                      <w:highlight w:val="none"/>
                    </w:rPr>
                  </w:pPr>
                  <w:r>
                    <w:rPr>
                      <w:color w:val="auto"/>
                      <w:sz w:val="21"/>
                      <w:szCs w:val="21"/>
                      <w:highlight w:val="none"/>
                    </w:rPr>
                    <w:t>若干</w:t>
                  </w:r>
                </w:p>
              </w:tc>
              <w:tc>
                <w:tcPr>
                  <w:tcW w:w="1835" w:type="dxa"/>
                  <w:vAlign w:val="center"/>
                </w:tcPr>
                <w:p>
                  <w:pPr>
                    <w:snapToGrid w:val="0"/>
                    <w:jc w:val="center"/>
                    <w:rPr>
                      <w:color w:val="auto"/>
                      <w:sz w:val="21"/>
                      <w:szCs w:val="21"/>
                      <w:highlight w:val="none"/>
                    </w:rPr>
                  </w:pPr>
                  <w:r>
                    <w:rPr>
                      <w:rFonts w:hint="eastAsia"/>
                      <w:color w:val="auto"/>
                      <w:sz w:val="21"/>
                      <w:szCs w:val="21"/>
                      <w:highlight w:val="none"/>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97" w:type="dxa"/>
                  <w:vMerge w:val="restart"/>
                  <w:tcMar>
                    <w:left w:w="0" w:type="dxa"/>
                    <w:right w:w="0" w:type="dxa"/>
                  </w:tcMar>
                  <w:vAlign w:val="center"/>
                </w:tcPr>
                <w:p>
                  <w:pPr>
                    <w:snapToGrid w:val="0"/>
                    <w:jc w:val="center"/>
                    <w:rPr>
                      <w:color w:val="auto"/>
                      <w:sz w:val="21"/>
                      <w:szCs w:val="21"/>
                      <w:highlight w:val="none"/>
                    </w:rPr>
                  </w:pPr>
                  <w:r>
                    <w:rPr>
                      <w:color w:val="auto"/>
                      <w:sz w:val="21"/>
                      <w:szCs w:val="21"/>
                      <w:highlight w:val="none"/>
                    </w:rPr>
                    <w:t>固体废物</w:t>
                  </w:r>
                </w:p>
              </w:tc>
              <w:tc>
                <w:tcPr>
                  <w:tcW w:w="4081" w:type="dxa"/>
                  <w:tcMar>
                    <w:left w:w="0" w:type="dxa"/>
                    <w:right w:w="0" w:type="dxa"/>
                  </w:tcMar>
                  <w:vAlign w:val="center"/>
                </w:tcPr>
                <w:p>
                  <w:pPr>
                    <w:snapToGrid w:val="0"/>
                    <w:jc w:val="center"/>
                    <w:rPr>
                      <w:color w:val="auto"/>
                      <w:sz w:val="21"/>
                      <w:szCs w:val="21"/>
                      <w:highlight w:val="none"/>
                    </w:rPr>
                  </w:pPr>
                  <w:r>
                    <w:rPr>
                      <w:rFonts w:hint="eastAsia"/>
                      <w:color w:val="auto"/>
                      <w:sz w:val="21"/>
                      <w:szCs w:val="21"/>
                      <w:highlight w:val="none"/>
                    </w:rPr>
                    <w:t>生活垃圾收集桶</w:t>
                  </w:r>
                </w:p>
              </w:tc>
              <w:tc>
                <w:tcPr>
                  <w:tcW w:w="800" w:type="dxa"/>
                  <w:vAlign w:val="center"/>
                </w:tcPr>
                <w:p>
                  <w:pPr>
                    <w:snapToGrid w:val="0"/>
                    <w:jc w:val="center"/>
                    <w:rPr>
                      <w:color w:val="auto"/>
                      <w:sz w:val="21"/>
                      <w:szCs w:val="21"/>
                      <w:highlight w:val="none"/>
                    </w:rPr>
                  </w:pPr>
                  <w:r>
                    <w:rPr>
                      <w:rFonts w:hint="eastAsia"/>
                      <w:color w:val="auto"/>
                      <w:sz w:val="21"/>
                      <w:szCs w:val="21"/>
                      <w:highlight w:val="none"/>
                    </w:rPr>
                    <w:t>2</w:t>
                  </w:r>
                </w:p>
              </w:tc>
              <w:tc>
                <w:tcPr>
                  <w:tcW w:w="1835" w:type="dxa"/>
                  <w:vAlign w:val="center"/>
                </w:tcPr>
                <w:p>
                  <w:pPr>
                    <w:snapToGrid w:val="0"/>
                    <w:jc w:val="center"/>
                    <w:rPr>
                      <w:color w:val="auto"/>
                      <w:sz w:val="21"/>
                      <w:szCs w:val="21"/>
                      <w:highlight w:val="none"/>
                    </w:rPr>
                  </w:pPr>
                  <w:r>
                    <w:rPr>
                      <w:rFonts w:hint="eastAsia"/>
                      <w:color w:val="auto"/>
                      <w:sz w:val="21"/>
                      <w:szCs w:val="21"/>
                      <w:highlight w:val="none"/>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97" w:type="dxa"/>
                  <w:vMerge w:val="continue"/>
                  <w:tcMar>
                    <w:left w:w="0" w:type="dxa"/>
                    <w:right w:w="0" w:type="dxa"/>
                  </w:tcMar>
                  <w:vAlign w:val="center"/>
                </w:tcPr>
                <w:p>
                  <w:pPr>
                    <w:snapToGrid w:val="0"/>
                    <w:jc w:val="center"/>
                    <w:rPr>
                      <w:color w:val="auto"/>
                      <w:sz w:val="21"/>
                      <w:szCs w:val="21"/>
                      <w:highlight w:val="none"/>
                    </w:rPr>
                  </w:pPr>
                </w:p>
              </w:tc>
              <w:tc>
                <w:tcPr>
                  <w:tcW w:w="4081" w:type="dxa"/>
                  <w:tcMar>
                    <w:left w:w="0" w:type="dxa"/>
                    <w:right w:w="0" w:type="dxa"/>
                  </w:tcMar>
                  <w:vAlign w:val="center"/>
                </w:tcPr>
                <w:p>
                  <w:pPr>
                    <w:snapToGrid w:val="0"/>
                    <w:jc w:val="center"/>
                    <w:rPr>
                      <w:color w:val="auto"/>
                      <w:sz w:val="21"/>
                      <w:szCs w:val="21"/>
                      <w:highlight w:val="none"/>
                    </w:rPr>
                  </w:pPr>
                  <w:r>
                    <w:rPr>
                      <w:rFonts w:hint="eastAsia"/>
                      <w:color w:val="auto"/>
                      <w:sz w:val="21"/>
                      <w:szCs w:val="21"/>
                      <w:highlight w:val="none"/>
                    </w:rPr>
                    <w:t>一般固废暂存筒</w:t>
                  </w:r>
                </w:p>
              </w:tc>
              <w:tc>
                <w:tcPr>
                  <w:tcW w:w="800" w:type="dxa"/>
                  <w:vAlign w:val="center"/>
                </w:tcPr>
                <w:p>
                  <w:pPr>
                    <w:snapToGrid w:val="0"/>
                    <w:jc w:val="center"/>
                    <w:rPr>
                      <w:color w:val="auto"/>
                      <w:sz w:val="21"/>
                      <w:szCs w:val="21"/>
                      <w:highlight w:val="none"/>
                    </w:rPr>
                  </w:pPr>
                  <w:r>
                    <w:rPr>
                      <w:rFonts w:hint="eastAsia"/>
                      <w:color w:val="auto"/>
                      <w:sz w:val="21"/>
                      <w:szCs w:val="21"/>
                      <w:highlight w:val="none"/>
                    </w:rPr>
                    <w:t>2</w:t>
                  </w:r>
                </w:p>
              </w:tc>
              <w:tc>
                <w:tcPr>
                  <w:tcW w:w="1835" w:type="dxa"/>
                  <w:vAlign w:val="center"/>
                </w:tcPr>
                <w:p>
                  <w:pPr>
                    <w:snapToGrid w:val="0"/>
                    <w:jc w:val="center"/>
                    <w:rPr>
                      <w:color w:val="auto"/>
                      <w:sz w:val="21"/>
                      <w:szCs w:val="21"/>
                      <w:highlight w:val="none"/>
                    </w:rPr>
                  </w:pPr>
                  <w:r>
                    <w:rPr>
                      <w:rFonts w:hint="eastAsia"/>
                      <w:color w:val="auto"/>
                      <w:sz w:val="21"/>
                      <w:szCs w:val="21"/>
                      <w:highlight w:val="none"/>
                    </w:rPr>
                    <w:t>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997" w:type="dxa"/>
                  <w:vMerge w:val="continue"/>
                  <w:tcMar>
                    <w:left w:w="0" w:type="dxa"/>
                    <w:right w:w="0" w:type="dxa"/>
                  </w:tcMar>
                  <w:vAlign w:val="center"/>
                </w:tcPr>
                <w:p>
                  <w:pPr>
                    <w:snapToGrid w:val="0"/>
                    <w:jc w:val="center"/>
                    <w:rPr>
                      <w:color w:val="auto"/>
                      <w:sz w:val="21"/>
                      <w:szCs w:val="21"/>
                      <w:highlight w:val="none"/>
                    </w:rPr>
                  </w:pPr>
                </w:p>
              </w:tc>
              <w:tc>
                <w:tcPr>
                  <w:tcW w:w="4081" w:type="dxa"/>
                  <w:tcMar>
                    <w:left w:w="0" w:type="dxa"/>
                    <w:right w:w="0" w:type="dxa"/>
                  </w:tcMar>
                  <w:vAlign w:val="center"/>
                </w:tcPr>
                <w:p>
                  <w:pPr>
                    <w:snapToGrid w:val="0"/>
                    <w:jc w:val="center"/>
                    <w:rPr>
                      <w:color w:val="auto"/>
                      <w:sz w:val="21"/>
                      <w:szCs w:val="21"/>
                      <w:highlight w:val="none"/>
                    </w:rPr>
                  </w:pPr>
                  <w:r>
                    <w:rPr>
                      <w:rFonts w:hint="eastAsia"/>
                      <w:color w:val="auto"/>
                      <w:sz w:val="21"/>
                      <w:szCs w:val="21"/>
                      <w:highlight w:val="none"/>
                    </w:rPr>
                    <w:t>危废暂存间</w:t>
                  </w:r>
                </w:p>
              </w:tc>
              <w:tc>
                <w:tcPr>
                  <w:tcW w:w="800" w:type="dxa"/>
                  <w:vAlign w:val="center"/>
                </w:tcPr>
                <w:p>
                  <w:pPr>
                    <w:snapToGrid w:val="0"/>
                    <w:jc w:val="center"/>
                    <w:rPr>
                      <w:color w:val="auto"/>
                      <w:sz w:val="21"/>
                      <w:szCs w:val="21"/>
                      <w:highlight w:val="none"/>
                    </w:rPr>
                  </w:pPr>
                  <w:r>
                    <w:rPr>
                      <w:rFonts w:hint="eastAsia"/>
                      <w:color w:val="auto"/>
                      <w:sz w:val="21"/>
                      <w:szCs w:val="21"/>
                      <w:highlight w:val="none"/>
                    </w:rPr>
                    <w:t>1</w:t>
                  </w:r>
                </w:p>
              </w:tc>
              <w:tc>
                <w:tcPr>
                  <w:tcW w:w="1835" w:type="dxa"/>
                  <w:vAlign w:val="center"/>
                </w:tcPr>
                <w:p>
                  <w:pPr>
                    <w:snapToGrid w:val="0"/>
                    <w:jc w:val="center"/>
                    <w:rPr>
                      <w:color w:val="auto"/>
                      <w:sz w:val="21"/>
                      <w:szCs w:val="21"/>
                      <w:highlight w:val="none"/>
                    </w:rPr>
                  </w:pPr>
                  <w:r>
                    <w:rPr>
                      <w:rFonts w:hint="eastAsia"/>
                      <w:color w:val="auto"/>
                      <w:sz w:val="21"/>
                      <w:szCs w:val="21"/>
                      <w:highlight w:val="none"/>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5878" w:type="dxa"/>
                  <w:gridSpan w:val="3"/>
                  <w:tcMar>
                    <w:left w:w="0" w:type="dxa"/>
                    <w:right w:w="0" w:type="dxa"/>
                  </w:tcMar>
                  <w:vAlign w:val="center"/>
                </w:tcPr>
                <w:p>
                  <w:pPr>
                    <w:jc w:val="center"/>
                    <w:rPr>
                      <w:snapToGrid w:val="0"/>
                      <w:color w:val="auto"/>
                      <w:kern w:val="0"/>
                      <w:sz w:val="21"/>
                      <w:szCs w:val="21"/>
                      <w:highlight w:val="none"/>
                    </w:rPr>
                  </w:pPr>
                  <w:r>
                    <w:rPr>
                      <w:snapToGrid w:val="0"/>
                      <w:color w:val="auto"/>
                      <w:kern w:val="0"/>
                      <w:sz w:val="21"/>
                      <w:szCs w:val="21"/>
                      <w:highlight w:val="none"/>
                    </w:rPr>
                    <w:t>总计</w:t>
                  </w:r>
                </w:p>
              </w:tc>
              <w:tc>
                <w:tcPr>
                  <w:tcW w:w="1835" w:type="dxa"/>
                  <w:vAlign w:val="center"/>
                </w:tcPr>
                <w:p>
                  <w:pPr>
                    <w:jc w:val="center"/>
                    <w:rPr>
                      <w:snapToGrid w:val="0"/>
                      <w:color w:val="auto"/>
                      <w:kern w:val="0"/>
                      <w:sz w:val="21"/>
                      <w:szCs w:val="21"/>
                      <w:highlight w:val="none"/>
                    </w:rPr>
                  </w:pPr>
                  <w:r>
                    <w:rPr>
                      <w:rFonts w:hint="eastAsia"/>
                      <w:snapToGrid w:val="0"/>
                      <w:color w:val="auto"/>
                      <w:kern w:val="0"/>
                      <w:sz w:val="21"/>
                      <w:szCs w:val="21"/>
                      <w:highlight w:val="none"/>
                    </w:rPr>
                    <w:t>19..02</w:t>
                  </w:r>
                </w:p>
              </w:tc>
            </w:tr>
          </w:tbl>
          <w:p>
            <w:pPr>
              <w:spacing w:line="360" w:lineRule="auto"/>
              <w:ind w:firstLine="480" w:firstLineChars="200"/>
              <w:rPr>
                <w:rFonts w:eastAsia="黑体"/>
                <w:color w:val="auto"/>
                <w:sz w:val="24"/>
                <w:highlight w:val="none"/>
              </w:rPr>
            </w:pPr>
            <w:r>
              <w:rPr>
                <w:rFonts w:eastAsia="黑体"/>
                <w:color w:val="auto"/>
                <w:sz w:val="24"/>
                <w:highlight w:val="none"/>
              </w:rPr>
              <w:t>8.4环保设施管理清单</w:t>
            </w:r>
          </w:p>
          <w:p>
            <w:pPr>
              <w:spacing w:line="360" w:lineRule="auto"/>
              <w:ind w:firstLine="480"/>
              <w:rPr>
                <w:color w:val="auto"/>
                <w:highlight w:val="none"/>
              </w:rPr>
            </w:pPr>
            <w:r>
              <w:rPr>
                <w:color w:val="auto"/>
                <w:sz w:val="24"/>
                <w:highlight w:val="none"/>
              </w:rPr>
              <w:t>本次项目环保设施管理清单见表</w:t>
            </w:r>
            <w:r>
              <w:rPr>
                <w:rFonts w:hint="eastAsia"/>
                <w:color w:val="auto"/>
                <w:sz w:val="24"/>
                <w:highlight w:val="none"/>
              </w:rPr>
              <w:t>8-5</w:t>
            </w:r>
            <w:r>
              <w:rPr>
                <w:color w:val="auto"/>
                <w:sz w:val="24"/>
                <w:highlight w:val="none"/>
              </w:rPr>
              <w:t>。</w:t>
            </w:r>
          </w:p>
          <w:p>
            <w:pPr>
              <w:adjustRightInd w:val="0"/>
              <w:snapToGrid w:val="0"/>
              <w:spacing w:line="500" w:lineRule="exact"/>
              <w:jc w:val="center"/>
              <w:rPr>
                <w:rFonts w:eastAsia="黑体"/>
                <w:snapToGrid w:val="0"/>
                <w:color w:val="auto"/>
                <w:sz w:val="24"/>
                <w:szCs w:val="20"/>
                <w:highlight w:val="none"/>
              </w:rPr>
            </w:pPr>
            <w:r>
              <w:rPr>
                <w:rFonts w:eastAsia="黑体"/>
                <w:color w:val="auto"/>
                <w:sz w:val="24"/>
                <w:highlight w:val="none"/>
              </w:rPr>
              <w:t>表</w:t>
            </w:r>
            <w:r>
              <w:rPr>
                <w:rFonts w:hint="eastAsia" w:eastAsia="黑体"/>
                <w:color w:val="auto"/>
                <w:sz w:val="24"/>
                <w:highlight w:val="none"/>
              </w:rPr>
              <w:t>8-5</w:t>
            </w:r>
            <w:r>
              <w:rPr>
                <w:rFonts w:eastAsia="黑体"/>
                <w:color w:val="auto"/>
                <w:sz w:val="24"/>
                <w:highlight w:val="none"/>
              </w:rPr>
              <w:t xml:space="preserve">        </w:t>
            </w:r>
            <w:r>
              <w:rPr>
                <w:rFonts w:hint="eastAsia" w:eastAsia="黑体"/>
                <w:snapToGrid w:val="0"/>
                <w:color w:val="auto"/>
                <w:sz w:val="24"/>
                <w:szCs w:val="20"/>
                <w:highlight w:val="none"/>
              </w:rPr>
              <w:t>环保设施管理清单</w:t>
            </w:r>
          </w:p>
          <w:tbl>
            <w:tblPr>
              <w:tblStyle w:val="2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9"/>
              <w:gridCol w:w="868"/>
              <w:gridCol w:w="848"/>
              <w:gridCol w:w="1843"/>
              <w:gridCol w:w="709"/>
              <w:gridCol w:w="850"/>
              <w:gridCol w:w="28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restart"/>
                  <w:vAlign w:val="center"/>
                </w:tcPr>
                <w:p>
                  <w:pPr>
                    <w:snapToGrid w:val="0"/>
                    <w:jc w:val="center"/>
                    <w:rPr>
                      <w:color w:val="auto"/>
                      <w:sz w:val="21"/>
                      <w:szCs w:val="21"/>
                      <w:highlight w:val="none"/>
                    </w:rPr>
                  </w:pPr>
                  <w:r>
                    <w:rPr>
                      <w:color w:val="auto"/>
                      <w:sz w:val="21"/>
                      <w:szCs w:val="21"/>
                      <w:highlight w:val="none"/>
                    </w:rPr>
                    <w:t>污染要素</w:t>
                  </w:r>
                </w:p>
              </w:tc>
              <w:tc>
                <w:tcPr>
                  <w:tcW w:w="868" w:type="dxa"/>
                  <w:vMerge w:val="restart"/>
                  <w:vAlign w:val="center"/>
                </w:tcPr>
                <w:p>
                  <w:pPr>
                    <w:snapToGrid w:val="0"/>
                    <w:jc w:val="center"/>
                    <w:rPr>
                      <w:color w:val="auto"/>
                      <w:sz w:val="21"/>
                      <w:szCs w:val="21"/>
                      <w:highlight w:val="none"/>
                    </w:rPr>
                  </w:pPr>
                  <w:r>
                    <w:rPr>
                      <w:color w:val="auto"/>
                      <w:sz w:val="21"/>
                      <w:szCs w:val="21"/>
                      <w:highlight w:val="none"/>
                    </w:rPr>
                    <w:t>污染源</w:t>
                  </w:r>
                </w:p>
              </w:tc>
              <w:tc>
                <w:tcPr>
                  <w:tcW w:w="848" w:type="dxa"/>
                  <w:vMerge w:val="restart"/>
                  <w:vAlign w:val="center"/>
                </w:tcPr>
                <w:p>
                  <w:pPr>
                    <w:snapToGrid w:val="0"/>
                    <w:jc w:val="center"/>
                    <w:rPr>
                      <w:color w:val="auto"/>
                      <w:sz w:val="21"/>
                      <w:szCs w:val="21"/>
                      <w:highlight w:val="none"/>
                    </w:rPr>
                  </w:pPr>
                  <w:r>
                    <w:rPr>
                      <w:color w:val="auto"/>
                      <w:sz w:val="21"/>
                      <w:szCs w:val="21"/>
                      <w:highlight w:val="none"/>
                    </w:rPr>
                    <w:t>污染物</w:t>
                  </w:r>
                </w:p>
              </w:tc>
              <w:tc>
                <w:tcPr>
                  <w:tcW w:w="3402" w:type="dxa"/>
                  <w:gridSpan w:val="3"/>
                  <w:vAlign w:val="center"/>
                </w:tcPr>
                <w:p>
                  <w:pPr>
                    <w:snapToGrid w:val="0"/>
                    <w:jc w:val="center"/>
                    <w:rPr>
                      <w:color w:val="auto"/>
                      <w:sz w:val="21"/>
                      <w:szCs w:val="21"/>
                      <w:highlight w:val="none"/>
                    </w:rPr>
                  </w:pPr>
                  <w:r>
                    <w:rPr>
                      <w:color w:val="auto"/>
                      <w:sz w:val="21"/>
                      <w:szCs w:val="21"/>
                      <w:highlight w:val="none"/>
                    </w:rPr>
                    <w:t>治理措施、运行参数</w:t>
                  </w:r>
                </w:p>
              </w:tc>
              <w:tc>
                <w:tcPr>
                  <w:tcW w:w="2854" w:type="dxa"/>
                  <w:vMerge w:val="restart"/>
                  <w:vAlign w:val="center"/>
                </w:tcPr>
                <w:p>
                  <w:pPr>
                    <w:snapToGrid w:val="0"/>
                    <w:jc w:val="center"/>
                    <w:rPr>
                      <w:color w:val="auto"/>
                      <w:sz w:val="21"/>
                      <w:szCs w:val="21"/>
                      <w:highlight w:val="none"/>
                    </w:rPr>
                  </w:pPr>
                  <w:r>
                    <w:rPr>
                      <w:color w:val="auto"/>
                      <w:sz w:val="21"/>
                      <w:szCs w:val="21"/>
                      <w:highlight w:val="none"/>
                    </w:rPr>
                    <w:t>执行标准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Merge w:val="continue"/>
                  <w:vAlign w:val="center"/>
                </w:tcPr>
                <w:p>
                  <w:pPr>
                    <w:adjustRightInd w:val="0"/>
                    <w:snapToGrid w:val="0"/>
                    <w:spacing w:line="500" w:lineRule="exact"/>
                    <w:jc w:val="center"/>
                    <w:rPr>
                      <w:snapToGrid w:val="0"/>
                      <w:color w:val="auto"/>
                      <w:sz w:val="21"/>
                      <w:szCs w:val="21"/>
                      <w:highlight w:val="none"/>
                    </w:rPr>
                  </w:pPr>
                </w:p>
              </w:tc>
              <w:tc>
                <w:tcPr>
                  <w:tcW w:w="868" w:type="dxa"/>
                  <w:vMerge w:val="continue"/>
                  <w:vAlign w:val="center"/>
                </w:tcPr>
                <w:p>
                  <w:pPr>
                    <w:adjustRightInd w:val="0"/>
                    <w:snapToGrid w:val="0"/>
                    <w:spacing w:line="500" w:lineRule="exact"/>
                    <w:jc w:val="center"/>
                    <w:rPr>
                      <w:snapToGrid w:val="0"/>
                      <w:color w:val="auto"/>
                      <w:sz w:val="21"/>
                      <w:szCs w:val="21"/>
                      <w:highlight w:val="none"/>
                    </w:rPr>
                  </w:pPr>
                </w:p>
              </w:tc>
              <w:tc>
                <w:tcPr>
                  <w:tcW w:w="848" w:type="dxa"/>
                  <w:vMerge w:val="continue"/>
                  <w:vAlign w:val="center"/>
                </w:tcPr>
                <w:p>
                  <w:pPr>
                    <w:adjustRightInd w:val="0"/>
                    <w:snapToGrid w:val="0"/>
                    <w:spacing w:line="500" w:lineRule="exact"/>
                    <w:jc w:val="center"/>
                    <w:rPr>
                      <w:snapToGrid w:val="0"/>
                      <w:color w:val="auto"/>
                      <w:sz w:val="21"/>
                      <w:szCs w:val="21"/>
                      <w:highlight w:val="none"/>
                    </w:rPr>
                  </w:pPr>
                </w:p>
              </w:tc>
              <w:tc>
                <w:tcPr>
                  <w:tcW w:w="1843" w:type="dxa"/>
                  <w:vAlign w:val="center"/>
                </w:tcPr>
                <w:p>
                  <w:pPr>
                    <w:snapToGrid w:val="0"/>
                    <w:jc w:val="center"/>
                    <w:rPr>
                      <w:color w:val="auto"/>
                      <w:sz w:val="21"/>
                      <w:szCs w:val="21"/>
                      <w:highlight w:val="none"/>
                    </w:rPr>
                  </w:pPr>
                  <w:r>
                    <w:rPr>
                      <w:color w:val="auto"/>
                      <w:sz w:val="21"/>
                      <w:szCs w:val="21"/>
                      <w:highlight w:val="none"/>
                    </w:rPr>
                    <w:t>环保设施</w:t>
                  </w:r>
                </w:p>
              </w:tc>
              <w:tc>
                <w:tcPr>
                  <w:tcW w:w="709" w:type="dxa"/>
                  <w:vAlign w:val="center"/>
                </w:tcPr>
                <w:p>
                  <w:pPr>
                    <w:snapToGrid w:val="0"/>
                    <w:jc w:val="center"/>
                    <w:rPr>
                      <w:color w:val="auto"/>
                      <w:sz w:val="21"/>
                      <w:szCs w:val="21"/>
                      <w:highlight w:val="none"/>
                    </w:rPr>
                  </w:pPr>
                  <w:r>
                    <w:rPr>
                      <w:color w:val="auto"/>
                      <w:sz w:val="21"/>
                      <w:szCs w:val="21"/>
                      <w:highlight w:val="none"/>
                    </w:rPr>
                    <w:t>规模</w:t>
                  </w:r>
                </w:p>
                <w:p>
                  <w:pPr>
                    <w:snapToGrid w:val="0"/>
                    <w:jc w:val="center"/>
                    <w:rPr>
                      <w:color w:val="auto"/>
                      <w:sz w:val="21"/>
                      <w:szCs w:val="21"/>
                      <w:highlight w:val="none"/>
                    </w:rPr>
                  </w:pPr>
                  <w:r>
                    <w:rPr>
                      <w:color w:val="auto"/>
                      <w:sz w:val="21"/>
                      <w:szCs w:val="21"/>
                      <w:highlight w:val="none"/>
                    </w:rPr>
                    <w:t>效率</w:t>
                  </w:r>
                </w:p>
              </w:tc>
              <w:tc>
                <w:tcPr>
                  <w:tcW w:w="850" w:type="dxa"/>
                  <w:vAlign w:val="center"/>
                </w:tcPr>
                <w:p>
                  <w:pPr>
                    <w:snapToGrid w:val="0"/>
                    <w:jc w:val="center"/>
                    <w:rPr>
                      <w:color w:val="auto"/>
                      <w:sz w:val="21"/>
                      <w:szCs w:val="21"/>
                      <w:highlight w:val="none"/>
                    </w:rPr>
                  </w:pPr>
                  <w:r>
                    <w:rPr>
                      <w:color w:val="auto"/>
                      <w:sz w:val="21"/>
                      <w:szCs w:val="21"/>
                      <w:highlight w:val="none"/>
                    </w:rPr>
                    <w:t>数量（台）</w:t>
                  </w:r>
                </w:p>
              </w:tc>
              <w:tc>
                <w:tcPr>
                  <w:tcW w:w="2854" w:type="dxa"/>
                  <w:vMerge w:val="continue"/>
                  <w:vAlign w:val="center"/>
                </w:tcPr>
                <w:p>
                  <w:pPr>
                    <w:snapToGrid w:val="0"/>
                    <w:jc w:val="center"/>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Align w:val="center"/>
                </w:tcPr>
                <w:p>
                  <w:pPr>
                    <w:adjustRightInd w:val="0"/>
                    <w:snapToGrid w:val="0"/>
                    <w:spacing w:line="500" w:lineRule="exact"/>
                    <w:jc w:val="center"/>
                    <w:rPr>
                      <w:snapToGrid w:val="0"/>
                      <w:color w:val="auto"/>
                      <w:sz w:val="21"/>
                      <w:szCs w:val="21"/>
                      <w:highlight w:val="none"/>
                    </w:rPr>
                  </w:pPr>
                  <w:r>
                    <w:rPr>
                      <w:snapToGrid w:val="0"/>
                      <w:color w:val="auto"/>
                      <w:sz w:val="21"/>
                      <w:szCs w:val="21"/>
                      <w:highlight w:val="none"/>
                    </w:rPr>
                    <w:t>废气</w:t>
                  </w:r>
                </w:p>
              </w:tc>
              <w:tc>
                <w:tcPr>
                  <w:tcW w:w="868" w:type="dxa"/>
                  <w:vAlign w:val="center"/>
                </w:tcPr>
                <w:p>
                  <w:pPr>
                    <w:adjustRightInd w:val="0"/>
                    <w:snapToGrid w:val="0"/>
                    <w:jc w:val="center"/>
                    <w:rPr>
                      <w:snapToGrid w:val="0"/>
                      <w:color w:val="auto"/>
                      <w:sz w:val="21"/>
                      <w:szCs w:val="21"/>
                      <w:highlight w:val="none"/>
                    </w:rPr>
                  </w:pPr>
                  <w:r>
                    <w:rPr>
                      <w:rFonts w:hint="eastAsia"/>
                      <w:snapToGrid w:val="0"/>
                      <w:color w:val="auto"/>
                      <w:sz w:val="21"/>
                      <w:szCs w:val="21"/>
                      <w:highlight w:val="none"/>
                    </w:rPr>
                    <w:t>印刷机</w:t>
                  </w:r>
                </w:p>
              </w:tc>
              <w:tc>
                <w:tcPr>
                  <w:tcW w:w="848" w:type="dxa"/>
                  <w:vAlign w:val="center"/>
                </w:tcPr>
                <w:p>
                  <w:pPr>
                    <w:adjustRightInd w:val="0"/>
                    <w:snapToGrid w:val="0"/>
                    <w:jc w:val="center"/>
                    <w:rPr>
                      <w:snapToGrid w:val="0"/>
                      <w:color w:val="auto"/>
                      <w:sz w:val="21"/>
                      <w:szCs w:val="21"/>
                      <w:highlight w:val="none"/>
                    </w:rPr>
                  </w:pPr>
                  <w:r>
                    <w:rPr>
                      <w:rFonts w:hint="eastAsia"/>
                      <w:snapToGrid w:val="0"/>
                      <w:color w:val="auto"/>
                      <w:sz w:val="21"/>
                      <w:szCs w:val="21"/>
                      <w:highlight w:val="none"/>
                    </w:rPr>
                    <w:t>VOCs</w:t>
                  </w:r>
                </w:p>
              </w:tc>
              <w:tc>
                <w:tcPr>
                  <w:tcW w:w="1843" w:type="dxa"/>
                  <w:vAlign w:val="center"/>
                </w:tcPr>
                <w:p>
                  <w:pPr>
                    <w:snapToGrid w:val="0"/>
                    <w:jc w:val="center"/>
                    <w:rPr>
                      <w:color w:val="auto"/>
                      <w:sz w:val="21"/>
                      <w:szCs w:val="21"/>
                      <w:highlight w:val="none"/>
                    </w:rPr>
                  </w:pPr>
                  <w:r>
                    <w:rPr>
                      <w:rFonts w:hint="eastAsia"/>
                      <w:color w:val="auto"/>
                      <w:sz w:val="21"/>
                      <w:szCs w:val="21"/>
                      <w:highlight w:val="none"/>
                    </w:rPr>
                    <w:t>集气罩+UV光催化+活性炭+15m高排气筒</w:t>
                  </w:r>
                </w:p>
              </w:tc>
              <w:tc>
                <w:tcPr>
                  <w:tcW w:w="709" w:type="dxa"/>
                  <w:vAlign w:val="center"/>
                </w:tcPr>
                <w:p>
                  <w:pPr>
                    <w:snapToGrid w:val="0"/>
                    <w:jc w:val="center"/>
                    <w:rPr>
                      <w:color w:val="auto"/>
                      <w:sz w:val="21"/>
                      <w:szCs w:val="21"/>
                      <w:highlight w:val="none"/>
                    </w:rPr>
                  </w:pPr>
                  <w:r>
                    <w:rPr>
                      <w:rFonts w:hint="eastAsia"/>
                      <w:color w:val="auto"/>
                      <w:sz w:val="21"/>
                      <w:szCs w:val="21"/>
                      <w:highlight w:val="none"/>
                    </w:rPr>
                    <w:t>85%</w:t>
                  </w:r>
                </w:p>
              </w:tc>
              <w:tc>
                <w:tcPr>
                  <w:tcW w:w="850" w:type="dxa"/>
                  <w:vAlign w:val="center"/>
                </w:tcPr>
                <w:p>
                  <w:pPr>
                    <w:snapToGrid w:val="0"/>
                    <w:jc w:val="center"/>
                    <w:rPr>
                      <w:color w:val="auto"/>
                      <w:sz w:val="21"/>
                      <w:szCs w:val="21"/>
                      <w:highlight w:val="none"/>
                    </w:rPr>
                  </w:pPr>
                  <w:r>
                    <w:rPr>
                      <w:color w:val="auto"/>
                      <w:sz w:val="21"/>
                      <w:szCs w:val="21"/>
                      <w:highlight w:val="none"/>
                    </w:rPr>
                    <w:t>1套</w:t>
                  </w:r>
                </w:p>
              </w:tc>
              <w:tc>
                <w:tcPr>
                  <w:tcW w:w="2854" w:type="dxa"/>
                  <w:vAlign w:val="center"/>
                </w:tcPr>
                <w:p>
                  <w:pPr>
                    <w:snapToGrid w:val="0"/>
                    <w:jc w:val="center"/>
                    <w:rPr>
                      <w:color w:val="auto"/>
                      <w:sz w:val="21"/>
                      <w:szCs w:val="21"/>
                      <w:highlight w:val="none"/>
                    </w:rPr>
                  </w:pPr>
                  <w:r>
                    <w:rPr>
                      <w:rFonts w:hint="eastAsia"/>
                      <w:color w:val="auto"/>
                      <w:sz w:val="21"/>
                      <w:szCs w:val="21"/>
                      <w:highlight w:val="none"/>
                    </w:rPr>
                    <w:t>陕西省地方标准《挥发性有机物排放控制标准》（</w:t>
                  </w:r>
                  <w:r>
                    <w:rPr>
                      <w:color w:val="auto"/>
                      <w:sz w:val="21"/>
                      <w:szCs w:val="21"/>
                      <w:highlight w:val="none"/>
                    </w:rPr>
                    <w:t>DB61/T1061-2017</w:t>
                  </w:r>
                  <w:r>
                    <w:rPr>
                      <w:rFonts w:hint="eastAsia"/>
                      <w:color w:val="auto"/>
                      <w:sz w:val="21"/>
                      <w:szCs w:val="21"/>
                      <w:highlight w:val="none"/>
                    </w:rPr>
                    <w:t>）印刷行业标准要求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Align w:val="center"/>
                </w:tcPr>
                <w:p>
                  <w:pPr>
                    <w:adjustRightInd w:val="0"/>
                    <w:snapToGrid w:val="0"/>
                    <w:jc w:val="center"/>
                    <w:rPr>
                      <w:color w:val="auto"/>
                      <w:sz w:val="21"/>
                      <w:szCs w:val="21"/>
                      <w:highlight w:val="none"/>
                    </w:rPr>
                  </w:pPr>
                  <w:r>
                    <w:rPr>
                      <w:color w:val="auto"/>
                      <w:sz w:val="21"/>
                      <w:szCs w:val="21"/>
                      <w:highlight w:val="none"/>
                    </w:rPr>
                    <w:t>噪声</w:t>
                  </w:r>
                </w:p>
              </w:tc>
              <w:tc>
                <w:tcPr>
                  <w:tcW w:w="868" w:type="dxa"/>
                  <w:vAlign w:val="center"/>
                </w:tcPr>
                <w:p>
                  <w:pPr>
                    <w:adjustRightInd w:val="0"/>
                    <w:snapToGrid w:val="0"/>
                    <w:jc w:val="center"/>
                    <w:rPr>
                      <w:color w:val="auto"/>
                      <w:sz w:val="21"/>
                      <w:szCs w:val="21"/>
                      <w:highlight w:val="none"/>
                    </w:rPr>
                  </w:pPr>
                  <w:r>
                    <w:rPr>
                      <w:rFonts w:hint="eastAsia"/>
                      <w:color w:val="auto"/>
                      <w:sz w:val="21"/>
                      <w:szCs w:val="21"/>
                      <w:highlight w:val="none"/>
                    </w:rPr>
                    <w:t>印刷机</w:t>
                  </w:r>
                  <w:r>
                    <w:rPr>
                      <w:color w:val="auto"/>
                      <w:sz w:val="24"/>
                      <w:szCs w:val="20"/>
                      <w:highlight w:val="none"/>
                    </w:rPr>
                    <w:t>、</w:t>
                  </w:r>
                  <w:r>
                    <w:rPr>
                      <w:rFonts w:hint="eastAsia"/>
                      <w:color w:val="auto"/>
                      <w:sz w:val="21"/>
                      <w:szCs w:val="21"/>
                      <w:highlight w:val="none"/>
                    </w:rPr>
                    <w:t>切纸机</w:t>
                  </w:r>
                </w:p>
              </w:tc>
              <w:tc>
                <w:tcPr>
                  <w:tcW w:w="848" w:type="dxa"/>
                  <w:vAlign w:val="center"/>
                </w:tcPr>
                <w:p>
                  <w:pPr>
                    <w:adjustRightInd w:val="0"/>
                    <w:snapToGrid w:val="0"/>
                    <w:jc w:val="center"/>
                    <w:rPr>
                      <w:color w:val="auto"/>
                      <w:sz w:val="21"/>
                      <w:szCs w:val="21"/>
                      <w:highlight w:val="none"/>
                    </w:rPr>
                  </w:pPr>
                  <w:r>
                    <w:rPr>
                      <w:color w:val="auto"/>
                      <w:sz w:val="21"/>
                      <w:szCs w:val="21"/>
                      <w:highlight w:val="none"/>
                    </w:rPr>
                    <w:t>设备噪声</w:t>
                  </w:r>
                </w:p>
              </w:tc>
              <w:tc>
                <w:tcPr>
                  <w:tcW w:w="1843" w:type="dxa"/>
                  <w:vAlign w:val="center"/>
                </w:tcPr>
                <w:p>
                  <w:pPr>
                    <w:adjustRightInd w:val="0"/>
                    <w:snapToGrid w:val="0"/>
                    <w:jc w:val="center"/>
                    <w:rPr>
                      <w:color w:val="auto"/>
                      <w:sz w:val="21"/>
                      <w:szCs w:val="21"/>
                      <w:highlight w:val="none"/>
                    </w:rPr>
                  </w:pPr>
                  <w:r>
                    <w:rPr>
                      <w:color w:val="auto"/>
                      <w:sz w:val="21"/>
                      <w:szCs w:val="21"/>
                      <w:highlight w:val="none"/>
                    </w:rPr>
                    <w:t>减振、隔声措施</w:t>
                  </w:r>
                </w:p>
              </w:tc>
              <w:tc>
                <w:tcPr>
                  <w:tcW w:w="709" w:type="dxa"/>
                  <w:vAlign w:val="center"/>
                </w:tcPr>
                <w:p>
                  <w:pPr>
                    <w:adjustRightInd w:val="0"/>
                    <w:snapToGrid w:val="0"/>
                    <w:jc w:val="center"/>
                    <w:rPr>
                      <w:color w:val="auto"/>
                      <w:sz w:val="21"/>
                      <w:szCs w:val="21"/>
                      <w:highlight w:val="none"/>
                    </w:rPr>
                  </w:pPr>
                  <w:r>
                    <w:rPr>
                      <w:color w:val="auto"/>
                      <w:sz w:val="21"/>
                      <w:szCs w:val="21"/>
                      <w:highlight w:val="none"/>
                    </w:rPr>
                    <w:t>/</w:t>
                  </w:r>
                </w:p>
              </w:tc>
              <w:tc>
                <w:tcPr>
                  <w:tcW w:w="850" w:type="dxa"/>
                  <w:vAlign w:val="center"/>
                </w:tcPr>
                <w:p>
                  <w:pPr>
                    <w:adjustRightInd w:val="0"/>
                    <w:snapToGrid w:val="0"/>
                    <w:jc w:val="center"/>
                    <w:rPr>
                      <w:color w:val="auto"/>
                      <w:sz w:val="21"/>
                      <w:szCs w:val="21"/>
                      <w:highlight w:val="none"/>
                    </w:rPr>
                  </w:pPr>
                  <w:r>
                    <w:rPr>
                      <w:color w:val="auto"/>
                      <w:sz w:val="21"/>
                      <w:szCs w:val="21"/>
                      <w:highlight w:val="none"/>
                    </w:rPr>
                    <w:t>/</w:t>
                  </w:r>
                </w:p>
              </w:tc>
              <w:tc>
                <w:tcPr>
                  <w:tcW w:w="2854" w:type="dxa"/>
                  <w:vAlign w:val="center"/>
                </w:tcPr>
                <w:p>
                  <w:pPr>
                    <w:adjustRightInd w:val="0"/>
                    <w:snapToGrid w:val="0"/>
                    <w:jc w:val="center"/>
                    <w:rPr>
                      <w:color w:val="auto"/>
                      <w:sz w:val="21"/>
                      <w:szCs w:val="21"/>
                      <w:highlight w:val="none"/>
                    </w:rPr>
                  </w:pPr>
                  <w:r>
                    <w:rPr>
                      <w:color w:val="auto"/>
                      <w:sz w:val="21"/>
                      <w:szCs w:val="21"/>
                      <w:highlight w:val="none"/>
                    </w:rPr>
                    <w:t>执行《工业企业厂界环境噪声排放标准》（GB12348-2008）</w:t>
                  </w:r>
                  <w:r>
                    <w:rPr>
                      <w:rFonts w:hint="eastAsia"/>
                      <w:color w:val="auto"/>
                      <w:sz w:val="21"/>
                      <w:szCs w:val="21"/>
                      <w:highlight w:val="none"/>
                      <w:lang w:eastAsia="zh-CN"/>
                    </w:rPr>
                    <w:t>2类</w:t>
                  </w:r>
                  <w:r>
                    <w:rPr>
                      <w:color w:val="auto"/>
                      <w:sz w:val="21"/>
                      <w:szCs w:val="21"/>
                      <w:highlight w:val="none"/>
                    </w:rPr>
                    <w:t>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restart"/>
                  <w:vAlign w:val="center"/>
                </w:tcPr>
                <w:p>
                  <w:pPr>
                    <w:adjustRightInd w:val="0"/>
                    <w:snapToGrid w:val="0"/>
                    <w:jc w:val="center"/>
                    <w:rPr>
                      <w:color w:val="auto"/>
                      <w:sz w:val="21"/>
                      <w:szCs w:val="21"/>
                      <w:highlight w:val="none"/>
                    </w:rPr>
                  </w:pPr>
                  <w:r>
                    <w:rPr>
                      <w:color w:val="auto"/>
                      <w:sz w:val="21"/>
                      <w:szCs w:val="21"/>
                      <w:highlight w:val="none"/>
                    </w:rPr>
                    <w:t>固体废物</w:t>
                  </w:r>
                </w:p>
              </w:tc>
              <w:tc>
                <w:tcPr>
                  <w:tcW w:w="868" w:type="dxa"/>
                  <w:vAlign w:val="center"/>
                </w:tcPr>
                <w:p>
                  <w:pPr>
                    <w:jc w:val="center"/>
                    <w:rPr>
                      <w:color w:val="auto"/>
                      <w:sz w:val="21"/>
                      <w:szCs w:val="21"/>
                      <w:highlight w:val="none"/>
                    </w:rPr>
                  </w:pPr>
                  <w:r>
                    <w:rPr>
                      <w:rFonts w:hint="eastAsia"/>
                      <w:color w:val="auto"/>
                      <w:sz w:val="21"/>
                      <w:szCs w:val="21"/>
                      <w:highlight w:val="none"/>
                    </w:rPr>
                    <w:t>职工生活</w:t>
                  </w:r>
                </w:p>
              </w:tc>
              <w:tc>
                <w:tcPr>
                  <w:tcW w:w="848" w:type="dxa"/>
                  <w:vAlign w:val="center"/>
                </w:tcPr>
                <w:p>
                  <w:pPr>
                    <w:jc w:val="center"/>
                    <w:rPr>
                      <w:color w:val="auto"/>
                      <w:sz w:val="21"/>
                      <w:szCs w:val="21"/>
                      <w:highlight w:val="none"/>
                    </w:rPr>
                  </w:pPr>
                  <w:r>
                    <w:rPr>
                      <w:rFonts w:hint="eastAsia"/>
                      <w:color w:val="auto"/>
                      <w:sz w:val="21"/>
                      <w:szCs w:val="21"/>
                      <w:highlight w:val="none"/>
                    </w:rPr>
                    <w:t>生活垃圾</w:t>
                  </w:r>
                </w:p>
              </w:tc>
              <w:tc>
                <w:tcPr>
                  <w:tcW w:w="1843" w:type="dxa"/>
                  <w:vAlign w:val="center"/>
                </w:tcPr>
                <w:p>
                  <w:pPr>
                    <w:keepNext/>
                    <w:keepLines/>
                    <w:snapToGrid w:val="0"/>
                    <w:spacing w:before="280" w:after="290" w:line="376" w:lineRule="auto"/>
                    <w:jc w:val="center"/>
                    <w:rPr>
                      <w:color w:val="auto"/>
                      <w:sz w:val="32"/>
                      <w:szCs w:val="32"/>
                      <w:highlight w:val="none"/>
                    </w:rPr>
                  </w:pPr>
                  <w:r>
                    <w:rPr>
                      <w:rFonts w:hint="eastAsia"/>
                      <w:color w:val="auto"/>
                      <w:sz w:val="21"/>
                      <w:szCs w:val="21"/>
                      <w:highlight w:val="none"/>
                    </w:rPr>
                    <w:t>生活垃圾收集桶</w:t>
                  </w:r>
                </w:p>
              </w:tc>
              <w:tc>
                <w:tcPr>
                  <w:tcW w:w="709" w:type="dxa"/>
                  <w:vAlign w:val="center"/>
                </w:tcPr>
                <w:p>
                  <w:pPr>
                    <w:adjustRightInd w:val="0"/>
                    <w:snapToGrid w:val="0"/>
                    <w:jc w:val="center"/>
                    <w:rPr>
                      <w:color w:val="auto"/>
                      <w:sz w:val="21"/>
                      <w:szCs w:val="21"/>
                      <w:highlight w:val="none"/>
                    </w:rPr>
                  </w:pPr>
                  <w:r>
                    <w:rPr>
                      <w:rFonts w:hint="eastAsia"/>
                      <w:color w:val="auto"/>
                      <w:sz w:val="21"/>
                      <w:szCs w:val="21"/>
                      <w:highlight w:val="none"/>
                    </w:rPr>
                    <w:t>100%</w:t>
                  </w:r>
                </w:p>
              </w:tc>
              <w:tc>
                <w:tcPr>
                  <w:tcW w:w="850" w:type="dxa"/>
                  <w:vAlign w:val="center"/>
                </w:tcPr>
                <w:p>
                  <w:pPr>
                    <w:adjustRightInd w:val="0"/>
                    <w:snapToGrid w:val="0"/>
                    <w:jc w:val="center"/>
                    <w:rPr>
                      <w:color w:val="auto"/>
                      <w:sz w:val="21"/>
                      <w:szCs w:val="21"/>
                      <w:highlight w:val="none"/>
                    </w:rPr>
                  </w:pPr>
                  <w:r>
                    <w:rPr>
                      <w:rFonts w:hint="eastAsia"/>
                      <w:color w:val="auto"/>
                      <w:sz w:val="21"/>
                      <w:szCs w:val="21"/>
                      <w:highlight w:val="none"/>
                    </w:rPr>
                    <w:t>2个</w:t>
                  </w:r>
                </w:p>
              </w:tc>
              <w:tc>
                <w:tcPr>
                  <w:tcW w:w="2854" w:type="dxa"/>
                  <w:vAlign w:val="center"/>
                </w:tcPr>
                <w:p>
                  <w:pPr>
                    <w:adjustRightInd w:val="0"/>
                    <w:snapToGrid w:val="0"/>
                    <w:jc w:val="center"/>
                    <w:rPr>
                      <w:color w:val="auto"/>
                      <w:sz w:val="21"/>
                      <w:szCs w:val="21"/>
                      <w:highlight w:val="none"/>
                    </w:rPr>
                  </w:pPr>
                  <w:r>
                    <w:rPr>
                      <w:rFonts w:hint="eastAsia"/>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center"/>
                </w:tcPr>
                <w:p>
                  <w:pPr>
                    <w:adjustRightInd w:val="0"/>
                    <w:snapToGrid w:val="0"/>
                    <w:jc w:val="center"/>
                    <w:rPr>
                      <w:color w:val="auto"/>
                      <w:sz w:val="21"/>
                      <w:szCs w:val="21"/>
                      <w:highlight w:val="none"/>
                    </w:rPr>
                  </w:pPr>
                </w:p>
              </w:tc>
              <w:tc>
                <w:tcPr>
                  <w:tcW w:w="868" w:type="dxa"/>
                  <w:vAlign w:val="center"/>
                </w:tcPr>
                <w:p>
                  <w:pPr>
                    <w:jc w:val="center"/>
                    <w:rPr>
                      <w:color w:val="auto"/>
                      <w:sz w:val="21"/>
                      <w:szCs w:val="21"/>
                      <w:highlight w:val="none"/>
                    </w:rPr>
                  </w:pPr>
                  <w:r>
                    <w:rPr>
                      <w:rFonts w:hint="eastAsia"/>
                      <w:color w:val="auto"/>
                      <w:sz w:val="21"/>
                      <w:szCs w:val="21"/>
                      <w:highlight w:val="none"/>
                    </w:rPr>
                    <w:t>生产</w:t>
                  </w:r>
                </w:p>
              </w:tc>
              <w:tc>
                <w:tcPr>
                  <w:tcW w:w="848" w:type="dxa"/>
                  <w:vAlign w:val="center"/>
                </w:tcPr>
                <w:p>
                  <w:pPr>
                    <w:jc w:val="center"/>
                    <w:rPr>
                      <w:color w:val="auto"/>
                      <w:sz w:val="21"/>
                      <w:szCs w:val="21"/>
                      <w:highlight w:val="none"/>
                    </w:rPr>
                  </w:pPr>
                  <w:r>
                    <w:rPr>
                      <w:rFonts w:hint="eastAsia"/>
                      <w:color w:val="auto"/>
                      <w:sz w:val="21"/>
                      <w:szCs w:val="21"/>
                      <w:highlight w:val="none"/>
                    </w:rPr>
                    <w:t>废边纸</w:t>
                  </w:r>
                </w:p>
              </w:tc>
              <w:tc>
                <w:tcPr>
                  <w:tcW w:w="1843" w:type="dxa"/>
                  <w:vAlign w:val="center"/>
                </w:tcPr>
                <w:p>
                  <w:pPr>
                    <w:snapToGrid w:val="0"/>
                    <w:jc w:val="center"/>
                    <w:rPr>
                      <w:color w:val="auto"/>
                      <w:sz w:val="21"/>
                      <w:szCs w:val="21"/>
                      <w:highlight w:val="none"/>
                    </w:rPr>
                  </w:pPr>
                  <w:r>
                    <w:rPr>
                      <w:rFonts w:hint="eastAsia"/>
                      <w:color w:val="auto"/>
                      <w:sz w:val="21"/>
                      <w:szCs w:val="21"/>
                      <w:highlight w:val="none"/>
                    </w:rPr>
                    <w:t>一般固废暂存筒</w:t>
                  </w:r>
                </w:p>
              </w:tc>
              <w:tc>
                <w:tcPr>
                  <w:tcW w:w="709" w:type="dxa"/>
                  <w:vAlign w:val="center"/>
                </w:tcPr>
                <w:p>
                  <w:pPr>
                    <w:adjustRightInd w:val="0"/>
                    <w:snapToGrid w:val="0"/>
                    <w:jc w:val="center"/>
                    <w:rPr>
                      <w:color w:val="auto"/>
                      <w:sz w:val="21"/>
                      <w:szCs w:val="21"/>
                      <w:highlight w:val="none"/>
                    </w:rPr>
                  </w:pPr>
                  <w:r>
                    <w:rPr>
                      <w:rFonts w:hint="eastAsia"/>
                      <w:color w:val="auto"/>
                      <w:sz w:val="21"/>
                      <w:szCs w:val="21"/>
                      <w:highlight w:val="none"/>
                    </w:rPr>
                    <w:t>100%</w:t>
                  </w:r>
                </w:p>
              </w:tc>
              <w:tc>
                <w:tcPr>
                  <w:tcW w:w="850" w:type="dxa"/>
                  <w:vAlign w:val="center"/>
                </w:tcPr>
                <w:p>
                  <w:pPr>
                    <w:adjustRightInd w:val="0"/>
                    <w:snapToGrid w:val="0"/>
                    <w:jc w:val="center"/>
                    <w:rPr>
                      <w:color w:val="auto"/>
                      <w:sz w:val="21"/>
                      <w:szCs w:val="21"/>
                      <w:highlight w:val="none"/>
                    </w:rPr>
                  </w:pPr>
                  <w:r>
                    <w:rPr>
                      <w:rFonts w:hint="eastAsia"/>
                      <w:color w:val="auto"/>
                      <w:sz w:val="21"/>
                      <w:szCs w:val="21"/>
                      <w:highlight w:val="none"/>
                    </w:rPr>
                    <w:t>2个</w:t>
                  </w:r>
                </w:p>
              </w:tc>
              <w:tc>
                <w:tcPr>
                  <w:tcW w:w="2854" w:type="dxa"/>
                  <w:vAlign w:val="center"/>
                </w:tcPr>
                <w:p>
                  <w:pPr>
                    <w:adjustRightInd w:val="0"/>
                    <w:snapToGrid w:val="0"/>
                    <w:jc w:val="center"/>
                    <w:rPr>
                      <w:color w:val="auto"/>
                      <w:sz w:val="21"/>
                      <w:szCs w:val="21"/>
                      <w:highlight w:val="none"/>
                    </w:rPr>
                  </w:pPr>
                  <w:r>
                    <w:rPr>
                      <w:color w:val="auto"/>
                      <w:sz w:val="21"/>
                      <w:szCs w:val="21"/>
                      <w:highlight w:val="none"/>
                    </w:rPr>
                    <w:t>一般固废执行《一般工业固体废物贮存、处置场污染控制标准》（GB18599-2001）及其修改单（环境保护部公告2013年第36号）要求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center"/>
                </w:tcPr>
                <w:p>
                  <w:pPr>
                    <w:adjustRightInd w:val="0"/>
                    <w:snapToGrid w:val="0"/>
                    <w:jc w:val="center"/>
                    <w:rPr>
                      <w:color w:val="auto"/>
                      <w:sz w:val="21"/>
                      <w:szCs w:val="21"/>
                      <w:highlight w:val="none"/>
                    </w:rPr>
                  </w:pPr>
                </w:p>
              </w:tc>
              <w:tc>
                <w:tcPr>
                  <w:tcW w:w="868" w:type="dxa"/>
                  <w:vAlign w:val="center"/>
                </w:tcPr>
                <w:p>
                  <w:pPr>
                    <w:jc w:val="center"/>
                    <w:rPr>
                      <w:color w:val="auto"/>
                      <w:sz w:val="21"/>
                      <w:szCs w:val="21"/>
                      <w:highlight w:val="none"/>
                    </w:rPr>
                  </w:pPr>
                  <w:r>
                    <w:rPr>
                      <w:rFonts w:hint="eastAsia"/>
                      <w:color w:val="auto"/>
                      <w:sz w:val="21"/>
                      <w:szCs w:val="21"/>
                      <w:highlight w:val="none"/>
                    </w:rPr>
                    <w:t>设备清洁</w:t>
                  </w:r>
                </w:p>
              </w:tc>
              <w:tc>
                <w:tcPr>
                  <w:tcW w:w="848" w:type="dxa"/>
                  <w:vAlign w:val="center"/>
                </w:tcPr>
                <w:p>
                  <w:pPr>
                    <w:jc w:val="center"/>
                    <w:rPr>
                      <w:color w:val="auto"/>
                      <w:sz w:val="21"/>
                      <w:szCs w:val="21"/>
                      <w:highlight w:val="none"/>
                    </w:rPr>
                  </w:pPr>
                  <w:r>
                    <w:rPr>
                      <w:rFonts w:hint="eastAsia"/>
                      <w:color w:val="auto"/>
                      <w:sz w:val="21"/>
                      <w:szCs w:val="21"/>
                      <w:highlight w:val="none"/>
                    </w:rPr>
                    <w:t>含油抹布</w:t>
                  </w:r>
                </w:p>
              </w:tc>
              <w:tc>
                <w:tcPr>
                  <w:tcW w:w="1843" w:type="dxa"/>
                  <w:vAlign w:val="center"/>
                </w:tcPr>
                <w:p>
                  <w:pPr>
                    <w:snapToGrid w:val="0"/>
                    <w:jc w:val="center"/>
                    <w:rPr>
                      <w:color w:val="auto"/>
                      <w:sz w:val="21"/>
                      <w:szCs w:val="21"/>
                      <w:highlight w:val="none"/>
                    </w:rPr>
                  </w:pPr>
                  <w:r>
                    <w:rPr>
                      <w:rFonts w:hint="eastAsia"/>
                      <w:color w:val="auto"/>
                      <w:sz w:val="21"/>
                      <w:szCs w:val="21"/>
                      <w:highlight w:val="none"/>
                    </w:rPr>
                    <w:t>危废暂存桶放于危废暂存间</w:t>
                  </w:r>
                </w:p>
              </w:tc>
              <w:tc>
                <w:tcPr>
                  <w:tcW w:w="709" w:type="dxa"/>
                  <w:vAlign w:val="center"/>
                </w:tcPr>
                <w:p>
                  <w:pPr>
                    <w:adjustRightInd w:val="0"/>
                    <w:snapToGrid w:val="0"/>
                    <w:jc w:val="center"/>
                    <w:rPr>
                      <w:color w:val="auto"/>
                      <w:sz w:val="21"/>
                      <w:szCs w:val="21"/>
                      <w:highlight w:val="none"/>
                    </w:rPr>
                  </w:pPr>
                  <w:r>
                    <w:rPr>
                      <w:rFonts w:hint="eastAsia"/>
                      <w:color w:val="auto"/>
                      <w:sz w:val="21"/>
                      <w:szCs w:val="21"/>
                      <w:highlight w:val="none"/>
                    </w:rPr>
                    <w:t>100%</w:t>
                  </w:r>
                </w:p>
              </w:tc>
              <w:tc>
                <w:tcPr>
                  <w:tcW w:w="850" w:type="dxa"/>
                  <w:vAlign w:val="center"/>
                </w:tcPr>
                <w:p>
                  <w:pPr>
                    <w:adjustRightInd w:val="0"/>
                    <w:snapToGrid w:val="0"/>
                    <w:jc w:val="center"/>
                    <w:rPr>
                      <w:color w:val="auto"/>
                      <w:sz w:val="21"/>
                      <w:szCs w:val="21"/>
                      <w:highlight w:val="none"/>
                    </w:rPr>
                  </w:pPr>
                  <w:r>
                    <w:rPr>
                      <w:rFonts w:hint="eastAsia"/>
                      <w:color w:val="auto"/>
                      <w:sz w:val="21"/>
                      <w:szCs w:val="21"/>
                      <w:highlight w:val="none"/>
                    </w:rPr>
                    <w:t>/</w:t>
                  </w:r>
                </w:p>
              </w:tc>
              <w:tc>
                <w:tcPr>
                  <w:tcW w:w="2854" w:type="dxa"/>
                  <w:vMerge w:val="restart"/>
                  <w:vAlign w:val="center"/>
                </w:tcPr>
                <w:p>
                  <w:pPr>
                    <w:adjustRightInd w:val="0"/>
                    <w:snapToGrid w:val="0"/>
                    <w:jc w:val="center"/>
                    <w:rPr>
                      <w:color w:val="auto"/>
                      <w:sz w:val="21"/>
                      <w:szCs w:val="21"/>
                      <w:highlight w:val="none"/>
                    </w:rPr>
                  </w:pPr>
                  <w:r>
                    <w:rPr>
                      <w:rFonts w:hint="eastAsia"/>
                      <w:color w:val="auto"/>
                      <w:sz w:val="21"/>
                      <w:szCs w:val="21"/>
                      <w:highlight w:val="none"/>
                    </w:rPr>
                    <w:t>危险废物贮存执行《危险废物贮存污染控制标准》（</w:t>
                  </w:r>
                  <w:r>
                    <w:rPr>
                      <w:color w:val="auto"/>
                      <w:sz w:val="21"/>
                      <w:szCs w:val="21"/>
                      <w:highlight w:val="none"/>
                    </w:rPr>
                    <w:t>GB18597-2001</w:t>
                  </w:r>
                  <w:r>
                    <w:rPr>
                      <w:rFonts w:hint="eastAsia"/>
                      <w:color w:val="auto"/>
                      <w:sz w:val="21"/>
                      <w:szCs w:val="21"/>
                      <w:highlight w:val="none"/>
                    </w:rPr>
                    <w:t>）（</w:t>
                  </w:r>
                  <w:r>
                    <w:rPr>
                      <w:color w:val="auto"/>
                      <w:sz w:val="21"/>
                      <w:szCs w:val="21"/>
                      <w:highlight w:val="none"/>
                    </w:rPr>
                    <w:t>2013</w:t>
                  </w:r>
                  <w:r>
                    <w:rPr>
                      <w:rFonts w:hint="eastAsia"/>
                      <w:color w:val="auto"/>
                      <w:sz w:val="21"/>
                      <w:szCs w:val="21"/>
                      <w:highlight w:val="none"/>
                    </w:rPr>
                    <w:t>年修改单）。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center"/>
                </w:tcPr>
                <w:p>
                  <w:pPr>
                    <w:adjustRightInd w:val="0"/>
                    <w:snapToGrid w:val="0"/>
                    <w:jc w:val="center"/>
                    <w:rPr>
                      <w:color w:val="auto"/>
                      <w:sz w:val="21"/>
                      <w:szCs w:val="21"/>
                      <w:highlight w:val="none"/>
                    </w:rPr>
                  </w:pPr>
                </w:p>
              </w:tc>
              <w:tc>
                <w:tcPr>
                  <w:tcW w:w="868" w:type="dxa"/>
                  <w:vAlign w:val="center"/>
                </w:tcPr>
                <w:p>
                  <w:pPr>
                    <w:jc w:val="center"/>
                    <w:rPr>
                      <w:color w:val="auto"/>
                      <w:sz w:val="21"/>
                      <w:szCs w:val="21"/>
                      <w:highlight w:val="none"/>
                    </w:rPr>
                  </w:pPr>
                  <w:r>
                    <w:rPr>
                      <w:rFonts w:hint="eastAsia"/>
                      <w:color w:val="auto"/>
                      <w:sz w:val="21"/>
                      <w:szCs w:val="21"/>
                      <w:highlight w:val="none"/>
                    </w:rPr>
                    <w:t>生产</w:t>
                  </w:r>
                </w:p>
              </w:tc>
              <w:tc>
                <w:tcPr>
                  <w:tcW w:w="848" w:type="dxa"/>
                  <w:vAlign w:val="center"/>
                </w:tcPr>
                <w:p>
                  <w:pPr>
                    <w:jc w:val="center"/>
                    <w:rPr>
                      <w:color w:val="auto"/>
                      <w:sz w:val="21"/>
                      <w:szCs w:val="21"/>
                      <w:highlight w:val="none"/>
                    </w:rPr>
                  </w:pPr>
                  <w:r>
                    <w:rPr>
                      <w:rFonts w:hint="eastAsia"/>
                      <w:color w:val="auto"/>
                      <w:sz w:val="21"/>
                      <w:szCs w:val="21"/>
                      <w:highlight w:val="none"/>
                    </w:rPr>
                    <w:t>废油墨桶</w:t>
                  </w:r>
                </w:p>
              </w:tc>
              <w:tc>
                <w:tcPr>
                  <w:tcW w:w="1843" w:type="dxa"/>
                  <w:vAlign w:val="center"/>
                </w:tcPr>
                <w:p>
                  <w:pPr>
                    <w:snapToGrid w:val="0"/>
                    <w:jc w:val="center"/>
                    <w:rPr>
                      <w:color w:val="auto"/>
                      <w:sz w:val="21"/>
                      <w:szCs w:val="21"/>
                      <w:highlight w:val="none"/>
                    </w:rPr>
                  </w:pPr>
                  <w:r>
                    <w:rPr>
                      <w:rFonts w:hint="eastAsia"/>
                      <w:color w:val="auto"/>
                      <w:sz w:val="21"/>
                      <w:szCs w:val="21"/>
                      <w:highlight w:val="none"/>
                    </w:rPr>
                    <w:t>危废暂存桶放于危废暂存间</w:t>
                  </w:r>
                </w:p>
              </w:tc>
              <w:tc>
                <w:tcPr>
                  <w:tcW w:w="709" w:type="dxa"/>
                  <w:vAlign w:val="center"/>
                </w:tcPr>
                <w:p>
                  <w:pPr>
                    <w:adjustRightInd w:val="0"/>
                    <w:snapToGrid w:val="0"/>
                    <w:jc w:val="center"/>
                    <w:rPr>
                      <w:color w:val="auto"/>
                      <w:sz w:val="21"/>
                      <w:szCs w:val="21"/>
                      <w:highlight w:val="none"/>
                    </w:rPr>
                  </w:pPr>
                  <w:r>
                    <w:rPr>
                      <w:rFonts w:hint="eastAsia"/>
                      <w:color w:val="auto"/>
                      <w:sz w:val="21"/>
                      <w:szCs w:val="21"/>
                      <w:highlight w:val="none"/>
                    </w:rPr>
                    <w:t>100%</w:t>
                  </w:r>
                </w:p>
              </w:tc>
              <w:tc>
                <w:tcPr>
                  <w:tcW w:w="850" w:type="dxa"/>
                  <w:vAlign w:val="center"/>
                </w:tcPr>
                <w:p>
                  <w:pPr>
                    <w:adjustRightInd w:val="0"/>
                    <w:snapToGrid w:val="0"/>
                    <w:jc w:val="center"/>
                    <w:rPr>
                      <w:color w:val="auto"/>
                      <w:sz w:val="21"/>
                      <w:szCs w:val="21"/>
                      <w:highlight w:val="none"/>
                    </w:rPr>
                  </w:pPr>
                  <w:r>
                    <w:rPr>
                      <w:rFonts w:hint="eastAsia"/>
                      <w:color w:val="auto"/>
                      <w:sz w:val="21"/>
                      <w:szCs w:val="21"/>
                      <w:highlight w:val="none"/>
                    </w:rPr>
                    <w:t>/</w:t>
                  </w:r>
                </w:p>
              </w:tc>
              <w:tc>
                <w:tcPr>
                  <w:tcW w:w="2854" w:type="dxa"/>
                  <w:vMerge w:val="continue"/>
                  <w:vAlign w:val="center"/>
                </w:tcPr>
                <w:p>
                  <w:pPr>
                    <w:adjustRightInd w:val="0"/>
                    <w:snapToGrid w:val="0"/>
                    <w:jc w:val="center"/>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center"/>
                </w:tcPr>
                <w:p>
                  <w:pPr>
                    <w:adjustRightInd w:val="0"/>
                    <w:snapToGrid w:val="0"/>
                    <w:jc w:val="center"/>
                    <w:rPr>
                      <w:color w:val="auto"/>
                      <w:sz w:val="21"/>
                      <w:szCs w:val="21"/>
                      <w:highlight w:val="none"/>
                    </w:rPr>
                  </w:pPr>
                </w:p>
              </w:tc>
              <w:tc>
                <w:tcPr>
                  <w:tcW w:w="868" w:type="dxa"/>
                  <w:vAlign w:val="center"/>
                </w:tcPr>
                <w:p>
                  <w:pPr>
                    <w:jc w:val="center"/>
                    <w:rPr>
                      <w:color w:val="auto"/>
                      <w:sz w:val="21"/>
                      <w:szCs w:val="21"/>
                      <w:highlight w:val="none"/>
                    </w:rPr>
                  </w:pPr>
                  <w:r>
                    <w:rPr>
                      <w:rFonts w:hint="eastAsia"/>
                      <w:color w:val="auto"/>
                      <w:sz w:val="21"/>
                      <w:szCs w:val="21"/>
                      <w:highlight w:val="none"/>
                    </w:rPr>
                    <w:t>设备 养护</w:t>
                  </w:r>
                </w:p>
              </w:tc>
              <w:tc>
                <w:tcPr>
                  <w:tcW w:w="848" w:type="dxa"/>
                  <w:vAlign w:val="center"/>
                </w:tcPr>
                <w:p>
                  <w:pPr>
                    <w:jc w:val="center"/>
                    <w:rPr>
                      <w:color w:val="auto"/>
                      <w:sz w:val="21"/>
                      <w:szCs w:val="21"/>
                      <w:highlight w:val="none"/>
                    </w:rPr>
                  </w:pPr>
                  <w:r>
                    <w:rPr>
                      <w:rFonts w:hint="eastAsia"/>
                      <w:color w:val="auto"/>
                      <w:sz w:val="21"/>
                      <w:szCs w:val="21"/>
                      <w:highlight w:val="none"/>
                    </w:rPr>
                    <w:t>废机油</w:t>
                  </w:r>
                </w:p>
              </w:tc>
              <w:tc>
                <w:tcPr>
                  <w:tcW w:w="1843" w:type="dxa"/>
                  <w:vAlign w:val="center"/>
                </w:tcPr>
                <w:p>
                  <w:pPr>
                    <w:snapToGrid w:val="0"/>
                    <w:jc w:val="center"/>
                    <w:rPr>
                      <w:color w:val="auto"/>
                      <w:sz w:val="21"/>
                      <w:szCs w:val="21"/>
                      <w:highlight w:val="none"/>
                    </w:rPr>
                  </w:pPr>
                  <w:r>
                    <w:rPr>
                      <w:rFonts w:hint="eastAsia"/>
                      <w:color w:val="auto"/>
                      <w:sz w:val="21"/>
                      <w:szCs w:val="21"/>
                      <w:highlight w:val="none"/>
                    </w:rPr>
                    <w:t>危废暂存桶放于危废暂存间</w:t>
                  </w:r>
                </w:p>
              </w:tc>
              <w:tc>
                <w:tcPr>
                  <w:tcW w:w="709" w:type="dxa"/>
                  <w:vAlign w:val="center"/>
                </w:tcPr>
                <w:p>
                  <w:pPr>
                    <w:adjustRightInd w:val="0"/>
                    <w:snapToGrid w:val="0"/>
                    <w:jc w:val="center"/>
                    <w:rPr>
                      <w:color w:val="auto"/>
                      <w:sz w:val="21"/>
                      <w:szCs w:val="21"/>
                      <w:highlight w:val="none"/>
                    </w:rPr>
                  </w:pPr>
                  <w:r>
                    <w:rPr>
                      <w:rFonts w:hint="eastAsia"/>
                      <w:color w:val="auto"/>
                      <w:sz w:val="21"/>
                      <w:szCs w:val="21"/>
                      <w:highlight w:val="none"/>
                    </w:rPr>
                    <w:t>100%</w:t>
                  </w:r>
                </w:p>
              </w:tc>
              <w:tc>
                <w:tcPr>
                  <w:tcW w:w="850" w:type="dxa"/>
                  <w:vAlign w:val="center"/>
                </w:tcPr>
                <w:p>
                  <w:pPr>
                    <w:adjustRightInd w:val="0"/>
                    <w:snapToGrid w:val="0"/>
                    <w:jc w:val="center"/>
                    <w:rPr>
                      <w:color w:val="auto"/>
                      <w:sz w:val="21"/>
                      <w:szCs w:val="21"/>
                      <w:highlight w:val="none"/>
                    </w:rPr>
                  </w:pPr>
                  <w:r>
                    <w:rPr>
                      <w:rFonts w:hint="eastAsia"/>
                      <w:color w:val="auto"/>
                      <w:sz w:val="21"/>
                      <w:szCs w:val="21"/>
                      <w:highlight w:val="none"/>
                    </w:rPr>
                    <w:t>/</w:t>
                  </w:r>
                </w:p>
              </w:tc>
              <w:tc>
                <w:tcPr>
                  <w:tcW w:w="2854" w:type="dxa"/>
                  <w:vMerge w:val="continue"/>
                  <w:vAlign w:val="center"/>
                </w:tcPr>
                <w:p>
                  <w:pPr>
                    <w:adjustRightInd w:val="0"/>
                    <w:snapToGrid w:val="0"/>
                    <w:jc w:val="center"/>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center"/>
                </w:tcPr>
                <w:p>
                  <w:pPr>
                    <w:adjustRightInd w:val="0"/>
                    <w:snapToGrid w:val="0"/>
                    <w:jc w:val="center"/>
                    <w:rPr>
                      <w:color w:val="auto"/>
                      <w:sz w:val="21"/>
                      <w:szCs w:val="21"/>
                      <w:highlight w:val="none"/>
                    </w:rPr>
                  </w:pPr>
                </w:p>
              </w:tc>
              <w:tc>
                <w:tcPr>
                  <w:tcW w:w="868" w:type="dxa"/>
                  <w:vAlign w:val="center"/>
                </w:tcPr>
                <w:p>
                  <w:pPr>
                    <w:jc w:val="center"/>
                    <w:rPr>
                      <w:color w:val="auto"/>
                      <w:sz w:val="21"/>
                      <w:szCs w:val="21"/>
                      <w:highlight w:val="none"/>
                    </w:rPr>
                  </w:pPr>
                  <w:r>
                    <w:rPr>
                      <w:rFonts w:hint="eastAsia"/>
                      <w:color w:val="auto"/>
                      <w:sz w:val="21"/>
                      <w:szCs w:val="21"/>
                      <w:highlight w:val="none"/>
                    </w:rPr>
                    <w:t>生产</w:t>
                  </w:r>
                </w:p>
              </w:tc>
              <w:tc>
                <w:tcPr>
                  <w:tcW w:w="848" w:type="dxa"/>
                  <w:vAlign w:val="center"/>
                </w:tcPr>
                <w:p>
                  <w:pPr>
                    <w:jc w:val="center"/>
                    <w:rPr>
                      <w:color w:val="auto"/>
                      <w:sz w:val="21"/>
                      <w:szCs w:val="21"/>
                      <w:highlight w:val="none"/>
                    </w:rPr>
                  </w:pPr>
                  <w:r>
                    <w:rPr>
                      <w:rFonts w:hint="eastAsia"/>
                      <w:color w:val="auto"/>
                      <w:sz w:val="21"/>
                      <w:szCs w:val="21"/>
                      <w:highlight w:val="none"/>
                    </w:rPr>
                    <w:t>废洗辊液</w:t>
                  </w:r>
                </w:p>
              </w:tc>
              <w:tc>
                <w:tcPr>
                  <w:tcW w:w="1843" w:type="dxa"/>
                  <w:vAlign w:val="center"/>
                </w:tcPr>
                <w:p>
                  <w:pPr>
                    <w:snapToGrid w:val="0"/>
                    <w:jc w:val="center"/>
                    <w:rPr>
                      <w:color w:val="auto"/>
                      <w:sz w:val="21"/>
                      <w:szCs w:val="21"/>
                      <w:highlight w:val="none"/>
                    </w:rPr>
                  </w:pPr>
                  <w:r>
                    <w:rPr>
                      <w:rFonts w:hint="eastAsia"/>
                      <w:color w:val="auto"/>
                      <w:sz w:val="21"/>
                      <w:szCs w:val="21"/>
                      <w:highlight w:val="none"/>
                    </w:rPr>
                    <w:t>危废暂存桶放于危废暂存间</w:t>
                  </w:r>
                </w:p>
              </w:tc>
              <w:tc>
                <w:tcPr>
                  <w:tcW w:w="709" w:type="dxa"/>
                  <w:vAlign w:val="center"/>
                </w:tcPr>
                <w:p>
                  <w:pPr>
                    <w:adjustRightInd w:val="0"/>
                    <w:snapToGrid w:val="0"/>
                    <w:jc w:val="center"/>
                    <w:rPr>
                      <w:color w:val="auto"/>
                      <w:sz w:val="21"/>
                      <w:szCs w:val="21"/>
                      <w:highlight w:val="none"/>
                    </w:rPr>
                  </w:pPr>
                  <w:r>
                    <w:rPr>
                      <w:rFonts w:hint="eastAsia"/>
                      <w:color w:val="auto"/>
                      <w:sz w:val="21"/>
                      <w:szCs w:val="21"/>
                      <w:highlight w:val="none"/>
                    </w:rPr>
                    <w:t>100%</w:t>
                  </w:r>
                </w:p>
              </w:tc>
              <w:tc>
                <w:tcPr>
                  <w:tcW w:w="850" w:type="dxa"/>
                  <w:vAlign w:val="center"/>
                </w:tcPr>
                <w:p>
                  <w:pPr>
                    <w:adjustRightInd w:val="0"/>
                    <w:snapToGrid w:val="0"/>
                    <w:jc w:val="center"/>
                    <w:rPr>
                      <w:color w:val="auto"/>
                      <w:sz w:val="21"/>
                      <w:szCs w:val="21"/>
                      <w:highlight w:val="none"/>
                    </w:rPr>
                  </w:pPr>
                  <w:r>
                    <w:rPr>
                      <w:rFonts w:hint="eastAsia"/>
                      <w:color w:val="auto"/>
                      <w:sz w:val="21"/>
                      <w:szCs w:val="21"/>
                      <w:highlight w:val="none"/>
                    </w:rPr>
                    <w:t>/</w:t>
                  </w:r>
                </w:p>
              </w:tc>
              <w:tc>
                <w:tcPr>
                  <w:tcW w:w="2854" w:type="dxa"/>
                  <w:vMerge w:val="continue"/>
                  <w:vAlign w:val="center"/>
                </w:tcPr>
                <w:p>
                  <w:pPr>
                    <w:adjustRightInd w:val="0"/>
                    <w:snapToGrid w:val="0"/>
                    <w:jc w:val="center"/>
                    <w:rPr>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79" w:type="dxa"/>
                  <w:vMerge w:val="continue"/>
                  <w:vAlign w:val="center"/>
                </w:tcPr>
                <w:p>
                  <w:pPr>
                    <w:adjustRightInd w:val="0"/>
                    <w:snapToGrid w:val="0"/>
                    <w:jc w:val="center"/>
                    <w:rPr>
                      <w:color w:val="auto"/>
                      <w:sz w:val="21"/>
                      <w:szCs w:val="21"/>
                      <w:highlight w:val="none"/>
                    </w:rPr>
                  </w:pPr>
                </w:p>
              </w:tc>
              <w:tc>
                <w:tcPr>
                  <w:tcW w:w="868" w:type="dxa"/>
                  <w:vAlign w:val="center"/>
                </w:tcPr>
                <w:p>
                  <w:pPr>
                    <w:jc w:val="center"/>
                    <w:rPr>
                      <w:color w:val="auto"/>
                      <w:sz w:val="21"/>
                      <w:szCs w:val="21"/>
                      <w:highlight w:val="none"/>
                    </w:rPr>
                  </w:pPr>
                  <w:r>
                    <w:rPr>
                      <w:rFonts w:hint="eastAsia"/>
                      <w:color w:val="auto"/>
                      <w:sz w:val="21"/>
                      <w:szCs w:val="21"/>
                      <w:highlight w:val="none"/>
                    </w:rPr>
                    <w:t>废气处理</w:t>
                  </w:r>
                </w:p>
              </w:tc>
              <w:tc>
                <w:tcPr>
                  <w:tcW w:w="848" w:type="dxa"/>
                  <w:vAlign w:val="center"/>
                </w:tcPr>
                <w:p>
                  <w:pPr>
                    <w:jc w:val="center"/>
                    <w:rPr>
                      <w:color w:val="auto"/>
                      <w:sz w:val="21"/>
                      <w:szCs w:val="21"/>
                      <w:highlight w:val="none"/>
                    </w:rPr>
                  </w:pPr>
                  <w:r>
                    <w:rPr>
                      <w:rFonts w:hint="eastAsia"/>
                      <w:color w:val="auto"/>
                      <w:sz w:val="21"/>
                      <w:szCs w:val="21"/>
                      <w:highlight w:val="none"/>
                    </w:rPr>
                    <w:t>废活性炭</w:t>
                  </w:r>
                </w:p>
              </w:tc>
              <w:tc>
                <w:tcPr>
                  <w:tcW w:w="1843" w:type="dxa"/>
                  <w:vAlign w:val="center"/>
                </w:tcPr>
                <w:p>
                  <w:pPr>
                    <w:snapToGrid w:val="0"/>
                    <w:jc w:val="center"/>
                    <w:rPr>
                      <w:color w:val="auto"/>
                      <w:sz w:val="21"/>
                      <w:szCs w:val="21"/>
                      <w:highlight w:val="none"/>
                    </w:rPr>
                  </w:pPr>
                  <w:r>
                    <w:rPr>
                      <w:rFonts w:hint="eastAsia"/>
                      <w:color w:val="auto"/>
                      <w:sz w:val="21"/>
                      <w:szCs w:val="21"/>
                      <w:highlight w:val="none"/>
                    </w:rPr>
                    <w:t>危废暂存桶放于危废暂存间</w:t>
                  </w:r>
                </w:p>
              </w:tc>
              <w:tc>
                <w:tcPr>
                  <w:tcW w:w="709" w:type="dxa"/>
                  <w:vAlign w:val="center"/>
                </w:tcPr>
                <w:p>
                  <w:pPr>
                    <w:adjustRightInd w:val="0"/>
                    <w:snapToGrid w:val="0"/>
                    <w:jc w:val="center"/>
                    <w:rPr>
                      <w:color w:val="auto"/>
                      <w:sz w:val="21"/>
                      <w:szCs w:val="21"/>
                      <w:highlight w:val="none"/>
                    </w:rPr>
                  </w:pPr>
                  <w:r>
                    <w:rPr>
                      <w:rFonts w:hint="eastAsia"/>
                      <w:color w:val="auto"/>
                      <w:sz w:val="21"/>
                      <w:szCs w:val="21"/>
                      <w:highlight w:val="none"/>
                    </w:rPr>
                    <w:t>100%</w:t>
                  </w:r>
                </w:p>
              </w:tc>
              <w:tc>
                <w:tcPr>
                  <w:tcW w:w="850" w:type="dxa"/>
                  <w:vAlign w:val="center"/>
                </w:tcPr>
                <w:p>
                  <w:pPr>
                    <w:adjustRightInd w:val="0"/>
                    <w:snapToGrid w:val="0"/>
                    <w:jc w:val="center"/>
                    <w:rPr>
                      <w:color w:val="auto"/>
                      <w:sz w:val="21"/>
                      <w:szCs w:val="21"/>
                      <w:highlight w:val="none"/>
                    </w:rPr>
                  </w:pPr>
                  <w:r>
                    <w:rPr>
                      <w:rFonts w:hint="eastAsia"/>
                      <w:color w:val="auto"/>
                      <w:sz w:val="21"/>
                      <w:szCs w:val="21"/>
                      <w:highlight w:val="none"/>
                    </w:rPr>
                    <w:t>/</w:t>
                  </w:r>
                </w:p>
              </w:tc>
              <w:tc>
                <w:tcPr>
                  <w:tcW w:w="2854" w:type="dxa"/>
                  <w:vMerge w:val="continue"/>
                  <w:vAlign w:val="center"/>
                </w:tcPr>
                <w:p>
                  <w:pPr>
                    <w:adjustRightInd w:val="0"/>
                    <w:snapToGrid w:val="0"/>
                    <w:jc w:val="center"/>
                    <w:rPr>
                      <w:color w:val="auto"/>
                      <w:sz w:val="21"/>
                      <w:szCs w:val="21"/>
                      <w:highlight w:val="none"/>
                    </w:rPr>
                  </w:pPr>
                </w:p>
              </w:tc>
            </w:tr>
          </w:tbl>
          <w:p>
            <w:pPr>
              <w:spacing w:line="360" w:lineRule="auto"/>
              <w:rPr>
                <w:rFonts w:eastAsia="黑体"/>
                <w:bCs/>
                <w:color w:val="auto"/>
                <w:sz w:val="24"/>
                <w:highlight w:val="none"/>
              </w:rPr>
            </w:pPr>
          </w:p>
        </w:tc>
      </w:tr>
    </w:tbl>
    <w:p>
      <w:pPr>
        <w:rPr>
          <w:rFonts w:eastAsia="黑体"/>
          <w:color w:val="auto"/>
          <w:highlight w:val="none"/>
        </w:rPr>
      </w:pPr>
    </w:p>
    <w:p>
      <w:pPr>
        <w:rPr>
          <w:rFonts w:eastAsia="黑体"/>
          <w:color w:val="auto"/>
          <w:highlight w:val="none"/>
        </w:rPr>
        <w:sectPr>
          <w:pgSz w:w="11906" w:h="16838"/>
          <w:pgMar w:top="1440" w:right="1418" w:bottom="873" w:left="1797" w:header="851" w:footer="992" w:gutter="0"/>
          <w:cols w:space="720" w:num="1"/>
          <w:docGrid w:linePitch="381" w:charSpace="0"/>
        </w:sectPr>
      </w:pPr>
    </w:p>
    <w:p>
      <w:pPr>
        <w:rPr>
          <w:rFonts w:eastAsia="黑体"/>
          <w:color w:val="auto"/>
          <w:highlight w:val="none"/>
        </w:rPr>
      </w:pPr>
      <w:r>
        <w:rPr>
          <w:rFonts w:eastAsia="黑体"/>
          <w:color w:val="auto"/>
          <w:highlight w:val="none"/>
        </w:rPr>
        <w:t>9 建设项目拟采取的防治措施及预期治理效果</w:t>
      </w:r>
    </w:p>
    <w:tbl>
      <w:tblPr>
        <w:tblStyle w:val="2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27"/>
        <w:gridCol w:w="1249"/>
        <w:gridCol w:w="1499"/>
        <w:gridCol w:w="2896"/>
        <w:gridCol w:w="21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1" w:hRule="atLeast"/>
          <w:jc w:val="center"/>
        </w:trPr>
        <w:tc>
          <w:tcPr>
            <w:tcW w:w="1127" w:type="dxa"/>
            <w:tcBorders>
              <w:tl2br w:val="single" w:color="auto" w:sz="4" w:space="0"/>
            </w:tcBorders>
            <w:vAlign w:val="center"/>
          </w:tcPr>
          <w:p>
            <w:pPr>
              <w:jc w:val="center"/>
              <w:rPr>
                <w:color w:val="auto"/>
                <w:sz w:val="24"/>
                <w:highlight w:val="none"/>
              </w:rPr>
            </w:pPr>
            <w:r>
              <w:rPr>
                <w:color w:val="auto"/>
                <w:sz w:val="24"/>
                <w:highlight w:val="none"/>
              </w:rPr>
              <w:t xml:space="preserve">  内容</w:t>
            </w:r>
          </w:p>
          <w:p>
            <w:pPr>
              <w:rPr>
                <w:color w:val="auto"/>
                <w:sz w:val="24"/>
                <w:highlight w:val="none"/>
              </w:rPr>
            </w:pPr>
            <w:r>
              <w:rPr>
                <w:color w:val="auto"/>
                <w:sz w:val="24"/>
                <w:highlight w:val="none"/>
              </w:rPr>
              <w:t>类型</w:t>
            </w:r>
          </w:p>
        </w:tc>
        <w:tc>
          <w:tcPr>
            <w:tcW w:w="1249" w:type="dxa"/>
            <w:vAlign w:val="center"/>
          </w:tcPr>
          <w:p>
            <w:pPr>
              <w:jc w:val="center"/>
              <w:rPr>
                <w:color w:val="auto"/>
                <w:sz w:val="24"/>
                <w:highlight w:val="none"/>
              </w:rPr>
            </w:pPr>
            <w:r>
              <w:rPr>
                <w:color w:val="auto"/>
                <w:sz w:val="24"/>
                <w:highlight w:val="none"/>
              </w:rPr>
              <w:t>排放源</w:t>
            </w:r>
          </w:p>
          <w:p>
            <w:pPr>
              <w:jc w:val="center"/>
              <w:rPr>
                <w:color w:val="auto"/>
                <w:sz w:val="24"/>
                <w:highlight w:val="none"/>
              </w:rPr>
            </w:pPr>
            <w:r>
              <w:rPr>
                <w:color w:val="auto"/>
                <w:sz w:val="24"/>
                <w:highlight w:val="none"/>
              </w:rPr>
              <w:t>(编号)</w:t>
            </w:r>
          </w:p>
        </w:tc>
        <w:tc>
          <w:tcPr>
            <w:tcW w:w="1499" w:type="dxa"/>
            <w:vAlign w:val="center"/>
          </w:tcPr>
          <w:p>
            <w:pPr>
              <w:jc w:val="center"/>
              <w:rPr>
                <w:color w:val="auto"/>
                <w:sz w:val="24"/>
                <w:highlight w:val="none"/>
              </w:rPr>
            </w:pPr>
            <w:r>
              <w:rPr>
                <w:color w:val="auto"/>
                <w:sz w:val="24"/>
                <w:highlight w:val="none"/>
              </w:rPr>
              <w:t>污染物</w:t>
            </w:r>
          </w:p>
          <w:p>
            <w:pPr>
              <w:jc w:val="center"/>
              <w:rPr>
                <w:color w:val="auto"/>
                <w:sz w:val="24"/>
                <w:highlight w:val="none"/>
              </w:rPr>
            </w:pPr>
            <w:r>
              <w:rPr>
                <w:color w:val="auto"/>
                <w:sz w:val="24"/>
                <w:highlight w:val="none"/>
              </w:rPr>
              <w:t>名称</w:t>
            </w:r>
          </w:p>
        </w:tc>
        <w:tc>
          <w:tcPr>
            <w:tcW w:w="2896" w:type="dxa"/>
            <w:vAlign w:val="center"/>
          </w:tcPr>
          <w:p>
            <w:pPr>
              <w:jc w:val="center"/>
              <w:rPr>
                <w:color w:val="auto"/>
                <w:sz w:val="24"/>
                <w:highlight w:val="none"/>
              </w:rPr>
            </w:pPr>
            <w:r>
              <w:rPr>
                <w:color w:val="auto"/>
                <w:sz w:val="24"/>
                <w:highlight w:val="none"/>
              </w:rPr>
              <w:t>防治措施</w:t>
            </w:r>
          </w:p>
        </w:tc>
        <w:tc>
          <w:tcPr>
            <w:tcW w:w="2136" w:type="dxa"/>
            <w:vAlign w:val="center"/>
          </w:tcPr>
          <w:p>
            <w:pPr>
              <w:jc w:val="center"/>
              <w:rPr>
                <w:color w:val="auto"/>
                <w:sz w:val="24"/>
                <w:highlight w:val="none"/>
              </w:rPr>
            </w:pPr>
            <w:r>
              <w:rPr>
                <w:color w:val="auto"/>
                <w:sz w:val="24"/>
                <w:highlight w:val="none"/>
              </w:rPr>
              <w:t>预期治理效果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49" w:hRule="atLeast"/>
          <w:jc w:val="center"/>
        </w:trPr>
        <w:tc>
          <w:tcPr>
            <w:tcW w:w="1127" w:type="dxa"/>
            <w:vAlign w:val="center"/>
          </w:tcPr>
          <w:p>
            <w:pPr>
              <w:spacing w:line="360" w:lineRule="auto"/>
              <w:jc w:val="center"/>
              <w:rPr>
                <w:color w:val="auto"/>
                <w:sz w:val="24"/>
                <w:highlight w:val="none"/>
              </w:rPr>
            </w:pPr>
            <w:r>
              <w:rPr>
                <w:color w:val="auto"/>
                <w:sz w:val="24"/>
                <w:highlight w:val="none"/>
              </w:rPr>
              <w:t>大</w:t>
            </w:r>
          </w:p>
          <w:p>
            <w:pPr>
              <w:spacing w:line="360" w:lineRule="auto"/>
              <w:jc w:val="center"/>
              <w:rPr>
                <w:color w:val="auto"/>
                <w:sz w:val="24"/>
                <w:highlight w:val="none"/>
              </w:rPr>
            </w:pPr>
            <w:r>
              <w:rPr>
                <w:color w:val="auto"/>
                <w:sz w:val="24"/>
                <w:highlight w:val="none"/>
              </w:rPr>
              <w:t>气</w:t>
            </w:r>
          </w:p>
          <w:p>
            <w:pPr>
              <w:spacing w:line="360" w:lineRule="auto"/>
              <w:jc w:val="center"/>
              <w:rPr>
                <w:color w:val="auto"/>
                <w:sz w:val="24"/>
                <w:highlight w:val="none"/>
              </w:rPr>
            </w:pPr>
            <w:r>
              <w:rPr>
                <w:color w:val="auto"/>
                <w:sz w:val="24"/>
                <w:highlight w:val="none"/>
              </w:rPr>
              <w:t>污</w:t>
            </w:r>
          </w:p>
          <w:p>
            <w:pPr>
              <w:spacing w:line="360" w:lineRule="auto"/>
              <w:jc w:val="center"/>
              <w:rPr>
                <w:color w:val="auto"/>
                <w:sz w:val="24"/>
                <w:highlight w:val="none"/>
              </w:rPr>
            </w:pPr>
            <w:r>
              <w:rPr>
                <w:color w:val="auto"/>
                <w:sz w:val="24"/>
                <w:highlight w:val="none"/>
              </w:rPr>
              <w:t>染</w:t>
            </w:r>
          </w:p>
          <w:p>
            <w:pPr>
              <w:spacing w:line="360" w:lineRule="auto"/>
              <w:jc w:val="center"/>
              <w:rPr>
                <w:color w:val="auto"/>
                <w:sz w:val="24"/>
                <w:highlight w:val="none"/>
              </w:rPr>
            </w:pPr>
            <w:r>
              <w:rPr>
                <w:color w:val="auto"/>
                <w:sz w:val="24"/>
                <w:highlight w:val="none"/>
              </w:rPr>
              <w:t>物</w:t>
            </w:r>
          </w:p>
        </w:tc>
        <w:tc>
          <w:tcPr>
            <w:tcW w:w="1249" w:type="dxa"/>
            <w:vAlign w:val="center"/>
          </w:tcPr>
          <w:p>
            <w:pPr>
              <w:jc w:val="center"/>
              <w:rPr>
                <w:color w:val="auto"/>
                <w:sz w:val="24"/>
                <w:highlight w:val="none"/>
              </w:rPr>
            </w:pPr>
            <w:r>
              <w:rPr>
                <w:rFonts w:hint="eastAsia"/>
                <w:color w:val="auto"/>
                <w:sz w:val="24"/>
                <w:highlight w:val="none"/>
              </w:rPr>
              <w:t>排气筒</w:t>
            </w:r>
          </w:p>
        </w:tc>
        <w:tc>
          <w:tcPr>
            <w:tcW w:w="1499" w:type="dxa"/>
            <w:vAlign w:val="center"/>
          </w:tcPr>
          <w:p>
            <w:pPr>
              <w:jc w:val="center"/>
              <w:rPr>
                <w:color w:val="auto"/>
                <w:sz w:val="24"/>
                <w:highlight w:val="none"/>
              </w:rPr>
            </w:pPr>
            <w:r>
              <w:rPr>
                <w:rFonts w:hint="eastAsia"/>
                <w:color w:val="auto"/>
                <w:sz w:val="24"/>
                <w:highlight w:val="none"/>
              </w:rPr>
              <w:t>VOCs</w:t>
            </w:r>
          </w:p>
        </w:tc>
        <w:tc>
          <w:tcPr>
            <w:tcW w:w="2896" w:type="dxa"/>
            <w:vAlign w:val="center"/>
          </w:tcPr>
          <w:p>
            <w:pPr>
              <w:jc w:val="center"/>
              <w:rPr>
                <w:color w:val="auto"/>
                <w:sz w:val="24"/>
                <w:highlight w:val="none"/>
              </w:rPr>
            </w:pPr>
            <w:r>
              <w:rPr>
                <w:rFonts w:hint="eastAsia"/>
                <w:color w:val="auto"/>
                <w:sz w:val="21"/>
                <w:szCs w:val="21"/>
                <w:highlight w:val="none"/>
              </w:rPr>
              <w:t>集气罩+UV光催化+活性炭+15m高排气筒</w:t>
            </w:r>
          </w:p>
        </w:tc>
        <w:tc>
          <w:tcPr>
            <w:tcW w:w="2136" w:type="dxa"/>
            <w:vAlign w:val="center"/>
          </w:tcPr>
          <w:p>
            <w:pPr>
              <w:jc w:val="center"/>
              <w:rPr>
                <w:color w:val="auto"/>
                <w:sz w:val="24"/>
                <w:highlight w:val="none"/>
              </w:rPr>
            </w:pPr>
            <w:r>
              <w:rPr>
                <w:color w:val="auto"/>
                <w:sz w:val="24"/>
                <w:highlight w:val="none"/>
              </w:rPr>
              <w:t>达标排放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47" w:hRule="atLeast"/>
          <w:jc w:val="center"/>
        </w:trPr>
        <w:tc>
          <w:tcPr>
            <w:tcW w:w="1127" w:type="dxa"/>
            <w:vAlign w:val="center"/>
          </w:tcPr>
          <w:p>
            <w:pPr>
              <w:spacing w:line="360" w:lineRule="auto"/>
              <w:jc w:val="center"/>
              <w:rPr>
                <w:color w:val="auto"/>
                <w:sz w:val="24"/>
                <w:highlight w:val="none"/>
              </w:rPr>
            </w:pPr>
            <w:r>
              <w:rPr>
                <w:color w:val="auto"/>
                <w:sz w:val="24"/>
                <w:highlight w:val="none"/>
              </w:rPr>
              <w:t>水</w:t>
            </w:r>
          </w:p>
          <w:p>
            <w:pPr>
              <w:spacing w:line="360" w:lineRule="auto"/>
              <w:jc w:val="center"/>
              <w:rPr>
                <w:color w:val="auto"/>
                <w:sz w:val="24"/>
                <w:highlight w:val="none"/>
              </w:rPr>
            </w:pPr>
            <w:r>
              <w:rPr>
                <w:color w:val="auto"/>
                <w:sz w:val="24"/>
                <w:highlight w:val="none"/>
              </w:rPr>
              <w:t>污</w:t>
            </w:r>
          </w:p>
          <w:p>
            <w:pPr>
              <w:spacing w:line="360" w:lineRule="auto"/>
              <w:jc w:val="center"/>
              <w:rPr>
                <w:color w:val="auto"/>
                <w:sz w:val="24"/>
                <w:highlight w:val="none"/>
              </w:rPr>
            </w:pPr>
            <w:r>
              <w:rPr>
                <w:color w:val="auto"/>
                <w:sz w:val="24"/>
                <w:highlight w:val="none"/>
              </w:rPr>
              <w:t>染</w:t>
            </w:r>
          </w:p>
          <w:p>
            <w:pPr>
              <w:spacing w:line="360" w:lineRule="auto"/>
              <w:jc w:val="center"/>
              <w:rPr>
                <w:color w:val="auto"/>
                <w:sz w:val="24"/>
                <w:highlight w:val="none"/>
              </w:rPr>
            </w:pPr>
            <w:r>
              <w:rPr>
                <w:color w:val="auto"/>
                <w:sz w:val="24"/>
                <w:highlight w:val="none"/>
              </w:rPr>
              <w:t>物</w:t>
            </w:r>
          </w:p>
        </w:tc>
        <w:tc>
          <w:tcPr>
            <w:tcW w:w="1249" w:type="dxa"/>
            <w:vAlign w:val="center"/>
          </w:tcPr>
          <w:p>
            <w:pPr>
              <w:jc w:val="center"/>
              <w:rPr>
                <w:color w:val="auto"/>
                <w:sz w:val="24"/>
                <w:highlight w:val="none"/>
              </w:rPr>
            </w:pPr>
            <w:r>
              <w:rPr>
                <w:rFonts w:hint="eastAsia"/>
                <w:color w:val="auto"/>
                <w:sz w:val="24"/>
                <w:highlight w:val="none"/>
              </w:rPr>
              <w:t>职工生活</w:t>
            </w:r>
          </w:p>
        </w:tc>
        <w:tc>
          <w:tcPr>
            <w:tcW w:w="1499" w:type="dxa"/>
            <w:vAlign w:val="center"/>
          </w:tcPr>
          <w:p>
            <w:pPr>
              <w:jc w:val="center"/>
              <w:rPr>
                <w:color w:val="auto"/>
                <w:sz w:val="24"/>
                <w:highlight w:val="none"/>
              </w:rPr>
            </w:pPr>
            <w:r>
              <w:rPr>
                <w:rFonts w:hint="eastAsia"/>
                <w:color w:val="auto"/>
                <w:sz w:val="24"/>
                <w:highlight w:val="none"/>
              </w:rPr>
              <w:t>生活污水</w:t>
            </w:r>
          </w:p>
        </w:tc>
        <w:tc>
          <w:tcPr>
            <w:tcW w:w="2896" w:type="dxa"/>
            <w:vAlign w:val="center"/>
          </w:tcPr>
          <w:p>
            <w:pPr>
              <w:jc w:val="center"/>
              <w:rPr>
                <w:color w:val="auto"/>
                <w:sz w:val="24"/>
                <w:highlight w:val="none"/>
              </w:rPr>
            </w:pPr>
            <w:r>
              <w:rPr>
                <w:rFonts w:hint="eastAsia"/>
                <w:color w:val="auto"/>
                <w:sz w:val="24"/>
                <w:highlight w:val="none"/>
              </w:rPr>
              <w:t>陕西澳利森公司化粪池,经市政污水管网排入西安市第三污水处理厂</w:t>
            </w:r>
          </w:p>
        </w:tc>
        <w:tc>
          <w:tcPr>
            <w:tcW w:w="2136" w:type="dxa"/>
            <w:vAlign w:val="center"/>
          </w:tcPr>
          <w:p>
            <w:pPr>
              <w:snapToGrid w:val="0"/>
              <w:jc w:val="center"/>
              <w:rPr>
                <w:bCs/>
                <w:color w:val="auto"/>
                <w:sz w:val="24"/>
                <w:highlight w:val="none"/>
              </w:rPr>
            </w:pPr>
            <w:r>
              <w:rPr>
                <w:color w:val="auto"/>
                <w:sz w:val="24"/>
                <w:highlight w:val="none"/>
              </w:rPr>
              <w:t>达标排放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9" w:hRule="atLeast"/>
          <w:jc w:val="center"/>
        </w:trPr>
        <w:tc>
          <w:tcPr>
            <w:tcW w:w="1127" w:type="dxa"/>
            <w:vMerge w:val="restart"/>
            <w:vAlign w:val="center"/>
          </w:tcPr>
          <w:p>
            <w:pPr>
              <w:spacing w:line="360" w:lineRule="auto"/>
              <w:jc w:val="center"/>
              <w:rPr>
                <w:color w:val="auto"/>
                <w:sz w:val="24"/>
                <w:highlight w:val="none"/>
              </w:rPr>
            </w:pPr>
            <w:r>
              <w:rPr>
                <w:color w:val="auto"/>
                <w:sz w:val="24"/>
                <w:highlight w:val="none"/>
              </w:rPr>
              <w:t>固</w:t>
            </w:r>
          </w:p>
          <w:p>
            <w:pPr>
              <w:spacing w:line="360" w:lineRule="auto"/>
              <w:jc w:val="center"/>
              <w:rPr>
                <w:color w:val="auto"/>
                <w:sz w:val="24"/>
                <w:highlight w:val="none"/>
              </w:rPr>
            </w:pPr>
            <w:r>
              <w:rPr>
                <w:color w:val="auto"/>
                <w:sz w:val="24"/>
                <w:highlight w:val="none"/>
              </w:rPr>
              <w:t>体</w:t>
            </w:r>
          </w:p>
          <w:p>
            <w:pPr>
              <w:spacing w:line="360" w:lineRule="auto"/>
              <w:jc w:val="center"/>
              <w:rPr>
                <w:color w:val="auto"/>
                <w:sz w:val="24"/>
                <w:highlight w:val="none"/>
              </w:rPr>
            </w:pPr>
            <w:r>
              <w:rPr>
                <w:color w:val="auto"/>
                <w:sz w:val="24"/>
                <w:highlight w:val="none"/>
              </w:rPr>
              <w:t>废</w:t>
            </w:r>
          </w:p>
          <w:p>
            <w:pPr>
              <w:spacing w:line="360" w:lineRule="auto"/>
              <w:jc w:val="center"/>
              <w:rPr>
                <w:color w:val="auto"/>
                <w:sz w:val="24"/>
                <w:highlight w:val="none"/>
              </w:rPr>
            </w:pPr>
            <w:r>
              <w:rPr>
                <w:color w:val="auto"/>
                <w:sz w:val="24"/>
                <w:highlight w:val="none"/>
              </w:rPr>
              <w:t>物</w:t>
            </w:r>
          </w:p>
        </w:tc>
        <w:tc>
          <w:tcPr>
            <w:tcW w:w="1249" w:type="dxa"/>
            <w:vAlign w:val="center"/>
          </w:tcPr>
          <w:p>
            <w:pPr>
              <w:spacing w:line="280" w:lineRule="exact"/>
              <w:jc w:val="center"/>
              <w:rPr>
                <w:color w:val="auto"/>
                <w:sz w:val="21"/>
                <w:szCs w:val="21"/>
                <w:highlight w:val="none"/>
              </w:rPr>
            </w:pPr>
            <w:r>
              <w:rPr>
                <w:rFonts w:hint="eastAsia"/>
                <w:color w:val="auto"/>
                <w:sz w:val="21"/>
                <w:szCs w:val="21"/>
                <w:highlight w:val="none"/>
              </w:rPr>
              <w:t>职工生活</w:t>
            </w:r>
          </w:p>
        </w:tc>
        <w:tc>
          <w:tcPr>
            <w:tcW w:w="1499" w:type="dxa"/>
            <w:tcBorders>
              <w:bottom w:val="single" w:color="auto" w:sz="4" w:space="0"/>
            </w:tcBorders>
            <w:vAlign w:val="center"/>
          </w:tcPr>
          <w:p>
            <w:pPr>
              <w:spacing w:line="280" w:lineRule="exact"/>
              <w:jc w:val="center"/>
              <w:rPr>
                <w:color w:val="auto"/>
                <w:sz w:val="21"/>
                <w:szCs w:val="21"/>
                <w:highlight w:val="none"/>
              </w:rPr>
            </w:pPr>
            <w:r>
              <w:rPr>
                <w:rFonts w:hint="eastAsia"/>
                <w:color w:val="auto"/>
                <w:sz w:val="21"/>
                <w:szCs w:val="21"/>
                <w:highlight w:val="none"/>
              </w:rPr>
              <w:t>生活垃圾</w:t>
            </w:r>
          </w:p>
        </w:tc>
        <w:tc>
          <w:tcPr>
            <w:tcW w:w="2896" w:type="dxa"/>
            <w:vAlign w:val="center"/>
          </w:tcPr>
          <w:p>
            <w:pPr>
              <w:adjustRightInd w:val="0"/>
              <w:snapToGrid w:val="0"/>
              <w:jc w:val="center"/>
              <w:rPr>
                <w:color w:val="auto"/>
                <w:sz w:val="21"/>
                <w:szCs w:val="21"/>
                <w:highlight w:val="none"/>
              </w:rPr>
            </w:pPr>
            <w:r>
              <w:rPr>
                <w:color w:val="auto"/>
                <w:sz w:val="21"/>
                <w:szCs w:val="21"/>
                <w:highlight w:val="none"/>
              </w:rPr>
              <w:t>厂内设若干垃圾桶集中收集暂存，当地环卫部门及时清运</w:t>
            </w:r>
          </w:p>
        </w:tc>
        <w:tc>
          <w:tcPr>
            <w:tcW w:w="2136" w:type="dxa"/>
            <w:vMerge w:val="restart"/>
            <w:vAlign w:val="center"/>
          </w:tcPr>
          <w:p>
            <w:pPr>
              <w:snapToGrid w:val="0"/>
              <w:jc w:val="center"/>
              <w:rPr>
                <w:bCs/>
                <w:color w:val="auto"/>
                <w:sz w:val="24"/>
                <w:highlight w:val="none"/>
              </w:rPr>
            </w:pPr>
            <w:r>
              <w:rPr>
                <w:bCs/>
                <w:color w:val="auto"/>
                <w:sz w:val="24"/>
                <w:highlight w:val="none"/>
              </w:rPr>
              <w:t>处置率100％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6" w:hRule="atLeast"/>
          <w:jc w:val="center"/>
        </w:trPr>
        <w:tc>
          <w:tcPr>
            <w:tcW w:w="1127" w:type="dxa"/>
            <w:vMerge w:val="continue"/>
            <w:vAlign w:val="center"/>
          </w:tcPr>
          <w:p>
            <w:pPr>
              <w:spacing w:line="360" w:lineRule="auto"/>
              <w:jc w:val="center"/>
              <w:rPr>
                <w:color w:val="auto"/>
                <w:sz w:val="24"/>
                <w:highlight w:val="none"/>
              </w:rPr>
            </w:pPr>
          </w:p>
        </w:tc>
        <w:tc>
          <w:tcPr>
            <w:tcW w:w="1249" w:type="dxa"/>
            <w:vAlign w:val="center"/>
          </w:tcPr>
          <w:p>
            <w:pPr>
              <w:spacing w:line="280" w:lineRule="exact"/>
              <w:jc w:val="center"/>
              <w:rPr>
                <w:color w:val="auto"/>
                <w:sz w:val="21"/>
                <w:szCs w:val="21"/>
                <w:highlight w:val="none"/>
              </w:rPr>
            </w:pPr>
            <w:r>
              <w:rPr>
                <w:rFonts w:hint="eastAsia"/>
                <w:color w:val="auto"/>
                <w:sz w:val="21"/>
                <w:szCs w:val="21"/>
                <w:highlight w:val="none"/>
              </w:rPr>
              <w:t>生产</w:t>
            </w:r>
          </w:p>
        </w:tc>
        <w:tc>
          <w:tcPr>
            <w:tcW w:w="1499" w:type="dxa"/>
            <w:tcBorders>
              <w:bottom w:val="single" w:color="auto" w:sz="4" w:space="0"/>
            </w:tcBorders>
            <w:vAlign w:val="center"/>
          </w:tcPr>
          <w:p>
            <w:pPr>
              <w:spacing w:line="280" w:lineRule="exact"/>
              <w:jc w:val="center"/>
              <w:rPr>
                <w:color w:val="auto"/>
                <w:sz w:val="21"/>
                <w:szCs w:val="21"/>
                <w:highlight w:val="none"/>
              </w:rPr>
            </w:pPr>
            <w:r>
              <w:rPr>
                <w:rFonts w:hint="eastAsia"/>
                <w:color w:val="auto"/>
                <w:sz w:val="21"/>
                <w:szCs w:val="21"/>
                <w:highlight w:val="none"/>
              </w:rPr>
              <w:t>废纸</w:t>
            </w:r>
          </w:p>
        </w:tc>
        <w:tc>
          <w:tcPr>
            <w:tcW w:w="2896" w:type="dxa"/>
            <w:vAlign w:val="center"/>
          </w:tcPr>
          <w:p>
            <w:pPr>
              <w:adjustRightInd w:val="0"/>
              <w:snapToGrid w:val="0"/>
              <w:jc w:val="center"/>
              <w:rPr>
                <w:color w:val="auto"/>
                <w:sz w:val="21"/>
                <w:szCs w:val="21"/>
                <w:highlight w:val="none"/>
              </w:rPr>
            </w:pPr>
            <w:r>
              <w:rPr>
                <w:rFonts w:hint="eastAsia"/>
                <w:color w:val="auto"/>
                <w:sz w:val="21"/>
                <w:szCs w:val="21"/>
                <w:highlight w:val="none"/>
              </w:rPr>
              <w:t>外售废品公司</w:t>
            </w:r>
          </w:p>
        </w:tc>
        <w:tc>
          <w:tcPr>
            <w:tcW w:w="2136" w:type="dxa"/>
            <w:vMerge w:val="continue"/>
            <w:vAlign w:val="center"/>
          </w:tcPr>
          <w:p>
            <w:pPr>
              <w:snapToGrid w:val="0"/>
              <w:jc w:val="center"/>
              <w:rPr>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1" w:hRule="atLeast"/>
          <w:jc w:val="center"/>
        </w:trPr>
        <w:tc>
          <w:tcPr>
            <w:tcW w:w="1127" w:type="dxa"/>
            <w:vMerge w:val="continue"/>
            <w:vAlign w:val="center"/>
          </w:tcPr>
          <w:p>
            <w:pPr>
              <w:spacing w:line="360" w:lineRule="auto"/>
              <w:jc w:val="center"/>
              <w:rPr>
                <w:color w:val="auto"/>
                <w:sz w:val="24"/>
                <w:highlight w:val="none"/>
              </w:rPr>
            </w:pPr>
          </w:p>
        </w:tc>
        <w:tc>
          <w:tcPr>
            <w:tcW w:w="1249" w:type="dxa"/>
            <w:vAlign w:val="center"/>
          </w:tcPr>
          <w:p>
            <w:pPr>
              <w:spacing w:line="280" w:lineRule="exact"/>
              <w:jc w:val="center"/>
              <w:rPr>
                <w:color w:val="auto"/>
                <w:sz w:val="21"/>
                <w:szCs w:val="21"/>
                <w:highlight w:val="none"/>
              </w:rPr>
            </w:pPr>
            <w:r>
              <w:rPr>
                <w:rFonts w:hint="eastAsia"/>
                <w:color w:val="auto"/>
                <w:sz w:val="21"/>
                <w:szCs w:val="21"/>
                <w:highlight w:val="none"/>
              </w:rPr>
              <w:t>设备清洁</w:t>
            </w:r>
          </w:p>
        </w:tc>
        <w:tc>
          <w:tcPr>
            <w:tcW w:w="1499" w:type="dxa"/>
            <w:tcBorders>
              <w:bottom w:val="single" w:color="auto" w:sz="4" w:space="0"/>
            </w:tcBorders>
            <w:vAlign w:val="center"/>
          </w:tcPr>
          <w:p>
            <w:pPr>
              <w:spacing w:line="280" w:lineRule="exact"/>
              <w:jc w:val="center"/>
              <w:rPr>
                <w:color w:val="auto"/>
                <w:sz w:val="21"/>
                <w:szCs w:val="21"/>
                <w:highlight w:val="none"/>
              </w:rPr>
            </w:pPr>
            <w:r>
              <w:rPr>
                <w:rFonts w:hint="eastAsia"/>
                <w:color w:val="auto"/>
                <w:sz w:val="21"/>
                <w:szCs w:val="21"/>
                <w:highlight w:val="none"/>
              </w:rPr>
              <w:t>含油抹布</w:t>
            </w:r>
          </w:p>
        </w:tc>
        <w:tc>
          <w:tcPr>
            <w:tcW w:w="2896" w:type="dxa"/>
            <w:vMerge w:val="restart"/>
            <w:vAlign w:val="center"/>
          </w:tcPr>
          <w:p>
            <w:pPr>
              <w:adjustRightInd w:val="0"/>
              <w:snapToGrid w:val="0"/>
              <w:jc w:val="center"/>
              <w:rPr>
                <w:color w:val="auto"/>
                <w:sz w:val="21"/>
                <w:szCs w:val="21"/>
                <w:highlight w:val="none"/>
              </w:rPr>
            </w:pPr>
            <w:r>
              <w:rPr>
                <w:rFonts w:hint="eastAsia"/>
                <w:color w:val="auto"/>
                <w:sz w:val="21"/>
                <w:szCs w:val="21"/>
                <w:highlight w:val="none"/>
              </w:rPr>
              <w:t>危废间暂存</w:t>
            </w:r>
            <w:r>
              <w:rPr>
                <w:color w:val="auto"/>
                <w:sz w:val="21"/>
                <w:szCs w:val="21"/>
                <w:highlight w:val="none"/>
              </w:rPr>
              <w:t>，</w:t>
            </w:r>
            <w:r>
              <w:rPr>
                <w:rFonts w:hint="eastAsia"/>
                <w:color w:val="auto"/>
                <w:sz w:val="21"/>
                <w:szCs w:val="21"/>
                <w:highlight w:val="none"/>
              </w:rPr>
              <w:t>委托陕西新天地固体废物综合处置有限公司处置</w:t>
            </w:r>
          </w:p>
        </w:tc>
        <w:tc>
          <w:tcPr>
            <w:tcW w:w="2136" w:type="dxa"/>
            <w:vMerge w:val="continue"/>
            <w:vAlign w:val="center"/>
          </w:tcPr>
          <w:p>
            <w:pPr>
              <w:snapToGrid w:val="0"/>
              <w:jc w:val="center"/>
              <w:rPr>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1" w:hRule="atLeast"/>
          <w:jc w:val="center"/>
        </w:trPr>
        <w:tc>
          <w:tcPr>
            <w:tcW w:w="1127" w:type="dxa"/>
            <w:vMerge w:val="continue"/>
            <w:vAlign w:val="center"/>
          </w:tcPr>
          <w:p>
            <w:pPr>
              <w:spacing w:line="360" w:lineRule="auto"/>
              <w:jc w:val="center"/>
              <w:rPr>
                <w:color w:val="auto"/>
                <w:sz w:val="24"/>
                <w:highlight w:val="none"/>
              </w:rPr>
            </w:pPr>
          </w:p>
        </w:tc>
        <w:tc>
          <w:tcPr>
            <w:tcW w:w="1249" w:type="dxa"/>
            <w:vAlign w:val="center"/>
          </w:tcPr>
          <w:p>
            <w:pPr>
              <w:spacing w:line="280" w:lineRule="exact"/>
              <w:jc w:val="center"/>
              <w:rPr>
                <w:color w:val="auto"/>
                <w:sz w:val="21"/>
                <w:szCs w:val="21"/>
                <w:highlight w:val="none"/>
              </w:rPr>
            </w:pPr>
            <w:r>
              <w:rPr>
                <w:rFonts w:hint="eastAsia"/>
                <w:color w:val="auto"/>
                <w:sz w:val="21"/>
                <w:szCs w:val="21"/>
                <w:highlight w:val="none"/>
              </w:rPr>
              <w:t>设备氧化</w:t>
            </w:r>
          </w:p>
        </w:tc>
        <w:tc>
          <w:tcPr>
            <w:tcW w:w="1499" w:type="dxa"/>
            <w:tcBorders>
              <w:bottom w:val="single" w:color="auto" w:sz="4" w:space="0"/>
            </w:tcBorders>
            <w:vAlign w:val="center"/>
          </w:tcPr>
          <w:p>
            <w:pPr>
              <w:spacing w:line="280" w:lineRule="exact"/>
              <w:jc w:val="center"/>
              <w:rPr>
                <w:color w:val="auto"/>
                <w:sz w:val="21"/>
                <w:szCs w:val="21"/>
                <w:highlight w:val="none"/>
              </w:rPr>
            </w:pPr>
            <w:r>
              <w:rPr>
                <w:rFonts w:hint="eastAsia"/>
                <w:color w:val="auto"/>
                <w:sz w:val="21"/>
                <w:szCs w:val="21"/>
                <w:highlight w:val="none"/>
              </w:rPr>
              <w:t>废机油</w:t>
            </w:r>
          </w:p>
        </w:tc>
        <w:tc>
          <w:tcPr>
            <w:tcW w:w="2896" w:type="dxa"/>
            <w:vMerge w:val="continue"/>
            <w:vAlign w:val="center"/>
          </w:tcPr>
          <w:p>
            <w:pPr>
              <w:adjustRightInd w:val="0"/>
              <w:snapToGrid w:val="0"/>
              <w:jc w:val="center"/>
              <w:rPr>
                <w:color w:val="auto"/>
                <w:sz w:val="21"/>
                <w:szCs w:val="21"/>
                <w:highlight w:val="none"/>
              </w:rPr>
            </w:pPr>
          </w:p>
        </w:tc>
        <w:tc>
          <w:tcPr>
            <w:tcW w:w="2136" w:type="dxa"/>
            <w:vMerge w:val="continue"/>
            <w:vAlign w:val="center"/>
          </w:tcPr>
          <w:p>
            <w:pPr>
              <w:snapToGrid w:val="0"/>
              <w:jc w:val="center"/>
              <w:rPr>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3" w:hRule="atLeast"/>
          <w:jc w:val="center"/>
        </w:trPr>
        <w:tc>
          <w:tcPr>
            <w:tcW w:w="1127" w:type="dxa"/>
            <w:vMerge w:val="continue"/>
            <w:vAlign w:val="center"/>
          </w:tcPr>
          <w:p>
            <w:pPr>
              <w:spacing w:line="360" w:lineRule="auto"/>
              <w:jc w:val="center"/>
              <w:rPr>
                <w:color w:val="auto"/>
                <w:sz w:val="24"/>
                <w:highlight w:val="none"/>
              </w:rPr>
            </w:pPr>
          </w:p>
        </w:tc>
        <w:tc>
          <w:tcPr>
            <w:tcW w:w="1249" w:type="dxa"/>
            <w:vAlign w:val="center"/>
          </w:tcPr>
          <w:p>
            <w:pPr>
              <w:spacing w:line="280" w:lineRule="exact"/>
              <w:jc w:val="center"/>
              <w:rPr>
                <w:color w:val="auto"/>
                <w:sz w:val="21"/>
                <w:szCs w:val="21"/>
                <w:highlight w:val="none"/>
              </w:rPr>
            </w:pPr>
            <w:r>
              <w:rPr>
                <w:rFonts w:hint="eastAsia"/>
                <w:color w:val="auto"/>
                <w:sz w:val="21"/>
                <w:szCs w:val="21"/>
                <w:highlight w:val="none"/>
              </w:rPr>
              <w:t>生产</w:t>
            </w:r>
          </w:p>
        </w:tc>
        <w:tc>
          <w:tcPr>
            <w:tcW w:w="1499" w:type="dxa"/>
            <w:tcBorders>
              <w:bottom w:val="single" w:color="auto" w:sz="4" w:space="0"/>
            </w:tcBorders>
            <w:vAlign w:val="center"/>
          </w:tcPr>
          <w:p>
            <w:pPr>
              <w:spacing w:line="280" w:lineRule="exact"/>
              <w:jc w:val="center"/>
              <w:rPr>
                <w:color w:val="auto"/>
                <w:sz w:val="21"/>
                <w:szCs w:val="21"/>
                <w:highlight w:val="none"/>
              </w:rPr>
            </w:pPr>
            <w:r>
              <w:rPr>
                <w:rFonts w:hint="eastAsia"/>
                <w:color w:val="auto"/>
                <w:sz w:val="21"/>
                <w:szCs w:val="21"/>
                <w:highlight w:val="none"/>
              </w:rPr>
              <w:t>废油墨桶</w:t>
            </w:r>
          </w:p>
        </w:tc>
        <w:tc>
          <w:tcPr>
            <w:tcW w:w="2896" w:type="dxa"/>
            <w:vMerge w:val="continue"/>
            <w:vAlign w:val="center"/>
          </w:tcPr>
          <w:p>
            <w:pPr>
              <w:adjustRightInd w:val="0"/>
              <w:snapToGrid w:val="0"/>
              <w:jc w:val="center"/>
              <w:rPr>
                <w:color w:val="auto"/>
                <w:sz w:val="21"/>
                <w:szCs w:val="21"/>
                <w:highlight w:val="none"/>
              </w:rPr>
            </w:pPr>
          </w:p>
        </w:tc>
        <w:tc>
          <w:tcPr>
            <w:tcW w:w="2136" w:type="dxa"/>
            <w:vMerge w:val="continue"/>
            <w:vAlign w:val="center"/>
          </w:tcPr>
          <w:p>
            <w:pPr>
              <w:snapToGrid w:val="0"/>
              <w:jc w:val="center"/>
              <w:rPr>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3" w:hRule="atLeast"/>
          <w:jc w:val="center"/>
        </w:trPr>
        <w:tc>
          <w:tcPr>
            <w:tcW w:w="1127" w:type="dxa"/>
            <w:vMerge w:val="continue"/>
            <w:vAlign w:val="center"/>
          </w:tcPr>
          <w:p>
            <w:pPr>
              <w:spacing w:line="360" w:lineRule="auto"/>
              <w:jc w:val="center"/>
              <w:rPr>
                <w:color w:val="auto"/>
                <w:sz w:val="24"/>
                <w:highlight w:val="none"/>
              </w:rPr>
            </w:pPr>
          </w:p>
        </w:tc>
        <w:tc>
          <w:tcPr>
            <w:tcW w:w="1249" w:type="dxa"/>
            <w:vAlign w:val="center"/>
          </w:tcPr>
          <w:p>
            <w:pPr>
              <w:spacing w:line="280" w:lineRule="exact"/>
              <w:jc w:val="center"/>
              <w:rPr>
                <w:color w:val="auto"/>
                <w:sz w:val="21"/>
                <w:szCs w:val="21"/>
                <w:highlight w:val="none"/>
              </w:rPr>
            </w:pPr>
            <w:r>
              <w:rPr>
                <w:rFonts w:hint="eastAsia"/>
                <w:color w:val="auto"/>
                <w:sz w:val="21"/>
                <w:szCs w:val="21"/>
                <w:highlight w:val="none"/>
              </w:rPr>
              <w:t>生产</w:t>
            </w:r>
          </w:p>
        </w:tc>
        <w:tc>
          <w:tcPr>
            <w:tcW w:w="1499" w:type="dxa"/>
            <w:tcBorders>
              <w:bottom w:val="single" w:color="auto" w:sz="4" w:space="0"/>
            </w:tcBorders>
            <w:vAlign w:val="center"/>
          </w:tcPr>
          <w:p>
            <w:pPr>
              <w:spacing w:line="280" w:lineRule="exact"/>
              <w:jc w:val="center"/>
              <w:rPr>
                <w:color w:val="auto"/>
                <w:sz w:val="21"/>
                <w:szCs w:val="21"/>
                <w:highlight w:val="none"/>
              </w:rPr>
            </w:pPr>
            <w:r>
              <w:rPr>
                <w:rFonts w:hint="eastAsia"/>
                <w:color w:val="auto"/>
                <w:sz w:val="21"/>
                <w:szCs w:val="21"/>
                <w:highlight w:val="none"/>
              </w:rPr>
              <w:t>废洗辊液</w:t>
            </w:r>
          </w:p>
        </w:tc>
        <w:tc>
          <w:tcPr>
            <w:tcW w:w="2896" w:type="dxa"/>
            <w:vMerge w:val="continue"/>
            <w:vAlign w:val="center"/>
          </w:tcPr>
          <w:p>
            <w:pPr>
              <w:adjustRightInd w:val="0"/>
              <w:snapToGrid w:val="0"/>
              <w:jc w:val="center"/>
              <w:rPr>
                <w:color w:val="auto"/>
                <w:sz w:val="21"/>
                <w:szCs w:val="21"/>
                <w:highlight w:val="none"/>
              </w:rPr>
            </w:pPr>
          </w:p>
        </w:tc>
        <w:tc>
          <w:tcPr>
            <w:tcW w:w="2136" w:type="dxa"/>
            <w:vMerge w:val="continue"/>
            <w:vAlign w:val="center"/>
          </w:tcPr>
          <w:p>
            <w:pPr>
              <w:snapToGrid w:val="0"/>
              <w:jc w:val="center"/>
              <w:rPr>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1127" w:type="dxa"/>
            <w:vMerge w:val="continue"/>
            <w:vAlign w:val="center"/>
          </w:tcPr>
          <w:p>
            <w:pPr>
              <w:spacing w:line="360" w:lineRule="auto"/>
              <w:jc w:val="center"/>
              <w:rPr>
                <w:color w:val="auto"/>
                <w:sz w:val="24"/>
                <w:highlight w:val="none"/>
              </w:rPr>
            </w:pPr>
          </w:p>
        </w:tc>
        <w:tc>
          <w:tcPr>
            <w:tcW w:w="1249" w:type="dxa"/>
            <w:tcBorders>
              <w:bottom w:val="single" w:color="auto" w:sz="4" w:space="0"/>
            </w:tcBorders>
            <w:vAlign w:val="center"/>
          </w:tcPr>
          <w:p>
            <w:pPr>
              <w:spacing w:line="280" w:lineRule="exact"/>
              <w:jc w:val="center"/>
              <w:rPr>
                <w:color w:val="auto"/>
                <w:sz w:val="21"/>
                <w:szCs w:val="21"/>
                <w:highlight w:val="none"/>
              </w:rPr>
            </w:pPr>
            <w:r>
              <w:rPr>
                <w:rFonts w:hint="eastAsia"/>
                <w:color w:val="auto"/>
                <w:sz w:val="21"/>
                <w:szCs w:val="21"/>
                <w:highlight w:val="none"/>
              </w:rPr>
              <w:t>废气处理</w:t>
            </w:r>
          </w:p>
        </w:tc>
        <w:tc>
          <w:tcPr>
            <w:tcW w:w="1499" w:type="dxa"/>
            <w:tcBorders>
              <w:bottom w:val="single" w:color="auto" w:sz="4" w:space="0"/>
            </w:tcBorders>
            <w:vAlign w:val="center"/>
          </w:tcPr>
          <w:p>
            <w:pPr>
              <w:spacing w:line="280" w:lineRule="exact"/>
              <w:jc w:val="center"/>
              <w:rPr>
                <w:color w:val="auto"/>
                <w:sz w:val="21"/>
                <w:szCs w:val="21"/>
                <w:highlight w:val="none"/>
              </w:rPr>
            </w:pPr>
            <w:r>
              <w:rPr>
                <w:rFonts w:hint="eastAsia"/>
                <w:color w:val="auto"/>
                <w:sz w:val="21"/>
                <w:szCs w:val="21"/>
                <w:highlight w:val="none"/>
              </w:rPr>
              <w:t>废活性炭</w:t>
            </w:r>
          </w:p>
        </w:tc>
        <w:tc>
          <w:tcPr>
            <w:tcW w:w="2896" w:type="dxa"/>
            <w:vMerge w:val="continue"/>
            <w:vAlign w:val="center"/>
          </w:tcPr>
          <w:p>
            <w:pPr>
              <w:adjustRightInd w:val="0"/>
              <w:snapToGrid w:val="0"/>
              <w:jc w:val="center"/>
              <w:rPr>
                <w:color w:val="auto"/>
                <w:sz w:val="21"/>
                <w:szCs w:val="21"/>
                <w:highlight w:val="none"/>
              </w:rPr>
            </w:pPr>
          </w:p>
        </w:tc>
        <w:tc>
          <w:tcPr>
            <w:tcW w:w="2136" w:type="dxa"/>
            <w:vMerge w:val="continue"/>
            <w:vAlign w:val="center"/>
          </w:tcPr>
          <w:p>
            <w:pPr>
              <w:snapToGrid w:val="0"/>
              <w:jc w:val="center"/>
              <w:rPr>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127" w:type="dxa"/>
            <w:vAlign w:val="center"/>
          </w:tcPr>
          <w:p>
            <w:pPr>
              <w:spacing w:line="360" w:lineRule="auto"/>
              <w:jc w:val="center"/>
              <w:rPr>
                <w:color w:val="auto"/>
                <w:sz w:val="24"/>
                <w:highlight w:val="none"/>
              </w:rPr>
            </w:pPr>
            <w:r>
              <w:rPr>
                <w:color w:val="auto"/>
                <w:sz w:val="24"/>
                <w:highlight w:val="none"/>
              </w:rPr>
              <w:t>噪</w:t>
            </w:r>
          </w:p>
          <w:p>
            <w:pPr>
              <w:spacing w:line="360" w:lineRule="auto"/>
              <w:jc w:val="center"/>
              <w:rPr>
                <w:color w:val="auto"/>
                <w:sz w:val="24"/>
                <w:highlight w:val="none"/>
              </w:rPr>
            </w:pPr>
            <w:r>
              <w:rPr>
                <w:color w:val="auto"/>
                <w:sz w:val="24"/>
                <w:highlight w:val="none"/>
              </w:rPr>
              <w:t>声</w:t>
            </w:r>
          </w:p>
        </w:tc>
        <w:tc>
          <w:tcPr>
            <w:tcW w:w="7780" w:type="dxa"/>
            <w:gridSpan w:val="4"/>
            <w:vAlign w:val="center"/>
          </w:tcPr>
          <w:p>
            <w:pPr>
              <w:ind w:firstLine="480" w:firstLineChars="200"/>
              <w:rPr>
                <w:color w:val="auto"/>
                <w:sz w:val="24"/>
                <w:highlight w:val="none"/>
              </w:rPr>
            </w:pPr>
            <w:r>
              <w:rPr>
                <w:bCs/>
                <w:color w:val="auto"/>
                <w:sz w:val="24"/>
                <w:highlight w:val="none"/>
              </w:rPr>
              <w:t>本次项目噪声源为</w:t>
            </w:r>
            <w:r>
              <w:rPr>
                <w:rFonts w:hint="eastAsia"/>
                <w:bCs/>
                <w:color w:val="auto"/>
                <w:sz w:val="24"/>
                <w:highlight w:val="none"/>
              </w:rPr>
              <w:t>2台双色印刷机</w:t>
            </w:r>
            <w:r>
              <w:rPr>
                <w:color w:val="auto"/>
                <w:sz w:val="24"/>
                <w:highlight w:val="none"/>
              </w:rPr>
              <w:t>、</w:t>
            </w:r>
            <w:r>
              <w:rPr>
                <w:rFonts w:hint="eastAsia"/>
                <w:bCs/>
                <w:color w:val="auto"/>
                <w:sz w:val="24"/>
                <w:highlight w:val="none"/>
              </w:rPr>
              <w:t>1台四色印刷机</w:t>
            </w:r>
            <w:r>
              <w:rPr>
                <w:color w:val="auto"/>
                <w:sz w:val="24"/>
                <w:highlight w:val="none"/>
              </w:rPr>
              <w:t>、</w:t>
            </w:r>
            <w:r>
              <w:rPr>
                <w:rFonts w:hint="eastAsia"/>
                <w:bCs/>
                <w:color w:val="auto"/>
                <w:sz w:val="24"/>
                <w:highlight w:val="none"/>
              </w:rPr>
              <w:t>1台切纸机和废气出来装置</w:t>
            </w:r>
            <w:r>
              <w:rPr>
                <w:bCs/>
                <w:color w:val="auto"/>
                <w:sz w:val="24"/>
                <w:highlight w:val="none"/>
              </w:rPr>
              <w:t>，声级一般为70</w:t>
            </w:r>
            <w:r>
              <w:rPr>
                <w:rFonts w:hint="eastAsia"/>
                <w:bCs/>
                <w:color w:val="auto"/>
                <w:sz w:val="24"/>
                <w:highlight w:val="none"/>
              </w:rPr>
              <w:t>-80</w:t>
            </w:r>
            <w:r>
              <w:rPr>
                <w:bCs/>
                <w:color w:val="auto"/>
                <w:sz w:val="24"/>
                <w:highlight w:val="none"/>
              </w:rPr>
              <w:t>dB（A）之间</w:t>
            </w:r>
            <w:r>
              <w:rPr>
                <w:color w:val="auto"/>
                <w:sz w:val="24"/>
                <w:highlight w:val="none"/>
              </w:rPr>
              <w:t>。在</w:t>
            </w:r>
            <w:r>
              <w:rPr>
                <w:rFonts w:hint="eastAsia"/>
                <w:color w:val="auto"/>
                <w:sz w:val="24"/>
                <w:highlight w:val="none"/>
              </w:rPr>
              <w:t>采取</w:t>
            </w:r>
            <w:r>
              <w:rPr>
                <w:color w:val="auto"/>
                <w:sz w:val="24"/>
                <w:highlight w:val="none"/>
              </w:rPr>
              <w:t>减振、</w:t>
            </w:r>
            <w:r>
              <w:rPr>
                <w:rFonts w:hint="eastAsia"/>
                <w:color w:val="auto"/>
                <w:sz w:val="24"/>
                <w:highlight w:val="none"/>
              </w:rPr>
              <w:t>隔声</w:t>
            </w:r>
            <w:r>
              <w:rPr>
                <w:color w:val="auto"/>
                <w:sz w:val="24"/>
                <w:highlight w:val="none"/>
              </w:rPr>
              <w:t>等措施，经距离衰减后，对外界声环境影响较小。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7" w:hRule="atLeast"/>
          <w:jc w:val="center"/>
        </w:trPr>
        <w:tc>
          <w:tcPr>
            <w:tcW w:w="1127" w:type="dxa"/>
            <w:vAlign w:val="center"/>
          </w:tcPr>
          <w:p>
            <w:pPr>
              <w:spacing w:line="360" w:lineRule="auto"/>
              <w:jc w:val="center"/>
              <w:rPr>
                <w:bCs/>
                <w:color w:val="auto"/>
                <w:sz w:val="24"/>
                <w:highlight w:val="none"/>
              </w:rPr>
            </w:pPr>
            <w:r>
              <w:rPr>
                <w:color w:val="auto"/>
                <w:sz w:val="24"/>
                <w:highlight w:val="none"/>
              </w:rPr>
              <w:t>其他</w:t>
            </w:r>
          </w:p>
        </w:tc>
        <w:tc>
          <w:tcPr>
            <w:tcW w:w="7780" w:type="dxa"/>
            <w:gridSpan w:val="4"/>
            <w:vAlign w:val="center"/>
          </w:tcPr>
          <w:p>
            <w:pPr>
              <w:spacing w:line="360" w:lineRule="auto"/>
              <w:jc w:val="center"/>
              <w:rPr>
                <w:color w:val="auto"/>
                <w:sz w:val="24"/>
                <w:highlight w:val="none"/>
              </w:rPr>
            </w:pPr>
            <w:r>
              <w:rPr>
                <w:color w:val="auto"/>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907" w:type="dxa"/>
            <w:gridSpan w:val="5"/>
            <w:vAlign w:val="center"/>
          </w:tcPr>
          <w:p>
            <w:pPr>
              <w:spacing w:line="360" w:lineRule="auto"/>
              <w:rPr>
                <w:b/>
                <w:color w:val="auto"/>
                <w:sz w:val="24"/>
                <w:highlight w:val="none"/>
              </w:rPr>
            </w:pPr>
            <w:r>
              <w:rPr>
                <w:b/>
                <w:color w:val="auto"/>
                <w:sz w:val="24"/>
                <w:highlight w:val="none"/>
              </w:rPr>
              <w:t>生态保护措施及预期效果：</w:t>
            </w:r>
          </w:p>
          <w:p>
            <w:pPr>
              <w:spacing w:line="360" w:lineRule="auto"/>
              <w:ind w:firstLine="480" w:firstLineChars="200"/>
              <w:rPr>
                <w:b/>
                <w:color w:val="auto"/>
                <w:sz w:val="24"/>
                <w:highlight w:val="none"/>
              </w:rPr>
            </w:pPr>
            <w:r>
              <w:rPr>
                <w:rFonts w:hint="eastAsia"/>
                <w:color w:val="auto"/>
                <w:sz w:val="24"/>
                <w:highlight w:val="none"/>
              </w:rPr>
              <w:t>本项目租用已建成厂房,不进行土建施工,对生态环境影响较小</w:t>
            </w:r>
          </w:p>
        </w:tc>
      </w:tr>
    </w:tbl>
    <w:p>
      <w:pPr>
        <w:rPr>
          <w:b/>
          <w:color w:val="auto"/>
          <w:szCs w:val="28"/>
          <w:highlight w:val="none"/>
        </w:rPr>
        <w:sectPr>
          <w:pgSz w:w="11906" w:h="16838"/>
          <w:pgMar w:top="1440" w:right="1418" w:bottom="873" w:left="1797" w:header="851" w:footer="992" w:gutter="0"/>
          <w:cols w:space="720" w:num="1"/>
          <w:docGrid w:linePitch="381" w:charSpace="0"/>
        </w:sectPr>
      </w:pPr>
    </w:p>
    <w:p>
      <w:pPr>
        <w:rPr>
          <w:b/>
          <w:color w:val="auto"/>
          <w:szCs w:val="28"/>
          <w:highlight w:val="none"/>
        </w:rPr>
      </w:pPr>
      <w:r>
        <w:rPr>
          <w:b/>
          <w:color w:val="auto"/>
          <w:szCs w:val="28"/>
          <w:highlight w:val="none"/>
        </w:rPr>
        <w:t>10</w:t>
      </w:r>
      <w:r>
        <w:rPr>
          <w:rFonts w:hint="eastAsia"/>
          <w:b/>
          <w:color w:val="auto"/>
          <w:szCs w:val="28"/>
          <w:highlight w:val="none"/>
        </w:rPr>
        <w:t>结论与建议</w:t>
      </w:r>
    </w:p>
    <w:tbl>
      <w:tblPr>
        <w:tblStyle w:val="27"/>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744"/>
        <w:gridCol w:w="16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3306" w:hRule="atLeast"/>
        </w:trPr>
        <w:tc>
          <w:tcPr>
            <w:tcW w:w="8907" w:type="dxa"/>
            <w:gridSpan w:val="2"/>
          </w:tcPr>
          <w:p>
            <w:pPr>
              <w:spacing w:line="360" w:lineRule="auto"/>
              <w:ind w:firstLine="480" w:firstLineChars="200"/>
              <w:rPr>
                <w:rFonts w:eastAsia="黑体"/>
                <w:color w:val="auto"/>
                <w:sz w:val="24"/>
                <w:highlight w:val="none"/>
              </w:rPr>
            </w:pPr>
            <w:r>
              <w:rPr>
                <w:rFonts w:eastAsia="黑体"/>
                <w:color w:val="auto"/>
                <w:sz w:val="24"/>
                <w:highlight w:val="none"/>
              </w:rPr>
              <w:t>10.1项目概况</w:t>
            </w:r>
          </w:p>
          <w:p>
            <w:pPr>
              <w:spacing w:line="360" w:lineRule="auto"/>
              <w:ind w:firstLine="480" w:firstLineChars="200"/>
              <w:rPr>
                <w:color w:val="auto"/>
                <w:sz w:val="24"/>
                <w:highlight w:val="none"/>
              </w:rPr>
            </w:pPr>
            <w:r>
              <w:rPr>
                <w:color w:val="auto"/>
                <w:sz w:val="24"/>
                <w:highlight w:val="none"/>
              </w:rPr>
              <w:t>西安艺盟印务有限责任公司</w:t>
            </w:r>
            <w:r>
              <w:rPr>
                <w:rFonts w:hint="eastAsia"/>
                <w:color w:val="auto"/>
                <w:sz w:val="24"/>
                <w:highlight w:val="none"/>
              </w:rPr>
              <w:t>成立于2002年，注册资金200万元，出版物印刷品印刷，包装装潢印刷品印刷，其它印刷品印刷。</w:t>
            </w:r>
            <w:r>
              <w:rPr>
                <w:color w:val="auto"/>
                <w:sz w:val="24"/>
                <w:highlight w:val="none"/>
              </w:rPr>
              <w:t>公司位于</w:t>
            </w:r>
            <w:r>
              <w:rPr>
                <w:rFonts w:hint="eastAsia"/>
                <w:color w:val="auto"/>
                <w:sz w:val="24"/>
                <w:highlight w:val="none"/>
              </w:rPr>
              <w:t>位于西安市灞桥区水安路8号院，租用陕西澳利森木业集团有限公司厂房</w:t>
            </w:r>
            <w:r>
              <w:rPr>
                <w:color w:val="auto"/>
                <w:sz w:val="24"/>
                <w:highlight w:val="none"/>
              </w:rPr>
              <w:t>。</w:t>
            </w:r>
            <w:r>
              <w:rPr>
                <w:rFonts w:hint="eastAsia"/>
                <w:color w:val="auto"/>
                <w:sz w:val="24"/>
                <w:highlight w:val="none"/>
              </w:rPr>
              <w:t>年生产书本15万册。</w:t>
            </w:r>
          </w:p>
          <w:p>
            <w:pPr>
              <w:spacing w:line="360" w:lineRule="auto"/>
              <w:ind w:firstLine="480" w:firstLineChars="200"/>
              <w:rPr>
                <w:rFonts w:eastAsia="黑体"/>
                <w:color w:val="auto"/>
                <w:sz w:val="24"/>
                <w:highlight w:val="none"/>
              </w:rPr>
            </w:pPr>
            <w:r>
              <w:rPr>
                <w:rFonts w:eastAsia="黑体"/>
                <w:color w:val="auto"/>
                <w:sz w:val="24"/>
                <w:highlight w:val="none"/>
              </w:rPr>
              <w:t>10.2相关情况分析判定</w:t>
            </w:r>
          </w:p>
          <w:p>
            <w:pPr>
              <w:spacing w:line="360" w:lineRule="auto"/>
              <w:ind w:firstLine="480" w:firstLineChars="200"/>
              <w:rPr>
                <w:rFonts w:eastAsia="黑体"/>
                <w:color w:val="auto"/>
                <w:sz w:val="24"/>
                <w:highlight w:val="none"/>
              </w:rPr>
            </w:pPr>
            <w:r>
              <w:rPr>
                <w:rFonts w:eastAsia="黑体"/>
                <w:color w:val="auto"/>
                <w:sz w:val="24"/>
                <w:highlight w:val="none"/>
              </w:rPr>
              <w:t>10.2.1产业政策及相关规划的符合性</w:t>
            </w:r>
          </w:p>
          <w:p>
            <w:pPr>
              <w:spacing w:line="360" w:lineRule="auto"/>
              <w:ind w:firstLine="559" w:firstLineChars="233"/>
              <w:outlineLvl w:val="0"/>
              <w:rPr>
                <w:color w:val="auto"/>
                <w:sz w:val="24"/>
                <w:szCs w:val="20"/>
                <w:highlight w:val="none"/>
              </w:rPr>
            </w:pPr>
            <w:r>
              <w:rPr>
                <w:color w:val="auto"/>
                <w:sz w:val="24"/>
                <w:szCs w:val="20"/>
                <w:highlight w:val="none"/>
              </w:rPr>
              <w:t>根据《产业结构调整指导目录2011年本（2013年修正）》，本项目不属于鼓励类，限制类和淘汰类，符合国家产业政策要求。</w:t>
            </w:r>
          </w:p>
          <w:p>
            <w:pPr>
              <w:spacing w:line="360" w:lineRule="auto"/>
              <w:ind w:firstLine="559" w:firstLineChars="233"/>
              <w:outlineLvl w:val="0"/>
              <w:rPr>
                <w:rFonts w:asciiTheme="minorEastAsia" w:hAnsiTheme="minorEastAsia" w:eastAsiaTheme="minorEastAsia"/>
                <w:color w:val="auto"/>
                <w:sz w:val="24"/>
                <w:highlight w:val="none"/>
              </w:rPr>
            </w:pPr>
            <w:r>
              <w:rPr>
                <w:bCs/>
                <w:color w:val="auto"/>
                <w:sz w:val="24"/>
                <w:szCs w:val="20"/>
                <w:highlight w:val="none"/>
              </w:rPr>
              <w:t>本项目</w:t>
            </w:r>
            <w:r>
              <w:rPr>
                <w:rFonts w:hint="eastAsia"/>
                <w:bCs/>
                <w:color w:val="auto"/>
                <w:sz w:val="24"/>
                <w:szCs w:val="20"/>
                <w:highlight w:val="none"/>
              </w:rPr>
              <w:t>采用大豆油墨，</w:t>
            </w:r>
            <w:r>
              <w:rPr>
                <w:bCs/>
                <w:color w:val="auto"/>
                <w:sz w:val="24"/>
                <w:szCs w:val="20"/>
                <w:highlight w:val="none"/>
              </w:rPr>
              <w:t>产生的</w:t>
            </w:r>
            <w:r>
              <w:rPr>
                <w:rFonts w:hint="eastAsia"/>
                <w:bCs/>
                <w:color w:val="auto"/>
                <w:sz w:val="24"/>
                <w:szCs w:val="20"/>
                <w:highlight w:val="none"/>
              </w:rPr>
              <w:t>有机废气经集气罩+UV光催化+活性炭+15m高排气筒</w:t>
            </w:r>
            <w:r>
              <w:rPr>
                <w:bCs/>
                <w:color w:val="auto"/>
                <w:sz w:val="24"/>
                <w:szCs w:val="20"/>
                <w:highlight w:val="none"/>
              </w:rPr>
              <w:t>处理达标后排放；</w:t>
            </w:r>
            <w:r>
              <w:rPr>
                <w:rFonts w:hint="eastAsia"/>
                <w:bCs/>
                <w:color w:val="auto"/>
                <w:sz w:val="24"/>
                <w:szCs w:val="20"/>
                <w:highlight w:val="none"/>
              </w:rPr>
              <w:t>项目符合《西安市</w:t>
            </w:r>
            <w:r>
              <w:rPr>
                <w:bCs/>
                <w:color w:val="auto"/>
                <w:sz w:val="24"/>
                <w:szCs w:val="20"/>
                <w:highlight w:val="none"/>
              </w:rPr>
              <w:t>“</w:t>
            </w:r>
            <w:r>
              <w:rPr>
                <w:rFonts w:hint="eastAsia"/>
                <w:bCs/>
                <w:color w:val="auto"/>
                <w:sz w:val="24"/>
                <w:szCs w:val="20"/>
                <w:highlight w:val="none"/>
              </w:rPr>
              <w:t>铁腕治霾</w:t>
            </w:r>
            <w:r>
              <w:rPr>
                <w:bCs/>
                <w:color w:val="auto"/>
                <w:sz w:val="24"/>
                <w:szCs w:val="20"/>
                <w:highlight w:val="none"/>
              </w:rPr>
              <w:t>·</w:t>
            </w:r>
            <w:r>
              <w:rPr>
                <w:rFonts w:hint="eastAsia"/>
                <w:bCs/>
                <w:color w:val="auto"/>
                <w:sz w:val="24"/>
                <w:szCs w:val="20"/>
                <w:highlight w:val="none"/>
              </w:rPr>
              <w:t>保卫蓝天</w:t>
            </w:r>
            <w:r>
              <w:rPr>
                <w:bCs/>
                <w:color w:val="auto"/>
                <w:sz w:val="24"/>
                <w:szCs w:val="20"/>
                <w:highlight w:val="none"/>
              </w:rPr>
              <w:t>”</w:t>
            </w:r>
            <w:r>
              <w:rPr>
                <w:rFonts w:hint="eastAsia"/>
                <w:bCs/>
                <w:color w:val="auto"/>
                <w:sz w:val="24"/>
                <w:szCs w:val="20"/>
                <w:highlight w:val="none"/>
              </w:rPr>
              <w:t>三年行动方案（</w:t>
            </w:r>
            <w:r>
              <w:rPr>
                <w:bCs/>
                <w:color w:val="auto"/>
                <w:sz w:val="24"/>
                <w:szCs w:val="20"/>
                <w:highlight w:val="none"/>
              </w:rPr>
              <w:t>2018—2020</w:t>
            </w:r>
            <w:r>
              <w:rPr>
                <w:rFonts w:hint="eastAsia"/>
                <w:bCs/>
                <w:color w:val="auto"/>
                <w:sz w:val="24"/>
                <w:szCs w:val="20"/>
                <w:highlight w:val="none"/>
              </w:rPr>
              <w:t>年）》（修订版）、</w:t>
            </w:r>
            <w:r>
              <w:rPr>
                <w:rFonts w:asciiTheme="minorEastAsia" w:hAnsiTheme="minorEastAsia" w:eastAsiaTheme="minorEastAsia"/>
                <w:color w:val="auto"/>
                <w:sz w:val="24"/>
                <w:highlight w:val="none"/>
              </w:rPr>
              <w:t>《“十三五”挥发性有机物污染防治工作方案》</w:t>
            </w:r>
            <w:r>
              <w:rPr>
                <w:rFonts w:hint="eastAsia" w:asciiTheme="minorEastAsia" w:hAnsiTheme="minorEastAsia" w:eastAsiaTheme="minorEastAsia"/>
                <w:color w:val="auto"/>
                <w:sz w:val="24"/>
                <w:highlight w:val="none"/>
              </w:rPr>
              <w:t>（环大气[2017]121 号）、《挥发性有机物（VOCs）污染防治技术政策》、《西安市环境保局关于规范 2017 年西安市工业挥发性有机物治理工程的通知》（市环[2017]35 号）等相关文件要求。</w:t>
            </w:r>
          </w:p>
          <w:p>
            <w:pPr>
              <w:spacing w:line="360" w:lineRule="auto"/>
              <w:ind w:firstLine="559" w:firstLineChars="233"/>
              <w:outlineLvl w:val="0"/>
              <w:rPr>
                <w:bCs/>
                <w:color w:val="auto"/>
                <w:sz w:val="24"/>
                <w:szCs w:val="20"/>
                <w:highlight w:val="none"/>
              </w:rPr>
            </w:pPr>
            <w:r>
              <w:rPr>
                <w:bCs/>
                <w:color w:val="auto"/>
                <w:sz w:val="24"/>
                <w:szCs w:val="20"/>
                <w:highlight w:val="none"/>
              </w:rPr>
              <w:t>项目不在土壤环境重点监管企业名单内，</w:t>
            </w:r>
            <w:r>
              <w:rPr>
                <w:rFonts w:hint="eastAsia"/>
                <w:bCs/>
                <w:color w:val="auto"/>
                <w:sz w:val="24"/>
                <w:szCs w:val="20"/>
                <w:highlight w:val="none"/>
              </w:rPr>
              <w:t>无生产废水排放</w:t>
            </w:r>
            <w:r>
              <w:rPr>
                <w:bCs/>
                <w:color w:val="auto"/>
                <w:sz w:val="24"/>
                <w:szCs w:val="20"/>
                <w:highlight w:val="none"/>
              </w:rPr>
              <w:t>；生活污水</w:t>
            </w:r>
            <w:r>
              <w:rPr>
                <w:rFonts w:hint="eastAsia"/>
                <w:bCs/>
                <w:color w:val="auto"/>
                <w:sz w:val="24"/>
                <w:szCs w:val="20"/>
                <w:highlight w:val="none"/>
              </w:rPr>
              <w:t>排入化粪池</w:t>
            </w:r>
            <w:r>
              <w:rPr>
                <w:bCs/>
                <w:color w:val="auto"/>
                <w:sz w:val="24"/>
                <w:szCs w:val="20"/>
                <w:highlight w:val="none"/>
              </w:rPr>
              <w:t>，</w:t>
            </w:r>
            <w:r>
              <w:rPr>
                <w:rFonts w:hint="eastAsia"/>
                <w:bCs/>
                <w:color w:val="auto"/>
                <w:sz w:val="24"/>
                <w:szCs w:val="20"/>
                <w:highlight w:val="none"/>
              </w:rPr>
              <w:t>经市政管网最终排入西安市第三污水处理厂</w:t>
            </w:r>
          </w:p>
          <w:p>
            <w:pPr>
              <w:adjustRightInd w:val="0"/>
              <w:snapToGrid w:val="0"/>
              <w:spacing w:line="360" w:lineRule="auto"/>
              <w:ind w:firstLine="480" w:firstLineChars="200"/>
              <w:rPr>
                <w:rFonts w:eastAsia="黑体"/>
                <w:color w:val="auto"/>
                <w:sz w:val="24"/>
                <w:highlight w:val="none"/>
              </w:rPr>
            </w:pPr>
            <w:r>
              <w:rPr>
                <w:rFonts w:eastAsia="黑体"/>
                <w:color w:val="auto"/>
                <w:sz w:val="24"/>
                <w:highlight w:val="none"/>
              </w:rPr>
              <w:t>10.2.2选址合理性分析</w:t>
            </w:r>
          </w:p>
          <w:p>
            <w:pPr>
              <w:spacing w:line="360" w:lineRule="auto"/>
              <w:ind w:firstLine="480" w:firstLineChars="200"/>
              <w:rPr>
                <w:color w:val="auto"/>
                <w:sz w:val="24"/>
                <w:highlight w:val="none"/>
              </w:rPr>
            </w:pPr>
            <w:r>
              <w:rPr>
                <w:rFonts w:hint="eastAsia"/>
                <w:color w:val="auto"/>
                <w:sz w:val="24"/>
                <w:highlight w:val="none"/>
              </w:rPr>
              <w:t>项目租用陕西澳利森木业集团有限公司现有厂房，用地性质建设用地,用途为工业用地，目前陕西澳利森木业集团有限公司厂区内的厂房大量对外出租，项目周边均为工业企业，已经形成了以印刷、木制品制造、机加工工业的集聚区。</w:t>
            </w:r>
            <w:r>
              <w:rPr>
                <w:color w:val="auto"/>
                <w:sz w:val="24"/>
                <w:highlight w:val="none"/>
              </w:rPr>
              <w:t>项目交通运输便利；水、电、气、通讯等基础设施能够满足本项目的需求，</w:t>
            </w:r>
            <w:r>
              <w:rPr>
                <w:bCs/>
                <w:color w:val="auto"/>
                <w:sz w:val="24"/>
                <w:highlight w:val="none"/>
              </w:rPr>
              <w:t>且项目所在区域地势平坦、开阔，有利于项目运营期污染物的扩散。项目运营过程中生活污水</w:t>
            </w:r>
            <w:r>
              <w:rPr>
                <w:rFonts w:hint="eastAsia"/>
                <w:bCs/>
                <w:color w:val="auto"/>
                <w:sz w:val="24"/>
                <w:highlight w:val="none"/>
              </w:rPr>
              <w:t>排入水厕，进一步排入市政污水管网</w:t>
            </w:r>
            <w:r>
              <w:rPr>
                <w:bCs/>
                <w:color w:val="auto"/>
                <w:sz w:val="24"/>
                <w:highlight w:val="none"/>
              </w:rPr>
              <w:t>；</w:t>
            </w:r>
            <w:r>
              <w:rPr>
                <w:rFonts w:hint="eastAsia"/>
                <w:bCs/>
                <w:color w:val="auto"/>
                <w:sz w:val="24"/>
                <w:highlight w:val="none"/>
              </w:rPr>
              <w:t>没有生产废水排放</w:t>
            </w:r>
            <w:r>
              <w:rPr>
                <w:bCs/>
                <w:color w:val="auto"/>
                <w:sz w:val="24"/>
                <w:highlight w:val="none"/>
              </w:rPr>
              <w:t>；产生的</w:t>
            </w:r>
            <w:r>
              <w:rPr>
                <w:rFonts w:hint="eastAsia"/>
                <w:bCs/>
                <w:color w:val="auto"/>
                <w:sz w:val="24"/>
                <w:highlight w:val="none"/>
              </w:rPr>
              <w:t>有机废气经光催化装置</w:t>
            </w:r>
            <w:r>
              <w:rPr>
                <w:bCs/>
                <w:color w:val="auto"/>
                <w:sz w:val="24"/>
                <w:highlight w:val="none"/>
              </w:rPr>
              <w:t>处理达标后，经排气筒高空排放</w:t>
            </w:r>
            <w:r>
              <w:rPr>
                <w:rFonts w:hint="eastAsia"/>
                <w:bCs/>
                <w:color w:val="auto"/>
                <w:sz w:val="24"/>
                <w:highlight w:val="none"/>
              </w:rPr>
              <w:t>,经预测对周边环境敏感点的影响较小</w:t>
            </w:r>
            <w:r>
              <w:rPr>
                <w:bCs/>
                <w:color w:val="auto"/>
                <w:sz w:val="24"/>
                <w:highlight w:val="none"/>
              </w:rPr>
              <w:t>。综上所述，从环保角度分析，本项目选址合理。</w:t>
            </w:r>
          </w:p>
          <w:p>
            <w:pPr>
              <w:widowControl/>
              <w:tabs>
                <w:tab w:val="center" w:pos="4538"/>
              </w:tabs>
              <w:snapToGrid w:val="0"/>
              <w:spacing w:line="360" w:lineRule="auto"/>
              <w:ind w:firstLine="480" w:firstLineChars="200"/>
              <w:jc w:val="left"/>
              <w:rPr>
                <w:rFonts w:eastAsia="黑体"/>
                <w:color w:val="auto"/>
                <w:sz w:val="24"/>
                <w:highlight w:val="none"/>
              </w:rPr>
            </w:pPr>
            <w:r>
              <w:rPr>
                <w:rFonts w:eastAsia="黑体"/>
                <w:color w:val="auto"/>
                <w:sz w:val="24"/>
                <w:highlight w:val="none"/>
              </w:rPr>
              <w:t>10.3区域环境质量现状</w:t>
            </w:r>
          </w:p>
          <w:p>
            <w:pPr>
              <w:pStyle w:val="6"/>
              <w:adjustRightInd w:val="0"/>
              <w:snapToGrid w:val="0"/>
              <w:spacing w:beforeLines="50" w:line="360" w:lineRule="auto"/>
              <w:ind w:firstLine="480"/>
              <w:rPr>
                <w:color w:val="auto"/>
                <w:sz w:val="24"/>
                <w:highlight w:val="none"/>
              </w:rPr>
            </w:pPr>
            <w:r>
              <w:rPr>
                <w:color w:val="auto"/>
                <w:sz w:val="24"/>
                <w:highlight w:val="none"/>
              </w:rPr>
              <w:t>（1）环境空气：</w:t>
            </w:r>
            <w:r>
              <w:rPr>
                <w:rFonts w:hint="eastAsia"/>
                <w:color w:val="auto"/>
                <w:sz w:val="24"/>
                <w:highlight w:val="none"/>
              </w:rPr>
              <w:t>根据</w:t>
            </w:r>
            <w:r>
              <w:rPr>
                <w:rFonts w:hint="eastAsia"/>
                <w:bCs/>
                <w:color w:val="auto"/>
                <w:sz w:val="24"/>
                <w:szCs w:val="21"/>
                <w:highlight w:val="none"/>
              </w:rPr>
              <w:t>西安市</w:t>
            </w:r>
            <w:r>
              <w:rPr>
                <w:color w:val="auto"/>
                <w:sz w:val="24"/>
                <w:highlight w:val="none"/>
              </w:rPr>
              <w:t>2018</w:t>
            </w:r>
            <w:r>
              <w:rPr>
                <w:rFonts w:hint="eastAsia"/>
                <w:color w:val="auto"/>
                <w:sz w:val="24"/>
                <w:highlight w:val="none"/>
              </w:rPr>
              <w:t>年度环境质量年报资料，西安市</w:t>
            </w:r>
            <w:r>
              <w:rPr>
                <w:color w:val="auto"/>
                <w:sz w:val="24"/>
                <w:highlight w:val="none"/>
              </w:rPr>
              <w:t>2018</w:t>
            </w:r>
            <w:r>
              <w:rPr>
                <w:rFonts w:hint="eastAsia"/>
                <w:color w:val="auto"/>
                <w:sz w:val="24"/>
                <w:highlight w:val="none"/>
              </w:rPr>
              <w:t>年全年的</w:t>
            </w:r>
            <w:r>
              <w:rPr>
                <w:color w:val="auto"/>
                <w:sz w:val="24"/>
                <w:highlight w:val="none"/>
              </w:rPr>
              <w:t>PM</w:t>
            </w:r>
            <w:r>
              <w:rPr>
                <w:color w:val="auto"/>
                <w:sz w:val="24"/>
                <w:highlight w:val="none"/>
                <w:vertAlign w:val="subscript"/>
              </w:rPr>
              <w:t>2.5</w:t>
            </w:r>
            <w:r>
              <w:rPr>
                <w:rFonts w:hint="eastAsia"/>
                <w:color w:val="auto"/>
                <w:sz w:val="24"/>
                <w:highlight w:val="none"/>
              </w:rPr>
              <w:t>、</w:t>
            </w:r>
            <w:r>
              <w:rPr>
                <w:color w:val="auto"/>
                <w:sz w:val="24"/>
                <w:highlight w:val="none"/>
              </w:rPr>
              <w:t>PM</w:t>
            </w:r>
            <w:r>
              <w:rPr>
                <w:color w:val="auto"/>
                <w:sz w:val="24"/>
                <w:highlight w:val="none"/>
                <w:vertAlign w:val="subscript"/>
              </w:rPr>
              <w:t>10</w:t>
            </w:r>
            <w:r>
              <w:rPr>
                <w:rFonts w:hint="eastAsia"/>
                <w:color w:val="auto"/>
                <w:sz w:val="24"/>
                <w:highlight w:val="none"/>
              </w:rPr>
              <w:t>、</w:t>
            </w:r>
            <w:r>
              <w:rPr>
                <w:color w:val="auto"/>
                <w:sz w:val="24"/>
                <w:highlight w:val="none"/>
              </w:rPr>
              <w:t>SO</w:t>
            </w:r>
            <w:r>
              <w:rPr>
                <w:color w:val="auto"/>
                <w:sz w:val="24"/>
                <w:highlight w:val="none"/>
                <w:vertAlign w:val="subscript"/>
              </w:rPr>
              <w:t>2</w:t>
            </w:r>
            <w:r>
              <w:rPr>
                <w:rFonts w:hint="eastAsia"/>
                <w:color w:val="auto"/>
                <w:sz w:val="24"/>
                <w:highlight w:val="none"/>
              </w:rPr>
              <w:t>、</w:t>
            </w:r>
            <w:r>
              <w:rPr>
                <w:color w:val="auto"/>
                <w:sz w:val="24"/>
                <w:highlight w:val="none"/>
              </w:rPr>
              <w:t>NO</w:t>
            </w:r>
            <w:r>
              <w:rPr>
                <w:color w:val="auto"/>
                <w:sz w:val="24"/>
                <w:highlight w:val="none"/>
                <w:vertAlign w:val="subscript"/>
              </w:rPr>
              <w:t>2</w:t>
            </w:r>
            <w:r>
              <w:rPr>
                <w:rFonts w:hint="eastAsia"/>
                <w:color w:val="auto"/>
                <w:sz w:val="24"/>
                <w:highlight w:val="none"/>
              </w:rPr>
              <w:t>、</w:t>
            </w:r>
            <w:r>
              <w:rPr>
                <w:color w:val="auto"/>
                <w:sz w:val="24"/>
                <w:highlight w:val="none"/>
              </w:rPr>
              <w:t>CO</w:t>
            </w:r>
            <w:r>
              <w:rPr>
                <w:rFonts w:hint="eastAsia"/>
                <w:color w:val="auto"/>
                <w:sz w:val="24"/>
                <w:highlight w:val="none"/>
              </w:rPr>
              <w:t>、</w:t>
            </w:r>
            <w:r>
              <w:rPr>
                <w:color w:val="auto"/>
                <w:sz w:val="24"/>
                <w:highlight w:val="none"/>
              </w:rPr>
              <w:t>O</w:t>
            </w:r>
            <w:r>
              <w:rPr>
                <w:color w:val="auto"/>
                <w:sz w:val="24"/>
                <w:highlight w:val="none"/>
                <w:vertAlign w:val="subscript"/>
              </w:rPr>
              <w:t>3</w:t>
            </w:r>
            <w:r>
              <w:rPr>
                <w:rFonts w:hint="eastAsia"/>
                <w:color w:val="auto"/>
                <w:sz w:val="24"/>
                <w:highlight w:val="none"/>
              </w:rPr>
              <w:t>环境质量数据情况</w:t>
            </w:r>
            <w:r>
              <w:rPr>
                <w:color w:val="auto"/>
                <w:sz w:val="24"/>
                <w:highlight w:val="none"/>
              </w:rPr>
              <w:t>表明，</w:t>
            </w:r>
            <w:r>
              <w:rPr>
                <w:rFonts w:hint="eastAsia"/>
                <w:color w:val="auto"/>
                <w:sz w:val="24"/>
                <w:highlight w:val="none"/>
              </w:rPr>
              <w:t>西安市</w:t>
            </w:r>
            <w:r>
              <w:rPr>
                <w:color w:val="auto"/>
                <w:sz w:val="24"/>
                <w:highlight w:val="none"/>
              </w:rPr>
              <w:t>2018</w:t>
            </w:r>
            <w:r>
              <w:rPr>
                <w:rFonts w:hint="eastAsia"/>
                <w:color w:val="auto"/>
                <w:sz w:val="24"/>
                <w:highlight w:val="none"/>
              </w:rPr>
              <w:t>年</w:t>
            </w:r>
            <w:r>
              <w:rPr>
                <w:color w:val="auto"/>
                <w:sz w:val="24"/>
                <w:highlight w:val="none"/>
              </w:rPr>
              <w:t>NO</w:t>
            </w:r>
            <w:r>
              <w:rPr>
                <w:color w:val="auto"/>
                <w:sz w:val="24"/>
                <w:highlight w:val="none"/>
                <w:vertAlign w:val="subscript"/>
              </w:rPr>
              <w:t>2</w:t>
            </w:r>
            <w:r>
              <w:rPr>
                <w:rFonts w:hint="eastAsia"/>
                <w:color w:val="auto"/>
                <w:sz w:val="24"/>
                <w:highlight w:val="none"/>
              </w:rPr>
              <w:t>、</w:t>
            </w:r>
            <w:r>
              <w:rPr>
                <w:color w:val="auto"/>
                <w:sz w:val="24"/>
                <w:highlight w:val="none"/>
              </w:rPr>
              <w:t>PM</w:t>
            </w:r>
            <w:r>
              <w:rPr>
                <w:color w:val="auto"/>
                <w:sz w:val="24"/>
                <w:highlight w:val="none"/>
                <w:vertAlign w:val="subscript"/>
              </w:rPr>
              <w:t>2.5</w:t>
            </w:r>
            <w:r>
              <w:rPr>
                <w:rFonts w:hint="eastAsia"/>
                <w:color w:val="auto"/>
                <w:sz w:val="24"/>
                <w:highlight w:val="none"/>
              </w:rPr>
              <w:t>、</w:t>
            </w:r>
            <w:r>
              <w:rPr>
                <w:color w:val="auto"/>
                <w:sz w:val="24"/>
                <w:highlight w:val="none"/>
              </w:rPr>
              <w:t>PM</w:t>
            </w:r>
            <w:r>
              <w:rPr>
                <w:color w:val="auto"/>
                <w:sz w:val="24"/>
                <w:highlight w:val="none"/>
                <w:vertAlign w:val="subscript"/>
              </w:rPr>
              <w:t>10</w:t>
            </w:r>
            <w:r>
              <w:rPr>
                <w:rFonts w:hint="eastAsia"/>
                <w:color w:val="auto"/>
                <w:sz w:val="24"/>
                <w:highlight w:val="none"/>
              </w:rPr>
              <w:t>和</w:t>
            </w:r>
            <w:r>
              <w:rPr>
                <w:color w:val="auto"/>
                <w:sz w:val="24"/>
                <w:highlight w:val="none"/>
              </w:rPr>
              <w:t>O</w:t>
            </w:r>
            <w:r>
              <w:rPr>
                <w:color w:val="auto"/>
                <w:sz w:val="24"/>
                <w:highlight w:val="none"/>
                <w:vertAlign w:val="subscript"/>
              </w:rPr>
              <w:t>3</w:t>
            </w:r>
            <w:r>
              <w:rPr>
                <w:rFonts w:hint="eastAsia"/>
                <w:color w:val="auto"/>
                <w:sz w:val="24"/>
                <w:highlight w:val="none"/>
              </w:rPr>
              <w:t>四项因子超标，因此项目所在区域为空气不达标区域。</w:t>
            </w:r>
          </w:p>
          <w:p>
            <w:pPr>
              <w:spacing w:line="360" w:lineRule="auto"/>
              <w:ind w:firstLine="480" w:firstLineChars="200"/>
              <w:rPr>
                <w:bCs/>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）声环境质量：</w:t>
            </w:r>
            <w:r>
              <w:rPr>
                <w:rFonts w:hint="eastAsia"/>
                <w:color w:val="auto"/>
                <w:sz w:val="24"/>
                <w:szCs w:val="20"/>
                <w:highlight w:val="none"/>
              </w:rPr>
              <w:t>监测期间，项目厂界四周监测结果均符合《声环境质量标准》（</w:t>
            </w:r>
            <w:r>
              <w:rPr>
                <w:color w:val="auto"/>
                <w:sz w:val="24"/>
                <w:szCs w:val="20"/>
                <w:highlight w:val="none"/>
              </w:rPr>
              <w:t>GB3096-2008</w:t>
            </w:r>
            <w:r>
              <w:rPr>
                <w:rFonts w:hint="eastAsia"/>
                <w:color w:val="auto"/>
                <w:sz w:val="24"/>
                <w:szCs w:val="20"/>
                <w:highlight w:val="none"/>
              </w:rPr>
              <w:t>）</w:t>
            </w:r>
            <w:r>
              <w:rPr>
                <w:rFonts w:hint="eastAsia"/>
                <w:color w:val="auto"/>
                <w:sz w:val="24"/>
                <w:szCs w:val="20"/>
                <w:highlight w:val="none"/>
                <w:lang w:val="en-US" w:eastAsia="zh-CN"/>
              </w:rPr>
              <w:t>2</w:t>
            </w:r>
            <w:r>
              <w:rPr>
                <w:rFonts w:hint="eastAsia"/>
                <w:color w:val="auto"/>
                <w:sz w:val="24"/>
                <w:szCs w:val="20"/>
                <w:highlight w:val="none"/>
              </w:rPr>
              <w:t>类区标准要求，敏感目标处监测结果符合《声环境质量标准》（</w:t>
            </w:r>
            <w:r>
              <w:rPr>
                <w:color w:val="auto"/>
                <w:sz w:val="24"/>
                <w:szCs w:val="20"/>
                <w:highlight w:val="none"/>
              </w:rPr>
              <w:t>GB3096-2008</w:t>
            </w:r>
            <w:r>
              <w:rPr>
                <w:rFonts w:hint="eastAsia"/>
                <w:color w:val="auto"/>
                <w:sz w:val="24"/>
                <w:szCs w:val="20"/>
                <w:highlight w:val="none"/>
              </w:rPr>
              <w:t>）</w:t>
            </w:r>
            <w:r>
              <w:rPr>
                <w:color w:val="auto"/>
                <w:sz w:val="24"/>
                <w:szCs w:val="20"/>
                <w:highlight w:val="none"/>
              </w:rPr>
              <w:t>2</w:t>
            </w:r>
            <w:r>
              <w:rPr>
                <w:rFonts w:hint="eastAsia"/>
                <w:color w:val="auto"/>
                <w:sz w:val="24"/>
                <w:szCs w:val="20"/>
                <w:highlight w:val="none"/>
              </w:rPr>
              <w:t>类区标准要求。声环境质量现状良好。</w:t>
            </w:r>
          </w:p>
          <w:p>
            <w:pPr>
              <w:widowControl/>
              <w:tabs>
                <w:tab w:val="center" w:pos="4538"/>
              </w:tabs>
              <w:snapToGrid w:val="0"/>
              <w:spacing w:line="360" w:lineRule="auto"/>
              <w:ind w:firstLine="480" w:firstLineChars="200"/>
              <w:jc w:val="left"/>
              <w:rPr>
                <w:rFonts w:eastAsia="黑体"/>
                <w:color w:val="auto"/>
                <w:sz w:val="24"/>
                <w:highlight w:val="none"/>
              </w:rPr>
            </w:pPr>
            <w:r>
              <w:rPr>
                <w:rFonts w:eastAsia="黑体"/>
                <w:color w:val="auto"/>
                <w:sz w:val="24"/>
                <w:highlight w:val="none"/>
              </w:rPr>
              <w:t>10.4运营期主要环保措施及环境影响</w:t>
            </w:r>
          </w:p>
          <w:p>
            <w:pPr>
              <w:pStyle w:val="82"/>
              <w:tabs>
                <w:tab w:val="left" w:pos="1280"/>
              </w:tabs>
              <w:spacing w:line="360" w:lineRule="auto"/>
              <w:ind w:firstLine="480"/>
              <w:rPr>
                <w:color w:val="auto"/>
                <w:sz w:val="24"/>
                <w:highlight w:val="none"/>
              </w:rPr>
            </w:pPr>
            <w:r>
              <w:rPr>
                <w:rFonts w:hint="eastAsia"/>
                <w:color w:val="auto"/>
                <w:sz w:val="24"/>
                <w:highlight w:val="none"/>
              </w:rPr>
              <w:t>本次项目</w:t>
            </w:r>
            <w:r>
              <w:rPr>
                <w:color w:val="auto"/>
                <w:sz w:val="24"/>
                <w:highlight w:val="none"/>
              </w:rPr>
              <w:t>建成运行后，环境影响主要表现在以下几个方面：</w:t>
            </w:r>
          </w:p>
          <w:p>
            <w:pPr>
              <w:pStyle w:val="82"/>
              <w:tabs>
                <w:tab w:val="left" w:pos="1280"/>
              </w:tabs>
              <w:spacing w:line="360" w:lineRule="auto"/>
              <w:ind w:firstLine="480"/>
              <w:rPr>
                <w:color w:val="auto"/>
                <w:sz w:val="24"/>
                <w:highlight w:val="none"/>
              </w:rPr>
            </w:pPr>
            <w:r>
              <w:rPr>
                <w:color w:val="auto"/>
                <w:sz w:val="24"/>
                <w:highlight w:val="none"/>
              </w:rPr>
              <w:t>（1）地表水</w:t>
            </w:r>
          </w:p>
          <w:p>
            <w:pPr>
              <w:spacing w:line="360" w:lineRule="auto"/>
              <w:ind w:firstLine="480" w:firstLineChars="200"/>
              <w:rPr>
                <w:color w:val="auto"/>
                <w:sz w:val="24"/>
                <w:highlight w:val="none"/>
              </w:rPr>
            </w:pPr>
            <w:r>
              <w:rPr>
                <w:color w:val="auto"/>
                <w:sz w:val="24"/>
                <w:highlight w:val="none"/>
              </w:rPr>
              <w:t>本项目</w:t>
            </w:r>
            <w:r>
              <w:rPr>
                <w:rFonts w:hint="eastAsia"/>
                <w:color w:val="auto"/>
                <w:sz w:val="24"/>
                <w:highlight w:val="none"/>
              </w:rPr>
              <w:t>无生产废水，生活污水产生量为0.42</w:t>
            </w:r>
            <w:r>
              <w:rPr>
                <w:color w:val="auto"/>
                <w:sz w:val="24"/>
                <w:highlight w:val="none"/>
              </w:rPr>
              <w:t>m3/d</w:t>
            </w:r>
            <w:r>
              <w:rPr>
                <w:rFonts w:hint="eastAsia"/>
                <w:color w:val="auto"/>
                <w:sz w:val="24"/>
                <w:highlight w:val="none"/>
              </w:rPr>
              <w:t>（58.8</w:t>
            </w:r>
            <w:r>
              <w:rPr>
                <w:color w:val="auto"/>
                <w:sz w:val="24"/>
                <w:highlight w:val="none"/>
              </w:rPr>
              <w:t>m3/a</w:t>
            </w:r>
            <w:r>
              <w:rPr>
                <w:rFonts w:hint="eastAsia"/>
                <w:color w:val="auto"/>
                <w:sz w:val="24"/>
                <w:highlight w:val="none"/>
              </w:rPr>
              <w:t>）</w:t>
            </w:r>
            <w:r>
              <w:rPr>
                <w:color w:val="auto"/>
                <w:sz w:val="24"/>
                <w:highlight w:val="none"/>
              </w:rPr>
              <w:t>。</w:t>
            </w:r>
            <w:r>
              <w:rPr>
                <w:rFonts w:hint="eastAsia"/>
                <w:color w:val="auto"/>
                <w:sz w:val="24"/>
                <w:highlight w:val="none"/>
              </w:rPr>
              <w:t>生活污水排入澳利森公司已有化粪池，经市政污水管网排入西安市第三污水处理厂。</w:t>
            </w:r>
            <w:r>
              <w:rPr>
                <w:color w:val="auto"/>
                <w:sz w:val="24"/>
                <w:highlight w:val="none"/>
              </w:rPr>
              <w:t>对地表水</w:t>
            </w:r>
            <w:r>
              <w:rPr>
                <w:rFonts w:hint="eastAsia"/>
                <w:color w:val="auto"/>
                <w:sz w:val="24"/>
                <w:highlight w:val="none"/>
              </w:rPr>
              <w:t>环境</w:t>
            </w:r>
            <w:r>
              <w:rPr>
                <w:color w:val="auto"/>
                <w:sz w:val="24"/>
                <w:highlight w:val="none"/>
              </w:rPr>
              <w:t>无影响。</w:t>
            </w:r>
          </w:p>
          <w:p>
            <w:pPr>
              <w:spacing w:line="360" w:lineRule="auto"/>
              <w:ind w:firstLine="480" w:firstLineChars="200"/>
              <w:rPr>
                <w:rFonts w:eastAsia="黑体"/>
                <w:color w:val="auto"/>
                <w:sz w:val="24"/>
                <w:highlight w:val="none"/>
              </w:rPr>
            </w:pPr>
            <w:r>
              <w:rPr>
                <w:color w:val="auto"/>
                <w:sz w:val="24"/>
                <w:highlight w:val="none"/>
              </w:rPr>
              <w:t>（2）环境空气</w:t>
            </w:r>
          </w:p>
          <w:p>
            <w:pPr>
              <w:snapToGrid w:val="0"/>
              <w:spacing w:line="360" w:lineRule="auto"/>
              <w:ind w:right="34" w:rightChars="12" w:firstLine="480" w:firstLineChars="200"/>
              <w:rPr>
                <w:color w:val="auto"/>
                <w:sz w:val="24"/>
                <w:highlight w:val="none"/>
              </w:rPr>
            </w:pPr>
            <w:r>
              <w:rPr>
                <w:rFonts w:hint="eastAsia"/>
                <w:color w:val="auto"/>
                <w:sz w:val="24"/>
                <w:highlight w:val="none"/>
              </w:rPr>
              <w:t>本次</w:t>
            </w:r>
            <w:r>
              <w:rPr>
                <w:color w:val="auto"/>
                <w:sz w:val="24"/>
                <w:highlight w:val="none"/>
              </w:rPr>
              <w:t>项目实施后</w:t>
            </w:r>
            <w:r>
              <w:rPr>
                <w:rFonts w:hint="eastAsia"/>
                <w:color w:val="auto"/>
                <w:sz w:val="24"/>
                <w:highlight w:val="none"/>
              </w:rPr>
              <w:t>产生的废气主要是油墨挥发的有机废气，本项目以VOCs计。有机废气经集气罩收集后经</w:t>
            </w:r>
            <w:r>
              <w:rPr>
                <w:color w:val="auto"/>
                <w:sz w:val="24"/>
                <w:highlight w:val="none"/>
              </w:rPr>
              <w:t>UV</w:t>
            </w:r>
            <w:r>
              <w:rPr>
                <w:rFonts w:hint="eastAsia"/>
                <w:color w:val="auto"/>
                <w:sz w:val="24"/>
                <w:highlight w:val="none"/>
              </w:rPr>
              <w:t>光催化</w:t>
            </w:r>
            <w:r>
              <w:rPr>
                <w:color w:val="auto"/>
                <w:sz w:val="24"/>
                <w:highlight w:val="none"/>
              </w:rPr>
              <w:t>+</w:t>
            </w:r>
            <w:r>
              <w:rPr>
                <w:rFonts w:hint="eastAsia"/>
                <w:color w:val="auto"/>
                <w:sz w:val="24"/>
                <w:highlight w:val="none"/>
              </w:rPr>
              <w:t>活性炭装置处理后由</w:t>
            </w:r>
            <w:r>
              <w:rPr>
                <w:color w:val="auto"/>
                <w:sz w:val="24"/>
                <w:highlight w:val="none"/>
              </w:rPr>
              <w:t xml:space="preserve"> 15m </w:t>
            </w:r>
            <w:r>
              <w:rPr>
                <w:rFonts w:hint="eastAsia"/>
                <w:color w:val="auto"/>
                <w:sz w:val="24"/>
                <w:highlight w:val="none"/>
              </w:rPr>
              <w:t>高排气筒有组织排放，经计算排放浓度低于《挥发性有机物排放控制标准》（DB61/T1061-2017）中的排放浓度限值，对环境的影响很小。</w:t>
            </w:r>
          </w:p>
          <w:p>
            <w:pPr>
              <w:snapToGrid w:val="0"/>
              <w:spacing w:line="360" w:lineRule="auto"/>
              <w:ind w:right="34" w:rightChars="12" w:firstLine="480" w:firstLineChars="200"/>
              <w:rPr>
                <w:color w:val="auto"/>
                <w:sz w:val="24"/>
                <w:highlight w:val="none"/>
              </w:rPr>
            </w:pPr>
            <w:r>
              <w:rPr>
                <w:color w:val="auto"/>
                <w:sz w:val="24"/>
                <w:highlight w:val="none"/>
              </w:rPr>
              <w:t>（3）噪声</w:t>
            </w:r>
          </w:p>
          <w:p>
            <w:pPr>
              <w:spacing w:line="360" w:lineRule="auto"/>
              <w:rPr>
                <w:color w:val="auto"/>
                <w:sz w:val="24"/>
                <w:highlight w:val="none"/>
              </w:rPr>
            </w:pPr>
            <w:r>
              <w:rPr>
                <w:rFonts w:hint="eastAsia"/>
                <w:color w:val="auto"/>
                <w:sz w:val="24"/>
                <w:highlight w:val="none"/>
              </w:rPr>
              <w:t xml:space="preserve">    本项目主要的声源有</w:t>
            </w:r>
            <w:r>
              <w:rPr>
                <w:rFonts w:hint="eastAsia"/>
                <w:bCs/>
                <w:color w:val="auto"/>
                <w:sz w:val="24"/>
                <w:highlight w:val="none"/>
              </w:rPr>
              <w:t>印刷机、切纸机和废气处理装置。</w:t>
            </w:r>
            <w:r>
              <w:rPr>
                <w:rFonts w:hint="eastAsia"/>
                <w:color w:val="auto"/>
                <w:sz w:val="24"/>
                <w:highlight w:val="none"/>
              </w:rPr>
              <w:t>采取本环评提出的隔声降噪措施后，项目各厂界昼间噪声预测值均能达到《工业企业厂界环境噪声排放标准》(GB12348-2008)中的 3 类标准限值要求；经预测，声环境敏感点神峪寺沟村六组叠加值能满足《声环境质量标准》（GB3096-2008）2 类标准要求，项目生产过程中产生的噪声对周围环境影响较小。</w:t>
            </w:r>
          </w:p>
          <w:p>
            <w:pPr>
              <w:spacing w:line="360" w:lineRule="auto"/>
              <w:rPr>
                <w:color w:val="auto"/>
                <w:sz w:val="24"/>
                <w:highlight w:val="none"/>
              </w:rPr>
            </w:pPr>
            <w:r>
              <w:rPr>
                <w:rFonts w:hint="eastAsia"/>
                <w:color w:val="auto"/>
                <w:sz w:val="24"/>
                <w:highlight w:val="none"/>
              </w:rPr>
              <w:t xml:space="preserve">    </w:t>
            </w:r>
            <w:r>
              <w:rPr>
                <w:color w:val="auto"/>
                <w:sz w:val="24"/>
                <w:highlight w:val="none"/>
              </w:rPr>
              <w:t>（4）固废</w:t>
            </w:r>
          </w:p>
          <w:p>
            <w:pPr>
              <w:spacing w:line="360" w:lineRule="auto"/>
              <w:ind w:firstLine="477" w:firstLineChars="199"/>
              <w:rPr>
                <w:color w:val="auto"/>
                <w:sz w:val="24"/>
                <w:highlight w:val="none"/>
              </w:rPr>
            </w:pPr>
            <w:r>
              <w:rPr>
                <w:rFonts w:hint="eastAsia"/>
                <w:color w:val="auto"/>
                <w:sz w:val="24"/>
                <w:highlight w:val="none"/>
              </w:rPr>
              <w:t>本项目生产过程</w:t>
            </w:r>
            <w:r>
              <w:rPr>
                <w:color w:val="auto"/>
                <w:sz w:val="24"/>
                <w:highlight w:val="none"/>
              </w:rPr>
              <w:t>产生的固体废物主要为</w:t>
            </w:r>
            <w:r>
              <w:rPr>
                <w:rFonts w:hint="eastAsia"/>
                <w:color w:val="auto"/>
                <w:sz w:val="24"/>
                <w:highlight w:val="none"/>
              </w:rPr>
              <w:t>废纸、废油墨桶、废含油抹布、废机油、废活性炭和生活垃圾</w:t>
            </w:r>
            <w:r>
              <w:rPr>
                <w:color w:val="auto"/>
                <w:sz w:val="24"/>
                <w:highlight w:val="none"/>
              </w:rPr>
              <w:t>。</w:t>
            </w:r>
            <w:r>
              <w:rPr>
                <w:rFonts w:hint="eastAsia"/>
                <w:color w:val="auto"/>
                <w:sz w:val="24"/>
                <w:highlight w:val="none"/>
              </w:rPr>
              <w:t>对照《国家危险废物名录》（2016版），其中危险废物有废油墨桶、废含油抹布、废活性炭、废油墨桶，建设单位已与陕西新天地固体废物综合处置有限公司签订危险废物委托处置合同，本项目产生的危险废物全部委托该公司处置</w:t>
            </w:r>
            <w:r>
              <w:rPr>
                <w:bCs/>
                <w:color w:val="auto"/>
                <w:sz w:val="24"/>
                <w:highlight w:val="none"/>
              </w:rPr>
              <w:t>。</w:t>
            </w:r>
            <w:r>
              <w:rPr>
                <w:rFonts w:hint="eastAsia"/>
                <w:bCs/>
                <w:color w:val="auto"/>
                <w:sz w:val="24"/>
                <w:highlight w:val="none"/>
              </w:rPr>
              <w:t>废纸外售废品回收单位，生活垃圾由环卫部门清运，</w:t>
            </w:r>
            <w:r>
              <w:rPr>
                <w:color w:val="auto"/>
                <w:sz w:val="24"/>
                <w:highlight w:val="none"/>
              </w:rPr>
              <w:t>各固废可得到有效处置，对周围环境影响不大。</w:t>
            </w:r>
          </w:p>
          <w:p>
            <w:pPr>
              <w:widowControl/>
              <w:tabs>
                <w:tab w:val="center" w:pos="4538"/>
              </w:tabs>
              <w:snapToGrid w:val="0"/>
              <w:spacing w:line="360" w:lineRule="auto"/>
              <w:ind w:firstLine="480" w:firstLineChars="200"/>
              <w:jc w:val="left"/>
              <w:rPr>
                <w:rFonts w:eastAsia="黑体"/>
                <w:color w:val="auto"/>
                <w:sz w:val="24"/>
                <w:highlight w:val="none"/>
              </w:rPr>
            </w:pPr>
            <w:r>
              <w:rPr>
                <w:rFonts w:eastAsia="黑体"/>
                <w:color w:val="auto"/>
                <w:sz w:val="24"/>
                <w:highlight w:val="none"/>
              </w:rPr>
              <w:t>10.</w:t>
            </w:r>
            <w:r>
              <w:rPr>
                <w:rFonts w:hint="eastAsia" w:eastAsia="黑体"/>
                <w:color w:val="auto"/>
                <w:sz w:val="24"/>
                <w:highlight w:val="none"/>
              </w:rPr>
              <w:t>5</w:t>
            </w:r>
            <w:r>
              <w:rPr>
                <w:rFonts w:eastAsia="黑体"/>
                <w:color w:val="auto"/>
                <w:sz w:val="24"/>
                <w:highlight w:val="none"/>
              </w:rPr>
              <w:t xml:space="preserve"> 总结论</w:t>
            </w:r>
          </w:p>
          <w:p>
            <w:pPr>
              <w:snapToGrid w:val="0"/>
              <w:spacing w:line="360" w:lineRule="auto"/>
              <w:ind w:firstLine="480" w:firstLineChars="200"/>
              <w:outlineLvl w:val="1"/>
              <w:rPr>
                <w:bCs/>
                <w:color w:val="auto"/>
                <w:sz w:val="24"/>
                <w:szCs w:val="20"/>
                <w:highlight w:val="none"/>
              </w:rPr>
            </w:pPr>
            <w:r>
              <w:rPr>
                <w:bCs/>
                <w:color w:val="auto"/>
                <w:sz w:val="24"/>
                <w:szCs w:val="20"/>
                <w:highlight w:val="none"/>
              </w:rPr>
              <w:t>综上所述，本次项目的建设符合国家产业政策，用地规划，排放的污染物均可以做到长期稳定达标排放，对周围环境的影响在可承受范围之内，因此环评认为，在切实落实环评报告提出的各项污染防治措施的前提下，</w:t>
            </w:r>
            <w:r>
              <w:rPr>
                <w:bCs/>
                <w:color w:val="auto"/>
                <w:sz w:val="24"/>
                <w:highlight w:val="none"/>
              </w:rPr>
              <w:t>从环保角度出发，本项目</w:t>
            </w:r>
            <w:r>
              <w:rPr>
                <w:bCs/>
                <w:color w:val="auto"/>
                <w:sz w:val="24"/>
                <w:szCs w:val="20"/>
                <w:highlight w:val="none"/>
              </w:rPr>
              <w:t>的建设是可行。</w:t>
            </w:r>
          </w:p>
          <w:p>
            <w:pPr>
              <w:widowControl/>
              <w:tabs>
                <w:tab w:val="center" w:pos="4538"/>
              </w:tabs>
              <w:snapToGrid w:val="0"/>
              <w:spacing w:line="360" w:lineRule="auto"/>
              <w:ind w:firstLine="480" w:firstLineChars="200"/>
              <w:jc w:val="left"/>
              <w:rPr>
                <w:rFonts w:eastAsia="黑体"/>
                <w:color w:val="auto"/>
                <w:sz w:val="24"/>
                <w:highlight w:val="none"/>
              </w:rPr>
            </w:pPr>
            <w:r>
              <w:rPr>
                <w:rFonts w:eastAsia="黑体"/>
                <w:color w:val="auto"/>
                <w:sz w:val="24"/>
                <w:highlight w:val="none"/>
              </w:rPr>
              <w:t>10.</w:t>
            </w:r>
            <w:r>
              <w:rPr>
                <w:rFonts w:hint="eastAsia" w:eastAsia="黑体"/>
                <w:color w:val="auto"/>
                <w:sz w:val="24"/>
                <w:highlight w:val="none"/>
              </w:rPr>
              <w:t>7</w:t>
            </w:r>
            <w:r>
              <w:rPr>
                <w:rFonts w:eastAsia="黑体"/>
                <w:color w:val="auto"/>
                <w:sz w:val="24"/>
                <w:highlight w:val="none"/>
              </w:rPr>
              <w:t>要求与建议</w:t>
            </w:r>
          </w:p>
          <w:p>
            <w:pPr>
              <w:spacing w:line="360" w:lineRule="auto"/>
              <w:rPr>
                <w:color w:val="auto"/>
                <w:sz w:val="24"/>
                <w:highlight w:val="none"/>
              </w:rPr>
            </w:pPr>
            <w:r>
              <w:rPr>
                <w:rFonts w:hint="eastAsia"/>
                <w:color w:val="auto"/>
                <w:sz w:val="24"/>
                <w:highlight w:val="none"/>
              </w:rPr>
              <w:t xml:space="preserve">    ①项目运行过程中，定期对设备进行养护，特别是废气出来设施，确保各项环保设施的正常运行；</w:t>
            </w:r>
          </w:p>
          <w:p>
            <w:pPr>
              <w:spacing w:line="360" w:lineRule="auto"/>
              <w:rPr>
                <w:color w:val="auto"/>
                <w:sz w:val="24"/>
                <w:highlight w:val="none"/>
              </w:rPr>
            </w:pPr>
            <w:r>
              <w:rPr>
                <w:rFonts w:hint="eastAsia"/>
                <w:color w:val="auto"/>
                <w:sz w:val="24"/>
                <w:highlight w:val="none"/>
              </w:rPr>
              <w:t xml:space="preserve">    ②加强危险固废环境管理，确保危险废物应正确贮存，按照国家规定最终运至有资质的单位安全处置，做好台账管理及危废转移联单；</w:t>
            </w:r>
          </w:p>
          <w:p>
            <w:pPr>
              <w:spacing w:line="360" w:lineRule="auto"/>
              <w:ind w:firstLine="482"/>
              <w:rPr>
                <w:color w:val="auto"/>
                <w:sz w:val="24"/>
                <w:highlight w:val="none"/>
              </w:rPr>
            </w:pPr>
            <w:r>
              <w:rPr>
                <w:rFonts w:hint="eastAsia"/>
                <w:color w:val="auto"/>
                <w:sz w:val="24"/>
                <w:highlight w:val="none"/>
              </w:rPr>
              <w:t>③固体废弃物严格实行分类堆放，分类处置，提高综合回收利用率，变废为宝，减轻对环境的污染；对生活垃圾要采用袋装、分类收集、固定地点堆放，由环卫部门统一运往垃圾场进行卫生填埋处理；</w:t>
            </w:r>
          </w:p>
          <w:p>
            <w:pPr>
              <w:spacing w:line="360" w:lineRule="auto"/>
              <w:rPr>
                <w:color w:val="auto"/>
                <w:sz w:val="24"/>
                <w:highlight w:val="none"/>
              </w:rPr>
            </w:pPr>
            <w:r>
              <w:rPr>
                <w:color w:val="auto"/>
                <w:sz w:val="24"/>
                <w:highlight w:val="none"/>
              </w:rPr>
              <w:t xml:space="preserve">    </w:t>
            </w:r>
            <w:r>
              <w:rPr>
                <w:rFonts w:hint="eastAsia"/>
                <w:color w:val="auto"/>
                <w:sz w:val="24"/>
                <w:highlight w:val="none"/>
              </w:rPr>
              <w:t>④</w:t>
            </w:r>
            <w:r>
              <w:rPr>
                <w:color w:val="auto"/>
                <w:sz w:val="24"/>
                <w:highlight w:val="none"/>
              </w:rPr>
              <w:t>严格控制各污染物达标排放，保持环保设施良好运行，并培训职工环保意识，落实环境管理规章制度，认真执行环境监测计划，就可将污染影响减至最小</w:t>
            </w:r>
            <w:r>
              <w:rPr>
                <w:rFonts w:hint="eastAsia"/>
                <w:color w:val="auto"/>
                <w:sz w:val="24"/>
                <w:highlight w:val="none"/>
              </w:rPr>
              <w:t>；</w:t>
            </w:r>
          </w:p>
          <w:p>
            <w:pPr>
              <w:spacing w:line="360" w:lineRule="auto"/>
              <w:ind w:firstLine="480" w:firstLineChars="200"/>
              <w:rPr>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695" w:hRule="atLeast"/>
        </w:trPr>
        <w:tc>
          <w:tcPr>
            <w:tcW w:w="8907" w:type="dxa"/>
            <w:gridSpan w:val="2"/>
          </w:tcPr>
          <w:p>
            <w:pPr>
              <w:rPr>
                <w:color w:val="auto"/>
                <w:sz w:val="24"/>
                <w:highlight w:val="none"/>
              </w:rPr>
            </w:pPr>
            <w:r>
              <w:rPr>
                <w:color w:val="auto"/>
                <w:sz w:val="24"/>
                <w:highlight w:val="none"/>
              </w:rPr>
              <w:t>预审意见：</w:t>
            </w:r>
          </w:p>
          <w:p>
            <w:pPr>
              <w:rPr>
                <w:color w:val="auto"/>
                <w:sz w:val="24"/>
                <w:highlight w:val="none"/>
              </w:rPr>
            </w:pPr>
          </w:p>
          <w:p>
            <w:pPr>
              <w:rPr>
                <w:color w:val="auto"/>
                <w:sz w:val="24"/>
                <w:highlight w:val="none"/>
              </w:rPr>
            </w:pPr>
          </w:p>
          <w:p>
            <w:pPr>
              <w:rPr>
                <w:color w:val="auto"/>
                <w:sz w:val="24"/>
                <w:highlight w:val="none"/>
              </w:rPr>
            </w:pPr>
          </w:p>
          <w:p>
            <w:pPr>
              <w:rPr>
                <w:color w:val="auto"/>
                <w:sz w:val="24"/>
                <w:highlight w:val="none"/>
              </w:rPr>
            </w:pPr>
          </w:p>
          <w:p>
            <w:pPr>
              <w:rPr>
                <w:color w:val="auto"/>
                <w:sz w:val="24"/>
                <w:highlight w:val="none"/>
              </w:rPr>
            </w:pPr>
          </w:p>
          <w:p>
            <w:pPr>
              <w:rPr>
                <w:color w:val="auto"/>
                <w:sz w:val="24"/>
                <w:highlight w:val="none"/>
              </w:rPr>
            </w:pPr>
          </w:p>
          <w:p>
            <w:pPr>
              <w:rPr>
                <w:color w:val="auto"/>
                <w:sz w:val="24"/>
                <w:highlight w:val="none"/>
              </w:rPr>
            </w:pPr>
          </w:p>
          <w:p>
            <w:pPr>
              <w:rPr>
                <w:color w:val="auto"/>
                <w:sz w:val="24"/>
                <w:highlight w:val="none"/>
              </w:rPr>
            </w:pPr>
          </w:p>
          <w:p>
            <w:pPr>
              <w:rPr>
                <w:color w:val="auto"/>
                <w:sz w:val="24"/>
                <w:highlight w:val="none"/>
              </w:rPr>
            </w:pPr>
          </w:p>
          <w:p>
            <w:pPr>
              <w:rPr>
                <w:color w:val="auto"/>
                <w:sz w:val="24"/>
                <w:highlight w:val="none"/>
              </w:rPr>
            </w:pPr>
          </w:p>
          <w:p>
            <w:pPr>
              <w:rPr>
                <w:color w:val="auto"/>
                <w:sz w:val="24"/>
                <w:highlight w:val="none"/>
              </w:rPr>
            </w:pPr>
          </w:p>
          <w:p>
            <w:pPr>
              <w:rPr>
                <w:color w:val="auto"/>
                <w:sz w:val="24"/>
                <w:highlight w:val="none"/>
              </w:rPr>
            </w:pPr>
            <w:r>
              <w:rPr>
                <w:color w:val="auto"/>
                <w:sz w:val="24"/>
                <w:highlight w:val="none"/>
              </w:rPr>
              <w:t xml:space="preserve">                                               公 章</w:t>
            </w:r>
          </w:p>
          <w:p>
            <w:pPr>
              <w:rPr>
                <w:color w:val="auto"/>
                <w:sz w:val="24"/>
                <w:highlight w:val="none"/>
              </w:rPr>
            </w:pPr>
          </w:p>
          <w:p>
            <w:pPr>
              <w:rPr>
                <w:color w:val="auto"/>
                <w:sz w:val="24"/>
                <w:highlight w:val="none"/>
              </w:rPr>
            </w:pPr>
            <w:r>
              <w:rPr>
                <w:color w:val="auto"/>
                <w:sz w:val="24"/>
                <w:highlight w:val="none"/>
              </w:rPr>
              <w:t xml:space="preserve">         经办人：                           年   月   日                    </w:t>
            </w:r>
          </w:p>
          <w:p>
            <w:pPr>
              <w:ind w:right="1120" w:firstLine="3120" w:firstLineChars="1300"/>
              <w:rPr>
                <w:color w:val="auto"/>
                <w:sz w:val="24"/>
                <w:highlight w:val="none"/>
              </w:rPr>
            </w:pPr>
            <w:r>
              <w:rPr>
                <w:color w:val="auto"/>
                <w:sz w:val="24"/>
                <w:highlight w:val="none"/>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008" w:hRule="atLeast"/>
        </w:trPr>
        <w:tc>
          <w:tcPr>
            <w:tcW w:w="8907" w:type="dxa"/>
            <w:gridSpan w:val="2"/>
          </w:tcPr>
          <w:p>
            <w:pPr>
              <w:spacing w:line="320" w:lineRule="exact"/>
              <w:rPr>
                <w:color w:val="auto"/>
                <w:sz w:val="24"/>
                <w:highlight w:val="none"/>
              </w:rPr>
            </w:pPr>
          </w:p>
          <w:p>
            <w:pPr>
              <w:spacing w:line="320" w:lineRule="exact"/>
              <w:rPr>
                <w:color w:val="auto"/>
                <w:sz w:val="24"/>
                <w:highlight w:val="none"/>
              </w:rPr>
            </w:pPr>
            <w:r>
              <w:rPr>
                <w:color w:val="auto"/>
                <w:sz w:val="24"/>
                <w:highlight w:val="none"/>
              </w:rPr>
              <w:t>下一级环境保护行政主管部门审查意见：</w:t>
            </w:r>
          </w:p>
          <w:p>
            <w:pPr>
              <w:spacing w:line="320" w:lineRule="exact"/>
              <w:rPr>
                <w:color w:val="auto"/>
                <w:sz w:val="24"/>
                <w:highlight w:val="none"/>
              </w:rPr>
            </w:pPr>
          </w:p>
          <w:p>
            <w:pPr>
              <w:spacing w:line="320" w:lineRule="exact"/>
              <w:rPr>
                <w:color w:val="auto"/>
                <w:sz w:val="24"/>
                <w:highlight w:val="none"/>
              </w:rPr>
            </w:pPr>
          </w:p>
          <w:p>
            <w:pPr>
              <w:spacing w:line="320" w:lineRule="exact"/>
              <w:rPr>
                <w:color w:val="auto"/>
                <w:sz w:val="24"/>
                <w:highlight w:val="none"/>
              </w:rPr>
            </w:pPr>
          </w:p>
          <w:p>
            <w:pPr>
              <w:spacing w:line="700" w:lineRule="exact"/>
              <w:rPr>
                <w:color w:val="auto"/>
                <w:sz w:val="24"/>
                <w:highlight w:val="none"/>
              </w:rPr>
            </w:pPr>
          </w:p>
          <w:p>
            <w:pPr>
              <w:spacing w:line="700" w:lineRule="exact"/>
              <w:rPr>
                <w:color w:val="auto"/>
                <w:sz w:val="24"/>
                <w:highlight w:val="none"/>
              </w:rPr>
            </w:pPr>
          </w:p>
          <w:p>
            <w:pPr>
              <w:spacing w:line="700" w:lineRule="exact"/>
              <w:rPr>
                <w:color w:val="auto"/>
                <w:sz w:val="24"/>
                <w:highlight w:val="none"/>
              </w:rPr>
            </w:pPr>
            <w:r>
              <w:rPr>
                <w:color w:val="auto"/>
                <w:sz w:val="24"/>
                <w:highlight w:val="none"/>
              </w:rPr>
              <w:t xml:space="preserve">    </w:t>
            </w:r>
          </w:p>
          <w:p>
            <w:pPr>
              <w:spacing w:line="700" w:lineRule="exact"/>
              <w:rPr>
                <w:color w:val="auto"/>
                <w:sz w:val="24"/>
                <w:highlight w:val="none"/>
              </w:rPr>
            </w:pPr>
          </w:p>
          <w:p>
            <w:pPr>
              <w:spacing w:line="700" w:lineRule="exact"/>
              <w:rPr>
                <w:color w:val="auto"/>
                <w:sz w:val="24"/>
                <w:highlight w:val="none"/>
              </w:rPr>
            </w:pPr>
          </w:p>
          <w:p>
            <w:pPr>
              <w:spacing w:line="700" w:lineRule="exact"/>
              <w:rPr>
                <w:color w:val="auto"/>
                <w:sz w:val="24"/>
                <w:highlight w:val="none"/>
              </w:rPr>
            </w:pPr>
          </w:p>
          <w:p>
            <w:pPr>
              <w:spacing w:line="700" w:lineRule="exact"/>
              <w:rPr>
                <w:color w:val="auto"/>
                <w:sz w:val="24"/>
                <w:highlight w:val="none"/>
              </w:rPr>
            </w:pPr>
          </w:p>
          <w:p>
            <w:pPr>
              <w:spacing w:line="700" w:lineRule="exact"/>
              <w:rPr>
                <w:color w:val="auto"/>
                <w:sz w:val="24"/>
                <w:highlight w:val="none"/>
              </w:rPr>
            </w:pPr>
            <w:r>
              <w:rPr>
                <w:color w:val="auto"/>
                <w:sz w:val="24"/>
                <w:highlight w:val="none"/>
              </w:rPr>
              <w:t xml:space="preserve">                                              公 章</w:t>
            </w:r>
          </w:p>
          <w:p>
            <w:pPr>
              <w:spacing w:line="700" w:lineRule="exact"/>
              <w:rPr>
                <w:color w:val="auto"/>
                <w:sz w:val="24"/>
                <w:highlight w:val="none"/>
              </w:rPr>
            </w:pPr>
          </w:p>
          <w:p>
            <w:pPr>
              <w:spacing w:line="700" w:lineRule="exact"/>
              <w:ind w:right="1120"/>
              <w:rPr>
                <w:color w:val="auto"/>
                <w:sz w:val="24"/>
                <w:highlight w:val="none"/>
              </w:rPr>
            </w:pPr>
            <w:r>
              <w:rPr>
                <w:color w:val="auto"/>
                <w:sz w:val="24"/>
                <w:highlight w:val="none"/>
              </w:rPr>
              <w:t>经办人：                                   年   月   日</w:t>
            </w:r>
          </w:p>
          <w:p>
            <w:pPr>
              <w:spacing w:line="700" w:lineRule="exact"/>
              <w:rPr>
                <w:color w:val="auto"/>
                <w:sz w:val="24"/>
                <w:highlight w:val="none"/>
              </w:rPr>
            </w:pPr>
            <w:r>
              <w:rPr>
                <w:color w:val="auto"/>
                <w:sz w:val="24"/>
                <w:highlight w:val="none"/>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gridAfter w:val="1"/>
          <w:wAfter w:w="163" w:type="dxa"/>
          <w:trHeight w:val="13310" w:hRule="atLeast"/>
        </w:trPr>
        <w:tc>
          <w:tcPr>
            <w:tcW w:w="8744" w:type="dxa"/>
          </w:tcPr>
          <w:p>
            <w:pPr>
              <w:spacing w:line="700" w:lineRule="exact"/>
              <w:rPr>
                <w:color w:val="auto"/>
                <w:sz w:val="24"/>
                <w:highlight w:val="none"/>
              </w:rPr>
            </w:pPr>
            <w:r>
              <w:rPr>
                <w:color w:val="auto"/>
                <w:sz w:val="24"/>
                <w:highlight w:val="none"/>
              </w:rPr>
              <w:t>审批意见：</w:t>
            </w:r>
          </w:p>
          <w:p>
            <w:pPr>
              <w:spacing w:line="320" w:lineRule="exact"/>
              <w:rPr>
                <w:color w:val="auto"/>
                <w:sz w:val="24"/>
                <w:highlight w:val="none"/>
              </w:rPr>
            </w:pPr>
          </w:p>
          <w:p>
            <w:pPr>
              <w:spacing w:line="320" w:lineRule="exact"/>
              <w:rPr>
                <w:color w:val="auto"/>
                <w:sz w:val="24"/>
                <w:highlight w:val="none"/>
              </w:rPr>
            </w:pPr>
          </w:p>
          <w:p>
            <w:pPr>
              <w:spacing w:line="320" w:lineRule="exact"/>
              <w:rPr>
                <w:color w:val="auto"/>
                <w:sz w:val="24"/>
                <w:highlight w:val="none"/>
              </w:rPr>
            </w:pPr>
          </w:p>
          <w:p>
            <w:pPr>
              <w:spacing w:line="320" w:lineRule="exact"/>
              <w:rPr>
                <w:color w:val="auto"/>
                <w:sz w:val="24"/>
                <w:highlight w:val="none"/>
              </w:rPr>
            </w:pPr>
          </w:p>
          <w:p>
            <w:pPr>
              <w:spacing w:line="320" w:lineRule="exact"/>
              <w:rPr>
                <w:color w:val="auto"/>
                <w:sz w:val="24"/>
                <w:highlight w:val="none"/>
              </w:rPr>
            </w:pPr>
          </w:p>
          <w:p>
            <w:pPr>
              <w:spacing w:line="320" w:lineRule="exact"/>
              <w:rPr>
                <w:color w:val="auto"/>
                <w:sz w:val="24"/>
                <w:highlight w:val="none"/>
              </w:rPr>
            </w:pPr>
          </w:p>
          <w:p>
            <w:pPr>
              <w:spacing w:line="320" w:lineRule="exact"/>
              <w:rPr>
                <w:color w:val="auto"/>
                <w:sz w:val="24"/>
                <w:highlight w:val="none"/>
              </w:rPr>
            </w:pPr>
          </w:p>
          <w:p>
            <w:pPr>
              <w:spacing w:line="320" w:lineRule="exact"/>
              <w:rPr>
                <w:color w:val="auto"/>
                <w:sz w:val="24"/>
                <w:highlight w:val="none"/>
              </w:rPr>
            </w:pPr>
          </w:p>
          <w:p>
            <w:pPr>
              <w:spacing w:line="320" w:lineRule="exact"/>
              <w:rPr>
                <w:color w:val="auto"/>
                <w:sz w:val="24"/>
                <w:highlight w:val="none"/>
              </w:rPr>
            </w:pPr>
          </w:p>
          <w:p>
            <w:pPr>
              <w:spacing w:line="320" w:lineRule="exact"/>
              <w:rPr>
                <w:color w:val="auto"/>
                <w:sz w:val="24"/>
                <w:highlight w:val="none"/>
              </w:rPr>
            </w:pPr>
          </w:p>
          <w:p>
            <w:pPr>
              <w:spacing w:line="320" w:lineRule="exact"/>
              <w:rPr>
                <w:color w:val="auto"/>
                <w:sz w:val="24"/>
                <w:highlight w:val="none"/>
              </w:rPr>
            </w:pPr>
          </w:p>
          <w:p>
            <w:pPr>
              <w:spacing w:line="320" w:lineRule="exact"/>
              <w:rPr>
                <w:color w:val="auto"/>
                <w:sz w:val="24"/>
                <w:highlight w:val="none"/>
              </w:rPr>
            </w:pPr>
          </w:p>
          <w:p>
            <w:pPr>
              <w:spacing w:line="320" w:lineRule="exact"/>
              <w:rPr>
                <w:color w:val="auto"/>
                <w:sz w:val="24"/>
                <w:highlight w:val="none"/>
              </w:rPr>
            </w:pPr>
          </w:p>
          <w:p>
            <w:pPr>
              <w:spacing w:line="320" w:lineRule="exact"/>
              <w:rPr>
                <w:color w:val="auto"/>
                <w:sz w:val="24"/>
                <w:highlight w:val="none"/>
              </w:rPr>
            </w:pPr>
          </w:p>
          <w:p>
            <w:pPr>
              <w:spacing w:line="320" w:lineRule="exact"/>
              <w:rPr>
                <w:color w:val="auto"/>
                <w:sz w:val="24"/>
                <w:highlight w:val="none"/>
              </w:rPr>
            </w:pPr>
          </w:p>
          <w:p>
            <w:pPr>
              <w:spacing w:line="320" w:lineRule="exact"/>
              <w:rPr>
                <w:color w:val="auto"/>
                <w:sz w:val="24"/>
                <w:highlight w:val="none"/>
              </w:rPr>
            </w:pPr>
          </w:p>
          <w:p>
            <w:pPr>
              <w:spacing w:line="320" w:lineRule="exact"/>
              <w:rPr>
                <w:color w:val="auto"/>
                <w:sz w:val="24"/>
                <w:highlight w:val="none"/>
              </w:rPr>
            </w:pPr>
          </w:p>
          <w:p>
            <w:pPr>
              <w:spacing w:line="320" w:lineRule="exact"/>
              <w:rPr>
                <w:color w:val="auto"/>
                <w:sz w:val="24"/>
                <w:highlight w:val="none"/>
              </w:rPr>
            </w:pPr>
          </w:p>
          <w:p>
            <w:pPr>
              <w:spacing w:line="320" w:lineRule="exact"/>
              <w:rPr>
                <w:color w:val="auto"/>
                <w:sz w:val="24"/>
                <w:highlight w:val="none"/>
              </w:rPr>
            </w:pPr>
          </w:p>
          <w:p>
            <w:pPr>
              <w:spacing w:line="320" w:lineRule="exact"/>
              <w:rPr>
                <w:color w:val="auto"/>
                <w:sz w:val="24"/>
                <w:highlight w:val="none"/>
              </w:rPr>
            </w:pPr>
          </w:p>
          <w:p>
            <w:pPr>
              <w:spacing w:line="320" w:lineRule="exact"/>
              <w:rPr>
                <w:color w:val="auto"/>
                <w:sz w:val="24"/>
                <w:highlight w:val="none"/>
              </w:rPr>
            </w:pPr>
          </w:p>
          <w:p>
            <w:pPr>
              <w:spacing w:line="320" w:lineRule="exact"/>
              <w:rPr>
                <w:color w:val="auto"/>
                <w:sz w:val="24"/>
                <w:highlight w:val="none"/>
              </w:rPr>
            </w:pPr>
          </w:p>
          <w:p>
            <w:pPr>
              <w:spacing w:line="320" w:lineRule="exact"/>
              <w:rPr>
                <w:color w:val="auto"/>
                <w:sz w:val="24"/>
                <w:highlight w:val="none"/>
              </w:rPr>
            </w:pPr>
          </w:p>
          <w:p>
            <w:pPr>
              <w:spacing w:line="320" w:lineRule="exact"/>
              <w:rPr>
                <w:color w:val="auto"/>
                <w:sz w:val="24"/>
                <w:highlight w:val="none"/>
              </w:rPr>
            </w:pPr>
          </w:p>
          <w:p>
            <w:pPr>
              <w:spacing w:line="320" w:lineRule="exact"/>
              <w:rPr>
                <w:color w:val="auto"/>
                <w:sz w:val="24"/>
                <w:highlight w:val="none"/>
              </w:rPr>
            </w:pPr>
          </w:p>
          <w:p>
            <w:pPr>
              <w:spacing w:line="320" w:lineRule="exact"/>
              <w:rPr>
                <w:color w:val="auto"/>
                <w:sz w:val="24"/>
                <w:highlight w:val="none"/>
              </w:rPr>
            </w:pPr>
          </w:p>
          <w:p>
            <w:pPr>
              <w:spacing w:line="320" w:lineRule="exact"/>
              <w:rPr>
                <w:color w:val="auto"/>
                <w:sz w:val="24"/>
                <w:highlight w:val="none"/>
              </w:rPr>
            </w:pPr>
            <w:r>
              <w:rPr>
                <w:color w:val="auto"/>
                <w:sz w:val="24"/>
                <w:highlight w:val="none"/>
              </w:rPr>
              <w:t xml:space="preserve">                                             </w:t>
            </w:r>
          </w:p>
          <w:p>
            <w:pPr>
              <w:spacing w:line="700" w:lineRule="exact"/>
              <w:rPr>
                <w:color w:val="auto"/>
                <w:sz w:val="24"/>
                <w:highlight w:val="none"/>
              </w:rPr>
            </w:pPr>
            <w:r>
              <w:rPr>
                <w:color w:val="auto"/>
                <w:sz w:val="24"/>
                <w:highlight w:val="none"/>
              </w:rPr>
              <w:t xml:space="preserve"> </w:t>
            </w:r>
          </w:p>
          <w:p>
            <w:pPr>
              <w:spacing w:line="700" w:lineRule="exact"/>
              <w:rPr>
                <w:color w:val="auto"/>
                <w:sz w:val="24"/>
                <w:highlight w:val="none"/>
              </w:rPr>
            </w:pPr>
          </w:p>
          <w:p>
            <w:pPr>
              <w:spacing w:line="700" w:lineRule="exact"/>
              <w:ind w:firstLine="5520" w:firstLineChars="2300"/>
              <w:rPr>
                <w:color w:val="auto"/>
                <w:sz w:val="24"/>
                <w:highlight w:val="none"/>
              </w:rPr>
            </w:pPr>
            <w:r>
              <w:rPr>
                <w:color w:val="auto"/>
                <w:sz w:val="24"/>
                <w:highlight w:val="none"/>
              </w:rPr>
              <w:t>公  章</w:t>
            </w:r>
          </w:p>
          <w:p>
            <w:pPr>
              <w:spacing w:line="700" w:lineRule="exact"/>
              <w:rPr>
                <w:color w:val="auto"/>
                <w:sz w:val="24"/>
                <w:highlight w:val="none"/>
              </w:rPr>
            </w:pPr>
          </w:p>
          <w:p>
            <w:pPr>
              <w:spacing w:line="700" w:lineRule="exact"/>
              <w:rPr>
                <w:color w:val="auto"/>
                <w:sz w:val="24"/>
                <w:highlight w:val="none"/>
              </w:rPr>
            </w:pPr>
            <w:r>
              <w:rPr>
                <w:color w:val="auto"/>
                <w:sz w:val="24"/>
                <w:highlight w:val="none"/>
              </w:rPr>
              <w:t>经办人：                                    年   月   日</w:t>
            </w:r>
          </w:p>
          <w:p>
            <w:pPr>
              <w:spacing w:line="700" w:lineRule="exact"/>
              <w:rPr>
                <w:color w:val="auto"/>
                <w:sz w:val="24"/>
                <w:highlight w:val="none"/>
              </w:rPr>
            </w:pPr>
            <w:r>
              <w:rPr>
                <w:color w:val="auto"/>
                <w:sz w:val="24"/>
                <w:highlight w:val="none"/>
              </w:rPr>
              <w:t xml:space="preserve">                           </w:t>
            </w:r>
          </w:p>
          <w:p>
            <w:pPr>
              <w:spacing w:line="700" w:lineRule="exact"/>
              <w:rPr>
                <w:b/>
                <w:color w:val="auto"/>
                <w:sz w:val="24"/>
                <w:highlight w:val="none"/>
              </w:rPr>
            </w:pPr>
            <w:r>
              <w:rPr>
                <w:b/>
                <w:color w:val="auto"/>
                <w:sz w:val="24"/>
                <w:highlight w:val="none"/>
              </w:rPr>
              <w:t>注    释</w:t>
            </w:r>
          </w:p>
          <w:p>
            <w:pPr>
              <w:spacing w:line="700" w:lineRule="exact"/>
              <w:ind w:firstLine="480" w:firstLineChars="200"/>
              <w:rPr>
                <w:color w:val="auto"/>
                <w:sz w:val="24"/>
                <w:highlight w:val="none"/>
              </w:rPr>
            </w:pPr>
            <w:r>
              <w:rPr>
                <w:color w:val="auto"/>
                <w:sz w:val="24"/>
                <w:highlight w:val="none"/>
              </w:rPr>
              <w:t>一、本报告表应附以下附件、附图：</w:t>
            </w:r>
          </w:p>
          <w:p>
            <w:pPr>
              <w:spacing w:line="700" w:lineRule="exact"/>
              <w:ind w:firstLine="480" w:firstLineChars="200"/>
              <w:rPr>
                <w:color w:val="auto"/>
                <w:sz w:val="24"/>
                <w:highlight w:val="none"/>
              </w:rPr>
            </w:pPr>
            <w:r>
              <w:rPr>
                <w:color w:val="auto"/>
                <w:sz w:val="24"/>
                <w:highlight w:val="none"/>
              </w:rPr>
              <w:t>附件1     委托书</w:t>
            </w:r>
          </w:p>
          <w:p>
            <w:pPr>
              <w:spacing w:line="700" w:lineRule="exact"/>
              <w:ind w:firstLine="480" w:firstLineChars="200"/>
              <w:rPr>
                <w:color w:val="auto"/>
                <w:sz w:val="24"/>
                <w:highlight w:val="none"/>
              </w:rPr>
            </w:pPr>
            <w:r>
              <w:rPr>
                <w:color w:val="auto"/>
                <w:sz w:val="24"/>
                <w:highlight w:val="none"/>
              </w:rPr>
              <w:t>附件2     立项批复文件</w:t>
            </w:r>
          </w:p>
          <w:p>
            <w:pPr>
              <w:spacing w:line="700" w:lineRule="exact"/>
              <w:ind w:firstLine="480" w:firstLineChars="200"/>
              <w:rPr>
                <w:color w:val="auto"/>
                <w:sz w:val="24"/>
                <w:highlight w:val="none"/>
              </w:rPr>
            </w:pPr>
            <w:r>
              <w:rPr>
                <w:color w:val="auto"/>
                <w:sz w:val="24"/>
                <w:highlight w:val="none"/>
              </w:rPr>
              <w:t>附件3     其他与环评有关的行政管理文件</w:t>
            </w:r>
          </w:p>
          <w:p>
            <w:pPr>
              <w:spacing w:line="700" w:lineRule="exact"/>
              <w:ind w:left="157" w:leftChars="56" w:firstLine="360" w:firstLineChars="150"/>
              <w:rPr>
                <w:color w:val="auto"/>
                <w:sz w:val="24"/>
                <w:highlight w:val="none"/>
              </w:rPr>
            </w:pPr>
            <w:r>
              <w:rPr>
                <w:color w:val="auto"/>
                <w:sz w:val="24"/>
                <w:highlight w:val="none"/>
              </w:rPr>
              <w:t>附图1     项目地理位置图（应反映行政区划、水系、标明纳污口位置和地形地貌等）</w:t>
            </w:r>
          </w:p>
          <w:p>
            <w:pPr>
              <w:spacing w:line="700" w:lineRule="exact"/>
              <w:ind w:firstLine="480" w:firstLineChars="200"/>
              <w:rPr>
                <w:color w:val="auto"/>
                <w:sz w:val="24"/>
                <w:highlight w:val="none"/>
              </w:rPr>
            </w:pPr>
            <w:r>
              <w:rPr>
                <w:color w:val="auto"/>
                <w:sz w:val="24"/>
                <w:highlight w:val="none"/>
              </w:rPr>
              <w:t>附图2     项目平面布置图</w:t>
            </w:r>
          </w:p>
          <w:p>
            <w:pPr>
              <w:spacing w:line="700" w:lineRule="exact"/>
              <w:ind w:firstLine="480" w:firstLineChars="200"/>
              <w:rPr>
                <w:color w:val="auto"/>
                <w:sz w:val="24"/>
                <w:highlight w:val="none"/>
              </w:rPr>
            </w:pPr>
            <w:r>
              <w:rPr>
                <w:color w:val="auto"/>
                <w:sz w:val="24"/>
                <w:highlight w:val="none"/>
              </w:rPr>
              <w:t>二、如果本报告表不能说明项目产生的污染及对环境造成的影响，应进行专项评价。根据建设项目的特点和当地环境特征，应选下列1-2项进行专项评价。</w:t>
            </w:r>
          </w:p>
          <w:p>
            <w:pPr>
              <w:numPr>
                <w:ilvl w:val="1"/>
                <w:numId w:val="1"/>
              </w:numPr>
              <w:spacing w:line="700" w:lineRule="exact"/>
              <w:rPr>
                <w:color w:val="auto"/>
                <w:sz w:val="24"/>
                <w:highlight w:val="none"/>
              </w:rPr>
            </w:pPr>
            <w:r>
              <w:rPr>
                <w:color w:val="auto"/>
                <w:sz w:val="24"/>
                <w:highlight w:val="none"/>
              </w:rPr>
              <w:t xml:space="preserve"> 大气环境影响专项评价</w:t>
            </w:r>
          </w:p>
          <w:p>
            <w:pPr>
              <w:numPr>
                <w:ilvl w:val="1"/>
                <w:numId w:val="1"/>
              </w:numPr>
              <w:spacing w:line="700" w:lineRule="exact"/>
              <w:rPr>
                <w:color w:val="auto"/>
                <w:sz w:val="24"/>
                <w:highlight w:val="none"/>
              </w:rPr>
            </w:pPr>
            <w:r>
              <w:rPr>
                <w:color w:val="auto"/>
                <w:sz w:val="24"/>
                <w:highlight w:val="none"/>
              </w:rPr>
              <w:t xml:space="preserve"> 水环境影响专项评价（包括地表水和地下水）</w:t>
            </w:r>
          </w:p>
          <w:p>
            <w:pPr>
              <w:numPr>
                <w:ilvl w:val="1"/>
                <w:numId w:val="1"/>
              </w:numPr>
              <w:spacing w:line="700" w:lineRule="exact"/>
              <w:rPr>
                <w:color w:val="auto"/>
                <w:sz w:val="24"/>
                <w:highlight w:val="none"/>
              </w:rPr>
            </w:pPr>
            <w:r>
              <w:rPr>
                <w:color w:val="auto"/>
                <w:sz w:val="24"/>
                <w:highlight w:val="none"/>
              </w:rPr>
              <w:t xml:space="preserve"> 生态影响专项评价</w:t>
            </w:r>
          </w:p>
          <w:p>
            <w:pPr>
              <w:numPr>
                <w:ilvl w:val="1"/>
                <w:numId w:val="1"/>
              </w:numPr>
              <w:spacing w:line="700" w:lineRule="exact"/>
              <w:rPr>
                <w:color w:val="auto"/>
                <w:sz w:val="24"/>
                <w:highlight w:val="none"/>
              </w:rPr>
            </w:pPr>
            <w:r>
              <w:rPr>
                <w:color w:val="auto"/>
                <w:sz w:val="24"/>
                <w:highlight w:val="none"/>
              </w:rPr>
              <w:t xml:space="preserve"> 声影响专项评价</w:t>
            </w:r>
          </w:p>
          <w:p>
            <w:pPr>
              <w:numPr>
                <w:ilvl w:val="1"/>
                <w:numId w:val="1"/>
              </w:numPr>
              <w:spacing w:line="700" w:lineRule="exact"/>
              <w:rPr>
                <w:color w:val="auto"/>
                <w:sz w:val="24"/>
                <w:highlight w:val="none"/>
              </w:rPr>
            </w:pPr>
            <w:r>
              <w:rPr>
                <w:color w:val="auto"/>
                <w:sz w:val="24"/>
                <w:highlight w:val="none"/>
              </w:rPr>
              <w:t xml:space="preserve"> 土壤影响专项评价</w:t>
            </w:r>
          </w:p>
          <w:p>
            <w:pPr>
              <w:numPr>
                <w:ilvl w:val="1"/>
                <w:numId w:val="1"/>
              </w:numPr>
              <w:spacing w:line="700" w:lineRule="exact"/>
              <w:rPr>
                <w:color w:val="auto"/>
                <w:sz w:val="24"/>
                <w:highlight w:val="none"/>
              </w:rPr>
            </w:pPr>
            <w:r>
              <w:rPr>
                <w:color w:val="auto"/>
                <w:sz w:val="24"/>
                <w:highlight w:val="none"/>
              </w:rPr>
              <w:t xml:space="preserve"> 固体废弃物专项评价</w:t>
            </w:r>
          </w:p>
          <w:p>
            <w:pPr>
              <w:spacing w:line="700" w:lineRule="exact"/>
              <w:ind w:left="420"/>
              <w:rPr>
                <w:color w:val="auto"/>
                <w:sz w:val="24"/>
                <w:highlight w:val="none"/>
              </w:rPr>
            </w:pPr>
            <w:r>
              <w:rPr>
                <w:color w:val="auto"/>
                <w:sz w:val="24"/>
                <w:highlight w:val="none"/>
              </w:rPr>
              <w:t>以上专项评价未包括的可另列专项，专项评价按照《环境影响评价技术导则》中的要求进行。</w:t>
            </w:r>
          </w:p>
        </w:tc>
      </w:tr>
    </w:tbl>
    <w:p>
      <w:pPr>
        <w:rPr>
          <w:color w:val="auto"/>
          <w:highlight w:val="none"/>
        </w:rPr>
      </w:pPr>
    </w:p>
    <w:sectPr>
      <w:pgSz w:w="11906" w:h="16838"/>
      <w:pgMar w:top="1440" w:right="1418" w:bottom="873" w:left="1797" w:header="851" w:footer="992"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Arial Black">
    <w:panose1 w:val="020B0A04020102020204"/>
    <w:charset w:val="00"/>
    <w:family w:val="swiss"/>
    <w:pitch w:val="default"/>
    <w:sig w:usb0="A00002AF" w:usb1="400078FB" w:usb2="00000000" w:usb3="00000000" w:csb0="6000009F" w:csb1="DFD70000"/>
  </w:font>
  <w:font w:name="Tahoma">
    <w:panose1 w:val="020B0604030504040204"/>
    <w:charset w:val="00"/>
    <w:family w:val="swiss"/>
    <w:pitch w:val="default"/>
    <w:sig w:usb0="E1002EFF" w:usb1="C000605B" w:usb2="00000029" w:usb3="00000000" w:csb0="200101FF" w:csb1="20280000"/>
  </w:font>
  <w:font w:name="幼圆">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4"/>
      </w:rPr>
    </w:pPr>
    <w:r>
      <w:fldChar w:fldCharType="begin"/>
    </w:r>
    <w:r>
      <w:rPr>
        <w:rStyle w:val="34"/>
      </w:rPr>
      <w:instrText xml:space="preserve">PAGE  </w:instrText>
    </w:r>
    <w:r>
      <w:fldChar w:fldCharType="separate"/>
    </w:r>
    <w:r>
      <w:rPr>
        <w:rStyle w:val="34"/>
      </w:rPr>
      <w:t>1</w:t>
    </w:r>
    <w:r>
      <w:fldChar w:fldCharType="end"/>
    </w:r>
  </w:p>
  <w:p>
    <w:pPr>
      <w:pStyle w:val="1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right" w:y="1"/>
      <w:rPr>
        <w:rStyle w:val="34"/>
      </w:rPr>
    </w:pPr>
    <w:r>
      <w:fldChar w:fldCharType="begin"/>
    </w:r>
    <w:r>
      <w:rPr>
        <w:rStyle w:val="34"/>
      </w:rPr>
      <w:instrText xml:space="preserve">PAGE  </w:instrText>
    </w:r>
    <w:r>
      <w:fldChar w:fldCharType="separate"/>
    </w:r>
    <w:r>
      <w:rPr>
        <w:rStyle w:val="34"/>
      </w:rPr>
      <w:t>10</w:t>
    </w:r>
    <w:r>
      <w:fldChar w:fldCharType="end"/>
    </w:r>
  </w:p>
  <w:p>
    <w:pPr>
      <w:pStyle w:val="1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jc w:val="center"/>
      <w:rPr>
        <w:sz w:val="24"/>
        <w:szCs w:val="24"/>
      </w:rPr>
    </w:pPr>
    <w:r>
      <w:rPr>
        <w:rStyle w:val="34"/>
        <w:rFonts w:hint="eastAsia"/>
        <w:sz w:val="24"/>
        <w:szCs w:val="24"/>
      </w:rPr>
      <w:t>-</w:t>
    </w:r>
    <w:r>
      <w:rPr>
        <w:sz w:val="24"/>
        <w:szCs w:val="24"/>
      </w:rPr>
      <w:fldChar w:fldCharType="begin"/>
    </w:r>
    <w:r>
      <w:rPr>
        <w:rStyle w:val="34"/>
        <w:sz w:val="24"/>
        <w:szCs w:val="24"/>
      </w:rPr>
      <w:instrText xml:space="preserve"> PAGE </w:instrText>
    </w:r>
    <w:r>
      <w:rPr>
        <w:sz w:val="24"/>
        <w:szCs w:val="24"/>
      </w:rPr>
      <w:fldChar w:fldCharType="separate"/>
    </w:r>
    <w:r>
      <w:rPr>
        <w:rStyle w:val="34"/>
        <w:sz w:val="24"/>
        <w:szCs w:val="24"/>
      </w:rPr>
      <w:t>39</w:t>
    </w:r>
    <w:r>
      <w:rPr>
        <w:sz w:val="24"/>
        <w:szCs w:val="24"/>
      </w:rPr>
      <w:fldChar w:fldCharType="end"/>
    </w:r>
    <w:r>
      <w:rPr>
        <w:rStyle w:val="34"/>
        <w:rFonts w:hint="eastAsia"/>
        <w:sz w:val="24"/>
        <w:szCs w:val="24"/>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13627B"/>
    <w:multiLevelType w:val="multilevel"/>
    <w:tmpl w:val="6113627B"/>
    <w:lvl w:ilvl="0" w:tentative="0">
      <w:start w:val="201"/>
      <w:numFmt w:val="decimal"/>
      <w:lvlText w:val="%1"/>
      <w:lvlJc w:val="left"/>
      <w:pPr>
        <w:tabs>
          <w:tab w:val="left" w:pos="990"/>
        </w:tabs>
        <w:ind w:left="990" w:hanging="990"/>
      </w:pPr>
      <w:rPr>
        <w:rFonts w:hint="eastAsia"/>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1"/>
  <w:bordersDoNotSurroundFooter w:val="1"/>
  <w:documentProtection w:enforcement="0"/>
  <w:defaultTabStop w:val="420"/>
  <w:drawingGridHorizontalSpacing w:val="140"/>
  <w:drawingGridVerticalSpacing w:val="38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wZjdhYzIyZjQwNjZkMTY3NzQ4ZjBjZTMyZmQ4OGIifQ=="/>
  </w:docVars>
  <w:rsids>
    <w:rsidRoot w:val="00473246"/>
    <w:rsid w:val="000001C4"/>
    <w:rsid w:val="0000085B"/>
    <w:rsid w:val="0000095B"/>
    <w:rsid w:val="00000B92"/>
    <w:rsid w:val="000010E2"/>
    <w:rsid w:val="000012BF"/>
    <w:rsid w:val="00001406"/>
    <w:rsid w:val="00001B8F"/>
    <w:rsid w:val="00001C39"/>
    <w:rsid w:val="00001DA7"/>
    <w:rsid w:val="00001F48"/>
    <w:rsid w:val="00001FE3"/>
    <w:rsid w:val="0000200A"/>
    <w:rsid w:val="00002430"/>
    <w:rsid w:val="00002674"/>
    <w:rsid w:val="00002859"/>
    <w:rsid w:val="00002BA1"/>
    <w:rsid w:val="00002BFE"/>
    <w:rsid w:val="00002D8C"/>
    <w:rsid w:val="0000318F"/>
    <w:rsid w:val="00003662"/>
    <w:rsid w:val="00003801"/>
    <w:rsid w:val="0000392C"/>
    <w:rsid w:val="0000435B"/>
    <w:rsid w:val="0000439C"/>
    <w:rsid w:val="00004598"/>
    <w:rsid w:val="000046A9"/>
    <w:rsid w:val="0000497A"/>
    <w:rsid w:val="00004F7E"/>
    <w:rsid w:val="000050F8"/>
    <w:rsid w:val="0000512B"/>
    <w:rsid w:val="0000517A"/>
    <w:rsid w:val="00005B97"/>
    <w:rsid w:val="00005B9A"/>
    <w:rsid w:val="00005BBC"/>
    <w:rsid w:val="00005D95"/>
    <w:rsid w:val="00005DC6"/>
    <w:rsid w:val="00006496"/>
    <w:rsid w:val="000064B6"/>
    <w:rsid w:val="000064C0"/>
    <w:rsid w:val="00006ADF"/>
    <w:rsid w:val="00006ED4"/>
    <w:rsid w:val="00006FDB"/>
    <w:rsid w:val="000076FF"/>
    <w:rsid w:val="000077C0"/>
    <w:rsid w:val="00007AAA"/>
    <w:rsid w:val="000107D9"/>
    <w:rsid w:val="000107FA"/>
    <w:rsid w:val="0001080D"/>
    <w:rsid w:val="000109DD"/>
    <w:rsid w:val="00010A72"/>
    <w:rsid w:val="00010AEC"/>
    <w:rsid w:val="00010B43"/>
    <w:rsid w:val="00010C17"/>
    <w:rsid w:val="00010C1E"/>
    <w:rsid w:val="00010CEC"/>
    <w:rsid w:val="00010E4E"/>
    <w:rsid w:val="00010F77"/>
    <w:rsid w:val="00010FCC"/>
    <w:rsid w:val="00011100"/>
    <w:rsid w:val="00011245"/>
    <w:rsid w:val="000112C0"/>
    <w:rsid w:val="00011690"/>
    <w:rsid w:val="00011A44"/>
    <w:rsid w:val="00011D74"/>
    <w:rsid w:val="00011DCE"/>
    <w:rsid w:val="00012581"/>
    <w:rsid w:val="00012737"/>
    <w:rsid w:val="00012E85"/>
    <w:rsid w:val="00012FDC"/>
    <w:rsid w:val="00013433"/>
    <w:rsid w:val="000134B6"/>
    <w:rsid w:val="00013872"/>
    <w:rsid w:val="00013D50"/>
    <w:rsid w:val="00013EF4"/>
    <w:rsid w:val="0001464A"/>
    <w:rsid w:val="00014CA2"/>
    <w:rsid w:val="00014E65"/>
    <w:rsid w:val="000150F6"/>
    <w:rsid w:val="00015157"/>
    <w:rsid w:val="00015169"/>
    <w:rsid w:val="000153B0"/>
    <w:rsid w:val="0001555A"/>
    <w:rsid w:val="00015767"/>
    <w:rsid w:val="00015F31"/>
    <w:rsid w:val="00016413"/>
    <w:rsid w:val="0001643E"/>
    <w:rsid w:val="0001682E"/>
    <w:rsid w:val="0001692F"/>
    <w:rsid w:val="00016ADA"/>
    <w:rsid w:val="00016B7B"/>
    <w:rsid w:val="00016F48"/>
    <w:rsid w:val="00017056"/>
    <w:rsid w:val="000174AA"/>
    <w:rsid w:val="000178BD"/>
    <w:rsid w:val="00017DC3"/>
    <w:rsid w:val="0002000E"/>
    <w:rsid w:val="0002048C"/>
    <w:rsid w:val="00020B0F"/>
    <w:rsid w:val="00020C86"/>
    <w:rsid w:val="00020F1C"/>
    <w:rsid w:val="00020F4F"/>
    <w:rsid w:val="000211C6"/>
    <w:rsid w:val="00021534"/>
    <w:rsid w:val="000217A6"/>
    <w:rsid w:val="00021987"/>
    <w:rsid w:val="00021BFC"/>
    <w:rsid w:val="00021D22"/>
    <w:rsid w:val="00021FD9"/>
    <w:rsid w:val="00022387"/>
    <w:rsid w:val="00022BF2"/>
    <w:rsid w:val="0002360E"/>
    <w:rsid w:val="00023771"/>
    <w:rsid w:val="0002387E"/>
    <w:rsid w:val="00023AED"/>
    <w:rsid w:val="00023C46"/>
    <w:rsid w:val="00023E45"/>
    <w:rsid w:val="00024029"/>
    <w:rsid w:val="000241B9"/>
    <w:rsid w:val="0002438D"/>
    <w:rsid w:val="00024449"/>
    <w:rsid w:val="000248D4"/>
    <w:rsid w:val="0002499C"/>
    <w:rsid w:val="00024FF3"/>
    <w:rsid w:val="00025095"/>
    <w:rsid w:val="000255A2"/>
    <w:rsid w:val="000256DB"/>
    <w:rsid w:val="0002587F"/>
    <w:rsid w:val="000259D1"/>
    <w:rsid w:val="000260A8"/>
    <w:rsid w:val="0002630E"/>
    <w:rsid w:val="00026422"/>
    <w:rsid w:val="00026AD2"/>
    <w:rsid w:val="00026B96"/>
    <w:rsid w:val="000273C9"/>
    <w:rsid w:val="000273EF"/>
    <w:rsid w:val="000275CF"/>
    <w:rsid w:val="000275E1"/>
    <w:rsid w:val="0002766A"/>
    <w:rsid w:val="00027BFF"/>
    <w:rsid w:val="00027C01"/>
    <w:rsid w:val="00027F70"/>
    <w:rsid w:val="000303F1"/>
    <w:rsid w:val="0003048C"/>
    <w:rsid w:val="00030553"/>
    <w:rsid w:val="000306A3"/>
    <w:rsid w:val="000308E5"/>
    <w:rsid w:val="00030AFF"/>
    <w:rsid w:val="00030ED6"/>
    <w:rsid w:val="0003100E"/>
    <w:rsid w:val="000310BE"/>
    <w:rsid w:val="00031111"/>
    <w:rsid w:val="0003115A"/>
    <w:rsid w:val="00031755"/>
    <w:rsid w:val="00031C77"/>
    <w:rsid w:val="00031D98"/>
    <w:rsid w:val="00031E2B"/>
    <w:rsid w:val="0003207D"/>
    <w:rsid w:val="00032496"/>
    <w:rsid w:val="00032715"/>
    <w:rsid w:val="00032862"/>
    <w:rsid w:val="000329DF"/>
    <w:rsid w:val="000329E6"/>
    <w:rsid w:val="00032C8B"/>
    <w:rsid w:val="00032D59"/>
    <w:rsid w:val="00032E64"/>
    <w:rsid w:val="00033003"/>
    <w:rsid w:val="0003302D"/>
    <w:rsid w:val="00033217"/>
    <w:rsid w:val="0003325C"/>
    <w:rsid w:val="000339EA"/>
    <w:rsid w:val="00033E7A"/>
    <w:rsid w:val="00034003"/>
    <w:rsid w:val="00034279"/>
    <w:rsid w:val="00034AAD"/>
    <w:rsid w:val="00034B5B"/>
    <w:rsid w:val="00034E72"/>
    <w:rsid w:val="00035280"/>
    <w:rsid w:val="00035433"/>
    <w:rsid w:val="00035674"/>
    <w:rsid w:val="00035AD5"/>
    <w:rsid w:val="0003604A"/>
    <w:rsid w:val="0003633B"/>
    <w:rsid w:val="000366BA"/>
    <w:rsid w:val="000366F0"/>
    <w:rsid w:val="00036746"/>
    <w:rsid w:val="000367BB"/>
    <w:rsid w:val="00036871"/>
    <w:rsid w:val="000368F5"/>
    <w:rsid w:val="000369D6"/>
    <w:rsid w:val="00036A74"/>
    <w:rsid w:val="00036B45"/>
    <w:rsid w:val="00036EC7"/>
    <w:rsid w:val="00037338"/>
    <w:rsid w:val="000373D7"/>
    <w:rsid w:val="0003767B"/>
    <w:rsid w:val="00037774"/>
    <w:rsid w:val="00037B6A"/>
    <w:rsid w:val="00037EB3"/>
    <w:rsid w:val="00037F2F"/>
    <w:rsid w:val="000400B1"/>
    <w:rsid w:val="000400CA"/>
    <w:rsid w:val="000405DA"/>
    <w:rsid w:val="000406A7"/>
    <w:rsid w:val="000407DF"/>
    <w:rsid w:val="00040C19"/>
    <w:rsid w:val="00040EBA"/>
    <w:rsid w:val="0004109F"/>
    <w:rsid w:val="00041439"/>
    <w:rsid w:val="000414D0"/>
    <w:rsid w:val="00041503"/>
    <w:rsid w:val="000416C7"/>
    <w:rsid w:val="00041CB2"/>
    <w:rsid w:val="00041CD8"/>
    <w:rsid w:val="00042101"/>
    <w:rsid w:val="000424A4"/>
    <w:rsid w:val="000427DA"/>
    <w:rsid w:val="00042888"/>
    <w:rsid w:val="00042C86"/>
    <w:rsid w:val="00042D35"/>
    <w:rsid w:val="0004314F"/>
    <w:rsid w:val="00043158"/>
    <w:rsid w:val="000431A9"/>
    <w:rsid w:val="000434D2"/>
    <w:rsid w:val="000434D6"/>
    <w:rsid w:val="000435B7"/>
    <w:rsid w:val="00044B34"/>
    <w:rsid w:val="00044E26"/>
    <w:rsid w:val="000450A5"/>
    <w:rsid w:val="0004555B"/>
    <w:rsid w:val="000455A4"/>
    <w:rsid w:val="00045995"/>
    <w:rsid w:val="00045FE7"/>
    <w:rsid w:val="00046630"/>
    <w:rsid w:val="00046636"/>
    <w:rsid w:val="000466A7"/>
    <w:rsid w:val="00046B49"/>
    <w:rsid w:val="00046C5B"/>
    <w:rsid w:val="00046F70"/>
    <w:rsid w:val="000470B2"/>
    <w:rsid w:val="00047EE5"/>
    <w:rsid w:val="00047F4F"/>
    <w:rsid w:val="0005004C"/>
    <w:rsid w:val="00050112"/>
    <w:rsid w:val="0005094A"/>
    <w:rsid w:val="0005100E"/>
    <w:rsid w:val="0005124A"/>
    <w:rsid w:val="00051719"/>
    <w:rsid w:val="00051D0B"/>
    <w:rsid w:val="00052114"/>
    <w:rsid w:val="000524AC"/>
    <w:rsid w:val="00052826"/>
    <w:rsid w:val="00052A42"/>
    <w:rsid w:val="00052BB7"/>
    <w:rsid w:val="00052D43"/>
    <w:rsid w:val="00052D6C"/>
    <w:rsid w:val="00053321"/>
    <w:rsid w:val="0005354A"/>
    <w:rsid w:val="00053D49"/>
    <w:rsid w:val="000540BF"/>
    <w:rsid w:val="000540CC"/>
    <w:rsid w:val="00054162"/>
    <w:rsid w:val="000541C9"/>
    <w:rsid w:val="0005434E"/>
    <w:rsid w:val="000544CB"/>
    <w:rsid w:val="000544E4"/>
    <w:rsid w:val="000545AE"/>
    <w:rsid w:val="00054A36"/>
    <w:rsid w:val="00054A70"/>
    <w:rsid w:val="00055150"/>
    <w:rsid w:val="00055165"/>
    <w:rsid w:val="0005522B"/>
    <w:rsid w:val="000556F5"/>
    <w:rsid w:val="00055B46"/>
    <w:rsid w:val="00055E62"/>
    <w:rsid w:val="00056517"/>
    <w:rsid w:val="000566A9"/>
    <w:rsid w:val="000566F1"/>
    <w:rsid w:val="000568D0"/>
    <w:rsid w:val="00056AE2"/>
    <w:rsid w:val="00056DC5"/>
    <w:rsid w:val="00056FF2"/>
    <w:rsid w:val="00057262"/>
    <w:rsid w:val="000572D7"/>
    <w:rsid w:val="00057336"/>
    <w:rsid w:val="00057AC8"/>
    <w:rsid w:val="00057CA9"/>
    <w:rsid w:val="00057FF6"/>
    <w:rsid w:val="000602AC"/>
    <w:rsid w:val="00060390"/>
    <w:rsid w:val="0006040D"/>
    <w:rsid w:val="000609E3"/>
    <w:rsid w:val="00060C6A"/>
    <w:rsid w:val="00060D46"/>
    <w:rsid w:val="00060E56"/>
    <w:rsid w:val="00060FEF"/>
    <w:rsid w:val="00061277"/>
    <w:rsid w:val="00061280"/>
    <w:rsid w:val="00061305"/>
    <w:rsid w:val="00061A15"/>
    <w:rsid w:val="0006209C"/>
    <w:rsid w:val="00062410"/>
    <w:rsid w:val="00062854"/>
    <w:rsid w:val="00062A3A"/>
    <w:rsid w:val="00062AED"/>
    <w:rsid w:val="000633C3"/>
    <w:rsid w:val="000638CB"/>
    <w:rsid w:val="00063F8D"/>
    <w:rsid w:val="0006402B"/>
    <w:rsid w:val="0006460D"/>
    <w:rsid w:val="000646B2"/>
    <w:rsid w:val="000647A0"/>
    <w:rsid w:val="00064A9C"/>
    <w:rsid w:val="00064DE8"/>
    <w:rsid w:val="00065001"/>
    <w:rsid w:val="000654FB"/>
    <w:rsid w:val="000656E5"/>
    <w:rsid w:val="00065B55"/>
    <w:rsid w:val="000662AB"/>
    <w:rsid w:val="00066785"/>
    <w:rsid w:val="00066999"/>
    <w:rsid w:val="00066D77"/>
    <w:rsid w:val="00067184"/>
    <w:rsid w:val="000674AD"/>
    <w:rsid w:val="00067A01"/>
    <w:rsid w:val="00067A1E"/>
    <w:rsid w:val="00070120"/>
    <w:rsid w:val="000706BF"/>
    <w:rsid w:val="00070768"/>
    <w:rsid w:val="00070838"/>
    <w:rsid w:val="00070D52"/>
    <w:rsid w:val="00070D5C"/>
    <w:rsid w:val="0007178B"/>
    <w:rsid w:val="000719AE"/>
    <w:rsid w:val="00071A17"/>
    <w:rsid w:val="00071AC3"/>
    <w:rsid w:val="00071B07"/>
    <w:rsid w:val="00071C12"/>
    <w:rsid w:val="00071E2A"/>
    <w:rsid w:val="00071F32"/>
    <w:rsid w:val="0007220A"/>
    <w:rsid w:val="00072581"/>
    <w:rsid w:val="00072630"/>
    <w:rsid w:val="00072730"/>
    <w:rsid w:val="00073089"/>
    <w:rsid w:val="00073099"/>
    <w:rsid w:val="000730DF"/>
    <w:rsid w:val="00073931"/>
    <w:rsid w:val="00073A99"/>
    <w:rsid w:val="00073DEC"/>
    <w:rsid w:val="00073E86"/>
    <w:rsid w:val="00073ED2"/>
    <w:rsid w:val="00074088"/>
    <w:rsid w:val="0007415D"/>
    <w:rsid w:val="0007424A"/>
    <w:rsid w:val="00074F7B"/>
    <w:rsid w:val="00075124"/>
    <w:rsid w:val="0007514B"/>
    <w:rsid w:val="0007567F"/>
    <w:rsid w:val="0007588E"/>
    <w:rsid w:val="00075CC5"/>
    <w:rsid w:val="00075E81"/>
    <w:rsid w:val="000760DE"/>
    <w:rsid w:val="000765B2"/>
    <w:rsid w:val="000767EF"/>
    <w:rsid w:val="00076CA3"/>
    <w:rsid w:val="00076D29"/>
    <w:rsid w:val="00076D4C"/>
    <w:rsid w:val="000771F5"/>
    <w:rsid w:val="00077565"/>
    <w:rsid w:val="0007764B"/>
    <w:rsid w:val="000777FD"/>
    <w:rsid w:val="000800B0"/>
    <w:rsid w:val="000806DA"/>
    <w:rsid w:val="000809D8"/>
    <w:rsid w:val="00081377"/>
    <w:rsid w:val="00081737"/>
    <w:rsid w:val="00082343"/>
    <w:rsid w:val="000824CA"/>
    <w:rsid w:val="0008258F"/>
    <w:rsid w:val="0008282D"/>
    <w:rsid w:val="00082C14"/>
    <w:rsid w:val="00082C72"/>
    <w:rsid w:val="00082CD2"/>
    <w:rsid w:val="00082DBB"/>
    <w:rsid w:val="0008331E"/>
    <w:rsid w:val="000834FD"/>
    <w:rsid w:val="00083600"/>
    <w:rsid w:val="0008375E"/>
    <w:rsid w:val="000839D4"/>
    <w:rsid w:val="00083F3C"/>
    <w:rsid w:val="0008456E"/>
    <w:rsid w:val="00085048"/>
    <w:rsid w:val="00085273"/>
    <w:rsid w:val="000852D1"/>
    <w:rsid w:val="000852D9"/>
    <w:rsid w:val="000856E8"/>
    <w:rsid w:val="000857EB"/>
    <w:rsid w:val="00085B9F"/>
    <w:rsid w:val="00085E9C"/>
    <w:rsid w:val="00085EF2"/>
    <w:rsid w:val="00086027"/>
    <w:rsid w:val="00086064"/>
    <w:rsid w:val="00086F51"/>
    <w:rsid w:val="000877B1"/>
    <w:rsid w:val="00087F91"/>
    <w:rsid w:val="00090105"/>
    <w:rsid w:val="00090527"/>
    <w:rsid w:val="00090570"/>
    <w:rsid w:val="000907B8"/>
    <w:rsid w:val="00090DD9"/>
    <w:rsid w:val="00090F9A"/>
    <w:rsid w:val="000911B5"/>
    <w:rsid w:val="000912AE"/>
    <w:rsid w:val="0009130B"/>
    <w:rsid w:val="0009150F"/>
    <w:rsid w:val="00091ABA"/>
    <w:rsid w:val="0009200A"/>
    <w:rsid w:val="00092176"/>
    <w:rsid w:val="00092EF8"/>
    <w:rsid w:val="00092F27"/>
    <w:rsid w:val="000931E9"/>
    <w:rsid w:val="0009392A"/>
    <w:rsid w:val="000939B9"/>
    <w:rsid w:val="00093AB1"/>
    <w:rsid w:val="00093BA3"/>
    <w:rsid w:val="00093DF7"/>
    <w:rsid w:val="00093EE6"/>
    <w:rsid w:val="00093F54"/>
    <w:rsid w:val="00093FBD"/>
    <w:rsid w:val="000940FA"/>
    <w:rsid w:val="0009422F"/>
    <w:rsid w:val="0009437E"/>
    <w:rsid w:val="0009441C"/>
    <w:rsid w:val="000944BB"/>
    <w:rsid w:val="0009450F"/>
    <w:rsid w:val="0009459C"/>
    <w:rsid w:val="00094721"/>
    <w:rsid w:val="00094749"/>
    <w:rsid w:val="00094B14"/>
    <w:rsid w:val="00094C09"/>
    <w:rsid w:val="00095266"/>
    <w:rsid w:val="0009582C"/>
    <w:rsid w:val="00095889"/>
    <w:rsid w:val="000959AF"/>
    <w:rsid w:val="00095A6A"/>
    <w:rsid w:val="00095F38"/>
    <w:rsid w:val="000963A2"/>
    <w:rsid w:val="00096424"/>
    <w:rsid w:val="000967D9"/>
    <w:rsid w:val="00096A5F"/>
    <w:rsid w:val="00096A9F"/>
    <w:rsid w:val="00096BB7"/>
    <w:rsid w:val="00096BC7"/>
    <w:rsid w:val="00096C4B"/>
    <w:rsid w:val="00096FEE"/>
    <w:rsid w:val="000972FF"/>
    <w:rsid w:val="00097ABF"/>
    <w:rsid w:val="00097B2E"/>
    <w:rsid w:val="00097F06"/>
    <w:rsid w:val="000A0253"/>
    <w:rsid w:val="000A0260"/>
    <w:rsid w:val="000A068B"/>
    <w:rsid w:val="000A06B0"/>
    <w:rsid w:val="000A0758"/>
    <w:rsid w:val="000A0B4F"/>
    <w:rsid w:val="000A0F2F"/>
    <w:rsid w:val="000A1636"/>
    <w:rsid w:val="000A1815"/>
    <w:rsid w:val="000A181E"/>
    <w:rsid w:val="000A255E"/>
    <w:rsid w:val="000A2789"/>
    <w:rsid w:val="000A2980"/>
    <w:rsid w:val="000A311F"/>
    <w:rsid w:val="000A320E"/>
    <w:rsid w:val="000A354C"/>
    <w:rsid w:val="000A3695"/>
    <w:rsid w:val="000A3F1D"/>
    <w:rsid w:val="000A4112"/>
    <w:rsid w:val="000A42F6"/>
    <w:rsid w:val="000A453A"/>
    <w:rsid w:val="000A4737"/>
    <w:rsid w:val="000A4805"/>
    <w:rsid w:val="000A488C"/>
    <w:rsid w:val="000A4963"/>
    <w:rsid w:val="000A4AC9"/>
    <w:rsid w:val="000A4C3B"/>
    <w:rsid w:val="000A4CC4"/>
    <w:rsid w:val="000A50DB"/>
    <w:rsid w:val="000A50FC"/>
    <w:rsid w:val="000A5244"/>
    <w:rsid w:val="000A53FB"/>
    <w:rsid w:val="000A5474"/>
    <w:rsid w:val="000A58AC"/>
    <w:rsid w:val="000A5957"/>
    <w:rsid w:val="000A5C11"/>
    <w:rsid w:val="000A5DCE"/>
    <w:rsid w:val="000A6416"/>
    <w:rsid w:val="000A68CE"/>
    <w:rsid w:val="000A6E9E"/>
    <w:rsid w:val="000A7389"/>
    <w:rsid w:val="000A77C7"/>
    <w:rsid w:val="000A78AC"/>
    <w:rsid w:val="000A7B85"/>
    <w:rsid w:val="000B002B"/>
    <w:rsid w:val="000B049F"/>
    <w:rsid w:val="000B057B"/>
    <w:rsid w:val="000B0A62"/>
    <w:rsid w:val="000B0A92"/>
    <w:rsid w:val="000B0B54"/>
    <w:rsid w:val="000B0D83"/>
    <w:rsid w:val="000B10AA"/>
    <w:rsid w:val="000B15FB"/>
    <w:rsid w:val="000B17FA"/>
    <w:rsid w:val="000B1856"/>
    <w:rsid w:val="000B1959"/>
    <w:rsid w:val="000B1D9B"/>
    <w:rsid w:val="000B1E7E"/>
    <w:rsid w:val="000B2160"/>
    <w:rsid w:val="000B26DB"/>
    <w:rsid w:val="000B280D"/>
    <w:rsid w:val="000B2937"/>
    <w:rsid w:val="000B29DF"/>
    <w:rsid w:val="000B2AFA"/>
    <w:rsid w:val="000B2CF1"/>
    <w:rsid w:val="000B2EAB"/>
    <w:rsid w:val="000B342B"/>
    <w:rsid w:val="000B36FE"/>
    <w:rsid w:val="000B3A02"/>
    <w:rsid w:val="000B3BDF"/>
    <w:rsid w:val="000B3C22"/>
    <w:rsid w:val="000B3F67"/>
    <w:rsid w:val="000B3FC8"/>
    <w:rsid w:val="000B41C3"/>
    <w:rsid w:val="000B4625"/>
    <w:rsid w:val="000B47F1"/>
    <w:rsid w:val="000B49BE"/>
    <w:rsid w:val="000B4C27"/>
    <w:rsid w:val="000B5003"/>
    <w:rsid w:val="000B50B1"/>
    <w:rsid w:val="000B50BB"/>
    <w:rsid w:val="000B517F"/>
    <w:rsid w:val="000B54D7"/>
    <w:rsid w:val="000B55A3"/>
    <w:rsid w:val="000B55D6"/>
    <w:rsid w:val="000B580B"/>
    <w:rsid w:val="000B5905"/>
    <w:rsid w:val="000B5A47"/>
    <w:rsid w:val="000B5A81"/>
    <w:rsid w:val="000B5B16"/>
    <w:rsid w:val="000B66EF"/>
    <w:rsid w:val="000B67D8"/>
    <w:rsid w:val="000B6B55"/>
    <w:rsid w:val="000B70E3"/>
    <w:rsid w:val="000B717B"/>
    <w:rsid w:val="000B7265"/>
    <w:rsid w:val="000B73B2"/>
    <w:rsid w:val="000B74DD"/>
    <w:rsid w:val="000B755E"/>
    <w:rsid w:val="000B7692"/>
    <w:rsid w:val="000B7752"/>
    <w:rsid w:val="000B792F"/>
    <w:rsid w:val="000B7D9E"/>
    <w:rsid w:val="000B7DAE"/>
    <w:rsid w:val="000B7E72"/>
    <w:rsid w:val="000C0120"/>
    <w:rsid w:val="000C0331"/>
    <w:rsid w:val="000C0408"/>
    <w:rsid w:val="000C0933"/>
    <w:rsid w:val="000C0CDC"/>
    <w:rsid w:val="000C11E2"/>
    <w:rsid w:val="000C121E"/>
    <w:rsid w:val="000C1835"/>
    <w:rsid w:val="000C1AAF"/>
    <w:rsid w:val="000C1E8D"/>
    <w:rsid w:val="000C1EF3"/>
    <w:rsid w:val="000C226C"/>
    <w:rsid w:val="000C2274"/>
    <w:rsid w:val="000C2859"/>
    <w:rsid w:val="000C29A2"/>
    <w:rsid w:val="000C2A1D"/>
    <w:rsid w:val="000C2B5E"/>
    <w:rsid w:val="000C2F3F"/>
    <w:rsid w:val="000C2F96"/>
    <w:rsid w:val="000C3293"/>
    <w:rsid w:val="000C3538"/>
    <w:rsid w:val="000C374B"/>
    <w:rsid w:val="000C3DC4"/>
    <w:rsid w:val="000C3DDA"/>
    <w:rsid w:val="000C3DE6"/>
    <w:rsid w:val="000C4308"/>
    <w:rsid w:val="000C45BB"/>
    <w:rsid w:val="000C4877"/>
    <w:rsid w:val="000C4974"/>
    <w:rsid w:val="000C4A91"/>
    <w:rsid w:val="000C4CF1"/>
    <w:rsid w:val="000C4D33"/>
    <w:rsid w:val="000C50E4"/>
    <w:rsid w:val="000C5286"/>
    <w:rsid w:val="000C52B8"/>
    <w:rsid w:val="000C5436"/>
    <w:rsid w:val="000C5442"/>
    <w:rsid w:val="000C5657"/>
    <w:rsid w:val="000C5979"/>
    <w:rsid w:val="000C5990"/>
    <w:rsid w:val="000C6104"/>
    <w:rsid w:val="000C6460"/>
    <w:rsid w:val="000C64CF"/>
    <w:rsid w:val="000C668C"/>
    <w:rsid w:val="000C6CF0"/>
    <w:rsid w:val="000C6DE1"/>
    <w:rsid w:val="000C6EF1"/>
    <w:rsid w:val="000C7306"/>
    <w:rsid w:val="000C73D7"/>
    <w:rsid w:val="000C7600"/>
    <w:rsid w:val="000C790B"/>
    <w:rsid w:val="000D09C6"/>
    <w:rsid w:val="000D0D76"/>
    <w:rsid w:val="000D104D"/>
    <w:rsid w:val="000D1152"/>
    <w:rsid w:val="000D152D"/>
    <w:rsid w:val="000D1993"/>
    <w:rsid w:val="000D1B49"/>
    <w:rsid w:val="000D1E63"/>
    <w:rsid w:val="000D1FB7"/>
    <w:rsid w:val="000D2351"/>
    <w:rsid w:val="000D28C2"/>
    <w:rsid w:val="000D2C3B"/>
    <w:rsid w:val="000D2CE5"/>
    <w:rsid w:val="000D3323"/>
    <w:rsid w:val="000D34D2"/>
    <w:rsid w:val="000D35C4"/>
    <w:rsid w:val="000D37F1"/>
    <w:rsid w:val="000D39D5"/>
    <w:rsid w:val="000D3BD1"/>
    <w:rsid w:val="000D4487"/>
    <w:rsid w:val="000D48AD"/>
    <w:rsid w:val="000D493B"/>
    <w:rsid w:val="000D4E2A"/>
    <w:rsid w:val="000D5180"/>
    <w:rsid w:val="000D583A"/>
    <w:rsid w:val="000D5AF0"/>
    <w:rsid w:val="000D5D83"/>
    <w:rsid w:val="000D5DAD"/>
    <w:rsid w:val="000D6538"/>
    <w:rsid w:val="000D692F"/>
    <w:rsid w:val="000D6EA2"/>
    <w:rsid w:val="000D6F0E"/>
    <w:rsid w:val="000D712D"/>
    <w:rsid w:val="000D715F"/>
    <w:rsid w:val="000D7211"/>
    <w:rsid w:val="000D724B"/>
    <w:rsid w:val="000D7652"/>
    <w:rsid w:val="000D7E66"/>
    <w:rsid w:val="000D7F53"/>
    <w:rsid w:val="000E009D"/>
    <w:rsid w:val="000E07FD"/>
    <w:rsid w:val="000E0867"/>
    <w:rsid w:val="000E0AD2"/>
    <w:rsid w:val="000E0F76"/>
    <w:rsid w:val="000E1110"/>
    <w:rsid w:val="000E1369"/>
    <w:rsid w:val="000E1575"/>
    <w:rsid w:val="000E2371"/>
    <w:rsid w:val="000E24F1"/>
    <w:rsid w:val="000E2533"/>
    <w:rsid w:val="000E27B3"/>
    <w:rsid w:val="000E2841"/>
    <w:rsid w:val="000E2A58"/>
    <w:rsid w:val="000E2AB9"/>
    <w:rsid w:val="000E2CFE"/>
    <w:rsid w:val="000E2DAD"/>
    <w:rsid w:val="000E33ED"/>
    <w:rsid w:val="000E34CC"/>
    <w:rsid w:val="000E34DD"/>
    <w:rsid w:val="000E3684"/>
    <w:rsid w:val="000E3C77"/>
    <w:rsid w:val="000E3DEC"/>
    <w:rsid w:val="000E4265"/>
    <w:rsid w:val="000E4E33"/>
    <w:rsid w:val="000E5002"/>
    <w:rsid w:val="000E5318"/>
    <w:rsid w:val="000E5859"/>
    <w:rsid w:val="000E59E4"/>
    <w:rsid w:val="000E5B5B"/>
    <w:rsid w:val="000E5DC9"/>
    <w:rsid w:val="000E61F0"/>
    <w:rsid w:val="000E6239"/>
    <w:rsid w:val="000E63ED"/>
    <w:rsid w:val="000E684A"/>
    <w:rsid w:val="000E6AC1"/>
    <w:rsid w:val="000E6FE1"/>
    <w:rsid w:val="000E732F"/>
    <w:rsid w:val="000E74D4"/>
    <w:rsid w:val="000E761B"/>
    <w:rsid w:val="000E7642"/>
    <w:rsid w:val="000E7D33"/>
    <w:rsid w:val="000E7E7A"/>
    <w:rsid w:val="000E7EEE"/>
    <w:rsid w:val="000E7F09"/>
    <w:rsid w:val="000F0980"/>
    <w:rsid w:val="000F0B5B"/>
    <w:rsid w:val="000F0F0A"/>
    <w:rsid w:val="000F0F2B"/>
    <w:rsid w:val="000F1280"/>
    <w:rsid w:val="000F130B"/>
    <w:rsid w:val="000F149A"/>
    <w:rsid w:val="000F150C"/>
    <w:rsid w:val="000F1565"/>
    <w:rsid w:val="000F186D"/>
    <w:rsid w:val="000F194A"/>
    <w:rsid w:val="000F1D45"/>
    <w:rsid w:val="000F1EC0"/>
    <w:rsid w:val="000F20E5"/>
    <w:rsid w:val="000F20EF"/>
    <w:rsid w:val="000F21A8"/>
    <w:rsid w:val="000F2896"/>
    <w:rsid w:val="000F28D6"/>
    <w:rsid w:val="000F2DE6"/>
    <w:rsid w:val="000F3547"/>
    <w:rsid w:val="000F3621"/>
    <w:rsid w:val="000F3A5A"/>
    <w:rsid w:val="000F3B8E"/>
    <w:rsid w:val="000F3CB6"/>
    <w:rsid w:val="000F3D1B"/>
    <w:rsid w:val="000F3DC7"/>
    <w:rsid w:val="000F3E9A"/>
    <w:rsid w:val="000F4525"/>
    <w:rsid w:val="000F45EE"/>
    <w:rsid w:val="000F4DCE"/>
    <w:rsid w:val="000F5D32"/>
    <w:rsid w:val="000F6013"/>
    <w:rsid w:val="000F6625"/>
    <w:rsid w:val="000F66E8"/>
    <w:rsid w:val="000F6C05"/>
    <w:rsid w:val="000F6CB6"/>
    <w:rsid w:val="000F6D0D"/>
    <w:rsid w:val="000F7308"/>
    <w:rsid w:val="000F73AB"/>
    <w:rsid w:val="000F76E0"/>
    <w:rsid w:val="000F7AA1"/>
    <w:rsid w:val="000F7BD9"/>
    <w:rsid w:val="000F7F1D"/>
    <w:rsid w:val="00100191"/>
    <w:rsid w:val="00100290"/>
    <w:rsid w:val="00100334"/>
    <w:rsid w:val="0010039A"/>
    <w:rsid w:val="00100627"/>
    <w:rsid w:val="00100706"/>
    <w:rsid w:val="0010070A"/>
    <w:rsid w:val="001007EF"/>
    <w:rsid w:val="00100AA3"/>
    <w:rsid w:val="0010182C"/>
    <w:rsid w:val="001018EB"/>
    <w:rsid w:val="00101919"/>
    <w:rsid w:val="00101A0F"/>
    <w:rsid w:val="00101B4A"/>
    <w:rsid w:val="00101CA6"/>
    <w:rsid w:val="0010216B"/>
    <w:rsid w:val="00102683"/>
    <w:rsid w:val="001027C9"/>
    <w:rsid w:val="00102878"/>
    <w:rsid w:val="00102BBA"/>
    <w:rsid w:val="00102C7B"/>
    <w:rsid w:val="00102D9F"/>
    <w:rsid w:val="00102DCE"/>
    <w:rsid w:val="0010308D"/>
    <w:rsid w:val="00103134"/>
    <w:rsid w:val="0010314A"/>
    <w:rsid w:val="00103342"/>
    <w:rsid w:val="001033D3"/>
    <w:rsid w:val="00103B4C"/>
    <w:rsid w:val="00103DD9"/>
    <w:rsid w:val="00103E98"/>
    <w:rsid w:val="001045F5"/>
    <w:rsid w:val="00104E34"/>
    <w:rsid w:val="00105144"/>
    <w:rsid w:val="00105B23"/>
    <w:rsid w:val="00105BA2"/>
    <w:rsid w:val="00106264"/>
    <w:rsid w:val="00106481"/>
    <w:rsid w:val="00106547"/>
    <w:rsid w:val="001069E9"/>
    <w:rsid w:val="00106A78"/>
    <w:rsid w:val="00106B9E"/>
    <w:rsid w:val="00106C4E"/>
    <w:rsid w:val="00106DA6"/>
    <w:rsid w:val="00107369"/>
    <w:rsid w:val="001075FC"/>
    <w:rsid w:val="0010773E"/>
    <w:rsid w:val="001077F5"/>
    <w:rsid w:val="00107856"/>
    <w:rsid w:val="001078F4"/>
    <w:rsid w:val="00107912"/>
    <w:rsid w:val="0010795B"/>
    <w:rsid w:val="001079EE"/>
    <w:rsid w:val="00107AAF"/>
    <w:rsid w:val="00107BB9"/>
    <w:rsid w:val="00107C2B"/>
    <w:rsid w:val="00107F0C"/>
    <w:rsid w:val="001105DE"/>
    <w:rsid w:val="0011072F"/>
    <w:rsid w:val="00110864"/>
    <w:rsid w:val="00110931"/>
    <w:rsid w:val="00110CC1"/>
    <w:rsid w:val="00110D18"/>
    <w:rsid w:val="00110D4D"/>
    <w:rsid w:val="00110F43"/>
    <w:rsid w:val="00110F84"/>
    <w:rsid w:val="001112CD"/>
    <w:rsid w:val="001114E8"/>
    <w:rsid w:val="00111839"/>
    <w:rsid w:val="00111BE3"/>
    <w:rsid w:val="00111CAA"/>
    <w:rsid w:val="00112130"/>
    <w:rsid w:val="001124D4"/>
    <w:rsid w:val="00112BB2"/>
    <w:rsid w:val="00112D02"/>
    <w:rsid w:val="00112D33"/>
    <w:rsid w:val="00112D8A"/>
    <w:rsid w:val="001133C4"/>
    <w:rsid w:val="0011379C"/>
    <w:rsid w:val="00113D90"/>
    <w:rsid w:val="00113DC5"/>
    <w:rsid w:val="00113F06"/>
    <w:rsid w:val="001142BC"/>
    <w:rsid w:val="00114315"/>
    <w:rsid w:val="001145BE"/>
    <w:rsid w:val="00114BF7"/>
    <w:rsid w:val="00114C11"/>
    <w:rsid w:val="00114CC6"/>
    <w:rsid w:val="00114EA3"/>
    <w:rsid w:val="001150D6"/>
    <w:rsid w:val="001153E3"/>
    <w:rsid w:val="001156B8"/>
    <w:rsid w:val="0011572D"/>
    <w:rsid w:val="0011575C"/>
    <w:rsid w:val="001157A0"/>
    <w:rsid w:val="0011582D"/>
    <w:rsid w:val="00115B19"/>
    <w:rsid w:val="00115C5D"/>
    <w:rsid w:val="00115D90"/>
    <w:rsid w:val="00115DCF"/>
    <w:rsid w:val="00115EF9"/>
    <w:rsid w:val="0011618C"/>
    <w:rsid w:val="00116D86"/>
    <w:rsid w:val="00116E41"/>
    <w:rsid w:val="00116F03"/>
    <w:rsid w:val="00117059"/>
    <w:rsid w:val="00117A84"/>
    <w:rsid w:val="00117B84"/>
    <w:rsid w:val="00117D51"/>
    <w:rsid w:val="001200B2"/>
    <w:rsid w:val="0012028D"/>
    <w:rsid w:val="0012037B"/>
    <w:rsid w:val="00120485"/>
    <w:rsid w:val="001209DC"/>
    <w:rsid w:val="00120B3A"/>
    <w:rsid w:val="00120BE9"/>
    <w:rsid w:val="00120E2B"/>
    <w:rsid w:val="0012133E"/>
    <w:rsid w:val="00121372"/>
    <w:rsid w:val="0012147E"/>
    <w:rsid w:val="0012175F"/>
    <w:rsid w:val="00121B84"/>
    <w:rsid w:val="00121E84"/>
    <w:rsid w:val="00121EE9"/>
    <w:rsid w:val="00122061"/>
    <w:rsid w:val="0012210D"/>
    <w:rsid w:val="001225FF"/>
    <w:rsid w:val="00122838"/>
    <w:rsid w:val="00122B16"/>
    <w:rsid w:val="00122C70"/>
    <w:rsid w:val="00122EE8"/>
    <w:rsid w:val="00122F15"/>
    <w:rsid w:val="00123148"/>
    <w:rsid w:val="001234CF"/>
    <w:rsid w:val="00123682"/>
    <w:rsid w:val="001236B6"/>
    <w:rsid w:val="00123B49"/>
    <w:rsid w:val="00124186"/>
    <w:rsid w:val="00124396"/>
    <w:rsid w:val="00124431"/>
    <w:rsid w:val="001244E8"/>
    <w:rsid w:val="0012489A"/>
    <w:rsid w:val="00124CB0"/>
    <w:rsid w:val="001250CA"/>
    <w:rsid w:val="0012510F"/>
    <w:rsid w:val="00125540"/>
    <w:rsid w:val="0012569C"/>
    <w:rsid w:val="00125EFF"/>
    <w:rsid w:val="00126007"/>
    <w:rsid w:val="0012615A"/>
    <w:rsid w:val="001269C5"/>
    <w:rsid w:val="00126E03"/>
    <w:rsid w:val="00127109"/>
    <w:rsid w:val="001271A2"/>
    <w:rsid w:val="001275E2"/>
    <w:rsid w:val="00127D8E"/>
    <w:rsid w:val="00127DE2"/>
    <w:rsid w:val="00130137"/>
    <w:rsid w:val="001301C8"/>
    <w:rsid w:val="0013024E"/>
    <w:rsid w:val="001303A9"/>
    <w:rsid w:val="00130460"/>
    <w:rsid w:val="00131291"/>
    <w:rsid w:val="00131487"/>
    <w:rsid w:val="00131734"/>
    <w:rsid w:val="0013182D"/>
    <w:rsid w:val="00131C67"/>
    <w:rsid w:val="00131D37"/>
    <w:rsid w:val="001320D3"/>
    <w:rsid w:val="00132167"/>
    <w:rsid w:val="0013230D"/>
    <w:rsid w:val="0013234C"/>
    <w:rsid w:val="00132744"/>
    <w:rsid w:val="001328D6"/>
    <w:rsid w:val="00132937"/>
    <w:rsid w:val="00132B59"/>
    <w:rsid w:val="00132B73"/>
    <w:rsid w:val="00132F55"/>
    <w:rsid w:val="00133031"/>
    <w:rsid w:val="0013315F"/>
    <w:rsid w:val="001332DA"/>
    <w:rsid w:val="00133530"/>
    <w:rsid w:val="00133C07"/>
    <w:rsid w:val="00133F25"/>
    <w:rsid w:val="00134070"/>
    <w:rsid w:val="00134207"/>
    <w:rsid w:val="00134396"/>
    <w:rsid w:val="00134560"/>
    <w:rsid w:val="00134C2C"/>
    <w:rsid w:val="00134C88"/>
    <w:rsid w:val="00134C90"/>
    <w:rsid w:val="00135C9E"/>
    <w:rsid w:val="00135D17"/>
    <w:rsid w:val="00135EED"/>
    <w:rsid w:val="00135FC0"/>
    <w:rsid w:val="00136257"/>
    <w:rsid w:val="0013739C"/>
    <w:rsid w:val="0013796E"/>
    <w:rsid w:val="00137D81"/>
    <w:rsid w:val="0014004B"/>
    <w:rsid w:val="0014035B"/>
    <w:rsid w:val="00140528"/>
    <w:rsid w:val="00140759"/>
    <w:rsid w:val="001408A6"/>
    <w:rsid w:val="00140E0E"/>
    <w:rsid w:val="00141185"/>
    <w:rsid w:val="00141544"/>
    <w:rsid w:val="001418C4"/>
    <w:rsid w:val="00141A51"/>
    <w:rsid w:val="00141AB3"/>
    <w:rsid w:val="00141C2E"/>
    <w:rsid w:val="00141C62"/>
    <w:rsid w:val="001421D6"/>
    <w:rsid w:val="0014259A"/>
    <w:rsid w:val="0014262E"/>
    <w:rsid w:val="00142685"/>
    <w:rsid w:val="00142724"/>
    <w:rsid w:val="00142736"/>
    <w:rsid w:val="00142FBD"/>
    <w:rsid w:val="0014336E"/>
    <w:rsid w:val="001433BC"/>
    <w:rsid w:val="0014346D"/>
    <w:rsid w:val="00143997"/>
    <w:rsid w:val="00143BA2"/>
    <w:rsid w:val="00143DFA"/>
    <w:rsid w:val="00143F08"/>
    <w:rsid w:val="001442D0"/>
    <w:rsid w:val="0014487B"/>
    <w:rsid w:val="0014489B"/>
    <w:rsid w:val="001449AA"/>
    <w:rsid w:val="0014536F"/>
    <w:rsid w:val="00145488"/>
    <w:rsid w:val="001454CE"/>
    <w:rsid w:val="001459DA"/>
    <w:rsid w:val="00145EF7"/>
    <w:rsid w:val="00145F12"/>
    <w:rsid w:val="00145FA4"/>
    <w:rsid w:val="00146053"/>
    <w:rsid w:val="001461E8"/>
    <w:rsid w:val="0014623C"/>
    <w:rsid w:val="0014629D"/>
    <w:rsid w:val="0014630C"/>
    <w:rsid w:val="001467A8"/>
    <w:rsid w:val="00146B5A"/>
    <w:rsid w:val="00146CA6"/>
    <w:rsid w:val="00146DE2"/>
    <w:rsid w:val="001471D4"/>
    <w:rsid w:val="001473B7"/>
    <w:rsid w:val="001473E4"/>
    <w:rsid w:val="00147502"/>
    <w:rsid w:val="00147520"/>
    <w:rsid w:val="0014757E"/>
    <w:rsid w:val="001475B7"/>
    <w:rsid w:val="00147ACA"/>
    <w:rsid w:val="00147DA4"/>
    <w:rsid w:val="0015017E"/>
    <w:rsid w:val="00150428"/>
    <w:rsid w:val="00150D1A"/>
    <w:rsid w:val="00150D32"/>
    <w:rsid w:val="00150E44"/>
    <w:rsid w:val="00150E6E"/>
    <w:rsid w:val="0015100D"/>
    <w:rsid w:val="001518F3"/>
    <w:rsid w:val="00151C9C"/>
    <w:rsid w:val="00151F67"/>
    <w:rsid w:val="00152233"/>
    <w:rsid w:val="0015229B"/>
    <w:rsid w:val="00152651"/>
    <w:rsid w:val="001530F0"/>
    <w:rsid w:val="001534C9"/>
    <w:rsid w:val="0015385F"/>
    <w:rsid w:val="001538C1"/>
    <w:rsid w:val="00153A1B"/>
    <w:rsid w:val="00153F02"/>
    <w:rsid w:val="00153F81"/>
    <w:rsid w:val="001541E3"/>
    <w:rsid w:val="001544DA"/>
    <w:rsid w:val="001546C8"/>
    <w:rsid w:val="00154775"/>
    <w:rsid w:val="001549AF"/>
    <w:rsid w:val="00154CEE"/>
    <w:rsid w:val="00154DEA"/>
    <w:rsid w:val="001554BE"/>
    <w:rsid w:val="00156651"/>
    <w:rsid w:val="00156923"/>
    <w:rsid w:val="00156B15"/>
    <w:rsid w:val="00156BD2"/>
    <w:rsid w:val="00156D07"/>
    <w:rsid w:val="00156F1C"/>
    <w:rsid w:val="00156F37"/>
    <w:rsid w:val="001572B9"/>
    <w:rsid w:val="001573EA"/>
    <w:rsid w:val="00157660"/>
    <w:rsid w:val="001579A9"/>
    <w:rsid w:val="00157A59"/>
    <w:rsid w:val="00157A75"/>
    <w:rsid w:val="00157C42"/>
    <w:rsid w:val="00157C83"/>
    <w:rsid w:val="00157FD0"/>
    <w:rsid w:val="00160335"/>
    <w:rsid w:val="00160BFD"/>
    <w:rsid w:val="00160E9C"/>
    <w:rsid w:val="00160EBE"/>
    <w:rsid w:val="00161107"/>
    <w:rsid w:val="001612D5"/>
    <w:rsid w:val="001613CE"/>
    <w:rsid w:val="00161594"/>
    <w:rsid w:val="00161680"/>
    <w:rsid w:val="0016171C"/>
    <w:rsid w:val="001617A4"/>
    <w:rsid w:val="00161AFE"/>
    <w:rsid w:val="00161C48"/>
    <w:rsid w:val="00161D84"/>
    <w:rsid w:val="00162211"/>
    <w:rsid w:val="00162451"/>
    <w:rsid w:val="00162557"/>
    <w:rsid w:val="001629F5"/>
    <w:rsid w:val="00162B9A"/>
    <w:rsid w:val="00162C1B"/>
    <w:rsid w:val="00162C2F"/>
    <w:rsid w:val="00162FD6"/>
    <w:rsid w:val="00164160"/>
    <w:rsid w:val="00164534"/>
    <w:rsid w:val="00164610"/>
    <w:rsid w:val="001648CC"/>
    <w:rsid w:val="00164CCE"/>
    <w:rsid w:val="00164ED8"/>
    <w:rsid w:val="00164EE8"/>
    <w:rsid w:val="00164F82"/>
    <w:rsid w:val="00164FAF"/>
    <w:rsid w:val="001650C6"/>
    <w:rsid w:val="0016521F"/>
    <w:rsid w:val="001655C3"/>
    <w:rsid w:val="00165E6A"/>
    <w:rsid w:val="0016612F"/>
    <w:rsid w:val="00166548"/>
    <w:rsid w:val="00166780"/>
    <w:rsid w:val="001667E9"/>
    <w:rsid w:val="00166937"/>
    <w:rsid w:val="001669BC"/>
    <w:rsid w:val="00166AFA"/>
    <w:rsid w:val="00166FBF"/>
    <w:rsid w:val="00167066"/>
    <w:rsid w:val="0016706B"/>
    <w:rsid w:val="001673AA"/>
    <w:rsid w:val="0016782F"/>
    <w:rsid w:val="001679C2"/>
    <w:rsid w:val="00167ABB"/>
    <w:rsid w:val="00167B26"/>
    <w:rsid w:val="0017030B"/>
    <w:rsid w:val="00170547"/>
    <w:rsid w:val="00170AE4"/>
    <w:rsid w:val="00171627"/>
    <w:rsid w:val="001719F7"/>
    <w:rsid w:val="00171CB2"/>
    <w:rsid w:val="00172035"/>
    <w:rsid w:val="001728E6"/>
    <w:rsid w:val="00172B0D"/>
    <w:rsid w:val="00172BF2"/>
    <w:rsid w:val="00172D69"/>
    <w:rsid w:val="00172DD9"/>
    <w:rsid w:val="00172F6C"/>
    <w:rsid w:val="001730E7"/>
    <w:rsid w:val="0017320E"/>
    <w:rsid w:val="00173248"/>
    <w:rsid w:val="00173A43"/>
    <w:rsid w:val="00173AAC"/>
    <w:rsid w:val="00173BF3"/>
    <w:rsid w:val="00173C57"/>
    <w:rsid w:val="001741BC"/>
    <w:rsid w:val="0017445F"/>
    <w:rsid w:val="00174536"/>
    <w:rsid w:val="001746EC"/>
    <w:rsid w:val="0017472E"/>
    <w:rsid w:val="00174766"/>
    <w:rsid w:val="001749AC"/>
    <w:rsid w:val="00174B07"/>
    <w:rsid w:val="00174B53"/>
    <w:rsid w:val="00174DC1"/>
    <w:rsid w:val="00174F58"/>
    <w:rsid w:val="00174F90"/>
    <w:rsid w:val="00175403"/>
    <w:rsid w:val="00175415"/>
    <w:rsid w:val="0017554F"/>
    <w:rsid w:val="00175827"/>
    <w:rsid w:val="00175B1D"/>
    <w:rsid w:val="00175B3B"/>
    <w:rsid w:val="00175B94"/>
    <w:rsid w:val="00175C8D"/>
    <w:rsid w:val="00175CF9"/>
    <w:rsid w:val="00176232"/>
    <w:rsid w:val="001766B6"/>
    <w:rsid w:val="00176B05"/>
    <w:rsid w:val="00176D0C"/>
    <w:rsid w:val="00177527"/>
    <w:rsid w:val="00177613"/>
    <w:rsid w:val="00177749"/>
    <w:rsid w:val="00177C50"/>
    <w:rsid w:val="00177C88"/>
    <w:rsid w:val="00177D55"/>
    <w:rsid w:val="00177D6E"/>
    <w:rsid w:val="00180122"/>
    <w:rsid w:val="00180136"/>
    <w:rsid w:val="001804B1"/>
    <w:rsid w:val="00180549"/>
    <w:rsid w:val="001806EB"/>
    <w:rsid w:val="00180786"/>
    <w:rsid w:val="00180E78"/>
    <w:rsid w:val="00180F00"/>
    <w:rsid w:val="00181168"/>
    <w:rsid w:val="001811FF"/>
    <w:rsid w:val="001812D7"/>
    <w:rsid w:val="0018150A"/>
    <w:rsid w:val="0018168E"/>
    <w:rsid w:val="00181B0E"/>
    <w:rsid w:val="00181D66"/>
    <w:rsid w:val="001821C7"/>
    <w:rsid w:val="00182497"/>
    <w:rsid w:val="001827D2"/>
    <w:rsid w:val="00182B5C"/>
    <w:rsid w:val="00182D0B"/>
    <w:rsid w:val="00182E84"/>
    <w:rsid w:val="00183177"/>
    <w:rsid w:val="0018389A"/>
    <w:rsid w:val="00183AAC"/>
    <w:rsid w:val="00183BAB"/>
    <w:rsid w:val="00183DEB"/>
    <w:rsid w:val="0018406C"/>
    <w:rsid w:val="00184133"/>
    <w:rsid w:val="0018418D"/>
    <w:rsid w:val="00184657"/>
    <w:rsid w:val="0018512F"/>
    <w:rsid w:val="00185260"/>
    <w:rsid w:val="0018551F"/>
    <w:rsid w:val="00185600"/>
    <w:rsid w:val="00185A14"/>
    <w:rsid w:val="00185D78"/>
    <w:rsid w:val="00185ECD"/>
    <w:rsid w:val="00185EFC"/>
    <w:rsid w:val="00185F5E"/>
    <w:rsid w:val="00186010"/>
    <w:rsid w:val="00186032"/>
    <w:rsid w:val="00186180"/>
    <w:rsid w:val="001861C1"/>
    <w:rsid w:val="0018628A"/>
    <w:rsid w:val="001865B3"/>
    <w:rsid w:val="00186BBF"/>
    <w:rsid w:val="00187343"/>
    <w:rsid w:val="0018743F"/>
    <w:rsid w:val="00187747"/>
    <w:rsid w:val="00187BFB"/>
    <w:rsid w:val="00187C91"/>
    <w:rsid w:val="001900DC"/>
    <w:rsid w:val="001900E9"/>
    <w:rsid w:val="001908DB"/>
    <w:rsid w:val="00190937"/>
    <w:rsid w:val="00190A38"/>
    <w:rsid w:val="00190A8A"/>
    <w:rsid w:val="00190B0A"/>
    <w:rsid w:val="00190B5F"/>
    <w:rsid w:val="00190B98"/>
    <w:rsid w:val="00190D94"/>
    <w:rsid w:val="001912F7"/>
    <w:rsid w:val="0019174A"/>
    <w:rsid w:val="00191C88"/>
    <w:rsid w:val="00191CDA"/>
    <w:rsid w:val="001922AA"/>
    <w:rsid w:val="001923B0"/>
    <w:rsid w:val="00192518"/>
    <w:rsid w:val="0019278C"/>
    <w:rsid w:val="00192B2C"/>
    <w:rsid w:val="00192BEC"/>
    <w:rsid w:val="001930B3"/>
    <w:rsid w:val="00193119"/>
    <w:rsid w:val="0019334C"/>
    <w:rsid w:val="001934A8"/>
    <w:rsid w:val="001938E3"/>
    <w:rsid w:val="00193C59"/>
    <w:rsid w:val="00193EC8"/>
    <w:rsid w:val="00194189"/>
    <w:rsid w:val="00194346"/>
    <w:rsid w:val="0019441B"/>
    <w:rsid w:val="0019475F"/>
    <w:rsid w:val="001949CD"/>
    <w:rsid w:val="00194E63"/>
    <w:rsid w:val="00194FB5"/>
    <w:rsid w:val="00194FE3"/>
    <w:rsid w:val="0019500A"/>
    <w:rsid w:val="0019544C"/>
    <w:rsid w:val="00195E5D"/>
    <w:rsid w:val="001960AA"/>
    <w:rsid w:val="00196430"/>
    <w:rsid w:val="001964F7"/>
    <w:rsid w:val="0019696F"/>
    <w:rsid w:val="00196C7F"/>
    <w:rsid w:val="00196FFA"/>
    <w:rsid w:val="00197084"/>
    <w:rsid w:val="001971FF"/>
    <w:rsid w:val="0019759F"/>
    <w:rsid w:val="0019772B"/>
    <w:rsid w:val="00197C95"/>
    <w:rsid w:val="00197DA1"/>
    <w:rsid w:val="00197E2B"/>
    <w:rsid w:val="001A0515"/>
    <w:rsid w:val="001A067B"/>
    <w:rsid w:val="001A08A6"/>
    <w:rsid w:val="001A08D4"/>
    <w:rsid w:val="001A0AD5"/>
    <w:rsid w:val="001A0B84"/>
    <w:rsid w:val="001A0E78"/>
    <w:rsid w:val="001A1363"/>
    <w:rsid w:val="001A161F"/>
    <w:rsid w:val="001A1720"/>
    <w:rsid w:val="001A18C3"/>
    <w:rsid w:val="001A1947"/>
    <w:rsid w:val="001A1B13"/>
    <w:rsid w:val="001A1B65"/>
    <w:rsid w:val="001A1BAF"/>
    <w:rsid w:val="001A1D2E"/>
    <w:rsid w:val="001A1EF6"/>
    <w:rsid w:val="001A1FCA"/>
    <w:rsid w:val="001A2310"/>
    <w:rsid w:val="001A29A2"/>
    <w:rsid w:val="001A2E01"/>
    <w:rsid w:val="001A2E5A"/>
    <w:rsid w:val="001A3059"/>
    <w:rsid w:val="001A329E"/>
    <w:rsid w:val="001A32CC"/>
    <w:rsid w:val="001A3406"/>
    <w:rsid w:val="001A3526"/>
    <w:rsid w:val="001A3683"/>
    <w:rsid w:val="001A38A2"/>
    <w:rsid w:val="001A38BE"/>
    <w:rsid w:val="001A39F0"/>
    <w:rsid w:val="001A3CC6"/>
    <w:rsid w:val="001A3E8D"/>
    <w:rsid w:val="001A419C"/>
    <w:rsid w:val="001A41AE"/>
    <w:rsid w:val="001A41C6"/>
    <w:rsid w:val="001A4678"/>
    <w:rsid w:val="001A481C"/>
    <w:rsid w:val="001A4881"/>
    <w:rsid w:val="001A4B79"/>
    <w:rsid w:val="001A4B90"/>
    <w:rsid w:val="001A4E05"/>
    <w:rsid w:val="001A4E08"/>
    <w:rsid w:val="001A4FF2"/>
    <w:rsid w:val="001A523C"/>
    <w:rsid w:val="001A54C4"/>
    <w:rsid w:val="001A550A"/>
    <w:rsid w:val="001A58E1"/>
    <w:rsid w:val="001A61BE"/>
    <w:rsid w:val="001A638B"/>
    <w:rsid w:val="001A65A0"/>
    <w:rsid w:val="001A68AD"/>
    <w:rsid w:val="001A6D16"/>
    <w:rsid w:val="001A6EAD"/>
    <w:rsid w:val="001A716B"/>
    <w:rsid w:val="001A722E"/>
    <w:rsid w:val="001A72AD"/>
    <w:rsid w:val="001A7507"/>
    <w:rsid w:val="001A7577"/>
    <w:rsid w:val="001A7A6B"/>
    <w:rsid w:val="001A7DDE"/>
    <w:rsid w:val="001A7E06"/>
    <w:rsid w:val="001A7EF5"/>
    <w:rsid w:val="001A7FB6"/>
    <w:rsid w:val="001B0258"/>
    <w:rsid w:val="001B02F2"/>
    <w:rsid w:val="001B049A"/>
    <w:rsid w:val="001B0821"/>
    <w:rsid w:val="001B0B5D"/>
    <w:rsid w:val="001B0D60"/>
    <w:rsid w:val="001B0F66"/>
    <w:rsid w:val="001B104E"/>
    <w:rsid w:val="001B123C"/>
    <w:rsid w:val="001B1801"/>
    <w:rsid w:val="001B200D"/>
    <w:rsid w:val="001B2059"/>
    <w:rsid w:val="001B23C4"/>
    <w:rsid w:val="001B358C"/>
    <w:rsid w:val="001B397F"/>
    <w:rsid w:val="001B4A6A"/>
    <w:rsid w:val="001B4CE5"/>
    <w:rsid w:val="001B4F74"/>
    <w:rsid w:val="001B4FF3"/>
    <w:rsid w:val="001B51E3"/>
    <w:rsid w:val="001B539E"/>
    <w:rsid w:val="001B5626"/>
    <w:rsid w:val="001B59CC"/>
    <w:rsid w:val="001B5B7B"/>
    <w:rsid w:val="001B629C"/>
    <w:rsid w:val="001B6301"/>
    <w:rsid w:val="001B63E0"/>
    <w:rsid w:val="001B64C9"/>
    <w:rsid w:val="001B662B"/>
    <w:rsid w:val="001B69ED"/>
    <w:rsid w:val="001B6A60"/>
    <w:rsid w:val="001B6BDF"/>
    <w:rsid w:val="001B6E1A"/>
    <w:rsid w:val="001B6E20"/>
    <w:rsid w:val="001B6F53"/>
    <w:rsid w:val="001B76DF"/>
    <w:rsid w:val="001B77FF"/>
    <w:rsid w:val="001B7F93"/>
    <w:rsid w:val="001C0202"/>
    <w:rsid w:val="001C0386"/>
    <w:rsid w:val="001C043A"/>
    <w:rsid w:val="001C0A2F"/>
    <w:rsid w:val="001C0B40"/>
    <w:rsid w:val="001C0D97"/>
    <w:rsid w:val="001C0F39"/>
    <w:rsid w:val="001C13F1"/>
    <w:rsid w:val="001C14C2"/>
    <w:rsid w:val="001C15BF"/>
    <w:rsid w:val="001C1810"/>
    <w:rsid w:val="001C18AF"/>
    <w:rsid w:val="001C19DB"/>
    <w:rsid w:val="001C1BC6"/>
    <w:rsid w:val="001C1C33"/>
    <w:rsid w:val="001C20C7"/>
    <w:rsid w:val="001C22B3"/>
    <w:rsid w:val="001C2424"/>
    <w:rsid w:val="001C2534"/>
    <w:rsid w:val="001C27E0"/>
    <w:rsid w:val="001C2A33"/>
    <w:rsid w:val="001C2F62"/>
    <w:rsid w:val="001C31A1"/>
    <w:rsid w:val="001C3209"/>
    <w:rsid w:val="001C334B"/>
    <w:rsid w:val="001C33D3"/>
    <w:rsid w:val="001C3BD9"/>
    <w:rsid w:val="001C4695"/>
    <w:rsid w:val="001C4717"/>
    <w:rsid w:val="001C494F"/>
    <w:rsid w:val="001C4FBB"/>
    <w:rsid w:val="001C517F"/>
    <w:rsid w:val="001C5538"/>
    <w:rsid w:val="001C56BD"/>
    <w:rsid w:val="001C5982"/>
    <w:rsid w:val="001C5D41"/>
    <w:rsid w:val="001C5E2B"/>
    <w:rsid w:val="001C67A2"/>
    <w:rsid w:val="001C6967"/>
    <w:rsid w:val="001C6C0B"/>
    <w:rsid w:val="001C6C4D"/>
    <w:rsid w:val="001C6D80"/>
    <w:rsid w:val="001C77DC"/>
    <w:rsid w:val="001C7983"/>
    <w:rsid w:val="001D0181"/>
    <w:rsid w:val="001D0559"/>
    <w:rsid w:val="001D05F0"/>
    <w:rsid w:val="001D08C6"/>
    <w:rsid w:val="001D1B1B"/>
    <w:rsid w:val="001D1E05"/>
    <w:rsid w:val="001D24D9"/>
    <w:rsid w:val="001D2949"/>
    <w:rsid w:val="001D2E2F"/>
    <w:rsid w:val="001D3002"/>
    <w:rsid w:val="001D30DF"/>
    <w:rsid w:val="001D32CC"/>
    <w:rsid w:val="001D3403"/>
    <w:rsid w:val="001D34FC"/>
    <w:rsid w:val="001D3702"/>
    <w:rsid w:val="001D3A98"/>
    <w:rsid w:val="001D3ED5"/>
    <w:rsid w:val="001D462C"/>
    <w:rsid w:val="001D4653"/>
    <w:rsid w:val="001D4890"/>
    <w:rsid w:val="001D4974"/>
    <w:rsid w:val="001D5228"/>
    <w:rsid w:val="001D52CD"/>
    <w:rsid w:val="001D53AB"/>
    <w:rsid w:val="001D552E"/>
    <w:rsid w:val="001D55D5"/>
    <w:rsid w:val="001D58C0"/>
    <w:rsid w:val="001D5E0B"/>
    <w:rsid w:val="001D623D"/>
    <w:rsid w:val="001D6291"/>
    <w:rsid w:val="001D6669"/>
    <w:rsid w:val="001D6A2C"/>
    <w:rsid w:val="001D6B70"/>
    <w:rsid w:val="001D73F7"/>
    <w:rsid w:val="001D7F61"/>
    <w:rsid w:val="001E00C7"/>
    <w:rsid w:val="001E04F3"/>
    <w:rsid w:val="001E053F"/>
    <w:rsid w:val="001E084B"/>
    <w:rsid w:val="001E0AC8"/>
    <w:rsid w:val="001E0D36"/>
    <w:rsid w:val="001E0DB5"/>
    <w:rsid w:val="001E0E7F"/>
    <w:rsid w:val="001E1032"/>
    <w:rsid w:val="001E11FD"/>
    <w:rsid w:val="001E1551"/>
    <w:rsid w:val="001E19FB"/>
    <w:rsid w:val="001E2630"/>
    <w:rsid w:val="001E26D8"/>
    <w:rsid w:val="001E270A"/>
    <w:rsid w:val="001E2792"/>
    <w:rsid w:val="001E2833"/>
    <w:rsid w:val="001E2AD7"/>
    <w:rsid w:val="001E2DFB"/>
    <w:rsid w:val="001E30A6"/>
    <w:rsid w:val="001E376F"/>
    <w:rsid w:val="001E4086"/>
    <w:rsid w:val="001E415F"/>
    <w:rsid w:val="001E4473"/>
    <w:rsid w:val="001E47E2"/>
    <w:rsid w:val="001E545F"/>
    <w:rsid w:val="001E57E2"/>
    <w:rsid w:val="001E58B1"/>
    <w:rsid w:val="001E5938"/>
    <w:rsid w:val="001E5BE6"/>
    <w:rsid w:val="001E5C00"/>
    <w:rsid w:val="001E5D51"/>
    <w:rsid w:val="001E5DC4"/>
    <w:rsid w:val="001E601F"/>
    <w:rsid w:val="001E60C0"/>
    <w:rsid w:val="001E6220"/>
    <w:rsid w:val="001E6260"/>
    <w:rsid w:val="001E6339"/>
    <w:rsid w:val="001E64BF"/>
    <w:rsid w:val="001E69CE"/>
    <w:rsid w:val="001E6DEC"/>
    <w:rsid w:val="001E6ED3"/>
    <w:rsid w:val="001E738F"/>
    <w:rsid w:val="001E7A10"/>
    <w:rsid w:val="001E7A11"/>
    <w:rsid w:val="001E7BF7"/>
    <w:rsid w:val="001E7E41"/>
    <w:rsid w:val="001F015F"/>
    <w:rsid w:val="001F0237"/>
    <w:rsid w:val="001F0D32"/>
    <w:rsid w:val="001F1810"/>
    <w:rsid w:val="001F1970"/>
    <w:rsid w:val="001F2296"/>
    <w:rsid w:val="001F2364"/>
    <w:rsid w:val="001F24BC"/>
    <w:rsid w:val="001F26E9"/>
    <w:rsid w:val="001F27AC"/>
    <w:rsid w:val="001F2B56"/>
    <w:rsid w:val="001F2B6D"/>
    <w:rsid w:val="001F35A3"/>
    <w:rsid w:val="001F3765"/>
    <w:rsid w:val="001F407E"/>
    <w:rsid w:val="001F4919"/>
    <w:rsid w:val="001F4A42"/>
    <w:rsid w:val="001F4AA9"/>
    <w:rsid w:val="001F4F12"/>
    <w:rsid w:val="001F50D1"/>
    <w:rsid w:val="001F538C"/>
    <w:rsid w:val="001F53E9"/>
    <w:rsid w:val="001F553E"/>
    <w:rsid w:val="001F559A"/>
    <w:rsid w:val="001F55AA"/>
    <w:rsid w:val="001F55BC"/>
    <w:rsid w:val="001F5AF9"/>
    <w:rsid w:val="001F5CCB"/>
    <w:rsid w:val="001F5CFF"/>
    <w:rsid w:val="001F5E14"/>
    <w:rsid w:val="001F5F62"/>
    <w:rsid w:val="001F6348"/>
    <w:rsid w:val="001F638A"/>
    <w:rsid w:val="001F6428"/>
    <w:rsid w:val="001F6D1F"/>
    <w:rsid w:val="001F6E7D"/>
    <w:rsid w:val="001F6EA2"/>
    <w:rsid w:val="001F7042"/>
    <w:rsid w:val="001F711F"/>
    <w:rsid w:val="001F7244"/>
    <w:rsid w:val="001F7335"/>
    <w:rsid w:val="001F7429"/>
    <w:rsid w:val="001F765D"/>
    <w:rsid w:val="001F769B"/>
    <w:rsid w:val="001F77DB"/>
    <w:rsid w:val="001F7801"/>
    <w:rsid w:val="0020013B"/>
    <w:rsid w:val="0020035C"/>
    <w:rsid w:val="002004BE"/>
    <w:rsid w:val="00200768"/>
    <w:rsid w:val="0020092B"/>
    <w:rsid w:val="00200A21"/>
    <w:rsid w:val="002012F3"/>
    <w:rsid w:val="00201951"/>
    <w:rsid w:val="00201A21"/>
    <w:rsid w:val="00201C46"/>
    <w:rsid w:val="00201EF7"/>
    <w:rsid w:val="00201F2B"/>
    <w:rsid w:val="00202A6B"/>
    <w:rsid w:val="00202A86"/>
    <w:rsid w:val="00202E15"/>
    <w:rsid w:val="002038CC"/>
    <w:rsid w:val="00203A22"/>
    <w:rsid w:val="00203CB8"/>
    <w:rsid w:val="00203E99"/>
    <w:rsid w:val="00204065"/>
    <w:rsid w:val="002040F5"/>
    <w:rsid w:val="00204166"/>
    <w:rsid w:val="002043CB"/>
    <w:rsid w:val="00204481"/>
    <w:rsid w:val="002048C0"/>
    <w:rsid w:val="00204B75"/>
    <w:rsid w:val="00204F80"/>
    <w:rsid w:val="00205092"/>
    <w:rsid w:val="00205432"/>
    <w:rsid w:val="00205625"/>
    <w:rsid w:val="00205BF9"/>
    <w:rsid w:val="00205C47"/>
    <w:rsid w:val="002060C7"/>
    <w:rsid w:val="0020612C"/>
    <w:rsid w:val="002067CC"/>
    <w:rsid w:val="00206C7E"/>
    <w:rsid w:val="00206D86"/>
    <w:rsid w:val="0020775E"/>
    <w:rsid w:val="00207E22"/>
    <w:rsid w:val="00207E8A"/>
    <w:rsid w:val="00207EA3"/>
    <w:rsid w:val="00207F50"/>
    <w:rsid w:val="0021006B"/>
    <w:rsid w:val="0021018A"/>
    <w:rsid w:val="0021027D"/>
    <w:rsid w:val="002103BB"/>
    <w:rsid w:val="002103E3"/>
    <w:rsid w:val="00210599"/>
    <w:rsid w:val="002105B6"/>
    <w:rsid w:val="00210942"/>
    <w:rsid w:val="00210D6E"/>
    <w:rsid w:val="00211237"/>
    <w:rsid w:val="002113B4"/>
    <w:rsid w:val="00211942"/>
    <w:rsid w:val="00211F3D"/>
    <w:rsid w:val="0021226E"/>
    <w:rsid w:val="0021267D"/>
    <w:rsid w:val="002126F7"/>
    <w:rsid w:val="00212970"/>
    <w:rsid w:val="00212A0B"/>
    <w:rsid w:val="00212AEB"/>
    <w:rsid w:val="00212C91"/>
    <w:rsid w:val="00212CC2"/>
    <w:rsid w:val="002131AF"/>
    <w:rsid w:val="002133D3"/>
    <w:rsid w:val="00213878"/>
    <w:rsid w:val="002138E2"/>
    <w:rsid w:val="00213EAA"/>
    <w:rsid w:val="00214225"/>
    <w:rsid w:val="00214328"/>
    <w:rsid w:val="0021451D"/>
    <w:rsid w:val="00214A11"/>
    <w:rsid w:val="00214E50"/>
    <w:rsid w:val="00214E5A"/>
    <w:rsid w:val="00214EFE"/>
    <w:rsid w:val="002155F2"/>
    <w:rsid w:val="002156DF"/>
    <w:rsid w:val="0021577E"/>
    <w:rsid w:val="00215876"/>
    <w:rsid w:val="00215906"/>
    <w:rsid w:val="00215BAB"/>
    <w:rsid w:val="00215BB5"/>
    <w:rsid w:val="00215CA3"/>
    <w:rsid w:val="00215D9B"/>
    <w:rsid w:val="00215E9E"/>
    <w:rsid w:val="0021637E"/>
    <w:rsid w:val="0021661A"/>
    <w:rsid w:val="00216681"/>
    <w:rsid w:val="00216E51"/>
    <w:rsid w:val="00216FCC"/>
    <w:rsid w:val="00217023"/>
    <w:rsid w:val="002173FA"/>
    <w:rsid w:val="00217480"/>
    <w:rsid w:val="002174CF"/>
    <w:rsid w:val="002176BE"/>
    <w:rsid w:val="00217898"/>
    <w:rsid w:val="002202F8"/>
    <w:rsid w:val="002204D0"/>
    <w:rsid w:val="002206D6"/>
    <w:rsid w:val="00220BC8"/>
    <w:rsid w:val="00221155"/>
    <w:rsid w:val="0022144D"/>
    <w:rsid w:val="0022148A"/>
    <w:rsid w:val="0022168A"/>
    <w:rsid w:val="002219B8"/>
    <w:rsid w:val="00221D85"/>
    <w:rsid w:val="00221FE7"/>
    <w:rsid w:val="002220A3"/>
    <w:rsid w:val="00222287"/>
    <w:rsid w:val="002222DF"/>
    <w:rsid w:val="00222585"/>
    <w:rsid w:val="002225C0"/>
    <w:rsid w:val="002228D6"/>
    <w:rsid w:val="00222B8A"/>
    <w:rsid w:val="00222B8B"/>
    <w:rsid w:val="00222C27"/>
    <w:rsid w:val="00223684"/>
    <w:rsid w:val="002238F6"/>
    <w:rsid w:val="00223947"/>
    <w:rsid w:val="00223B97"/>
    <w:rsid w:val="00223BA6"/>
    <w:rsid w:val="00223EB0"/>
    <w:rsid w:val="00223F72"/>
    <w:rsid w:val="00224270"/>
    <w:rsid w:val="00224B58"/>
    <w:rsid w:val="00224C9C"/>
    <w:rsid w:val="00224E3F"/>
    <w:rsid w:val="00224F94"/>
    <w:rsid w:val="0022526A"/>
    <w:rsid w:val="002253DD"/>
    <w:rsid w:val="00225915"/>
    <w:rsid w:val="00225985"/>
    <w:rsid w:val="00225E06"/>
    <w:rsid w:val="00225E47"/>
    <w:rsid w:val="00226188"/>
    <w:rsid w:val="002264E3"/>
    <w:rsid w:val="00226602"/>
    <w:rsid w:val="002267B0"/>
    <w:rsid w:val="002270DE"/>
    <w:rsid w:val="0022717C"/>
    <w:rsid w:val="0022772B"/>
    <w:rsid w:val="002278FD"/>
    <w:rsid w:val="00227DD2"/>
    <w:rsid w:val="00227F61"/>
    <w:rsid w:val="00230002"/>
    <w:rsid w:val="00230789"/>
    <w:rsid w:val="002309C7"/>
    <w:rsid w:val="00230D0D"/>
    <w:rsid w:val="00230D9E"/>
    <w:rsid w:val="00230FD2"/>
    <w:rsid w:val="00231125"/>
    <w:rsid w:val="002311B0"/>
    <w:rsid w:val="00231624"/>
    <w:rsid w:val="0023188A"/>
    <w:rsid w:val="00231B4D"/>
    <w:rsid w:val="00231DF5"/>
    <w:rsid w:val="002320D1"/>
    <w:rsid w:val="00232220"/>
    <w:rsid w:val="002323A3"/>
    <w:rsid w:val="002323B2"/>
    <w:rsid w:val="00232464"/>
    <w:rsid w:val="00233227"/>
    <w:rsid w:val="002335E8"/>
    <w:rsid w:val="002335F7"/>
    <w:rsid w:val="002336D8"/>
    <w:rsid w:val="00233776"/>
    <w:rsid w:val="00233789"/>
    <w:rsid w:val="002337C4"/>
    <w:rsid w:val="0023387A"/>
    <w:rsid w:val="00233E19"/>
    <w:rsid w:val="00234027"/>
    <w:rsid w:val="0023497B"/>
    <w:rsid w:val="00234B49"/>
    <w:rsid w:val="00234D3D"/>
    <w:rsid w:val="00234E17"/>
    <w:rsid w:val="002350B4"/>
    <w:rsid w:val="00235234"/>
    <w:rsid w:val="00235421"/>
    <w:rsid w:val="00235955"/>
    <w:rsid w:val="00235B62"/>
    <w:rsid w:val="00235D07"/>
    <w:rsid w:val="00236516"/>
    <w:rsid w:val="002365D7"/>
    <w:rsid w:val="00236618"/>
    <w:rsid w:val="00236906"/>
    <w:rsid w:val="00236EEE"/>
    <w:rsid w:val="0023704E"/>
    <w:rsid w:val="002374E0"/>
    <w:rsid w:val="002375A8"/>
    <w:rsid w:val="002375DC"/>
    <w:rsid w:val="002376F4"/>
    <w:rsid w:val="00237800"/>
    <w:rsid w:val="00237D86"/>
    <w:rsid w:val="00240399"/>
    <w:rsid w:val="0024063F"/>
    <w:rsid w:val="00240B69"/>
    <w:rsid w:val="00240C07"/>
    <w:rsid w:val="00240CBD"/>
    <w:rsid w:val="00240DEA"/>
    <w:rsid w:val="00240E91"/>
    <w:rsid w:val="00240F53"/>
    <w:rsid w:val="00241053"/>
    <w:rsid w:val="0024138A"/>
    <w:rsid w:val="002413AB"/>
    <w:rsid w:val="0024185B"/>
    <w:rsid w:val="0024189C"/>
    <w:rsid w:val="00241C0B"/>
    <w:rsid w:val="00241D6E"/>
    <w:rsid w:val="00242331"/>
    <w:rsid w:val="00242723"/>
    <w:rsid w:val="0024275F"/>
    <w:rsid w:val="00242792"/>
    <w:rsid w:val="002427AF"/>
    <w:rsid w:val="00242E75"/>
    <w:rsid w:val="0024321B"/>
    <w:rsid w:val="00243290"/>
    <w:rsid w:val="00243312"/>
    <w:rsid w:val="00243362"/>
    <w:rsid w:val="00243461"/>
    <w:rsid w:val="002435A2"/>
    <w:rsid w:val="00243A73"/>
    <w:rsid w:val="00243D88"/>
    <w:rsid w:val="00243EC1"/>
    <w:rsid w:val="00243ED1"/>
    <w:rsid w:val="00244430"/>
    <w:rsid w:val="002445EA"/>
    <w:rsid w:val="00244BBF"/>
    <w:rsid w:val="00245093"/>
    <w:rsid w:val="002451C1"/>
    <w:rsid w:val="002456D7"/>
    <w:rsid w:val="002458B3"/>
    <w:rsid w:val="0024599D"/>
    <w:rsid w:val="002459D2"/>
    <w:rsid w:val="00245AE2"/>
    <w:rsid w:val="00245E0A"/>
    <w:rsid w:val="00245FF8"/>
    <w:rsid w:val="00246012"/>
    <w:rsid w:val="002460D9"/>
    <w:rsid w:val="0024618F"/>
    <w:rsid w:val="00246338"/>
    <w:rsid w:val="00246C49"/>
    <w:rsid w:val="00246FFC"/>
    <w:rsid w:val="00247163"/>
    <w:rsid w:val="00247553"/>
    <w:rsid w:val="00247A55"/>
    <w:rsid w:val="00250275"/>
    <w:rsid w:val="00250584"/>
    <w:rsid w:val="002506A2"/>
    <w:rsid w:val="00250774"/>
    <w:rsid w:val="002509F8"/>
    <w:rsid w:val="002511CB"/>
    <w:rsid w:val="00251207"/>
    <w:rsid w:val="00251721"/>
    <w:rsid w:val="00251724"/>
    <w:rsid w:val="00251FF7"/>
    <w:rsid w:val="002525B1"/>
    <w:rsid w:val="0025264D"/>
    <w:rsid w:val="00252888"/>
    <w:rsid w:val="00252E79"/>
    <w:rsid w:val="00253003"/>
    <w:rsid w:val="00253334"/>
    <w:rsid w:val="00253CBC"/>
    <w:rsid w:val="00253F9A"/>
    <w:rsid w:val="002540EC"/>
    <w:rsid w:val="0025417D"/>
    <w:rsid w:val="002541A3"/>
    <w:rsid w:val="00254CED"/>
    <w:rsid w:val="002550AB"/>
    <w:rsid w:val="00255B07"/>
    <w:rsid w:val="00255D81"/>
    <w:rsid w:val="00255F8B"/>
    <w:rsid w:val="0025606A"/>
    <w:rsid w:val="002561A8"/>
    <w:rsid w:val="00256599"/>
    <w:rsid w:val="00256905"/>
    <w:rsid w:val="00256941"/>
    <w:rsid w:val="002569BA"/>
    <w:rsid w:val="00256BB8"/>
    <w:rsid w:val="00256C61"/>
    <w:rsid w:val="00256D6B"/>
    <w:rsid w:val="00257087"/>
    <w:rsid w:val="0025725F"/>
    <w:rsid w:val="0025731E"/>
    <w:rsid w:val="002575BC"/>
    <w:rsid w:val="0025760E"/>
    <w:rsid w:val="002576A3"/>
    <w:rsid w:val="00257757"/>
    <w:rsid w:val="00257ABC"/>
    <w:rsid w:val="00257E24"/>
    <w:rsid w:val="00257F42"/>
    <w:rsid w:val="002604CB"/>
    <w:rsid w:val="00260643"/>
    <w:rsid w:val="00260AF8"/>
    <w:rsid w:val="00260CA4"/>
    <w:rsid w:val="00260CC2"/>
    <w:rsid w:val="00260E85"/>
    <w:rsid w:val="00261224"/>
    <w:rsid w:val="002616D6"/>
    <w:rsid w:val="00261722"/>
    <w:rsid w:val="0026180F"/>
    <w:rsid w:val="00262493"/>
    <w:rsid w:val="00262545"/>
    <w:rsid w:val="00262565"/>
    <w:rsid w:val="00262667"/>
    <w:rsid w:val="0026279E"/>
    <w:rsid w:val="00262E28"/>
    <w:rsid w:val="002631F3"/>
    <w:rsid w:val="002635AF"/>
    <w:rsid w:val="00263684"/>
    <w:rsid w:val="00263751"/>
    <w:rsid w:val="00263B25"/>
    <w:rsid w:val="00263C68"/>
    <w:rsid w:val="00263EE8"/>
    <w:rsid w:val="00263F77"/>
    <w:rsid w:val="00264072"/>
    <w:rsid w:val="0026489B"/>
    <w:rsid w:val="002648BA"/>
    <w:rsid w:val="00264916"/>
    <w:rsid w:val="00264ABA"/>
    <w:rsid w:val="00264F84"/>
    <w:rsid w:val="0026573B"/>
    <w:rsid w:val="00265821"/>
    <w:rsid w:val="00265CE9"/>
    <w:rsid w:val="00265D32"/>
    <w:rsid w:val="002661BE"/>
    <w:rsid w:val="00266234"/>
    <w:rsid w:val="00266238"/>
    <w:rsid w:val="002663CB"/>
    <w:rsid w:val="00266570"/>
    <w:rsid w:val="0026689D"/>
    <w:rsid w:val="002668AB"/>
    <w:rsid w:val="00266A62"/>
    <w:rsid w:val="00266CAB"/>
    <w:rsid w:val="00266CF3"/>
    <w:rsid w:val="00266F7C"/>
    <w:rsid w:val="002679FB"/>
    <w:rsid w:val="00267B92"/>
    <w:rsid w:val="002700D2"/>
    <w:rsid w:val="002703C1"/>
    <w:rsid w:val="0027044A"/>
    <w:rsid w:val="002705BD"/>
    <w:rsid w:val="0027060D"/>
    <w:rsid w:val="00270625"/>
    <w:rsid w:val="00270781"/>
    <w:rsid w:val="00270783"/>
    <w:rsid w:val="00270786"/>
    <w:rsid w:val="00270856"/>
    <w:rsid w:val="00270B13"/>
    <w:rsid w:val="00270B6C"/>
    <w:rsid w:val="00270D66"/>
    <w:rsid w:val="00270F95"/>
    <w:rsid w:val="002711B3"/>
    <w:rsid w:val="002711DB"/>
    <w:rsid w:val="002714FB"/>
    <w:rsid w:val="002717CD"/>
    <w:rsid w:val="002718CE"/>
    <w:rsid w:val="00271983"/>
    <w:rsid w:val="00271BD4"/>
    <w:rsid w:val="00271C78"/>
    <w:rsid w:val="00271C9F"/>
    <w:rsid w:val="00271E98"/>
    <w:rsid w:val="002720CE"/>
    <w:rsid w:val="0027293A"/>
    <w:rsid w:val="00272F03"/>
    <w:rsid w:val="0027327A"/>
    <w:rsid w:val="002737F9"/>
    <w:rsid w:val="0027392D"/>
    <w:rsid w:val="00273B27"/>
    <w:rsid w:val="00273E30"/>
    <w:rsid w:val="0027414B"/>
    <w:rsid w:val="0027453C"/>
    <w:rsid w:val="002748C5"/>
    <w:rsid w:val="00274948"/>
    <w:rsid w:val="002749E7"/>
    <w:rsid w:val="00274A25"/>
    <w:rsid w:val="00274DAA"/>
    <w:rsid w:val="00274F73"/>
    <w:rsid w:val="0027522E"/>
    <w:rsid w:val="00275304"/>
    <w:rsid w:val="00275622"/>
    <w:rsid w:val="002756F6"/>
    <w:rsid w:val="00275A87"/>
    <w:rsid w:val="0027627B"/>
    <w:rsid w:val="00276285"/>
    <w:rsid w:val="002762FF"/>
    <w:rsid w:val="002766AE"/>
    <w:rsid w:val="00276B7B"/>
    <w:rsid w:val="00276DDC"/>
    <w:rsid w:val="00276E28"/>
    <w:rsid w:val="0027745D"/>
    <w:rsid w:val="002777A9"/>
    <w:rsid w:val="002777C1"/>
    <w:rsid w:val="002777CE"/>
    <w:rsid w:val="00277AE4"/>
    <w:rsid w:val="00277E25"/>
    <w:rsid w:val="00280316"/>
    <w:rsid w:val="0028031F"/>
    <w:rsid w:val="00280361"/>
    <w:rsid w:val="002805E6"/>
    <w:rsid w:val="00280B46"/>
    <w:rsid w:val="00280C41"/>
    <w:rsid w:val="00280DAC"/>
    <w:rsid w:val="00281060"/>
    <w:rsid w:val="0028137F"/>
    <w:rsid w:val="002813D3"/>
    <w:rsid w:val="002815BE"/>
    <w:rsid w:val="00281CA8"/>
    <w:rsid w:val="00281CFA"/>
    <w:rsid w:val="00282045"/>
    <w:rsid w:val="002825D5"/>
    <w:rsid w:val="002826B2"/>
    <w:rsid w:val="00282759"/>
    <w:rsid w:val="00282981"/>
    <w:rsid w:val="00282B2D"/>
    <w:rsid w:val="00282B5E"/>
    <w:rsid w:val="00282D5B"/>
    <w:rsid w:val="00282EF8"/>
    <w:rsid w:val="00283065"/>
    <w:rsid w:val="00283B57"/>
    <w:rsid w:val="00283E9A"/>
    <w:rsid w:val="002840DE"/>
    <w:rsid w:val="002845E5"/>
    <w:rsid w:val="002846AD"/>
    <w:rsid w:val="00284705"/>
    <w:rsid w:val="00284AEF"/>
    <w:rsid w:val="00284CD2"/>
    <w:rsid w:val="00285749"/>
    <w:rsid w:val="002857FF"/>
    <w:rsid w:val="00285C79"/>
    <w:rsid w:val="0028604A"/>
    <w:rsid w:val="00286228"/>
    <w:rsid w:val="00286A8B"/>
    <w:rsid w:val="00286BC8"/>
    <w:rsid w:val="00286D1E"/>
    <w:rsid w:val="00286DEE"/>
    <w:rsid w:val="00286EE7"/>
    <w:rsid w:val="002870E8"/>
    <w:rsid w:val="002875D9"/>
    <w:rsid w:val="002875DB"/>
    <w:rsid w:val="002876DF"/>
    <w:rsid w:val="00287928"/>
    <w:rsid w:val="00287939"/>
    <w:rsid w:val="00287B23"/>
    <w:rsid w:val="00290209"/>
    <w:rsid w:val="0029028C"/>
    <w:rsid w:val="002905E3"/>
    <w:rsid w:val="00290724"/>
    <w:rsid w:val="0029099F"/>
    <w:rsid w:val="002909AB"/>
    <w:rsid w:val="00290A3F"/>
    <w:rsid w:val="00290B2C"/>
    <w:rsid w:val="00291143"/>
    <w:rsid w:val="002912B2"/>
    <w:rsid w:val="00291554"/>
    <w:rsid w:val="00291832"/>
    <w:rsid w:val="00291AD4"/>
    <w:rsid w:val="00291E39"/>
    <w:rsid w:val="00291EED"/>
    <w:rsid w:val="002921D8"/>
    <w:rsid w:val="0029221E"/>
    <w:rsid w:val="0029222C"/>
    <w:rsid w:val="00292715"/>
    <w:rsid w:val="00292844"/>
    <w:rsid w:val="0029286E"/>
    <w:rsid w:val="00292A17"/>
    <w:rsid w:val="00292A35"/>
    <w:rsid w:val="00292C71"/>
    <w:rsid w:val="00292CC8"/>
    <w:rsid w:val="00292FF9"/>
    <w:rsid w:val="002930B9"/>
    <w:rsid w:val="00293F60"/>
    <w:rsid w:val="002947E4"/>
    <w:rsid w:val="002948A2"/>
    <w:rsid w:val="002948AC"/>
    <w:rsid w:val="002949F6"/>
    <w:rsid w:val="00294C0B"/>
    <w:rsid w:val="00294C67"/>
    <w:rsid w:val="00294F15"/>
    <w:rsid w:val="00294F29"/>
    <w:rsid w:val="00294F93"/>
    <w:rsid w:val="002951DA"/>
    <w:rsid w:val="0029560C"/>
    <w:rsid w:val="0029568E"/>
    <w:rsid w:val="002959D1"/>
    <w:rsid w:val="00295BCB"/>
    <w:rsid w:val="00295E9F"/>
    <w:rsid w:val="00295FB9"/>
    <w:rsid w:val="00296359"/>
    <w:rsid w:val="00296453"/>
    <w:rsid w:val="00296846"/>
    <w:rsid w:val="00296896"/>
    <w:rsid w:val="00297154"/>
    <w:rsid w:val="002973FF"/>
    <w:rsid w:val="0029748D"/>
    <w:rsid w:val="0029764F"/>
    <w:rsid w:val="002976DA"/>
    <w:rsid w:val="00297778"/>
    <w:rsid w:val="00297792"/>
    <w:rsid w:val="002979D6"/>
    <w:rsid w:val="00297A15"/>
    <w:rsid w:val="00297A1E"/>
    <w:rsid w:val="00297CDC"/>
    <w:rsid w:val="00297EF7"/>
    <w:rsid w:val="00297F6E"/>
    <w:rsid w:val="00297F71"/>
    <w:rsid w:val="002A00FE"/>
    <w:rsid w:val="002A0295"/>
    <w:rsid w:val="002A0468"/>
    <w:rsid w:val="002A07CC"/>
    <w:rsid w:val="002A0814"/>
    <w:rsid w:val="002A0A4C"/>
    <w:rsid w:val="002A1039"/>
    <w:rsid w:val="002A1EE6"/>
    <w:rsid w:val="002A1F97"/>
    <w:rsid w:val="002A201D"/>
    <w:rsid w:val="002A24B3"/>
    <w:rsid w:val="002A274A"/>
    <w:rsid w:val="002A279A"/>
    <w:rsid w:val="002A2917"/>
    <w:rsid w:val="002A2B18"/>
    <w:rsid w:val="002A2BC7"/>
    <w:rsid w:val="002A2E4E"/>
    <w:rsid w:val="002A30A9"/>
    <w:rsid w:val="002A3415"/>
    <w:rsid w:val="002A34AC"/>
    <w:rsid w:val="002A37E0"/>
    <w:rsid w:val="002A3838"/>
    <w:rsid w:val="002A3C87"/>
    <w:rsid w:val="002A411C"/>
    <w:rsid w:val="002A446E"/>
    <w:rsid w:val="002A44E2"/>
    <w:rsid w:val="002A45FB"/>
    <w:rsid w:val="002A477A"/>
    <w:rsid w:val="002A4B5C"/>
    <w:rsid w:val="002A5446"/>
    <w:rsid w:val="002A54D6"/>
    <w:rsid w:val="002A5933"/>
    <w:rsid w:val="002A5EA8"/>
    <w:rsid w:val="002A5F9A"/>
    <w:rsid w:val="002A61C0"/>
    <w:rsid w:val="002A6621"/>
    <w:rsid w:val="002A6756"/>
    <w:rsid w:val="002A67D1"/>
    <w:rsid w:val="002A69F8"/>
    <w:rsid w:val="002A6AB8"/>
    <w:rsid w:val="002A6D21"/>
    <w:rsid w:val="002A7425"/>
    <w:rsid w:val="002B0CB3"/>
    <w:rsid w:val="002B1135"/>
    <w:rsid w:val="002B115C"/>
    <w:rsid w:val="002B1237"/>
    <w:rsid w:val="002B1701"/>
    <w:rsid w:val="002B1980"/>
    <w:rsid w:val="002B19B3"/>
    <w:rsid w:val="002B19F2"/>
    <w:rsid w:val="002B1CB6"/>
    <w:rsid w:val="002B1DC5"/>
    <w:rsid w:val="002B2293"/>
    <w:rsid w:val="002B244E"/>
    <w:rsid w:val="002B24C5"/>
    <w:rsid w:val="002B24E0"/>
    <w:rsid w:val="002B2572"/>
    <w:rsid w:val="002B337A"/>
    <w:rsid w:val="002B3532"/>
    <w:rsid w:val="002B3556"/>
    <w:rsid w:val="002B38AE"/>
    <w:rsid w:val="002B3B39"/>
    <w:rsid w:val="002B3E47"/>
    <w:rsid w:val="002B4006"/>
    <w:rsid w:val="002B40D8"/>
    <w:rsid w:val="002B40D9"/>
    <w:rsid w:val="002B41C2"/>
    <w:rsid w:val="002B41C7"/>
    <w:rsid w:val="002B4642"/>
    <w:rsid w:val="002B464A"/>
    <w:rsid w:val="002B46B4"/>
    <w:rsid w:val="002B484F"/>
    <w:rsid w:val="002B4893"/>
    <w:rsid w:val="002B49A1"/>
    <w:rsid w:val="002B49F9"/>
    <w:rsid w:val="002B4BBB"/>
    <w:rsid w:val="002B4CA3"/>
    <w:rsid w:val="002B4F80"/>
    <w:rsid w:val="002B5181"/>
    <w:rsid w:val="002B5223"/>
    <w:rsid w:val="002B53A5"/>
    <w:rsid w:val="002B5861"/>
    <w:rsid w:val="002B5DC5"/>
    <w:rsid w:val="002B5F62"/>
    <w:rsid w:val="002B5FB3"/>
    <w:rsid w:val="002B697B"/>
    <w:rsid w:val="002B6A81"/>
    <w:rsid w:val="002B6F19"/>
    <w:rsid w:val="002B6F2F"/>
    <w:rsid w:val="002B70D8"/>
    <w:rsid w:val="002B7229"/>
    <w:rsid w:val="002B751B"/>
    <w:rsid w:val="002B7F0F"/>
    <w:rsid w:val="002B7FD6"/>
    <w:rsid w:val="002B7FF6"/>
    <w:rsid w:val="002C0001"/>
    <w:rsid w:val="002C01F7"/>
    <w:rsid w:val="002C029B"/>
    <w:rsid w:val="002C0348"/>
    <w:rsid w:val="002C0408"/>
    <w:rsid w:val="002C045A"/>
    <w:rsid w:val="002C0697"/>
    <w:rsid w:val="002C0853"/>
    <w:rsid w:val="002C097B"/>
    <w:rsid w:val="002C0988"/>
    <w:rsid w:val="002C15E8"/>
    <w:rsid w:val="002C17C2"/>
    <w:rsid w:val="002C18E4"/>
    <w:rsid w:val="002C1D7A"/>
    <w:rsid w:val="002C1D98"/>
    <w:rsid w:val="002C2078"/>
    <w:rsid w:val="002C2212"/>
    <w:rsid w:val="002C22AC"/>
    <w:rsid w:val="002C292B"/>
    <w:rsid w:val="002C2969"/>
    <w:rsid w:val="002C2972"/>
    <w:rsid w:val="002C2998"/>
    <w:rsid w:val="002C2EC3"/>
    <w:rsid w:val="002C2ED1"/>
    <w:rsid w:val="002C3412"/>
    <w:rsid w:val="002C3438"/>
    <w:rsid w:val="002C36FD"/>
    <w:rsid w:val="002C3748"/>
    <w:rsid w:val="002C382C"/>
    <w:rsid w:val="002C3846"/>
    <w:rsid w:val="002C3854"/>
    <w:rsid w:val="002C38C4"/>
    <w:rsid w:val="002C3AFD"/>
    <w:rsid w:val="002C3C49"/>
    <w:rsid w:val="002C3F1E"/>
    <w:rsid w:val="002C5353"/>
    <w:rsid w:val="002C5617"/>
    <w:rsid w:val="002C5907"/>
    <w:rsid w:val="002C59D1"/>
    <w:rsid w:val="002C5A20"/>
    <w:rsid w:val="002C5A38"/>
    <w:rsid w:val="002C5FB1"/>
    <w:rsid w:val="002C5FBE"/>
    <w:rsid w:val="002C6225"/>
    <w:rsid w:val="002C647D"/>
    <w:rsid w:val="002C6F58"/>
    <w:rsid w:val="002C6FC1"/>
    <w:rsid w:val="002C72A2"/>
    <w:rsid w:val="002C746B"/>
    <w:rsid w:val="002C7A88"/>
    <w:rsid w:val="002D0029"/>
    <w:rsid w:val="002D0264"/>
    <w:rsid w:val="002D03D6"/>
    <w:rsid w:val="002D061E"/>
    <w:rsid w:val="002D09CA"/>
    <w:rsid w:val="002D0A89"/>
    <w:rsid w:val="002D0F61"/>
    <w:rsid w:val="002D109B"/>
    <w:rsid w:val="002D1393"/>
    <w:rsid w:val="002D17B1"/>
    <w:rsid w:val="002D186D"/>
    <w:rsid w:val="002D1C82"/>
    <w:rsid w:val="002D1D2B"/>
    <w:rsid w:val="002D2153"/>
    <w:rsid w:val="002D215D"/>
    <w:rsid w:val="002D22DF"/>
    <w:rsid w:val="002D2500"/>
    <w:rsid w:val="002D28C2"/>
    <w:rsid w:val="002D2A90"/>
    <w:rsid w:val="002D2C44"/>
    <w:rsid w:val="002D2CA8"/>
    <w:rsid w:val="002D2ECE"/>
    <w:rsid w:val="002D30C4"/>
    <w:rsid w:val="002D3309"/>
    <w:rsid w:val="002D33E6"/>
    <w:rsid w:val="002D34DC"/>
    <w:rsid w:val="002D3A88"/>
    <w:rsid w:val="002D3B10"/>
    <w:rsid w:val="002D3D5F"/>
    <w:rsid w:val="002D3DEE"/>
    <w:rsid w:val="002D400A"/>
    <w:rsid w:val="002D4264"/>
    <w:rsid w:val="002D4338"/>
    <w:rsid w:val="002D4D3D"/>
    <w:rsid w:val="002D4EB2"/>
    <w:rsid w:val="002D544D"/>
    <w:rsid w:val="002D54B8"/>
    <w:rsid w:val="002D56B9"/>
    <w:rsid w:val="002D5DCD"/>
    <w:rsid w:val="002D5EE2"/>
    <w:rsid w:val="002D63A2"/>
    <w:rsid w:val="002D6683"/>
    <w:rsid w:val="002D6971"/>
    <w:rsid w:val="002D7075"/>
    <w:rsid w:val="002D74FF"/>
    <w:rsid w:val="002D7552"/>
    <w:rsid w:val="002D757F"/>
    <w:rsid w:val="002D75A2"/>
    <w:rsid w:val="002D7A3C"/>
    <w:rsid w:val="002D7AA6"/>
    <w:rsid w:val="002D7BA6"/>
    <w:rsid w:val="002D7BE6"/>
    <w:rsid w:val="002D7C4C"/>
    <w:rsid w:val="002E01D5"/>
    <w:rsid w:val="002E02B3"/>
    <w:rsid w:val="002E036B"/>
    <w:rsid w:val="002E0B72"/>
    <w:rsid w:val="002E0F16"/>
    <w:rsid w:val="002E12DF"/>
    <w:rsid w:val="002E18FD"/>
    <w:rsid w:val="002E1BD1"/>
    <w:rsid w:val="002E1C14"/>
    <w:rsid w:val="002E1D5A"/>
    <w:rsid w:val="002E1E2A"/>
    <w:rsid w:val="002E23F3"/>
    <w:rsid w:val="002E251A"/>
    <w:rsid w:val="002E271F"/>
    <w:rsid w:val="002E27A5"/>
    <w:rsid w:val="002E29C7"/>
    <w:rsid w:val="002E2C22"/>
    <w:rsid w:val="002E2DFE"/>
    <w:rsid w:val="002E2EC9"/>
    <w:rsid w:val="002E2F2D"/>
    <w:rsid w:val="002E3111"/>
    <w:rsid w:val="002E337C"/>
    <w:rsid w:val="002E35D0"/>
    <w:rsid w:val="002E3AAB"/>
    <w:rsid w:val="002E3D1C"/>
    <w:rsid w:val="002E3F31"/>
    <w:rsid w:val="002E4484"/>
    <w:rsid w:val="002E4862"/>
    <w:rsid w:val="002E486C"/>
    <w:rsid w:val="002E4BCC"/>
    <w:rsid w:val="002E4E8C"/>
    <w:rsid w:val="002E50EB"/>
    <w:rsid w:val="002E51E1"/>
    <w:rsid w:val="002E5246"/>
    <w:rsid w:val="002E5610"/>
    <w:rsid w:val="002E5894"/>
    <w:rsid w:val="002E58C3"/>
    <w:rsid w:val="002E5970"/>
    <w:rsid w:val="002E5BF7"/>
    <w:rsid w:val="002E6338"/>
    <w:rsid w:val="002E6B0C"/>
    <w:rsid w:val="002E6EEF"/>
    <w:rsid w:val="002E720D"/>
    <w:rsid w:val="002E72B8"/>
    <w:rsid w:val="002E7A9B"/>
    <w:rsid w:val="002E7B8B"/>
    <w:rsid w:val="002E7F3F"/>
    <w:rsid w:val="002F0090"/>
    <w:rsid w:val="002F051B"/>
    <w:rsid w:val="002F0CEF"/>
    <w:rsid w:val="002F0DA3"/>
    <w:rsid w:val="002F111A"/>
    <w:rsid w:val="002F17FF"/>
    <w:rsid w:val="002F1846"/>
    <w:rsid w:val="002F1A68"/>
    <w:rsid w:val="002F1F26"/>
    <w:rsid w:val="002F2462"/>
    <w:rsid w:val="002F2560"/>
    <w:rsid w:val="002F2D7E"/>
    <w:rsid w:val="002F2EDD"/>
    <w:rsid w:val="002F3262"/>
    <w:rsid w:val="002F33B1"/>
    <w:rsid w:val="002F3E02"/>
    <w:rsid w:val="002F3E67"/>
    <w:rsid w:val="002F4092"/>
    <w:rsid w:val="002F4681"/>
    <w:rsid w:val="002F4A7C"/>
    <w:rsid w:val="002F4B44"/>
    <w:rsid w:val="002F4D0F"/>
    <w:rsid w:val="002F5069"/>
    <w:rsid w:val="002F5314"/>
    <w:rsid w:val="002F53BA"/>
    <w:rsid w:val="002F55BA"/>
    <w:rsid w:val="002F5758"/>
    <w:rsid w:val="002F5D2C"/>
    <w:rsid w:val="002F60F6"/>
    <w:rsid w:val="002F621F"/>
    <w:rsid w:val="002F6AAC"/>
    <w:rsid w:val="002F6E5B"/>
    <w:rsid w:val="002F7351"/>
    <w:rsid w:val="002F73E4"/>
    <w:rsid w:val="002F7470"/>
    <w:rsid w:val="002F777B"/>
    <w:rsid w:val="002F7C6A"/>
    <w:rsid w:val="0030000A"/>
    <w:rsid w:val="003001F3"/>
    <w:rsid w:val="0030043E"/>
    <w:rsid w:val="00300799"/>
    <w:rsid w:val="0030085B"/>
    <w:rsid w:val="0030094D"/>
    <w:rsid w:val="003009B3"/>
    <w:rsid w:val="00300C1C"/>
    <w:rsid w:val="00300EF5"/>
    <w:rsid w:val="00300F14"/>
    <w:rsid w:val="00300F38"/>
    <w:rsid w:val="00301272"/>
    <w:rsid w:val="00301676"/>
    <w:rsid w:val="00302141"/>
    <w:rsid w:val="00302229"/>
    <w:rsid w:val="003022B1"/>
    <w:rsid w:val="003023A9"/>
    <w:rsid w:val="003025D6"/>
    <w:rsid w:val="00302CFA"/>
    <w:rsid w:val="00302FA9"/>
    <w:rsid w:val="00303590"/>
    <w:rsid w:val="003035F6"/>
    <w:rsid w:val="003036E3"/>
    <w:rsid w:val="00303707"/>
    <w:rsid w:val="0030379A"/>
    <w:rsid w:val="00303927"/>
    <w:rsid w:val="003039C4"/>
    <w:rsid w:val="00303B9D"/>
    <w:rsid w:val="00304053"/>
    <w:rsid w:val="0030412B"/>
    <w:rsid w:val="003041F0"/>
    <w:rsid w:val="00304BDD"/>
    <w:rsid w:val="00304D7C"/>
    <w:rsid w:val="00305325"/>
    <w:rsid w:val="0030542A"/>
    <w:rsid w:val="00305A34"/>
    <w:rsid w:val="00305A48"/>
    <w:rsid w:val="003063C8"/>
    <w:rsid w:val="00306485"/>
    <w:rsid w:val="00306629"/>
    <w:rsid w:val="003066BA"/>
    <w:rsid w:val="003067F1"/>
    <w:rsid w:val="00306BE8"/>
    <w:rsid w:val="00306E2C"/>
    <w:rsid w:val="00306F5B"/>
    <w:rsid w:val="0030739D"/>
    <w:rsid w:val="00307CB8"/>
    <w:rsid w:val="003100D4"/>
    <w:rsid w:val="00310370"/>
    <w:rsid w:val="00310730"/>
    <w:rsid w:val="003109BA"/>
    <w:rsid w:val="00310C2E"/>
    <w:rsid w:val="0031103D"/>
    <w:rsid w:val="003111BF"/>
    <w:rsid w:val="0031156C"/>
    <w:rsid w:val="003115CD"/>
    <w:rsid w:val="003119B8"/>
    <w:rsid w:val="00311A5C"/>
    <w:rsid w:val="00311FA2"/>
    <w:rsid w:val="00312268"/>
    <w:rsid w:val="003122CA"/>
    <w:rsid w:val="003122EF"/>
    <w:rsid w:val="00312399"/>
    <w:rsid w:val="00312470"/>
    <w:rsid w:val="00312979"/>
    <w:rsid w:val="00312A5A"/>
    <w:rsid w:val="0031301C"/>
    <w:rsid w:val="00313178"/>
    <w:rsid w:val="0031319F"/>
    <w:rsid w:val="003133BE"/>
    <w:rsid w:val="00313586"/>
    <w:rsid w:val="003135C6"/>
    <w:rsid w:val="00313903"/>
    <w:rsid w:val="00313B34"/>
    <w:rsid w:val="00314366"/>
    <w:rsid w:val="00314485"/>
    <w:rsid w:val="003146A1"/>
    <w:rsid w:val="003148D5"/>
    <w:rsid w:val="00314D17"/>
    <w:rsid w:val="0031537C"/>
    <w:rsid w:val="003155B6"/>
    <w:rsid w:val="003160CF"/>
    <w:rsid w:val="003163E6"/>
    <w:rsid w:val="003164B6"/>
    <w:rsid w:val="00316786"/>
    <w:rsid w:val="003169F4"/>
    <w:rsid w:val="003171DD"/>
    <w:rsid w:val="0031774D"/>
    <w:rsid w:val="00317966"/>
    <w:rsid w:val="00317BA1"/>
    <w:rsid w:val="00317BF9"/>
    <w:rsid w:val="00317C13"/>
    <w:rsid w:val="00317E96"/>
    <w:rsid w:val="00320009"/>
    <w:rsid w:val="00320C1D"/>
    <w:rsid w:val="00320EFD"/>
    <w:rsid w:val="003211BD"/>
    <w:rsid w:val="00321631"/>
    <w:rsid w:val="003216E1"/>
    <w:rsid w:val="00321B0C"/>
    <w:rsid w:val="0032225E"/>
    <w:rsid w:val="003223E6"/>
    <w:rsid w:val="003225AD"/>
    <w:rsid w:val="003227CE"/>
    <w:rsid w:val="00322922"/>
    <w:rsid w:val="00322950"/>
    <w:rsid w:val="00322D41"/>
    <w:rsid w:val="00322F60"/>
    <w:rsid w:val="00322F68"/>
    <w:rsid w:val="00323394"/>
    <w:rsid w:val="0032344F"/>
    <w:rsid w:val="00323506"/>
    <w:rsid w:val="003235E2"/>
    <w:rsid w:val="003239E1"/>
    <w:rsid w:val="00323A56"/>
    <w:rsid w:val="00323D18"/>
    <w:rsid w:val="0032407D"/>
    <w:rsid w:val="00324202"/>
    <w:rsid w:val="00324235"/>
    <w:rsid w:val="0032459C"/>
    <w:rsid w:val="00324671"/>
    <w:rsid w:val="003246A3"/>
    <w:rsid w:val="0032479F"/>
    <w:rsid w:val="003247B6"/>
    <w:rsid w:val="00324827"/>
    <w:rsid w:val="003248DD"/>
    <w:rsid w:val="003249AD"/>
    <w:rsid w:val="00324ED8"/>
    <w:rsid w:val="00324F04"/>
    <w:rsid w:val="00324FDF"/>
    <w:rsid w:val="0032502D"/>
    <w:rsid w:val="0032562E"/>
    <w:rsid w:val="003257CD"/>
    <w:rsid w:val="00325BBC"/>
    <w:rsid w:val="00325C81"/>
    <w:rsid w:val="00326037"/>
    <w:rsid w:val="0032608F"/>
    <w:rsid w:val="00326325"/>
    <w:rsid w:val="00326780"/>
    <w:rsid w:val="003267C6"/>
    <w:rsid w:val="003269B1"/>
    <w:rsid w:val="00326A55"/>
    <w:rsid w:val="00326CD1"/>
    <w:rsid w:val="0032715A"/>
    <w:rsid w:val="0032759E"/>
    <w:rsid w:val="00327807"/>
    <w:rsid w:val="00327C01"/>
    <w:rsid w:val="00327EC9"/>
    <w:rsid w:val="0033003E"/>
    <w:rsid w:val="0033018B"/>
    <w:rsid w:val="00330835"/>
    <w:rsid w:val="00330863"/>
    <w:rsid w:val="00330FE6"/>
    <w:rsid w:val="00331139"/>
    <w:rsid w:val="0033115D"/>
    <w:rsid w:val="003313C3"/>
    <w:rsid w:val="0033180F"/>
    <w:rsid w:val="00331CE0"/>
    <w:rsid w:val="00331D43"/>
    <w:rsid w:val="0033209A"/>
    <w:rsid w:val="00332283"/>
    <w:rsid w:val="00332367"/>
    <w:rsid w:val="003324D4"/>
    <w:rsid w:val="003327BB"/>
    <w:rsid w:val="00332AE3"/>
    <w:rsid w:val="00332EA9"/>
    <w:rsid w:val="00332FF0"/>
    <w:rsid w:val="00333217"/>
    <w:rsid w:val="003332B8"/>
    <w:rsid w:val="003337EA"/>
    <w:rsid w:val="00333E80"/>
    <w:rsid w:val="00333F8F"/>
    <w:rsid w:val="0033433C"/>
    <w:rsid w:val="00334595"/>
    <w:rsid w:val="00334B1D"/>
    <w:rsid w:val="00334C0D"/>
    <w:rsid w:val="00334C1C"/>
    <w:rsid w:val="00334E3E"/>
    <w:rsid w:val="00335498"/>
    <w:rsid w:val="00335BF7"/>
    <w:rsid w:val="00336730"/>
    <w:rsid w:val="00336771"/>
    <w:rsid w:val="00336AAF"/>
    <w:rsid w:val="00336E06"/>
    <w:rsid w:val="003375AA"/>
    <w:rsid w:val="003375C7"/>
    <w:rsid w:val="003379F5"/>
    <w:rsid w:val="00340163"/>
    <w:rsid w:val="003403D2"/>
    <w:rsid w:val="00340570"/>
    <w:rsid w:val="0034076B"/>
    <w:rsid w:val="003407F4"/>
    <w:rsid w:val="00340A47"/>
    <w:rsid w:val="00340C9E"/>
    <w:rsid w:val="00340DB3"/>
    <w:rsid w:val="00341079"/>
    <w:rsid w:val="00341252"/>
    <w:rsid w:val="00341F12"/>
    <w:rsid w:val="00342A13"/>
    <w:rsid w:val="00342A5E"/>
    <w:rsid w:val="00342A85"/>
    <w:rsid w:val="00342D38"/>
    <w:rsid w:val="00342E5E"/>
    <w:rsid w:val="003433B8"/>
    <w:rsid w:val="00343519"/>
    <w:rsid w:val="003437BA"/>
    <w:rsid w:val="00343DE4"/>
    <w:rsid w:val="00343FD5"/>
    <w:rsid w:val="00344295"/>
    <w:rsid w:val="00344B4F"/>
    <w:rsid w:val="00344CD2"/>
    <w:rsid w:val="003452F6"/>
    <w:rsid w:val="003453A4"/>
    <w:rsid w:val="00345510"/>
    <w:rsid w:val="00345563"/>
    <w:rsid w:val="003455C5"/>
    <w:rsid w:val="0034574D"/>
    <w:rsid w:val="00345F75"/>
    <w:rsid w:val="003463FE"/>
    <w:rsid w:val="003467B6"/>
    <w:rsid w:val="00346C01"/>
    <w:rsid w:val="003470E7"/>
    <w:rsid w:val="0034712E"/>
    <w:rsid w:val="0034713B"/>
    <w:rsid w:val="003474E4"/>
    <w:rsid w:val="00347771"/>
    <w:rsid w:val="00347978"/>
    <w:rsid w:val="003502A4"/>
    <w:rsid w:val="0035035D"/>
    <w:rsid w:val="003503A0"/>
    <w:rsid w:val="003503A4"/>
    <w:rsid w:val="003504D3"/>
    <w:rsid w:val="00350531"/>
    <w:rsid w:val="003507C6"/>
    <w:rsid w:val="00350882"/>
    <w:rsid w:val="003509C9"/>
    <w:rsid w:val="00350A0E"/>
    <w:rsid w:val="00350C99"/>
    <w:rsid w:val="00351636"/>
    <w:rsid w:val="00351990"/>
    <w:rsid w:val="00351B58"/>
    <w:rsid w:val="00351C30"/>
    <w:rsid w:val="00351F1C"/>
    <w:rsid w:val="00352208"/>
    <w:rsid w:val="0035247C"/>
    <w:rsid w:val="00352487"/>
    <w:rsid w:val="003524B2"/>
    <w:rsid w:val="00352649"/>
    <w:rsid w:val="00352906"/>
    <w:rsid w:val="0035298E"/>
    <w:rsid w:val="00352DD4"/>
    <w:rsid w:val="00352E10"/>
    <w:rsid w:val="00352E3C"/>
    <w:rsid w:val="003531CF"/>
    <w:rsid w:val="003534E0"/>
    <w:rsid w:val="00353639"/>
    <w:rsid w:val="00353651"/>
    <w:rsid w:val="00353769"/>
    <w:rsid w:val="00353D66"/>
    <w:rsid w:val="00353EE8"/>
    <w:rsid w:val="00353FC0"/>
    <w:rsid w:val="00354150"/>
    <w:rsid w:val="00354609"/>
    <w:rsid w:val="00354CC9"/>
    <w:rsid w:val="00354E5C"/>
    <w:rsid w:val="003551A3"/>
    <w:rsid w:val="003552BE"/>
    <w:rsid w:val="00355574"/>
    <w:rsid w:val="00355A14"/>
    <w:rsid w:val="00355B45"/>
    <w:rsid w:val="00355BD5"/>
    <w:rsid w:val="00355E16"/>
    <w:rsid w:val="00356036"/>
    <w:rsid w:val="003562BD"/>
    <w:rsid w:val="00356650"/>
    <w:rsid w:val="00357B4F"/>
    <w:rsid w:val="00357D32"/>
    <w:rsid w:val="00357E9B"/>
    <w:rsid w:val="00357F50"/>
    <w:rsid w:val="00357FF4"/>
    <w:rsid w:val="0036000A"/>
    <w:rsid w:val="0036000B"/>
    <w:rsid w:val="003600FB"/>
    <w:rsid w:val="0036037B"/>
    <w:rsid w:val="00360590"/>
    <w:rsid w:val="003608A2"/>
    <w:rsid w:val="00360F8E"/>
    <w:rsid w:val="00361440"/>
    <w:rsid w:val="003615ED"/>
    <w:rsid w:val="00361972"/>
    <w:rsid w:val="00361ADE"/>
    <w:rsid w:val="00361C1F"/>
    <w:rsid w:val="00361C25"/>
    <w:rsid w:val="00361C71"/>
    <w:rsid w:val="00361FC4"/>
    <w:rsid w:val="003624E0"/>
    <w:rsid w:val="00362524"/>
    <w:rsid w:val="00362B22"/>
    <w:rsid w:val="00362CA8"/>
    <w:rsid w:val="003634C2"/>
    <w:rsid w:val="003638D4"/>
    <w:rsid w:val="00363A1B"/>
    <w:rsid w:val="00363D68"/>
    <w:rsid w:val="0036418D"/>
    <w:rsid w:val="003649B9"/>
    <w:rsid w:val="00364C43"/>
    <w:rsid w:val="00364DEC"/>
    <w:rsid w:val="00364F37"/>
    <w:rsid w:val="003651B3"/>
    <w:rsid w:val="00365D8D"/>
    <w:rsid w:val="00365FE4"/>
    <w:rsid w:val="00366821"/>
    <w:rsid w:val="00366961"/>
    <w:rsid w:val="00366A76"/>
    <w:rsid w:val="00366BBE"/>
    <w:rsid w:val="00366CD4"/>
    <w:rsid w:val="00366E75"/>
    <w:rsid w:val="00366F20"/>
    <w:rsid w:val="003673D1"/>
    <w:rsid w:val="003674EC"/>
    <w:rsid w:val="003676D6"/>
    <w:rsid w:val="003677A7"/>
    <w:rsid w:val="003677BF"/>
    <w:rsid w:val="00367966"/>
    <w:rsid w:val="00367983"/>
    <w:rsid w:val="00367B31"/>
    <w:rsid w:val="00367B85"/>
    <w:rsid w:val="00367CFF"/>
    <w:rsid w:val="00370176"/>
    <w:rsid w:val="00370A98"/>
    <w:rsid w:val="00370C1E"/>
    <w:rsid w:val="003713D2"/>
    <w:rsid w:val="00371401"/>
    <w:rsid w:val="00371577"/>
    <w:rsid w:val="0037252E"/>
    <w:rsid w:val="00372557"/>
    <w:rsid w:val="00372602"/>
    <w:rsid w:val="00372900"/>
    <w:rsid w:val="00372B4C"/>
    <w:rsid w:val="003738DE"/>
    <w:rsid w:val="00373908"/>
    <w:rsid w:val="00373946"/>
    <w:rsid w:val="00373956"/>
    <w:rsid w:val="0037417A"/>
    <w:rsid w:val="003742EE"/>
    <w:rsid w:val="00374383"/>
    <w:rsid w:val="00374766"/>
    <w:rsid w:val="003747A1"/>
    <w:rsid w:val="0037488E"/>
    <w:rsid w:val="003748CC"/>
    <w:rsid w:val="00374A8A"/>
    <w:rsid w:val="0037506F"/>
    <w:rsid w:val="003754AC"/>
    <w:rsid w:val="00375500"/>
    <w:rsid w:val="00375A49"/>
    <w:rsid w:val="00375EB2"/>
    <w:rsid w:val="00375FFE"/>
    <w:rsid w:val="003761F9"/>
    <w:rsid w:val="003767DB"/>
    <w:rsid w:val="00376986"/>
    <w:rsid w:val="00376997"/>
    <w:rsid w:val="00376D1B"/>
    <w:rsid w:val="00377247"/>
    <w:rsid w:val="003772C9"/>
    <w:rsid w:val="003775F2"/>
    <w:rsid w:val="003776EC"/>
    <w:rsid w:val="00377A71"/>
    <w:rsid w:val="00377BAE"/>
    <w:rsid w:val="00377C8F"/>
    <w:rsid w:val="00377CD5"/>
    <w:rsid w:val="003800BB"/>
    <w:rsid w:val="0038019D"/>
    <w:rsid w:val="00380379"/>
    <w:rsid w:val="00380AD4"/>
    <w:rsid w:val="00380E50"/>
    <w:rsid w:val="00380FC1"/>
    <w:rsid w:val="00381253"/>
    <w:rsid w:val="00381794"/>
    <w:rsid w:val="00381ACC"/>
    <w:rsid w:val="00381FFB"/>
    <w:rsid w:val="0038207B"/>
    <w:rsid w:val="00382130"/>
    <w:rsid w:val="00382164"/>
    <w:rsid w:val="00382332"/>
    <w:rsid w:val="00382386"/>
    <w:rsid w:val="00382B6B"/>
    <w:rsid w:val="00382D03"/>
    <w:rsid w:val="0038316F"/>
    <w:rsid w:val="003832D5"/>
    <w:rsid w:val="00383411"/>
    <w:rsid w:val="003838AE"/>
    <w:rsid w:val="0038396C"/>
    <w:rsid w:val="00383BFC"/>
    <w:rsid w:val="00383C65"/>
    <w:rsid w:val="00383CA1"/>
    <w:rsid w:val="00384096"/>
    <w:rsid w:val="003841F6"/>
    <w:rsid w:val="0038437B"/>
    <w:rsid w:val="003849F4"/>
    <w:rsid w:val="00384A28"/>
    <w:rsid w:val="00384B97"/>
    <w:rsid w:val="00384E3B"/>
    <w:rsid w:val="00384F80"/>
    <w:rsid w:val="00385158"/>
    <w:rsid w:val="0038515A"/>
    <w:rsid w:val="003851CB"/>
    <w:rsid w:val="003851D1"/>
    <w:rsid w:val="0038545D"/>
    <w:rsid w:val="00385A33"/>
    <w:rsid w:val="00385AA4"/>
    <w:rsid w:val="00385BE2"/>
    <w:rsid w:val="00385C27"/>
    <w:rsid w:val="00385F6E"/>
    <w:rsid w:val="00386092"/>
    <w:rsid w:val="003862AC"/>
    <w:rsid w:val="0038632E"/>
    <w:rsid w:val="003864D5"/>
    <w:rsid w:val="00386611"/>
    <w:rsid w:val="00386958"/>
    <w:rsid w:val="00386F9E"/>
    <w:rsid w:val="003871D7"/>
    <w:rsid w:val="003875E7"/>
    <w:rsid w:val="00387FF1"/>
    <w:rsid w:val="00390389"/>
    <w:rsid w:val="003907C5"/>
    <w:rsid w:val="00390876"/>
    <w:rsid w:val="00390B24"/>
    <w:rsid w:val="00390BC4"/>
    <w:rsid w:val="003911F1"/>
    <w:rsid w:val="0039120B"/>
    <w:rsid w:val="003913B5"/>
    <w:rsid w:val="0039146D"/>
    <w:rsid w:val="0039185C"/>
    <w:rsid w:val="00391A04"/>
    <w:rsid w:val="00391E95"/>
    <w:rsid w:val="00391E9C"/>
    <w:rsid w:val="00392002"/>
    <w:rsid w:val="00392596"/>
    <w:rsid w:val="003925BB"/>
    <w:rsid w:val="003927CD"/>
    <w:rsid w:val="003928B1"/>
    <w:rsid w:val="00392BB7"/>
    <w:rsid w:val="00392FEC"/>
    <w:rsid w:val="003930D1"/>
    <w:rsid w:val="003933F3"/>
    <w:rsid w:val="0039389C"/>
    <w:rsid w:val="00393C4D"/>
    <w:rsid w:val="00393DB7"/>
    <w:rsid w:val="00393F9E"/>
    <w:rsid w:val="003940D5"/>
    <w:rsid w:val="0039433B"/>
    <w:rsid w:val="003944CC"/>
    <w:rsid w:val="00394AE5"/>
    <w:rsid w:val="00394F95"/>
    <w:rsid w:val="00395008"/>
    <w:rsid w:val="003950E5"/>
    <w:rsid w:val="0039510B"/>
    <w:rsid w:val="00395193"/>
    <w:rsid w:val="00395555"/>
    <w:rsid w:val="00395602"/>
    <w:rsid w:val="003957CC"/>
    <w:rsid w:val="003958FA"/>
    <w:rsid w:val="00395D65"/>
    <w:rsid w:val="00396006"/>
    <w:rsid w:val="0039630A"/>
    <w:rsid w:val="003963F7"/>
    <w:rsid w:val="0039662C"/>
    <w:rsid w:val="003967E3"/>
    <w:rsid w:val="003969B6"/>
    <w:rsid w:val="00396EBA"/>
    <w:rsid w:val="00396ED5"/>
    <w:rsid w:val="00396FE8"/>
    <w:rsid w:val="0039720C"/>
    <w:rsid w:val="00397342"/>
    <w:rsid w:val="003973A0"/>
    <w:rsid w:val="0039781B"/>
    <w:rsid w:val="00397E85"/>
    <w:rsid w:val="003A01C8"/>
    <w:rsid w:val="003A0338"/>
    <w:rsid w:val="003A0346"/>
    <w:rsid w:val="003A04CB"/>
    <w:rsid w:val="003A0948"/>
    <w:rsid w:val="003A0A16"/>
    <w:rsid w:val="003A1065"/>
    <w:rsid w:val="003A10C7"/>
    <w:rsid w:val="003A1536"/>
    <w:rsid w:val="003A16B1"/>
    <w:rsid w:val="003A194F"/>
    <w:rsid w:val="003A1A96"/>
    <w:rsid w:val="003A1AF9"/>
    <w:rsid w:val="003A1CBE"/>
    <w:rsid w:val="003A1D4E"/>
    <w:rsid w:val="003A1DDE"/>
    <w:rsid w:val="003A2152"/>
    <w:rsid w:val="003A255C"/>
    <w:rsid w:val="003A25B9"/>
    <w:rsid w:val="003A2635"/>
    <w:rsid w:val="003A2749"/>
    <w:rsid w:val="003A303C"/>
    <w:rsid w:val="003A3221"/>
    <w:rsid w:val="003A34B7"/>
    <w:rsid w:val="003A35D6"/>
    <w:rsid w:val="003A3996"/>
    <w:rsid w:val="003A3AE8"/>
    <w:rsid w:val="003A3B56"/>
    <w:rsid w:val="003A3C52"/>
    <w:rsid w:val="003A3E0E"/>
    <w:rsid w:val="003A3F3B"/>
    <w:rsid w:val="003A3FF5"/>
    <w:rsid w:val="003A41BA"/>
    <w:rsid w:val="003A4F57"/>
    <w:rsid w:val="003A5315"/>
    <w:rsid w:val="003A57DA"/>
    <w:rsid w:val="003A5CB6"/>
    <w:rsid w:val="003A65D1"/>
    <w:rsid w:val="003A6A58"/>
    <w:rsid w:val="003A6CC2"/>
    <w:rsid w:val="003A6D83"/>
    <w:rsid w:val="003A730C"/>
    <w:rsid w:val="003A74E0"/>
    <w:rsid w:val="003A76B2"/>
    <w:rsid w:val="003A7A31"/>
    <w:rsid w:val="003A7CFF"/>
    <w:rsid w:val="003A7ECB"/>
    <w:rsid w:val="003A7EFE"/>
    <w:rsid w:val="003B0293"/>
    <w:rsid w:val="003B0369"/>
    <w:rsid w:val="003B0542"/>
    <w:rsid w:val="003B078D"/>
    <w:rsid w:val="003B0B07"/>
    <w:rsid w:val="003B0DA6"/>
    <w:rsid w:val="003B0DED"/>
    <w:rsid w:val="003B0FFF"/>
    <w:rsid w:val="003B16C7"/>
    <w:rsid w:val="003B18E6"/>
    <w:rsid w:val="003B1A8F"/>
    <w:rsid w:val="003B1BB3"/>
    <w:rsid w:val="003B1DFF"/>
    <w:rsid w:val="003B2069"/>
    <w:rsid w:val="003B20C3"/>
    <w:rsid w:val="003B2596"/>
    <w:rsid w:val="003B28AB"/>
    <w:rsid w:val="003B2DE7"/>
    <w:rsid w:val="003B33E6"/>
    <w:rsid w:val="003B364E"/>
    <w:rsid w:val="003B3748"/>
    <w:rsid w:val="003B3D24"/>
    <w:rsid w:val="003B4833"/>
    <w:rsid w:val="003B4D5E"/>
    <w:rsid w:val="003B4E99"/>
    <w:rsid w:val="003B4F6B"/>
    <w:rsid w:val="003B50AE"/>
    <w:rsid w:val="003B5567"/>
    <w:rsid w:val="003B5897"/>
    <w:rsid w:val="003B5BAE"/>
    <w:rsid w:val="003B5FB0"/>
    <w:rsid w:val="003B624C"/>
    <w:rsid w:val="003B64E8"/>
    <w:rsid w:val="003B667F"/>
    <w:rsid w:val="003B6BF9"/>
    <w:rsid w:val="003B6F39"/>
    <w:rsid w:val="003B733B"/>
    <w:rsid w:val="003B79C3"/>
    <w:rsid w:val="003B7A10"/>
    <w:rsid w:val="003C012F"/>
    <w:rsid w:val="003C037B"/>
    <w:rsid w:val="003C0447"/>
    <w:rsid w:val="003C06DE"/>
    <w:rsid w:val="003C0A78"/>
    <w:rsid w:val="003C0BE0"/>
    <w:rsid w:val="003C0C43"/>
    <w:rsid w:val="003C12C5"/>
    <w:rsid w:val="003C15EE"/>
    <w:rsid w:val="003C18EB"/>
    <w:rsid w:val="003C191C"/>
    <w:rsid w:val="003C19A2"/>
    <w:rsid w:val="003C1D14"/>
    <w:rsid w:val="003C1D5B"/>
    <w:rsid w:val="003C1FB7"/>
    <w:rsid w:val="003C2101"/>
    <w:rsid w:val="003C2155"/>
    <w:rsid w:val="003C21FB"/>
    <w:rsid w:val="003C242B"/>
    <w:rsid w:val="003C2716"/>
    <w:rsid w:val="003C2C89"/>
    <w:rsid w:val="003C30EB"/>
    <w:rsid w:val="003C35A5"/>
    <w:rsid w:val="003C3655"/>
    <w:rsid w:val="003C3C36"/>
    <w:rsid w:val="003C3F03"/>
    <w:rsid w:val="003C444B"/>
    <w:rsid w:val="003C44F2"/>
    <w:rsid w:val="003C4E90"/>
    <w:rsid w:val="003C58E4"/>
    <w:rsid w:val="003C598E"/>
    <w:rsid w:val="003C5BE6"/>
    <w:rsid w:val="003C6422"/>
    <w:rsid w:val="003C693D"/>
    <w:rsid w:val="003C6FA8"/>
    <w:rsid w:val="003C70C7"/>
    <w:rsid w:val="003C7290"/>
    <w:rsid w:val="003C72D2"/>
    <w:rsid w:val="003C75A3"/>
    <w:rsid w:val="003C79B3"/>
    <w:rsid w:val="003C7B96"/>
    <w:rsid w:val="003D0333"/>
    <w:rsid w:val="003D0428"/>
    <w:rsid w:val="003D077C"/>
    <w:rsid w:val="003D11B0"/>
    <w:rsid w:val="003D1914"/>
    <w:rsid w:val="003D192D"/>
    <w:rsid w:val="003D1AF1"/>
    <w:rsid w:val="003D209D"/>
    <w:rsid w:val="003D23DA"/>
    <w:rsid w:val="003D26F2"/>
    <w:rsid w:val="003D2A04"/>
    <w:rsid w:val="003D2FD1"/>
    <w:rsid w:val="003D3920"/>
    <w:rsid w:val="003D3BD9"/>
    <w:rsid w:val="003D3C46"/>
    <w:rsid w:val="003D3E63"/>
    <w:rsid w:val="003D3F7C"/>
    <w:rsid w:val="003D415A"/>
    <w:rsid w:val="003D4757"/>
    <w:rsid w:val="003D49B9"/>
    <w:rsid w:val="003D4A33"/>
    <w:rsid w:val="003D5126"/>
    <w:rsid w:val="003D565E"/>
    <w:rsid w:val="003D5798"/>
    <w:rsid w:val="003D5C9A"/>
    <w:rsid w:val="003D63E1"/>
    <w:rsid w:val="003D6894"/>
    <w:rsid w:val="003D6AB4"/>
    <w:rsid w:val="003D6B01"/>
    <w:rsid w:val="003D6D6C"/>
    <w:rsid w:val="003D6FC5"/>
    <w:rsid w:val="003D7491"/>
    <w:rsid w:val="003D7956"/>
    <w:rsid w:val="003D7A01"/>
    <w:rsid w:val="003D7B06"/>
    <w:rsid w:val="003D7D8A"/>
    <w:rsid w:val="003D7DB1"/>
    <w:rsid w:val="003E015E"/>
    <w:rsid w:val="003E0311"/>
    <w:rsid w:val="003E0347"/>
    <w:rsid w:val="003E0B31"/>
    <w:rsid w:val="003E101C"/>
    <w:rsid w:val="003E1668"/>
    <w:rsid w:val="003E1CFC"/>
    <w:rsid w:val="003E1DF1"/>
    <w:rsid w:val="003E1E0F"/>
    <w:rsid w:val="003E2197"/>
    <w:rsid w:val="003E2311"/>
    <w:rsid w:val="003E23C7"/>
    <w:rsid w:val="003E24F3"/>
    <w:rsid w:val="003E2625"/>
    <w:rsid w:val="003E2766"/>
    <w:rsid w:val="003E2B33"/>
    <w:rsid w:val="003E2C4F"/>
    <w:rsid w:val="003E2C8C"/>
    <w:rsid w:val="003E2CF3"/>
    <w:rsid w:val="003E2D5E"/>
    <w:rsid w:val="003E2DDE"/>
    <w:rsid w:val="003E352D"/>
    <w:rsid w:val="003E3545"/>
    <w:rsid w:val="003E3593"/>
    <w:rsid w:val="003E3908"/>
    <w:rsid w:val="003E3D79"/>
    <w:rsid w:val="003E413F"/>
    <w:rsid w:val="003E438B"/>
    <w:rsid w:val="003E463E"/>
    <w:rsid w:val="003E49A2"/>
    <w:rsid w:val="003E4E5F"/>
    <w:rsid w:val="003E590C"/>
    <w:rsid w:val="003E5A84"/>
    <w:rsid w:val="003E623C"/>
    <w:rsid w:val="003E64A8"/>
    <w:rsid w:val="003E64FC"/>
    <w:rsid w:val="003E6618"/>
    <w:rsid w:val="003E6693"/>
    <w:rsid w:val="003E682D"/>
    <w:rsid w:val="003E6874"/>
    <w:rsid w:val="003E699C"/>
    <w:rsid w:val="003E6A6A"/>
    <w:rsid w:val="003E6B42"/>
    <w:rsid w:val="003E6CEF"/>
    <w:rsid w:val="003E6D27"/>
    <w:rsid w:val="003F02FF"/>
    <w:rsid w:val="003F030A"/>
    <w:rsid w:val="003F04F2"/>
    <w:rsid w:val="003F07AE"/>
    <w:rsid w:val="003F0A16"/>
    <w:rsid w:val="003F1466"/>
    <w:rsid w:val="003F14C6"/>
    <w:rsid w:val="003F15D5"/>
    <w:rsid w:val="003F1E04"/>
    <w:rsid w:val="003F1F3F"/>
    <w:rsid w:val="003F1FAF"/>
    <w:rsid w:val="003F23F9"/>
    <w:rsid w:val="003F2425"/>
    <w:rsid w:val="003F251F"/>
    <w:rsid w:val="003F270A"/>
    <w:rsid w:val="003F27E2"/>
    <w:rsid w:val="003F284C"/>
    <w:rsid w:val="003F28E2"/>
    <w:rsid w:val="003F29EA"/>
    <w:rsid w:val="003F2C69"/>
    <w:rsid w:val="003F2DA6"/>
    <w:rsid w:val="003F31C6"/>
    <w:rsid w:val="003F345A"/>
    <w:rsid w:val="003F37F0"/>
    <w:rsid w:val="003F3851"/>
    <w:rsid w:val="003F3BE3"/>
    <w:rsid w:val="003F4146"/>
    <w:rsid w:val="003F4254"/>
    <w:rsid w:val="003F442B"/>
    <w:rsid w:val="003F45FC"/>
    <w:rsid w:val="003F460E"/>
    <w:rsid w:val="003F47EC"/>
    <w:rsid w:val="003F4C84"/>
    <w:rsid w:val="003F5497"/>
    <w:rsid w:val="003F54C0"/>
    <w:rsid w:val="003F57FC"/>
    <w:rsid w:val="003F5C06"/>
    <w:rsid w:val="003F6152"/>
    <w:rsid w:val="003F6228"/>
    <w:rsid w:val="003F6236"/>
    <w:rsid w:val="003F65D5"/>
    <w:rsid w:val="003F6A50"/>
    <w:rsid w:val="003F6A7C"/>
    <w:rsid w:val="003F6BC9"/>
    <w:rsid w:val="003F6CFC"/>
    <w:rsid w:val="003F718E"/>
    <w:rsid w:val="003F75D7"/>
    <w:rsid w:val="003F7860"/>
    <w:rsid w:val="003F7873"/>
    <w:rsid w:val="003F7A31"/>
    <w:rsid w:val="003F7A5B"/>
    <w:rsid w:val="003F7AE0"/>
    <w:rsid w:val="0040010F"/>
    <w:rsid w:val="004004F6"/>
    <w:rsid w:val="00400670"/>
    <w:rsid w:val="00400830"/>
    <w:rsid w:val="00400CE3"/>
    <w:rsid w:val="004012EC"/>
    <w:rsid w:val="00401461"/>
    <w:rsid w:val="004015A0"/>
    <w:rsid w:val="0040182A"/>
    <w:rsid w:val="004020FE"/>
    <w:rsid w:val="00402691"/>
    <w:rsid w:val="00402FCC"/>
    <w:rsid w:val="00402FD7"/>
    <w:rsid w:val="004039B9"/>
    <w:rsid w:val="00403C46"/>
    <w:rsid w:val="00404064"/>
    <w:rsid w:val="004041E0"/>
    <w:rsid w:val="004043AA"/>
    <w:rsid w:val="004043D8"/>
    <w:rsid w:val="004044BE"/>
    <w:rsid w:val="004045DF"/>
    <w:rsid w:val="00404A06"/>
    <w:rsid w:val="004050A4"/>
    <w:rsid w:val="00405247"/>
    <w:rsid w:val="0040534C"/>
    <w:rsid w:val="0040591C"/>
    <w:rsid w:val="004059C9"/>
    <w:rsid w:val="00405C6F"/>
    <w:rsid w:val="00405E4C"/>
    <w:rsid w:val="00405F94"/>
    <w:rsid w:val="00406222"/>
    <w:rsid w:val="00406315"/>
    <w:rsid w:val="00406383"/>
    <w:rsid w:val="0040683A"/>
    <w:rsid w:val="00406B9A"/>
    <w:rsid w:val="00406D03"/>
    <w:rsid w:val="0040707A"/>
    <w:rsid w:val="00407111"/>
    <w:rsid w:val="00407232"/>
    <w:rsid w:val="00407269"/>
    <w:rsid w:val="0040755B"/>
    <w:rsid w:val="004078CA"/>
    <w:rsid w:val="00410021"/>
    <w:rsid w:val="00410093"/>
    <w:rsid w:val="004102C1"/>
    <w:rsid w:val="004102F0"/>
    <w:rsid w:val="0041065A"/>
    <w:rsid w:val="00410C46"/>
    <w:rsid w:val="00411247"/>
    <w:rsid w:val="00411478"/>
    <w:rsid w:val="00411607"/>
    <w:rsid w:val="00411675"/>
    <w:rsid w:val="0041173F"/>
    <w:rsid w:val="004117A7"/>
    <w:rsid w:val="00411B35"/>
    <w:rsid w:val="00411FBF"/>
    <w:rsid w:val="004124BD"/>
    <w:rsid w:val="004126AF"/>
    <w:rsid w:val="004126E4"/>
    <w:rsid w:val="004126F8"/>
    <w:rsid w:val="00412A87"/>
    <w:rsid w:val="00412C00"/>
    <w:rsid w:val="00412CE5"/>
    <w:rsid w:val="00412E27"/>
    <w:rsid w:val="00412F5C"/>
    <w:rsid w:val="004137B0"/>
    <w:rsid w:val="004137F4"/>
    <w:rsid w:val="00413806"/>
    <w:rsid w:val="0041380E"/>
    <w:rsid w:val="00413DA4"/>
    <w:rsid w:val="00413DEC"/>
    <w:rsid w:val="00414718"/>
    <w:rsid w:val="004148C4"/>
    <w:rsid w:val="00414956"/>
    <w:rsid w:val="00414BD2"/>
    <w:rsid w:val="00414E49"/>
    <w:rsid w:val="00414F92"/>
    <w:rsid w:val="00415094"/>
    <w:rsid w:val="00415323"/>
    <w:rsid w:val="00415472"/>
    <w:rsid w:val="004154F1"/>
    <w:rsid w:val="0041582B"/>
    <w:rsid w:val="00415AF5"/>
    <w:rsid w:val="00415C26"/>
    <w:rsid w:val="00415CF1"/>
    <w:rsid w:val="00415E18"/>
    <w:rsid w:val="00415F3C"/>
    <w:rsid w:val="00416972"/>
    <w:rsid w:val="004169D6"/>
    <w:rsid w:val="00416AC4"/>
    <w:rsid w:val="00417048"/>
    <w:rsid w:val="0041727E"/>
    <w:rsid w:val="004177BF"/>
    <w:rsid w:val="00417844"/>
    <w:rsid w:val="00417891"/>
    <w:rsid w:val="00417B0B"/>
    <w:rsid w:val="00417D38"/>
    <w:rsid w:val="004200CC"/>
    <w:rsid w:val="00420334"/>
    <w:rsid w:val="00420436"/>
    <w:rsid w:val="00420564"/>
    <w:rsid w:val="004205A3"/>
    <w:rsid w:val="00420908"/>
    <w:rsid w:val="00420A7B"/>
    <w:rsid w:val="00420B63"/>
    <w:rsid w:val="00420D93"/>
    <w:rsid w:val="00420F98"/>
    <w:rsid w:val="0042102B"/>
    <w:rsid w:val="0042104D"/>
    <w:rsid w:val="00421741"/>
    <w:rsid w:val="00421757"/>
    <w:rsid w:val="00421CD2"/>
    <w:rsid w:val="00421D88"/>
    <w:rsid w:val="00421E88"/>
    <w:rsid w:val="00421FD3"/>
    <w:rsid w:val="00422126"/>
    <w:rsid w:val="00422172"/>
    <w:rsid w:val="00422313"/>
    <w:rsid w:val="0042242A"/>
    <w:rsid w:val="004233AF"/>
    <w:rsid w:val="0042347C"/>
    <w:rsid w:val="004238CB"/>
    <w:rsid w:val="004238E0"/>
    <w:rsid w:val="00423938"/>
    <w:rsid w:val="004239CC"/>
    <w:rsid w:val="00423A39"/>
    <w:rsid w:val="00423A4D"/>
    <w:rsid w:val="00423DCF"/>
    <w:rsid w:val="00423E29"/>
    <w:rsid w:val="00423F2A"/>
    <w:rsid w:val="00424052"/>
    <w:rsid w:val="004240D3"/>
    <w:rsid w:val="00424672"/>
    <w:rsid w:val="00424751"/>
    <w:rsid w:val="004248E5"/>
    <w:rsid w:val="004249ED"/>
    <w:rsid w:val="00424A3A"/>
    <w:rsid w:val="004250B5"/>
    <w:rsid w:val="004253D5"/>
    <w:rsid w:val="00425501"/>
    <w:rsid w:val="0042570D"/>
    <w:rsid w:val="00425E4E"/>
    <w:rsid w:val="004264FF"/>
    <w:rsid w:val="00426BB1"/>
    <w:rsid w:val="00426CC9"/>
    <w:rsid w:val="00426D02"/>
    <w:rsid w:val="00426ECB"/>
    <w:rsid w:val="00426F18"/>
    <w:rsid w:val="00426FE8"/>
    <w:rsid w:val="00427074"/>
    <w:rsid w:val="00427175"/>
    <w:rsid w:val="004275E6"/>
    <w:rsid w:val="0042786D"/>
    <w:rsid w:val="004278EE"/>
    <w:rsid w:val="00427C95"/>
    <w:rsid w:val="00427F4D"/>
    <w:rsid w:val="004305EC"/>
    <w:rsid w:val="004305EF"/>
    <w:rsid w:val="0043061F"/>
    <w:rsid w:val="004309F4"/>
    <w:rsid w:val="00430C66"/>
    <w:rsid w:val="00430DC9"/>
    <w:rsid w:val="004312D8"/>
    <w:rsid w:val="0043198F"/>
    <w:rsid w:val="00431C85"/>
    <w:rsid w:val="00431F9E"/>
    <w:rsid w:val="00431FF8"/>
    <w:rsid w:val="0043247F"/>
    <w:rsid w:val="004324B4"/>
    <w:rsid w:val="0043261A"/>
    <w:rsid w:val="0043280B"/>
    <w:rsid w:val="00432A9D"/>
    <w:rsid w:val="00432BF2"/>
    <w:rsid w:val="00432D66"/>
    <w:rsid w:val="00433004"/>
    <w:rsid w:val="00433054"/>
    <w:rsid w:val="00433098"/>
    <w:rsid w:val="00433386"/>
    <w:rsid w:val="004335B9"/>
    <w:rsid w:val="0043378B"/>
    <w:rsid w:val="00433A2E"/>
    <w:rsid w:val="00433D85"/>
    <w:rsid w:val="0043405C"/>
    <w:rsid w:val="0043460D"/>
    <w:rsid w:val="00434687"/>
    <w:rsid w:val="00434968"/>
    <w:rsid w:val="00434CF9"/>
    <w:rsid w:val="0043509B"/>
    <w:rsid w:val="00435230"/>
    <w:rsid w:val="004354DA"/>
    <w:rsid w:val="0043589E"/>
    <w:rsid w:val="004359E5"/>
    <w:rsid w:val="00435C2A"/>
    <w:rsid w:val="00435E02"/>
    <w:rsid w:val="00435EA6"/>
    <w:rsid w:val="00436098"/>
    <w:rsid w:val="004362F2"/>
    <w:rsid w:val="004364A6"/>
    <w:rsid w:val="004365F4"/>
    <w:rsid w:val="0043679A"/>
    <w:rsid w:val="004368BB"/>
    <w:rsid w:val="00436B24"/>
    <w:rsid w:val="00436C7C"/>
    <w:rsid w:val="00436D3A"/>
    <w:rsid w:val="0043711C"/>
    <w:rsid w:val="004371ED"/>
    <w:rsid w:val="0043778A"/>
    <w:rsid w:val="004379B5"/>
    <w:rsid w:val="00437C45"/>
    <w:rsid w:val="00437C73"/>
    <w:rsid w:val="00440F9C"/>
    <w:rsid w:val="00441567"/>
    <w:rsid w:val="00441580"/>
    <w:rsid w:val="00441713"/>
    <w:rsid w:val="004417DB"/>
    <w:rsid w:val="0044182C"/>
    <w:rsid w:val="004418D5"/>
    <w:rsid w:val="00441D24"/>
    <w:rsid w:val="004421C1"/>
    <w:rsid w:val="00442316"/>
    <w:rsid w:val="004426F9"/>
    <w:rsid w:val="0044294D"/>
    <w:rsid w:val="00442FCC"/>
    <w:rsid w:val="00442FE8"/>
    <w:rsid w:val="0044312D"/>
    <w:rsid w:val="004433F9"/>
    <w:rsid w:val="0044354C"/>
    <w:rsid w:val="004436C5"/>
    <w:rsid w:val="004438BD"/>
    <w:rsid w:val="004438E6"/>
    <w:rsid w:val="004439F5"/>
    <w:rsid w:val="00443F0E"/>
    <w:rsid w:val="00443F19"/>
    <w:rsid w:val="004440F1"/>
    <w:rsid w:val="00444642"/>
    <w:rsid w:val="004446C5"/>
    <w:rsid w:val="00444794"/>
    <w:rsid w:val="00444B4F"/>
    <w:rsid w:val="00444D17"/>
    <w:rsid w:val="00444EAB"/>
    <w:rsid w:val="00444ECC"/>
    <w:rsid w:val="0044506D"/>
    <w:rsid w:val="0044564E"/>
    <w:rsid w:val="00445679"/>
    <w:rsid w:val="00445BA1"/>
    <w:rsid w:val="00445FC8"/>
    <w:rsid w:val="00446036"/>
    <w:rsid w:val="004463FE"/>
    <w:rsid w:val="004464F9"/>
    <w:rsid w:val="00446703"/>
    <w:rsid w:val="00446948"/>
    <w:rsid w:val="00446B57"/>
    <w:rsid w:val="00446CAB"/>
    <w:rsid w:val="00446D0D"/>
    <w:rsid w:val="00446E74"/>
    <w:rsid w:val="00447252"/>
    <w:rsid w:val="004477A1"/>
    <w:rsid w:val="004477A5"/>
    <w:rsid w:val="0044783D"/>
    <w:rsid w:val="004478A4"/>
    <w:rsid w:val="0044791D"/>
    <w:rsid w:val="00447A36"/>
    <w:rsid w:val="004501B6"/>
    <w:rsid w:val="004501F1"/>
    <w:rsid w:val="00450294"/>
    <w:rsid w:val="004505B3"/>
    <w:rsid w:val="00450BFF"/>
    <w:rsid w:val="00450C0B"/>
    <w:rsid w:val="00450E54"/>
    <w:rsid w:val="00450FC1"/>
    <w:rsid w:val="00451455"/>
    <w:rsid w:val="004519F8"/>
    <w:rsid w:val="00451B96"/>
    <w:rsid w:val="00452A53"/>
    <w:rsid w:val="00452AB4"/>
    <w:rsid w:val="00452FF0"/>
    <w:rsid w:val="0045321C"/>
    <w:rsid w:val="004532AF"/>
    <w:rsid w:val="004533F5"/>
    <w:rsid w:val="00453907"/>
    <w:rsid w:val="00454004"/>
    <w:rsid w:val="004548D4"/>
    <w:rsid w:val="004549F5"/>
    <w:rsid w:val="00454FB0"/>
    <w:rsid w:val="004552CA"/>
    <w:rsid w:val="00455F94"/>
    <w:rsid w:val="0045619A"/>
    <w:rsid w:val="00456247"/>
    <w:rsid w:val="0045642A"/>
    <w:rsid w:val="004564CD"/>
    <w:rsid w:val="00456B23"/>
    <w:rsid w:val="00457110"/>
    <w:rsid w:val="004573A0"/>
    <w:rsid w:val="00457452"/>
    <w:rsid w:val="0045753F"/>
    <w:rsid w:val="0045780F"/>
    <w:rsid w:val="00457BF8"/>
    <w:rsid w:val="00457C19"/>
    <w:rsid w:val="00457CA5"/>
    <w:rsid w:val="00457CF3"/>
    <w:rsid w:val="00457DC8"/>
    <w:rsid w:val="004602F8"/>
    <w:rsid w:val="00460601"/>
    <w:rsid w:val="004607BE"/>
    <w:rsid w:val="004608CD"/>
    <w:rsid w:val="004609D9"/>
    <w:rsid w:val="00460B14"/>
    <w:rsid w:val="00460CE6"/>
    <w:rsid w:val="004611A5"/>
    <w:rsid w:val="00461316"/>
    <w:rsid w:val="0046138A"/>
    <w:rsid w:val="004614F7"/>
    <w:rsid w:val="0046192D"/>
    <w:rsid w:val="004619DD"/>
    <w:rsid w:val="004619E4"/>
    <w:rsid w:val="00461B98"/>
    <w:rsid w:val="00461D27"/>
    <w:rsid w:val="00461DA5"/>
    <w:rsid w:val="004627F4"/>
    <w:rsid w:val="00462882"/>
    <w:rsid w:val="00462A61"/>
    <w:rsid w:val="00462FF7"/>
    <w:rsid w:val="0046376B"/>
    <w:rsid w:val="00463810"/>
    <w:rsid w:val="00463873"/>
    <w:rsid w:val="004642BD"/>
    <w:rsid w:val="0046451D"/>
    <w:rsid w:val="004646C5"/>
    <w:rsid w:val="00464BE1"/>
    <w:rsid w:val="00465671"/>
    <w:rsid w:val="00465F7B"/>
    <w:rsid w:val="0046601C"/>
    <w:rsid w:val="00466158"/>
    <w:rsid w:val="0046645D"/>
    <w:rsid w:val="004665FF"/>
    <w:rsid w:val="00466B62"/>
    <w:rsid w:val="00466B94"/>
    <w:rsid w:val="004670B7"/>
    <w:rsid w:val="00467497"/>
    <w:rsid w:val="0046769B"/>
    <w:rsid w:val="004679A0"/>
    <w:rsid w:val="00467AFB"/>
    <w:rsid w:val="00467F4F"/>
    <w:rsid w:val="004700C1"/>
    <w:rsid w:val="0047015C"/>
    <w:rsid w:val="00470209"/>
    <w:rsid w:val="004702BB"/>
    <w:rsid w:val="00470526"/>
    <w:rsid w:val="004705DE"/>
    <w:rsid w:val="004709D2"/>
    <w:rsid w:val="00470AAB"/>
    <w:rsid w:val="00470ABD"/>
    <w:rsid w:val="004711A9"/>
    <w:rsid w:val="00471542"/>
    <w:rsid w:val="0047158C"/>
    <w:rsid w:val="00471797"/>
    <w:rsid w:val="00471A9B"/>
    <w:rsid w:val="00471BE6"/>
    <w:rsid w:val="00471C65"/>
    <w:rsid w:val="00471FD2"/>
    <w:rsid w:val="00472090"/>
    <w:rsid w:val="004720C2"/>
    <w:rsid w:val="00472114"/>
    <w:rsid w:val="00472220"/>
    <w:rsid w:val="004726DD"/>
    <w:rsid w:val="00472767"/>
    <w:rsid w:val="00472801"/>
    <w:rsid w:val="00472882"/>
    <w:rsid w:val="004729D8"/>
    <w:rsid w:val="00472A35"/>
    <w:rsid w:val="00472A72"/>
    <w:rsid w:val="00473246"/>
    <w:rsid w:val="0047387B"/>
    <w:rsid w:val="00474157"/>
    <w:rsid w:val="004741DB"/>
    <w:rsid w:val="00474C17"/>
    <w:rsid w:val="00475704"/>
    <w:rsid w:val="004757C5"/>
    <w:rsid w:val="004757DE"/>
    <w:rsid w:val="00475BA7"/>
    <w:rsid w:val="00475D33"/>
    <w:rsid w:val="0047608E"/>
    <w:rsid w:val="00476AD1"/>
    <w:rsid w:val="00476AF1"/>
    <w:rsid w:val="00476DAB"/>
    <w:rsid w:val="00476DEB"/>
    <w:rsid w:val="00477212"/>
    <w:rsid w:val="00477B38"/>
    <w:rsid w:val="004800C1"/>
    <w:rsid w:val="00480156"/>
    <w:rsid w:val="00480337"/>
    <w:rsid w:val="00480423"/>
    <w:rsid w:val="00480CCB"/>
    <w:rsid w:val="00480D9E"/>
    <w:rsid w:val="00480E0A"/>
    <w:rsid w:val="00481148"/>
    <w:rsid w:val="00481228"/>
    <w:rsid w:val="00481264"/>
    <w:rsid w:val="004813D2"/>
    <w:rsid w:val="0048150B"/>
    <w:rsid w:val="0048183E"/>
    <w:rsid w:val="00481AAE"/>
    <w:rsid w:val="00481C89"/>
    <w:rsid w:val="00482664"/>
    <w:rsid w:val="004826CF"/>
    <w:rsid w:val="00482860"/>
    <w:rsid w:val="00482A35"/>
    <w:rsid w:val="00482C64"/>
    <w:rsid w:val="00482C99"/>
    <w:rsid w:val="00483330"/>
    <w:rsid w:val="00483478"/>
    <w:rsid w:val="00483609"/>
    <w:rsid w:val="00483864"/>
    <w:rsid w:val="00483A13"/>
    <w:rsid w:val="00483CE3"/>
    <w:rsid w:val="00483F22"/>
    <w:rsid w:val="00484010"/>
    <w:rsid w:val="004841C4"/>
    <w:rsid w:val="004843D6"/>
    <w:rsid w:val="00484BEB"/>
    <w:rsid w:val="00484DBD"/>
    <w:rsid w:val="00485120"/>
    <w:rsid w:val="00485323"/>
    <w:rsid w:val="0048552D"/>
    <w:rsid w:val="0048565A"/>
    <w:rsid w:val="0048573F"/>
    <w:rsid w:val="00485A2B"/>
    <w:rsid w:val="00485DCD"/>
    <w:rsid w:val="00485F91"/>
    <w:rsid w:val="0048643C"/>
    <w:rsid w:val="004864B0"/>
    <w:rsid w:val="00486709"/>
    <w:rsid w:val="00486A0E"/>
    <w:rsid w:val="00486B7D"/>
    <w:rsid w:val="00486DC8"/>
    <w:rsid w:val="00486EA7"/>
    <w:rsid w:val="0048743D"/>
    <w:rsid w:val="004874EE"/>
    <w:rsid w:val="00487543"/>
    <w:rsid w:val="004878DE"/>
    <w:rsid w:val="00487D97"/>
    <w:rsid w:val="00487F1A"/>
    <w:rsid w:val="00487FD9"/>
    <w:rsid w:val="004904A2"/>
    <w:rsid w:val="00490B96"/>
    <w:rsid w:val="00490C22"/>
    <w:rsid w:val="004915BC"/>
    <w:rsid w:val="0049161B"/>
    <w:rsid w:val="00491724"/>
    <w:rsid w:val="00491887"/>
    <w:rsid w:val="00491CF1"/>
    <w:rsid w:val="00491CFA"/>
    <w:rsid w:val="00491DF0"/>
    <w:rsid w:val="00491E84"/>
    <w:rsid w:val="00491EC4"/>
    <w:rsid w:val="004920DB"/>
    <w:rsid w:val="00492385"/>
    <w:rsid w:val="004924BC"/>
    <w:rsid w:val="00492530"/>
    <w:rsid w:val="00492A20"/>
    <w:rsid w:val="00492B02"/>
    <w:rsid w:val="00492B68"/>
    <w:rsid w:val="00492C08"/>
    <w:rsid w:val="00492F62"/>
    <w:rsid w:val="0049302E"/>
    <w:rsid w:val="00493400"/>
    <w:rsid w:val="00493597"/>
    <w:rsid w:val="00493BA4"/>
    <w:rsid w:val="00493D31"/>
    <w:rsid w:val="0049417D"/>
    <w:rsid w:val="00494230"/>
    <w:rsid w:val="0049445D"/>
    <w:rsid w:val="004945D7"/>
    <w:rsid w:val="004945F1"/>
    <w:rsid w:val="00494AD0"/>
    <w:rsid w:val="00494D96"/>
    <w:rsid w:val="00495436"/>
    <w:rsid w:val="004957F0"/>
    <w:rsid w:val="004958DA"/>
    <w:rsid w:val="0049598C"/>
    <w:rsid w:val="004959CB"/>
    <w:rsid w:val="00495BB7"/>
    <w:rsid w:val="00495BEC"/>
    <w:rsid w:val="0049623C"/>
    <w:rsid w:val="004967DE"/>
    <w:rsid w:val="00496911"/>
    <w:rsid w:val="00496C16"/>
    <w:rsid w:val="00496C28"/>
    <w:rsid w:val="00496FDD"/>
    <w:rsid w:val="0049704F"/>
    <w:rsid w:val="0049738D"/>
    <w:rsid w:val="004975B4"/>
    <w:rsid w:val="0049760E"/>
    <w:rsid w:val="00497B7C"/>
    <w:rsid w:val="004A0066"/>
    <w:rsid w:val="004A01D7"/>
    <w:rsid w:val="004A0670"/>
    <w:rsid w:val="004A075D"/>
    <w:rsid w:val="004A082A"/>
    <w:rsid w:val="004A0911"/>
    <w:rsid w:val="004A0990"/>
    <w:rsid w:val="004A0ABE"/>
    <w:rsid w:val="004A0F98"/>
    <w:rsid w:val="004A1079"/>
    <w:rsid w:val="004A10E3"/>
    <w:rsid w:val="004A1438"/>
    <w:rsid w:val="004A154D"/>
    <w:rsid w:val="004A1CA0"/>
    <w:rsid w:val="004A1D1B"/>
    <w:rsid w:val="004A2086"/>
    <w:rsid w:val="004A20F2"/>
    <w:rsid w:val="004A2564"/>
    <w:rsid w:val="004A2A5F"/>
    <w:rsid w:val="004A2AAF"/>
    <w:rsid w:val="004A2B10"/>
    <w:rsid w:val="004A2B37"/>
    <w:rsid w:val="004A2CF8"/>
    <w:rsid w:val="004A319D"/>
    <w:rsid w:val="004A339A"/>
    <w:rsid w:val="004A3769"/>
    <w:rsid w:val="004A37BC"/>
    <w:rsid w:val="004A3B48"/>
    <w:rsid w:val="004A422A"/>
    <w:rsid w:val="004A4AB1"/>
    <w:rsid w:val="004A4BC8"/>
    <w:rsid w:val="004A4EF2"/>
    <w:rsid w:val="004A513B"/>
    <w:rsid w:val="004A5180"/>
    <w:rsid w:val="004A51DA"/>
    <w:rsid w:val="004A52BF"/>
    <w:rsid w:val="004A57B4"/>
    <w:rsid w:val="004A5949"/>
    <w:rsid w:val="004A5DD5"/>
    <w:rsid w:val="004A5F37"/>
    <w:rsid w:val="004A5F38"/>
    <w:rsid w:val="004A61EB"/>
    <w:rsid w:val="004A6295"/>
    <w:rsid w:val="004A63B7"/>
    <w:rsid w:val="004A6DE5"/>
    <w:rsid w:val="004A6ECB"/>
    <w:rsid w:val="004A6F1B"/>
    <w:rsid w:val="004A707C"/>
    <w:rsid w:val="004A71DE"/>
    <w:rsid w:val="004A74B4"/>
    <w:rsid w:val="004A75CE"/>
    <w:rsid w:val="004A7699"/>
    <w:rsid w:val="004A7719"/>
    <w:rsid w:val="004A789D"/>
    <w:rsid w:val="004A7C5D"/>
    <w:rsid w:val="004A7E69"/>
    <w:rsid w:val="004B0093"/>
    <w:rsid w:val="004B01DC"/>
    <w:rsid w:val="004B0207"/>
    <w:rsid w:val="004B02BA"/>
    <w:rsid w:val="004B091E"/>
    <w:rsid w:val="004B09A3"/>
    <w:rsid w:val="004B09C6"/>
    <w:rsid w:val="004B0A60"/>
    <w:rsid w:val="004B0B1C"/>
    <w:rsid w:val="004B0C05"/>
    <w:rsid w:val="004B0F3C"/>
    <w:rsid w:val="004B134C"/>
    <w:rsid w:val="004B1865"/>
    <w:rsid w:val="004B1874"/>
    <w:rsid w:val="004B1948"/>
    <w:rsid w:val="004B1BFC"/>
    <w:rsid w:val="004B2381"/>
    <w:rsid w:val="004B2A67"/>
    <w:rsid w:val="004B2B58"/>
    <w:rsid w:val="004B2B9A"/>
    <w:rsid w:val="004B2C7E"/>
    <w:rsid w:val="004B2DED"/>
    <w:rsid w:val="004B2EF3"/>
    <w:rsid w:val="004B2F71"/>
    <w:rsid w:val="004B33D3"/>
    <w:rsid w:val="004B33FA"/>
    <w:rsid w:val="004B3650"/>
    <w:rsid w:val="004B36B2"/>
    <w:rsid w:val="004B378C"/>
    <w:rsid w:val="004B37FF"/>
    <w:rsid w:val="004B3C94"/>
    <w:rsid w:val="004B4526"/>
    <w:rsid w:val="004B466E"/>
    <w:rsid w:val="004B4829"/>
    <w:rsid w:val="004B4B93"/>
    <w:rsid w:val="004B4E0C"/>
    <w:rsid w:val="004B4FE1"/>
    <w:rsid w:val="004B519C"/>
    <w:rsid w:val="004B5318"/>
    <w:rsid w:val="004B5382"/>
    <w:rsid w:val="004B55EB"/>
    <w:rsid w:val="004B5661"/>
    <w:rsid w:val="004B5733"/>
    <w:rsid w:val="004B5A89"/>
    <w:rsid w:val="004B5A9B"/>
    <w:rsid w:val="004B5DA6"/>
    <w:rsid w:val="004B5FEB"/>
    <w:rsid w:val="004B60C1"/>
    <w:rsid w:val="004B655B"/>
    <w:rsid w:val="004B6F1C"/>
    <w:rsid w:val="004B737D"/>
    <w:rsid w:val="004B73F4"/>
    <w:rsid w:val="004B7543"/>
    <w:rsid w:val="004B7551"/>
    <w:rsid w:val="004B76E5"/>
    <w:rsid w:val="004B77A5"/>
    <w:rsid w:val="004B7F97"/>
    <w:rsid w:val="004C006B"/>
    <w:rsid w:val="004C0196"/>
    <w:rsid w:val="004C0301"/>
    <w:rsid w:val="004C0304"/>
    <w:rsid w:val="004C0596"/>
    <w:rsid w:val="004C0CB2"/>
    <w:rsid w:val="004C0D0C"/>
    <w:rsid w:val="004C191A"/>
    <w:rsid w:val="004C1A0B"/>
    <w:rsid w:val="004C23D1"/>
    <w:rsid w:val="004C2987"/>
    <w:rsid w:val="004C29D6"/>
    <w:rsid w:val="004C2B10"/>
    <w:rsid w:val="004C2B6D"/>
    <w:rsid w:val="004C2C30"/>
    <w:rsid w:val="004C2EE3"/>
    <w:rsid w:val="004C332A"/>
    <w:rsid w:val="004C33D1"/>
    <w:rsid w:val="004C3419"/>
    <w:rsid w:val="004C3601"/>
    <w:rsid w:val="004C3653"/>
    <w:rsid w:val="004C3680"/>
    <w:rsid w:val="004C37CD"/>
    <w:rsid w:val="004C3D38"/>
    <w:rsid w:val="004C3D42"/>
    <w:rsid w:val="004C41E4"/>
    <w:rsid w:val="004C4356"/>
    <w:rsid w:val="004C4425"/>
    <w:rsid w:val="004C48CF"/>
    <w:rsid w:val="004C49BF"/>
    <w:rsid w:val="004C4AD4"/>
    <w:rsid w:val="004C4CAE"/>
    <w:rsid w:val="004C4CD4"/>
    <w:rsid w:val="004C5049"/>
    <w:rsid w:val="004C5563"/>
    <w:rsid w:val="004C580F"/>
    <w:rsid w:val="004C5D03"/>
    <w:rsid w:val="004C5D2B"/>
    <w:rsid w:val="004C5F1D"/>
    <w:rsid w:val="004C640C"/>
    <w:rsid w:val="004C69B0"/>
    <w:rsid w:val="004C720A"/>
    <w:rsid w:val="004C72EA"/>
    <w:rsid w:val="004C7463"/>
    <w:rsid w:val="004C76A0"/>
    <w:rsid w:val="004C78B1"/>
    <w:rsid w:val="004D001E"/>
    <w:rsid w:val="004D006E"/>
    <w:rsid w:val="004D00FE"/>
    <w:rsid w:val="004D0104"/>
    <w:rsid w:val="004D0690"/>
    <w:rsid w:val="004D06F6"/>
    <w:rsid w:val="004D06FE"/>
    <w:rsid w:val="004D0E2E"/>
    <w:rsid w:val="004D0FE0"/>
    <w:rsid w:val="004D129F"/>
    <w:rsid w:val="004D160B"/>
    <w:rsid w:val="004D1744"/>
    <w:rsid w:val="004D206D"/>
    <w:rsid w:val="004D2182"/>
    <w:rsid w:val="004D2208"/>
    <w:rsid w:val="004D2999"/>
    <w:rsid w:val="004D30AA"/>
    <w:rsid w:val="004D3256"/>
    <w:rsid w:val="004D34F5"/>
    <w:rsid w:val="004D35BE"/>
    <w:rsid w:val="004D3810"/>
    <w:rsid w:val="004D3CAA"/>
    <w:rsid w:val="004D3F92"/>
    <w:rsid w:val="004D450B"/>
    <w:rsid w:val="004D458E"/>
    <w:rsid w:val="004D4943"/>
    <w:rsid w:val="004D4953"/>
    <w:rsid w:val="004D4A12"/>
    <w:rsid w:val="004D4A38"/>
    <w:rsid w:val="004D4AC5"/>
    <w:rsid w:val="004D5200"/>
    <w:rsid w:val="004D528F"/>
    <w:rsid w:val="004D5578"/>
    <w:rsid w:val="004D580E"/>
    <w:rsid w:val="004D5F28"/>
    <w:rsid w:val="004D7080"/>
    <w:rsid w:val="004D71E8"/>
    <w:rsid w:val="004D77C2"/>
    <w:rsid w:val="004D7B32"/>
    <w:rsid w:val="004D7C61"/>
    <w:rsid w:val="004D7D3D"/>
    <w:rsid w:val="004D7F3C"/>
    <w:rsid w:val="004E0316"/>
    <w:rsid w:val="004E0344"/>
    <w:rsid w:val="004E03D1"/>
    <w:rsid w:val="004E0534"/>
    <w:rsid w:val="004E0A47"/>
    <w:rsid w:val="004E0AA8"/>
    <w:rsid w:val="004E0E3D"/>
    <w:rsid w:val="004E1883"/>
    <w:rsid w:val="004E1BF0"/>
    <w:rsid w:val="004E1C4D"/>
    <w:rsid w:val="004E1EB2"/>
    <w:rsid w:val="004E239E"/>
    <w:rsid w:val="004E23CF"/>
    <w:rsid w:val="004E249C"/>
    <w:rsid w:val="004E2607"/>
    <w:rsid w:val="004E2609"/>
    <w:rsid w:val="004E2820"/>
    <w:rsid w:val="004E2A5D"/>
    <w:rsid w:val="004E2AD7"/>
    <w:rsid w:val="004E2CF3"/>
    <w:rsid w:val="004E2FCA"/>
    <w:rsid w:val="004E3071"/>
    <w:rsid w:val="004E31BB"/>
    <w:rsid w:val="004E374B"/>
    <w:rsid w:val="004E384B"/>
    <w:rsid w:val="004E3BB2"/>
    <w:rsid w:val="004E3DCB"/>
    <w:rsid w:val="004E3F10"/>
    <w:rsid w:val="004E40F4"/>
    <w:rsid w:val="004E461E"/>
    <w:rsid w:val="004E47D4"/>
    <w:rsid w:val="004E492B"/>
    <w:rsid w:val="004E4A8D"/>
    <w:rsid w:val="004E4BD9"/>
    <w:rsid w:val="004E4D08"/>
    <w:rsid w:val="004E4F0C"/>
    <w:rsid w:val="004E52AA"/>
    <w:rsid w:val="004E5DD0"/>
    <w:rsid w:val="004E5EB5"/>
    <w:rsid w:val="004E609A"/>
    <w:rsid w:val="004E6226"/>
    <w:rsid w:val="004E6254"/>
    <w:rsid w:val="004E63BF"/>
    <w:rsid w:val="004E659C"/>
    <w:rsid w:val="004E6E5E"/>
    <w:rsid w:val="004E6ED6"/>
    <w:rsid w:val="004E727C"/>
    <w:rsid w:val="004E7293"/>
    <w:rsid w:val="004E7315"/>
    <w:rsid w:val="004E7316"/>
    <w:rsid w:val="004E7769"/>
    <w:rsid w:val="004E779A"/>
    <w:rsid w:val="004E787D"/>
    <w:rsid w:val="004E7904"/>
    <w:rsid w:val="004E7F25"/>
    <w:rsid w:val="004E7F8F"/>
    <w:rsid w:val="004F08CF"/>
    <w:rsid w:val="004F0DAC"/>
    <w:rsid w:val="004F1138"/>
    <w:rsid w:val="004F1C8B"/>
    <w:rsid w:val="004F1F47"/>
    <w:rsid w:val="004F1FBF"/>
    <w:rsid w:val="004F2146"/>
    <w:rsid w:val="004F230A"/>
    <w:rsid w:val="004F2353"/>
    <w:rsid w:val="004F23EE"/>
    <w:rsid w:val="004F257E"/>
    <w:rsid w:val="004F2728"/>
    <w:rsid w:val="004F2885"/>
    <w:rsid w:val="004F2B46"/>
    <w:rsid w:val="004F2BEE"/>
    <w:rsid w:val="004F2CAD"/>
    <w:rsid w:val="004F2E36"/>
    <w:rsid w:val="004F2EC5"/>
    <w:rsid w:val="004F30D3"/>
    <w:rsid w:val="004F3867"/>
    <w:rsid w:val="004F38A8"/>
    <w:rsid w:val="004F38C1"/>
    <w:rsid w:val="004F3B3A"/>
    <w:rsid w:val="004F3C71"/>
    <w:rsid w:val="004F3D4C"/>
    <w:rsid w:val="004F4075"/>
    <w:rsid w:val="004F41BC"/>
    <w:rsid w:val="004F4359"/>
    <w:rsid w:val="004F4372"/>
    <w:rsid w:val="004F43F2"/>
    <w:rsid w:val="004F4902"/>
    <w:rsid w:val="004F4B9C"/>
    <w:rsid w:val="004F5C9A"/>
    <w:rsid w:val="004F60DB"/>
    <w:rsid w:val="004F6351"/>
    <w:rsid w:val="004F671A"/>
    <w:rsid w:val="004F676D"/>
    <w:rsid w:val="004F6796"/>
    <w:rsid w:val="004F6812"/>
    <w:rsid w:val="004F68E4"/>
    <w:rsid w:val="004F6E37"/>
    <w:rsid w:val="004F6ED9"/>
    <w:rsid w:val="004F7214"/>
    <w:rsid w:val="004F73BE"/>
    <w:rsid w:val="004F73DC"/>
    <w:rsid w:val="004F77B9"/>
    <w:rsid w:val="004F7805"/>
    <w:rsid w:val="004F7ACC"/>
    <w:rsid w:val="004F7B7E"/>
    <w:rsid w:val="0050016B"/>
    <w:rsid w:val="0050021D"/>
    <w:rsid w:val="005005C7"/>
    <w:rsid w:val="005009B9"/>
    <w:rsid w:val="005011DA"/>
    <w:rsid w:val="00501B18"/>
    <w:rsid w:val="00501B61"/>
    <w:rsid w:val="00502317"/>
    <w:rsid w:val="00502517"/>
    <w:rsid w:val="00502B53"/>
    <w:rsid w:val="00502BDF"/>
    <w:rsid w:val="00502C11"/>
    <w:rsid w:val="0050305B"/>
    <w:rsid w:val="00503284"/>
    <w:rsid w:val="0050336A"/>
    <w:rsid w:val="0050347D"/>
    <w:rsid w:val="005039BA"/>
    <w:rsid w:val="00503A9D"/>
    <w:rsid w:val="00503BF2"/>
    <w:rsid w:val="00503DD2"/>
    <w:rsid w:val="00503FF3"/>
    <w:rsid w:val="005041AE"/>
    <w:rsid w:val="005041F7"/>
    <w:rsid w:val="00504612"/>
    <w:rsid w:val="0050469E"/>
    <w:rsid w:val="0050474E"/>
    <w:rsid w:val="005047E9"/>
    <w:rsid w:val="00504B6F"/>
    <w:rsid w:val="00504E83"/>
    <w:rsid w:val="00504EAC"/>
    <w:rsid w:val="005053BC"/>
    <w:rsid w:val="005059F5"/>
    <w:rsid w:val="00506115"/>
    <w:rsid w:val="00506284"/>
    <w:rsid w:val="00506481"/>
    <w:rsid w:val="00506553"/>
    <w:rsid w:val="005065FC"/>
    <w:rsid w:val="0050683F"/>
    <w:rsid w:val="0050697C"/>
    <w:rsid w:val="00506E08"/>
    <w:rsid w:val="00507060"/>
    <w:rsid w:val="0050709B"/>
    <w:rsid w:val="00507524"/>
    <w:rsid w:val="00507701"/>
    <w:rsid w:val="00507BB0"/>
    <w:rsid w:val="00510087"/>
    <w:rsid w:val="00510367"/>
    <w:rsid w:val="0051053A"/>
    <w:rsid w:val="00510797"/>
    <w:rsid w:val="00510ACC"/>
    <w:rsid w:val="00510D5F"/>
    <w:rsid w:val="00511030"/>
    <w:rsid w:val="00511360"/>
    <w:rsid w:val="005113CD"/>
    <w:rsid w:val="0051144D"/>
    <w:rsid w:val="0051163A"/>
    <w:rsid w:val="00511704"/>
    <w:rsid w:val="00511833"/>
    <w:rsid w:val="005119D9"/>
    <w:rsid w:val="00511A0B"/>
    <w:rsid w:val="00511CA1"/>
    <w:rsid w:val="00511CE1"/>
    <w:rsid w:val="00511D53"/>
    <w:rsid w:val="00511DB3"/>
    <w:rsid w:val="00511F06"/>
    <w:rsid w:val="005121B8"/>
    <w:rsid w:val="00512462"/>
    <w:rsid w:val="00512471"/>
    <w:rsid w:val="005124C6"/>
    <w:rsid w:val="005129EE"/>
    <w:rsid w:val="00512AC5"/>
    <w:rsid w:val="00513021"/>
    <w:rsid w:val="005137D6"/>
    <w:rsid w:val="0051394B"/>
    <w:rsid w:val="00513A2A"/>
    <w:rsid w:val="00513F3E"/>
    <w:rsid w:val="00514183"/>
    <w:rsid w:val="00514188"/>
    <w:rsid w:val="005141C4"/>
    <w:rsid w:val="00514501"/>
    <w:rsid w:val="00514A39"/>
    <w:rsid w:val="00514BB9"/>
    <w:rsid w:val="00514FC9"/>
    <w:rsid w:val="00515186"/>
    <w:rsid w:val="00515CB3"/>
    <w:rsid w:val="00515CF3"/>
    <w:rsid w:val="00515D75"/>
    <w:rsid w:val="0051639A"/>
    <w:rsid w:val="00516503"/>
    <w:rsid w:val="0051682F"/>
    <w:rsid w:val="00516A29"/>
    <w:rsid w:val="00516DDB"/>
    <w:rsid w:val="005172F2"/>
    <w:rsid w:val="005173DA"/>
    <w:rsid w:val="0051794B"/>
    <w:rsid w:val="0051799A"/>
    <w:rsid w:val="00517AA3"/>
    <w:rsid w:val="00517FE2"/>
    <w:rsid w:val="005200DE"/>
    <w:rsid w:val="005203D6"/>
    <w:rsid w:val="0052044F"/>
    <w:rsid w:val="005205E9"/>
    <w:rsid w:val="0052072D"/>
    <w:rsid w:val="00520962"/>
    <w:rsid w:val="005209BB"/>
    <w:rsid w:val="00520B9E"/>
    <w:rsid w:val="00520E54"/>
    <w:rsid w:val="00521497"/>
    <w:rsid w:val="00521599"/>
    <w:rsid w:val="0052179F"/>
    <w:rsid w:val="00521C9A"/>
    <w:rsid w:val="00521CD4"/>
    <w:rsid w:val="005221D9"/>
    <w:rsid w:val="0052241B"/>
    <w:rsid w:val="00522937"/>
    <w:rsid w:val="00522A5A"/>
    <w:rsid w:val="00522E4A"/>
    <w:rsid w:val="005232D8"/>
    <w:rsid w:val="0052330E"/>
    <w:rsid w:val="00523358"/>
    <w:rsid w:val="0052353E"/>
    <w:rsid w:val="005237F5"/>
    <w:rsid w:val="00523832"/>
    <w:rsid w:val="005238EA"/>
    <w:rsid w:val="005239DF"/>
    <w:rsid w:val="00523B65"/>
    <w:rsid w:val="00523DA5"/>
    <w:rsid w:val="00523E30"/>
    <w:rsid w:val="00523F4C"/>
    <w:rsid w:val="00524236"/>
    <w:rsid w:val="00524579"/>
    <w:rsid w:val="005245AA"/>
    <w:rsid w:val="0052461D"/>
    <w:rsid w:val="00524EC2"/>
    <w:rsid w:val="00525188"/>
    <w:rsid w:val="005254B0"/>
    <w:rsid w:val="005254EF"/>
    <w:rsid w:val="005254F5"/>
    <w:rsid w:val="00525501"/>
    <w:rsid w:val="00525E47"/>
    <w:rsid w:val="005262B2"/>
    <w:rsid w:val="0052648F"/>
    <w:rsid w:val="00526753"/>
    <w:rsid w:val="00526C57"/>
    <w:rsid w:val="00526C7D"/>
    <w:rsid w:val="00527413"/>
    <w:rsid w:val="0052762A"/>
    <w:rsid w:val="005276FE"/>
    <w:rsid w:val="00527710"/>
    <w:rsid w:val="00527812"/>
    <w:rsid w:val="00527BA6"/>
    <w:rsid w:val="00527FB3"/>
    <w:rsid w:val="00530090"/>
    <w:rsid w:val="0053009F"/>
    <w:rsid w:val="0053011B"/>
    <w:rsid w:val="00530365"/>
    <w:rsid w:val="0053044E"/>
    <w:rsid w:val="0053062F"/>
    <w:rsid w:val="00530A46"/>
    <w:rsid w:val="00531138"/>
    <w:rsid w:val="00531340"/>
    <w:rsid w:val="0053161E"/>
    <w:rsid w:val="00531C4F"/>
    <w:rsid w:val="00531E16"/>
    <w:rsid w:val="005326F9"/>
    <w:rsid w:val="005329CB"/>
    <w:rsid w:val="00533086"/>
    <w:rsid w:val="0053326F"/>
    <w:rsid w:val="005337FE"/>
    <w:rsid w:val="00533AC1"/>
    <w:rsid w:val="00533D94"/>
    <w:rsid w:val="00533EF2"/>
    <w:rsid w:val="00534059"/>
    <w:rsid w:val="00534102"/>
    <w:rsid w:val="005343E9"/>
    <w:rsid w:val="00534798"/>
    <w:rsid w:val="005348E6"/>
    <w:rsid w:val="005349D4"/>
    <w:rsid w:val="00534B74"/>
    <w:rsid w:val="0053587A"/>
    <w:rsid w:val="00535B08"/>
    <w:rsid w:val="00536549"/>
    <w:rsid w:val="0053658C"/>
    <w:rsid w:val="00536AFC"/>
    <w:rsid w:val="00536B21"/>
    <w:rsid w:val="00536C7F"/>
    <w:rsid w:val="00537383"/>
    <w:rsid w:val="005373FB"/>
    <w:rsid w:val="005375CF"/>
    <w:rsid w:val="0053764C"/>
    <w:rsid w:val="00537907"/>
    <w:rsid w:val="00537BAC"/>
    <w:rsid w:val="00537FA2"/>
    <w:rsid w:val="0054064D"/>
    <w:rsid w:val="0054094C"/>
    <w:rsid w:val="00540A0E"/>
    <w:rsid w:val="00540A9D"/>
    <w:rsid w:val="00540CAD"/>
    <w:rsid w:val="005413EC"/>
    <w:rsid w:val="0054151C"/>
    <w:rsid w:val="00541AB2"/>
    <w:rsid w:val="00541C43"/>
    <w:rsid w:val="00541E3C"/>
    <w:rsid w:val="00541E84"/>
    <w:rsid w:val="0054245C"/>
    <w:rsid w:val="0054274B"/>
    <w:rsid w:val="00542B5A"/>
    <w:rsid w:val="00542E6F"/>
    <w:rsid w:val="00543657"/>
    <w:rsid w:val="005436ED"/>
    <w:rsid w:val="00543925"/>
    <w:rsid w:val="00543A94"/>
    <w:rsid w:val="00543BEB"/>
    <w:rsid w:val="00543DDB"/>
    <w:rsid w:val="00543F89"/>
    <w:rsid w:val="00544410"/>
    <w:rsid w:val="005444C0"/>
    <w:rsid w:val="005447D5"/>
    <w:rsid w:val="00544879"/>
    <w:rsid w:val="00544916"/>
    <w:rsid w:val="0054495A"/>
    <w:rsid w:val="00544964"/>
    <w:rsid w:val="00544D51"/>
    <w:rsid w:val="005451D5"/>
    <w:rsid w:val="005456D4"/>
    <w:rsid w:val="00545825"/>
    <w:rsid w:val="00545866"/>
    <w:rsid w:val="00545A37"/>
    <w:rsid w:val="00545CBB"/>
    <w:rsid w:val="00545D05"/>
    <w:rsid w:val="005460A5"/>
    <w:rsid w:val="0054640C"/>
    <w:rsid w:val="00546C4C"/>
    <w:rsid w:val="00546D03"/>
    <w:rsid w:val="00547430"/>
    <w:rsid w:val="0054747E"/>
    <w:rsid w:val="0054753D"/>
    <w:rsid w:val="005477A5"/>
    <w:rsid w:val="00547915"/>
    <w:rsid w:val="00547922"/>
    <w:rsid w:val="00547B0D"/>
    <w:rsid w:val="00547F41"/>
    <w:rsid w:val="005504A3"/>
    <w:rsid w:val="00550504"/>
    <w:rsid w:val="00550747"/>
    <w:rsid w:val="00550B6C"/>
    <w:rsid w:val="00550BE8"/>
    <w:rsid w:val="00551758"/>
    <w:rsid w:val="00551D8B"/>
    <w:rsid w:val="0055281B"/>
    <w:rsid w:val="00552A69"/>
    <w:rsid w:val="00552C8D"/>
    <w:rsid w:val="00553059"/>
    <w:rsid w:val="00553273"/>
    <w:rsid w:val="00553488"/>
    <w:rsid w:val="0055373D"/>
    <w:rsid w:val="00553830"/>
    <w:rsid w:val="00553ADF"/>
    <w:rsid w:val="00553B5E"/>
    <w:rsid w:val="00554103"/>
    <w:rsid w:val="00554275"/>
    <w:rsid w:val="005546A7"/>
    <w:rsid w:val="0055480F"/>
    <w:rsid w:val="00555027"/>
    <w:rsid w:val="00555062"/>
    <w:rsid w:val="00555367"/>
    <w:rsid w:val="00555C23"/>
    <w:rsid w:val="00555CFA"/>
    <w:rsid w:val="00555E17"/>
    <w:rsid w:val="00555FE6"/>
    <w:rsid w:val="005563F2"/>
    <w:rsid w:val="0055708D"/>
    <w:rsid w:val="0055708F"/>
    <w:rsid w:val="005571D7"/>
    <w:rsid w:val="005574F2"/>
    <w:rsid w:val="005577B5"/>
    <w:rsid w:val="00557A82"/>
    <w:rsid w:val="00557AA0"/>
    <w:rsid w:val="00557B0C"/>
    <w:rsid w:val="00557FC9"/>
    <w:rsid w:val="00560B24"/>
    <w:rsid w:val="00560E04"/>
    <w:rsid w:val="005613B4"/>
    <w:rsid w:val="005614D5"/>
    <w:rsid w:val="0056158D"/>
    <w:rsid w:val="0056187C"/>
    <w:rsid w:val="00561A56"/>
    <w:rsid w:val="00561A68"/>
    <w:rsid w:val="00561B77"/>
    <w:rsid w:val="00561D6B"/>
    <w:rsid w:val="00561EFC"/>
    <w:rsid w:val="00561F46"/>
    <w:rsid w:val="00561FE9"/>
    <w:rsid w:val="005625A0"/>
    <w:rsid w:val="0056295D"/>
    <w:rsid w:val="00562B37"/>
    <w:rsid w:val="00562BE7"/>
    <w:rsid w:val="00562CC5"/>
    <w:rsid w:val="00562FF5"/>
    <w:rsid w:val="00563112"/>
    <w:rsid w:val="00563489"/>
    <w:rsid w:val="005635A3"/>
    <w:rsid w:val="00563EEB"/>
    <w:rsid w:val="00564993"/>
    <w:rsid w:val="00564A3F"/>
    <w:rsid w:val="00564DBE"/>
    <w:rsid w:val="00564DC8"/>
    <w:rsid w:val="005653FD"/>
    <w:rsid w:val="0056547D"/>
    <w:rsid w:val="00565550"/>
    <w:rsid w:val="00565681"/>
    <w:rsid w:val="005657D6"/>
    <w:rsid w:val="00565930"/>
    <w:rsid w:val="00566061"/>
    <w:rsid w:val="00566440"/>
    <w:rsid w:val="0056662F"/>
    <w:rsid w:val="00566DA7"/>
    <w:rsid w:val="00566F36"/>
    <w:rsid w:val="00566FA2"/>
    <w:rsid w:val="00566FC9"/>
    <w:rsid w:val="00567565"/>
    <w:rsid w:val="005675EE"/>
    <w:rsid w:val="00567C5D"/>
    <w:rsid w:val="00567EBF"/>
    <w:rsid w:val="00570103"/>
    <w:rsid w:val="0057024E"/>
    <w:rsid w:val="00570311"/>
    <w:rsid w:val="005703BC"/>
    <w:rsid w:val="0057071D"/>
    <w:rsid w:val="005707AA"/>
    <w:rsid w:val="00570C34"/>
    <w:rsid w:val="00570D18"/>
    <w:rsid w:val="005710AB"/>
    <w:rsid w:val="0057110A"/>
    <w:rsid w:val="005711A4"/>
    <w:rsid w:val="00571427"/>
    <w:rsid w:val="00571A4F"/>
    <w:rsid w:val="00571B28"/>
    <w:rsid w:val="0057217B"/>
    <w:rsid w:val="005721C8"/>
    <w:rsid w:val="005724CA"/>
    <w:rsid w:val="00572713"/>
    <w:rsid w:val="0057282D"/>
    <w:rsid w:val="00572D8C"/>
    <w:rsid w:val="00572DBF"/>
    <w:rsid w:val="00573148"/>
    <w:rsid w:val="00573283"/>
    <w:rsid w:val="005736EB"/>
    <w:rsid w:val="005738A8"/>
    <w:rsid w:val="00573C7C"/>
    <w:rsid w:val="00574351"/>
    <w:rsid w:val="005745D1"/>
    <w:rsid w:val="00574627"/>
    <w:rsid w:val="0057465B"/>
    <w:rsid w:val="00574F2C"/>
    <w:rsid w:val="00575090"/>
    <w:rsid w:val="005751A3"/>
    <w:rsid w:val="00575576"/>
    <w:rsid w:val="0057564D"/>
    <w:rsid w:val="00575744"/>
    <w:rsid w:val="005762F7"/>
    <w:rsid w:val="005768B3"/>
    <w:rsid w:val="00576BFB"/>
    <w:rsid w:val="00576CBF"/>
    <w:rsid w:val="00576CEC"/>
    <w:rsid w:val="00576DD4"/>
    <w:rsid w:val="00576FF8"/>
    <w:rsid w:val="0057718D"/>
    <w:rsid w:val="005772C2"/>
    <w:rsid w:val="0057769F"/>
    <w:rsid w:val="0057775D"/>
    <w:rsid w:val="005778F5"/>
    <w:rsid w:val="00577B1C"/>
    <w:rsid w:val="0058061A"/>
    <w:rsid w:val="00580DC4"/>
    <w:rsid w:val="00580E42"/>
    <w:rsid w:val="00580F62"/>
    <w:rsid w:val="00581431"/>
    <w:rsid w:val="00581997"/>
    <w:rsid w:val="00581FE9"/>
    <w:rsid w:val="005824B7"/>
    <w:rsid w:val="00582D4A"/>
    <w:rsid w:val="00582E85"/>
    <w:rsid w:val="00583819"/>
    <w:rsid w:val="005839E8"/>
    <w:rsid w:val="00583C9F"/>
    <w:rsid w:val="00583CB2"/>
    <w:rsid w:val="00583E46"/>
    <w:rsid w:val="00584254"/>
    <w:rsid w:val="0058487A"/>
    <w:rsid w:val="00584C19"/>
    <w:rsid w:val="005855E4"/>
    <w:rsid w:val="005855EA"/>
    <w:rsid w:val="005858C0"/>
    <w:rsid w:val="00585921"/>
    <w:rsid w:val="0058596E"/>
    <w:rsid w:val="00585985"/>
    <w:rsid w:val="00585C23"/>
    <w:rsid w:val="00585D9A"/>
    <w:rsid w:val="00585F0D"/>
    <w:rsid w:val="00586621"/>
    <w:rsid w:val="00586CD1"/>
    <w:rsid w:val="00586D6D"/>
    <w:rsid w:val="00586ECD"/>
    <w:rsid w:val="005870B1"/>
    <w:rsid w:val="0058726E"/>
    <w:rsid w:val="005873F5"/>
    <w:rsid w:val="0058764A"/>
    <w:rsid w:val="00587789"/>
    <w:rsid w:val="00587A94"/>
    <w:rsid w:val="00587AC4"/>
    <w:rsid w:val="00587C05"/>
    <w:rsid w:val="0059009E"/>
    <w:rsid w:val="005900D2"/>
    <w:rsid w:val="00590219"/>
    <w:rsid w:val="0059025D"/>
    <w:rsid w:val="00590887"/>
    <w:rsid w:val="00590923"/>
    <w:rsid w:val="00590A62"/>
    <w:rsid w:val="00590CB2"/>
    <w:rsid w:val="00590E18"/>
    <w:rsid w:val="005910E9"/>
    <w:rsid w:val="00591374"/>
    <w:rsid w:val="0059197C"/>
    <w:rsid w:val="00591A37"/>
    <w:rsid w:val="00592812"/>
    <w:rsid w:val="00592A76"/>
    <w:rsid w:val="00592C19"/>
    <w:rsid w:val="00592EE8"/>
    <w:rsid w:val="00592F31"/>
    <w:rsid w:val="00592FFB"/>
    <w:rsid w:val="0059305D"/>
    <w:rsid w:val="00593091"/>
    <w:rsid w:val="005933EF"/>
    <w:rsid w:val="0059372D"/>
    <w:rsid w:val="00593F7E"/>
    <w:rsid w:val="0059435A"/>
    <w:rsid w:val="005943E9"/>
    <w:rsid w:val="005944E9"/>
    <w:rsid w:val="005945B6"/>
    <w:rsid w:val="00594A1C"/>
    <w:rsid w:val="00594A79"/>
    <w:rsid w:val="00594C9F"/>
    <w:rsid w:val="00594DEA"/>
    <w:rsid w:val="00594E55"/>
    <w:rsid w:val="00594F9C"/>
    <w:rsid w:val="0059515B"/>
    <w:rsid w:val="005951D2"/>
    <w:rsid w:val="005951F2"/>
    <w:rsid w:val="005955A3"/>
    <w:rsid w:val="00595E1D"/>
    <w:rsid w:val="00595E99"/>
    <w:rsid w:val="00596087"/>
    <w:rsid w:val="005965ED"/>
    <w:rsid w:val="00596E81"/>
    <w:rsid w:val="0059766C"/>
    <w:rsid w:val="00597905"/>
    <w:rsid w:val="00597CE4"/>
    <w:rsid w:val="00597F7F"/>
    <w:rsid w:val="005A0287"/>
    <w:rsid w:val="005A04FF"/>
    <w:rsid w:val="005A05A3"/>
    <w:rsid w:val="005A0814"/>
    <w:rsid w:val="005A096A"/>
    <w:rsid w:val="005A0EC4"/>
    <w:rsid w:val="005A0FA9"/>
    <w:rsid w:val="005A10CD"/>
    <w:rsid w:val="005A166B"/>
    <w:rsid w:val="005A1925"/>
    <w:rsid w:val="005A1AF5"/>
    <w:rsid w:val="005A2933"/>
    <w:rsid w:val="005A2939"/>
    <w:rsid w:val="005A2988"/>
    <w:rsid w:val="005A2B2D"/>
    <w:rsid w:val="005A2C68"/>
    <w:rsid w:val="005A2D6E"/>
    <w:rsid w:val="005A2F9D"/>
    <w:rsid w:val="005A301F"/>
    <w:rsid w:val="005A3374"/>
    <w:rsid w:val="005A359B"/>
    <w:rsid w:val="005A39FC"/>
    <w:rsid w:val="005A3FD0"/>
    <w:rsid w:val="005A4041"/>
    <w:rsid w:val="005A4424"/>
    <w:rsid w:val="005A4504"/>
    <w:rsid w:val="005A46DB"/>
    <w:rsid w:val="005A4C50"/>
    <w:rsid w:val="005A4C56"/>
    <w:rsid w:val="005A4D12"/>
    <w:rsid w:val="005A4E9B"/>
    <w:rsid w:val="005A4EDD"/>
    <w:rsid w:val="005A4FF8"/>
    <w:rsid w:val="005A5885"/>
    <w:rsid w:val="005A5C87"/>
    <w:rsid w:val="005A5CD6"/>
    <w:rsid w:val="005A603A"/>
    <w:rsid w:val="005A6063"/>
    <w:rsid w:val="005A61E8"/>
    <w:rsid w:val="005A6602"/>
    <w:rsid w:val="005A6919"/>
    <w:rsid w:val="005A6A58"/>
    <w:rsid w:val="005A6B33"/>
    <w:rsid w:val="005A6E2B"/>
    <w:rsid w:val="005A70BA"/>
    <w:rsid w:val="005A7835"/>
    <w:rsid w:val="005A7B6C"/>
    <w:rsid w:val="005B0244"/>
    <w:rsid w:val="005B05B5"/>
    <w:rsid w:val="005B0ADA"/>
    <w:rsid w:val="005B0C22"/>
    <w:rsid w:val="005B0D00"/>
    <w:rsid w:val="005B0D2B"/>
    <w:rsid w:val="005B135E"/>
    <w:rsid w:val="005B13B1"/>
    <w:rsid w:val="005B14C9"/>
    <w:rsid w:val="005B1B46"/>
    <w:rsid w:val="005B1B5F"/>
    <w:rsid w:val="005B1E07"/>
    <w:rsid w:val="005B1F0A"/>
    <w:rsid w:val="005B2466"/>
    <w:rsid w:val="005B2AC5"/>
    <w:rsid w:val="005B3017"/>
    <w:rsid w:val="005B375D"/>
    <w:rsid w:val="005B37A0"/>
    <w:rsid w:val="005B3829"/>
    <w:rsid w:val="005B38C9"/>
    <w:rsid w:val="005B39AD"/>
    <w:rsid w:val="005B3E0F"/>
    <w:rsid w:val="005B3F7B"/>
    <w:rsid w:val="005B42AE"/>
    <w:rsid w:val="005B44C3"/>
    <w:rsid w:val="005B4BE8"/>
    <w:rsid w:val="005B4CCB"/>
    <w:rsid w:val="005B4E7D"/>
    <w:rsid w:val="005B4FE2"/>
    <w:rsid w:val="005B50FF"/>
    <w:rsid w:val="005B517B"/>
    <w:rsid w:val="005B5318"/>
    <w:rsid w:val="005B5329"/>
    <w:rsid w:val="005B5368"/>
    <w:rsid w:val="005B54A6"/>
    <w:rsid w:val="005B5A02"/>
    <w:rsid w:val="005B5F1B"/>
    <w:rsid w:val="005B660F"/>
    <w:rsid w:val="005B6DFD"/>
    <w:rsid w:val="005B70D7"/>
    <w:rsid w:val="005B759C"/>
    <w:rsid w:val="005B782C"/>
    <w:rsid w:val="005B78BF"/>
    <w:rsid w:val="005B7A8C"/>
    <w:rsid w:val="005B7DD5"/>
    <w:rsid w:val="005B7FB2"/>
    <w:rsid w:val="005C00A5"/>
    <w:rsid w:val="005C08D4"/>
    <w:rsid w:val="005C08E0"/>
    <w:rsid w:val="005C0C58"/>
    <w:rsid w:val="005C10E0"/>
    <w:rsid w:val="005C1118"/>
    <w:rsid w:val="005C12C2"/>
    <w:rsid w:val="005C15B1"/>
    <w:rsid w:val="005C1788"/>
    <w:rsid w:val="005C186B"/>
    <w:rsid w:val="005C1B02"/>
    <w:rsid w:val="005C1F70"/>
    <w:rsid w:val="005C1F71"/>
    <w:rsid w:val="005C231E"/>
    <w:rsid w:val="005C23C9"/>
    <w:rsid w:val="005C25BC"/>
    <w:rsid w:val="005C25F0"/>
    <w:rsid w:val="005C25F1"/>
    <w:rsid w:val="005C26CC"/>
    <w:rsid w:val="005C28CC"/>
    <w:rsid w:val="005C291F"/>
    <w:rsid w:val="005C2A3A"/>
    <w:rsid w:val="005C2AB7"/>
    <w:rsid w:val="005C325C"/>
    <w:rsid w:val="005C32CD"/>
    <w:rsid w:val="005C3851"/>
    <w:rsid w:val="005C3936"/>
    <w:rsid w:val="005C3EF6"/>
    <w:rsid w:val="005C40E3"/>
    <w:rsid w:val="005C4438"/>
    <w:rsid w:val="005C44CB"/>
    <w:rsid w:val="005C4568"/>
    <w:rsid w:val="005C4A6E"/>
    <w:rsid w:val="005C4A8A"/>
    <w:rsid w:val="005C4B94"/>
    <w:rsid w:val="005C4C33"/>
    <w:rsid w:val="005C4E08"/>
    <w:rsid w:val="005C50EE"/>
    <w:rsid w:val="005C520F"/>
    <w:rsid w:val="005C5528"/>
    <w:rsid w:val="005C598A"/>
    <w:rsid w:val="005C5A7A"/>
    <w:rsid w:val="005C5F43"/>
    <w:rsid w:val="005C5F47"/>
    <w:rsid w:val="005C5FE6"/>
    <w:rsid w:val="005C61A9"/>
    <w:rsid w:val="005C6415"/>
    <w:rsid w:val="005C65F1"/>
    <w:rsid w:val="005C6AEB"/>
    <w:rsid w:val="005C707B"/>
    <w:rsid w:val="005C718C"/>
    <w:rsid w:val="005C758F"/>
    <w:rsid w:val="005C7672"/>
    <w:rsid w:val="005C78A7"/>
    <w:rsid w:val="005C7D4C"/>
    <w:rsid w:val="005D02DC"/>
    <w:rsid w:val="005D03EA"/>
    <w:rsid w:val="005D19C6"/>
    <w:rsid w:val="005D1E66"/>
    <w:rsid w:val="005D25D7"/>
    <w:rsid w:val="005D262D"/>
    <w:rsid w:val="005D271B"/>
    <w:rsid w:val="005D2D8D"/>
    <w:rsid w:val="005D2E76"/>
    <w:rsid w:val="005D30C4"/>
    <w:rsid w:val="005D37E2"/>
    <w:rsid w:val="005D3C2A"/>
    <w:rsid w:val="005D3EFE"/>
    <w:rsid w:val="005D44DB"/>
    <w:rsid w:val="005D44E1"/>
    <w:rsid w:val="005D4642"/>
    <w:rsid w:val="005D472F"/>
    <w:rsid w:val="005D4A72"/>
    <w:rsid w:val="005D4CA5"/>
    <w:rsid w:val="005D4F60"/>
    <w:rsid w:val="005D5050"/>
    <w:rsid w:val="005D51AD"/>
    <w:rsid w:val="005D54EC"/>
    <w:rsid w:val="005D59B7"/>
    <w:rsid w:val="005D59BF"/>
    <w:rsid w:val="005D5FB0"/>
    <w:rsid w:val="005D6430"/>
    <w:rsid w:val="005D6709"/>
    <w:rsid w:val="005D672A"/>
    <w:rsid w:val="005D672D"/>
    <w:rsid w:val="005D6C37"/>
    <w:rsid w:val="005D6E15"/>
    <w:rsid w:val="005D6E97"/>
    <w:rsid w:val="005D7066"/>
    <w:rsid w:val="005D70BF"/>
    <w:rsid w:val="005D70D4"/>
    <w:rsid w:val="005D7172"/>
    <w:rsid w:val="005D747A"/>
    <w:rsid w:val="005D76AA"/>
    <w:rsid w:val="005D7AB0"/>
    <w:rsid w:val="005D7D1D"/>
    <w:rsid w:val="005D7E50"/>
    <w:rsid w:val="005E02FC"/>
    <w:rsid w:val="005E0A04"/>
    <w:rsid w:val="005E108B"/>
    <w:rsid w:val="005E1515"/>
    <w:rsid w:val="005E15F0"/>
    <w:rsid w:val="005E19F1"/>
    <w:rsid w:val="005E1ACF"/>
    <w:rsid w:val="005E21A9"/>
    <w:rsid w:val="005E28D7"/>
    <w:rsid w:val="005E2FCE"/>
    <w:rsid w:val="005E3301"/>
    <w:rsid w:val="005E3542"/>
    <w:rsid w:val="005E3A35"/>
    <w:rsid w:val="005E3A79"/>
    <w:rsid w:val="005E3B81"/>
    <w:rsid w:val="005E3C36"/>
    <w:rsid w:val="005E3E07"/>
    <w:rsid w:val="005E4249"/>
    <w:rsid w:val="005E4279"/>
    <w:rsid w:val="005E4579"/>
    <w:rsid w:val="005E4A5D"/>
    <w:rsid w:val="005E4BC5"/>
    <w:rsid w:val="005E571F"/>
    <w:rsid w:val="005E5887"/>
    <w:rsid w:val="005E628E"/>
    <w:rsid w:val="005E65A7"/>
    <w:rsid w:val="005E6D58"/>
    <w:rsid w:val="005E6E08"/>
    <w:rsid w:val="005E6F82"/>
    <w:rsid w:val="005E7555"/>
    <w:rsid w:val="005E7613"/>
    <w:rsid w:val="005E76E7"/>
    <w:rsid w:val="005E7C92"/>
    <w:rsid w:val="005E7D82"/>
    <w:rsid w:val="005F00AF"/>
    <w:rsid w:val="005F03D6"/>
    <w:rsid w:val="005F06AB"/>
    <w:rsid w:val="005F0A16"/>
    <w:rsid w:val="005F11AA"/>
    <w:rsid w:val="005F1539"/>
    <w:rsid w:val="005F1C03"/>
    <w:rsid w:val="005F1D1A"/>
    <w:rsid w:val="005F1E63"/>
    <w:rsid w:val="005F218C"/>
    <w:rsid w:val="005F2BD1"/>
    <w:rsid w:val="005F2BF9"/>
    <w:rsid w:val="005F2E70"/>
    <w:rsid w:val="005F3015"/>
    <w:rsid w:val="005F309D"/>
    <w:rsid w:val="005F30D0"/>
    <w:rsid w:val="005F3888"/>
    <w:rsid w:val="005F391C"/>
    <w:rsid w:val="005F3A05"/>
    <w:rsid w:val="005F3B03"/>
    <w:rsid w:val="005F3C17"/>
    <w:rsid w:val="005F3CD1"/>
    <w:rsid w:val="005F3D50"/>
    <w:rsid w:val="005F404B"/>
    <w:rsid w:val="005F4246"/>
    <w:rsid w:val="005F47CE"/>
    <w:rsid w:val="005F4B7E"/>
    <w:rsid w:val="005F4BFA"/>
    <w:rsid w:val="005F4CEA"/>
    <w:rsid w:val="005F4E3B"/>
    <w:rsid w:val="005F4F4B"/>
    <w:rsid w:val="005F5192"/>
    <w:rsid w:val="005F5292"/>
    <w:rsid w:val="005F5546"/>
    <w:rsid w:val="005F5652"/>
    <w:rsid w:val="005F5660"/>
    <w:rsid w:val="005F59E5"/>
    <w:rsid w:val="005F5A7A"/>
    <w:rsid w:val="005F5CDC"/>
    <w:rsid w:val="005F5DFA"/>
    <w:rsid w:val="005F612C"/>
    <w:rsid w:val="005F62E1"/>
    <w:rsid w:val="005F6478"/>
    <w:rsid w:val="005F655F"/>
    <w:rsid w:val="005F6756"/>
    <w:rsid w:val="005F68B8"/>
    <w:rsid w:val="005F6992"/>
    <w:rsid w:val="005F7207"/>
    <w:rsid w:val="005F72BE"/>
    <w:rsid w:val="005F7334"/>
    <w:rsid w:val="005F75D1"/>
    <w:rsid w:val="0060049C"/>
    <w:rsid w:val="006007B1"/>
    <w:rsid w:val="00600872"/>
    <w:rsid w:val="006009A9"/>
    <w:rsid w:val="006009CC"/>
    <w:rsid w:val="006009D3"/>
    <w:rsid w:val="00600F66"/>
    <w:rsid w:val="006012D9"/>
    <w:rsid w:val="00601501"/>
    <w:rsid w:val="0060169B"/>
    <w:rsid w:val="00601768"/>
    <w:rsid w:val="00601A70"/>
    <w:rsid w:val="00601AB5"/>
    <w:rsid w:val="00602267"/>
    <w:rsid w:val="006022FB"/>
    <w:rsid w:val="006024AB"/>
    <w:rsid w:val="0060276B"/>
    <w:rsid w:val="006029DF"/>
    <w:rsid w:val="00602EAF"/>
    <w:rsid w:val="00603387"/>
    <w:rsid w:val="0060369A"/>
    <w:rsid w:val="006036C1"/>
    <w:rsid w:val="00603766"/>
    <w:rsid w:val="0060396A"/>
    <w:rsid w:val="00603A32"/>
    <w:rsid w:val="00603FDC"/>
    <w:rsid w:val="00604611"/>
    <w:rsid w:val="00604969"/>
    <w:rsid w:val="00604CCD"/>
    <w:rsid w:val="00604D20"/>
    <w:rsid w:val="00604D3F"/>
    <w:rsid w:val="00604E28"/>
    <w:rsid w:val="00604E8A"/>
    <w:rsid w:val="006052F3"/>
    <w:rsid w:val="006053E8"/>
    <w:rsid w:val="0060561A"/>
    <w:rsid w:val="00605A28"/>
    <w:rsid w:val="00605D29"/>
    <w:rsid w:val="00605D53"/>
    <w:rsid w:val="00606440"/>
    <w:rsid w:val="006065E6"/>
    <w:rsid w:val="00606750"/>
    <w:rsid w:val="00606A42"/>
    <w:rsid w:val="00606E49"/>
    <w:rsid w:val="0060727C"/>
    <w:rsid w:val="00607366"/>
    <w:rsid w:val="00607A2B"/>
    <w:rsid w:val="00607E71"/>
    <w:rsid w:val="006101E7"/>
    <w:rsid w:val="006101FA"/>
    <w:rsid w:val="006103ED"/>
    <w:rsid w:val="00610451"/>
    <w:rsid w:val="00610496"/>
    <w:rsid w:val="0061060F"/>
    <w:rsid w:val="00610D0A"/>
    <w:rsid w:val="006114F3"/>
    <w:rsid w:val="006115C1"/>
    <w:rsid w:val="006118B3"/>
    <w:rsid w:val="00611DE9"/>
    <w:rsid w:val="00612117"/>
    <w:rsid w:val="00612172"/>
    <w:rsid w:val="0061232D"/>
    <w:rsid w:val="00612670"/>
    <w:rsid w:val="00612E48"/>
    <w:rsid w:val="00612F06"/>
    <w:rsid w:val="00613230"/>
    <w:rsid w:val="00613312"/>
    <w:rsid w:val="00613505"/>
    <w:rsid w:val="0061350A"/>
    <w:rsid w:val="00613635"/>
    <w:rsid w:val="006138BF"/>
    <w:rsid w:val="006138F2"/>
    <w:rsid w:val="00613951"/>
    <w:rsid w:val="00613A24"/>
    <w:rsid w:val="00613B0A"/>
    <w:rsid w:val="00613F84"/>
    <w:rsid w:val="0061401A"/>
    <w:rsid w:val="00614041"/>
    <w:rsid w:val="00614069"/>
    <w:rsid w:val="006142B8"/>
    <w:rsid w:val="006142D2"/>
    <w:rsid w:val="0061438E"/>
    <w:rsid w:val="00614795"/>
    <w:rsid w:val="006148EF"/>
    <w:rsid w:val="00615034"/>
    <w:rsid w:val="0061591A"/>
    <w:rsid w:val="00615A34"/>
    <w:rsid w:val="00615CE1"/>
    <w:rsid w:val="0061645F"/>
    <w:rsid w:val="00616656"/>
    <w:rsid w:val="006167AE"/>
    <w:rsid w:val="00616902"/>
    <w:rsid w:val="00616979"/>
    <w:rsid w:val="00616B16"/>
    <w:rsid w:val="00616EA5"/>
    <w:rsid w:val="00617000"/>
    <w:rsid w:val="006173CA"/>
    <w:rsid w:val="006173FB"/>
    <w:rsid w:val="006179C4"/>
    <w:rsid w:val="00617A1A"/>
    <w:rsid w:val="00617A9B"/>
    <w:rsid w:val="00617AE1"/>
    <w:rsid w:val="00617D61"/>
    <w:rsid w:val="00620327"/>
    <w:rsid w:val="00620F40"/>
    <w:rsid w:val="006212F7"/>
    <w:rsid w:val="006215F5"/>
    <w:rsid w:val="006216E5"/>
    <w:rsid w:val="00621846"/>
    <w:rsid w:val="006219F1"/>
    <w:rsid w:val="00621C6C"/>
    <w:rsid w:val="00621C70"/>
    <w:rsid w:val="00621CE1"/>
    <w:rsid w:val="006223B2"/>
    <w:rsid w:val="00622435"/>
    <w:rsid w:val="00622685"/>
    <w:rsid w:val="006227CA"/>
    <w:rsid w:val="00623006"/>
    <w:rsid w:val="00623268"/>
    <w:rsid w:val="00623610"/>
    <w:rsid w:val="006237FB"/>
    <w:rsid w:val="00623D2F"/>
    <w:rsid w:val="00623D72"/>
    <w:rsid w:val="0062400E"/>
    <w:rsid w:val="0062405C"/>
    <w:rsid w:val="00624100"/>
    <w:rsid w:val="0062477E"/>
    <w:rsid w:val="0062488E"/>
    <w:rsid w:val="00624D0D"/>
    <w:rsid w:val="00625198"/>
    <w:rsid w:val="0062534F"/>
    <w:rsid w:val="0062546A"/>
    <w:rsid w:val="006254F7"/>
    <w:rsid w:val="006256F3"/>
    <w:rsid w:val="006258FD"/>
    <w:rsid w:val="00625976"/>
    <w:rsid w:val="0062604B"/>
    <w:rsid w:val="006260B3"/>
    <w:rsid w:val="006263FF"/>
    <w:rsid w:val="00627038"/>
    <w:rsid w:val="006271B7"/>
    <w:rsid w:val="00627628"/>
    <w:rsid w:val="006277D9"/>
    <w:rsid w:val="00627E2B"/>
    <w:rsid w:val="00630253"/>
    <w:rsid w:val="00630578"/>
    <w:rsid w:val="006306E5"/>
    <w:rsid w:val="00630AFA"/>
    <w:rsid w:val="0063138D"/>
    <w:rsid w:val="006315F1"/>
    <w:rsid w:val="00631DAF"/>
    <w:rsid w:val="00631E24"/>
    <w:rsid w:val="0063214C"/>
    <w:rsid w:val="00632183"/>
    <w:rsid w:val="00632601"/>
    <w:rsid w:val="006327B6"/>
    <w:rsid w:val="00632C4C"/>
    <w:rsid w:val="00632E01"/>
    <w:rsid w:val="006336AC"/>
    <w:rsid w:val="00633A4B"/>
    <w:rsid w:val="00633A7D"/>
    <w:rsid w:val="00633B2C"/>
    <w:rsid w:val="00633CFA"/>
    <w:rsid w:val="00633E4B"/>
    <w:rsid w:val="0063408B"/>
    <w:rsid w:val="00634203"/>
    <w:rsid w:val="006347D8"/>
    <w:rsid w:val="00634DB0"/>
    <w:rsid w:val="00634DEA"/>
    <w:rsid w:val="00635961"/>
    <w:rsid w:val="00635A9B"/>
    <w:rsid w:val="00635CEA"/>
    <w:rsid w:val="006362F0"/>
    <w:rsid w:val="00636B40"/>
    <w:rsid w:val="00636D75"/>
    <w:rsid w:val="0063731D"/>
    <w:rsid w:val="00637377"/>
    <w:rsid w:val="00637C2F"/>
    <w:rsid w:val="00637F84"/>
    <w:rsid w:val="00640237"/>
    <w:rsid w:val="00640532"/>
    <w:rsid w:val="00640671"/>
    <w:rsid w:val="00640B7A"/>
    <w:rsid w:val="00640E14"/>
    <w:rsid w:val="00640FFE"/>
    <w:rsid w:val="0064182B"/>
    <w:rsid w:val="00641C5D"/>
    <w:rsid w:val="00641CFD"/>
    <w:rsid w:val="00641D20"/>
    <w:rsid w:val="00641D28"/>
    <w:rsid w:val="00641DB3"/>
    <w:rsid w:val="00641F79"/>
    <w:rsid w:val="00642646"/>
    <w:rsid w:val="00642A30"/>
    <w:rsid w:val="00642A7E"/>
    <w:rsid w:val="00642E17"/>
    <w:rsid w:val="0064311A"/>
    <w:rsid w:val="0064367A"/>
    <w:rsid w:val="006436DC"/>
    <w:rsid w:val="0064374D"/>
    <w:rsid w:val="00643757"/>
    <w:rsid w:val="006437C7"/>
    <w:rsid w:val="00643FBD"/>
    <w:rsid w:val="006441A1"/>
    <w:rsid w:val="0064425E"/>
    <w:rsid w:val="00644288"/>
    <w:rsid w:val="006443DA"/>
    <w:rsid w:val="00644A29"/>
    <w:rsid w:val="00644FAD"/>
    <w:rsid w:val="00644FC1"/>
    <w:rsid w:val="0064514B"/>
    <w:rsid w:val="00645F07"/>
    <w:rsid w:val="00646763"/>
    <w:rsid w:val="00646C44"/>
    <w:rsid w:val="00646D6D"/>
    <w:rsid w:val="00647120"/>
    <w:rsid w:val="00647252"/>
    <w:rsid w:val="006476BC"/>
    <w:rsid w:val="0064783F"/>
    <w:rsid w:val="00647BB9"/>
    <w:rsid w:val="00647EB6"/>
    <w:rsid w:val="00647F19"/>
    <w:rsid w:val="006505CF"/>
    <w:rsid w:val="0065079D"/>
    <w:rsid w:val="00650866"/>
    <w:rsid w:val="00651133"/>
    <w:rsid w:val="006511A2"/>
    <w:rsid w:val="006511EF"/>
    <w:rsid w:val="006512B0"/>
    <w:rsid w:val="006515E6"/>
    <w:rsid w:val="00651A2B"/>
    <w:rsid w:val="00651A30"/>
    <w:rsid w:val="00651A6B"/>
    <w:rsid w:val="00651B7A"/>
    <w:rsid w:val="00652665"/>
    <w:rsid w:val="00652DA8"/>
    <w:rsid w:val="00652E8A"/>
    <w:rsid w:val="00653110"/>
    <w:rsid w:val="006531BB"/>
    <w:rsid w:val="006532C5"/>
    <w:rsid w:val="0065366D"/>
    <w:rsid w:val="00653D5D"/>
    <w:rsid w:val="00653EBA"/>
    <w:rsid w:val="00653F66"/>
    <w:rsid w:val="006541B3"/>
    <w:rsid w:val="006547C3"/>
    <w:rsid w:val="00654A6D"/>
    <w:rsid w:val="00654B4A"/>
    <w:rsid w:val="00654B5C"/>
    <w:rsid w:val="00654BBB"/>
    <w:rsid w:val="00654FB7"/>
    <w:rsid w:val="00655209"/>
    <w:rsid w:val="00655870"/>
    <w:rsid w:val="00655CB7"/>
    <w:rsid w:val="006561CA"/>
    <w:rsid w:val="00656534"/>
    <w:rsid w:val="00656D98"/>
    <w:rsid w:val="00656EF0"/>
    <w:rsid w:val="00656EFA"/>
    <w:rsid w:val="0065710B"/>
    <w:rsid w:val="00657258"/>
    <w:rsid w:val="0065731A"/>
    <w:rsid w:val="006573BF"/>
    <w:rsid w:val="00657973"/>
    <w:rsid w:val="00657A01"/>
    <w:rsid w:val="00657A72"/>
    <w:rsid w:val="00657D5E"/>
    <w:rsid w:val="00657D76"/>
    <w:rsid w:val="00657FA4"/>
    <w:rsid w:val="00660951"/>
    <w:rsid w:val="00660A94"/>
    <w:rsid w:val="00660D12"/>
    <w:rsid w:val="00660E43"/>
    <w:rsid w:val="00661094"/>
    <w:rsid w:val="00661325"/>
    <w:rsid w:val="0066148F"/>
    <w:rsid w:val="006614A7"/>
    <w:rsid w:val="006616D9"/>
    <w:rsid w:val="00661BDA"/>
    <w:rsid w:val="00661D89"/>
    <w:rsid w:val="0066207F"/>
    <w:rsid w:val="006620E0"/>
    <w:rsid w:val="00662A70"/>
    <w:rsid w:val="00662EFC"/>
    <w:rsid w:val="006630C0"/>
    <w:rsid w:val="006630DD"/>
    <w:rsid w:val="00663ACB"/>
    <w:rsid w:val="00663BC8"/>
    <w:rsid w:val="00663F2A"/>
    <w:rsid w:val="0066408D"/>
    <w:rsid w:val="0066449E"/>
    <w:rsid w:val="00664A02"/>
    <w:rsid w:val="00664BB5"/>
    <w:rsid w:val="00664CEC"/>
    <w:rsid w:val="00664FEE"/>
    <w:rsid w:val="006650DF"/>
    <w:rsid w:val="0066542C"/>
    <w:rsid w:val="00665502"/>
    <w:rsid w:val="0066551C"/>
    <w:rsid w:val="00665789"/>
    <w:rsid w:val="00665A91"/>
    <w:rsid w:val="00665DD3"/>
    <w:rsid w:val="00665E26"/>
    <w:rsid w:val="00665F10"/>
    <w:rsid w:val="00665F7B"/>
    <w:rsid w:val="0066617D"/>
    <w:rsid w:val="0066641B"/>
    <w:rsid w:val="006668B7"/>
    <w:rsid w:val="00666A39"/>
    <w:rsid w:val="00666A48"/>
    <w:rsid w:val="00666FE3"/>
    <w:rsid w:val="00667047"/>
    <w:rsid w:val="006670BB"/>
    <w:rsid w:val="006670C9"/>
    <w:rsid w:val="0067018C"/>
    <w:rsid w:val="006703E1"/>
    <w:rsid w:val="00670607"/>
    <w:rsid w:val="0067076F"/>
    <w:rsid w:val="00670817"/>
    <w:rsid w:val="006709CA"/>
    <w:rsid w:val="00670A03"/>
    <w:rsid w:val="00670EC2"/>
    <w:rsid w:val="00670FF6"/>
    <w:rsid w:val="00671870"/>
    <w:rsid w:val="006718DB"/>
    <w:rsid w:val="00671B92"/>
    <w:rsid w:val="00671C4D"/>
    <w:rsid w:val="00671CC3"/>
    <w:rsid w:val="00671EAD"/>
    <w:rsid w:val="00671F59"/>
    <w:rsid w:val="00671FA2"/>
    <w:rsid w:val="00672396"/>
    <w:rsid w:val="00672548"/>
    <w:rsid w:val="00672739"/>
    <w:rsid w:val="006728F6"/>
    <w:rsid w:val="0067350E"/>
    <w:rsid w:val="00673A6C"/>
    <w:rsid w:val="00673C5C"/>
    <w:rsid w:val="00673E23"/>
    <w:rsid w:val="0067416C"/>
    <w:rsid w:val="006745FB"/>
    <w:rsid w:val="006746B9"/>
    <w:rsid w:val="006747B5"/>
    <w:rsid w:val="0067497C"/>
    <w:rsid w:val="00674987"/>
    <w:rsid w:val="00674E29"/>
    <w:rsid w:val="006751B4"/>
    <w:rsid w:val="006751BB"/>
    <w:rsid w:val="006753A1"/>
    <w:rsid w:val="00675462"/>
    <w:rsid w:val="0067546F"/>
    <w:rsid w:val="006757AB"/>
    <w:rsid w:val="00675A43"/>
    <w:rsid w:val="00675B12"/>
    <w:rsid w:val="00675C88"/>
    <w:rsid w:val="00675D50"/>
    <w:rsid w:val="00676A05"/>
    <w:rsid w:val="00676B22"/>
    <w:rsid w:val="00677338"/>
    <w:rsid w:val="0067744D"/>
    <w:rsid w:val="006776CE"/>
    <w:rsid w:val="00677714"/>
    <w:rsid w:val="00677718"/>
    <w:rsid w:val="00677EB6"/>
    <w:rsid w:val="00677EBF"/>
    <w:rsid w:val="006804FD"/>
    <w:rsid w:val="00681193"/>
    <w:rsid w:val="006819A9"/>
    <w:rsid w:val="00681EEF"/>
    <w:rsid w:val="0068202C"/>
    <w:rsid w:val="006822DE"/>
    <w:rsid w:val="00682333"/>
    <w:rsid w:val="006827C5"/>
    <w:rsid w:val="006829F1"/>
    <w:rsid w:val="00682ADE"/>
    <w:rsid w:val="00682AEF"/>
    <w:rsid w:val="00682BF7"/>
    <w:rsid w:val="00682F31"/>
    <w:rsid w:val="00683F99"/>
    <w:rsid w:val="00684073"/>
    <w:rsid w:val="0068409F"/>
    <w:rsid w:val="006841EF"/>
    <w:rsid w:val="0068425D"/>
    <w:rsid w:val="006844E7"/>
    <w:rsid w:val="006845FB"/>
    <w:rsid w:val="006847A8"/>
    <w:rsid w:val="00684E58"/>
    <w:rsid w:val="00685713"/>
    <w:rsid w:val="006858E1"/>
    <w:rsid w:val="00685B85"/>
    <w:rsid w:val="00685E22"/>
    <w:rsid w:val="00685E7E"/>
    <w:rsid w:val="00685F85"/>
    <w:rsid w:val="0068617F"/>
    <w:rsid w:val="006866B4"/>
    <w:rsid w:val="00686931"/>
    <w:rsid w:val="00686B88"/>
    <w:rsid w:val="00686C31"/>
    <w:rsid w:val="00686C3E"/>
    <w:rsid w:val="006871F3"/>
    <w:rsid w:val="0068740C"/>
    <w:rsid w:val="00687556"/>
    <w:rsid w:val="0068768C"/>
    <w:rsid w:val="00687A06"/>
    <w:rsid w:val="00687E95"/>
    <w:rsid w:val="0069032C"/>
    <w:rsid w:val="00690B0A"/>
    <w:rsid w:val="00690B2B"/>
    <w:rsid w:val="00690D70"/>
    <w:rsid w:val="00690D77"/>
    <w:rsid w:val="00690D95"/>
    <w:rsid w:val="00690F04"/>
    <w:rsid w:val="006914F5"/>
    <w:rsid w:val="00691940"/>
    <w:rsid w:val="00691F57"/>
    <w:rsid w:val="00692107"/>
    <w:rsid w:val="00692405"/>
    <w:rsid w:val="00692640"/>
    <w:rsid w:val="00692668"/>
    <w:rsid w:val="00692A8D"/>
    <w:rsid w:val="00692C26"/>
    <w:rsid w:val="00692C6C"/>
    <w:rsid w:val="00693057"/>
    <w:rsid w:val="0069349A"/>
    <w:rsid w:val="006934BD"/>
    <w:rsid w:val="0069362D"/>
    <w:rsid w:val="006936A7"/>
    <w:rsid w:val="006936CA"/>
    <w:rsid w:val="00693B75"/>
    <w:rsid w:val="00693BF1"/>
    <w:rsid w:val="00693F10"/>
    <w:rsid w:val="006941A1"/>
    <w:rsid w:val="0069450F"/>
    <w:rsid w:val="00694565"/>
    <w:rsid w:val="00694BDA"/>
    <w:rsid w:val="00694DA7"/>
    <w:rsid w:val="006950C1"/>
    <w:rsid w:val="006951C6"/>
    <w:rsid w:val="00695B85"/>
    <w:rsid w:val="00696115"/>
    <w:rsid w:val="00696606"/>
    <w:rsid w:val="006966DA"/>
    <w:rsid w:val="006967E4"/>
    <w:rsid w:val="00696C98"/>
    <w:rsid w:val="00696E3D"/>
    <w:rsid w:val="00696E7A"/>
    <w:rsid w:val="00696F67"/>
    <w:rsid w:val="00697224"/>
    <w:rsid w:val="0069734B"/>
    <w:rsid w:val="006973C6"/>
    <w:rsid w:val="0069799B"/>
    <w:rsid w:val="00697B0F"/>
    <w:rsid w:val="00697E42"/>
    <w:rsid w:val="006A0214"/>
    <w:rsid w:val="006A0350"/>
    <w:rsid w:val="006A0694"/>
    <w:rsid w:val="006A0974"/>
    <w:rsid w:val="006A0B72"/>
    <w:rsid w:val="006A11D7"/>
    <w:rsid w:val="006A14E3"/>
    <w:rsid w:val="006A1525"/>
    <w:rsid w:val="006A15C8"/>
    <w:rsid w:val="006A1802"/>
    <w:rsid w:val="006A1BB6"/>
    <w:rsid w:val="006A1F65"/>
    <w:rsid w:val="006A22D3"/>
    <w:rsid w:val="006A25A1"/>
    <w:rsid w:val="006A28F7"/>
    <w:rsid w:val="006A2D1F"/>
    <w:rsid w:val="006A31FD"/>
    <w:rsid w:val="006A33A9"/>
    <w:rsid w:val="006A399F"/>
    <w:rsid w:val="006A39E1"/>
    <w:rsid w:val="006A3AC9"/>
    <w:rsid w:val="006A3BEA"/>
    <w:rsid w:val="006A4410"/>
    <w:rsid w:val="006A45D8"/>
    <w:rsid w:val="006A47CF"/>
    <w:rsid w:val="006A4818"/>
    <w:rsid w:val="006A4A29"/>
    <w:rsid w:val="006A4B97"/>
    <w:rsid w:val="006A4C02"/>
    <w:rsid w:val="006A4E3D"/>
    <w:rsid w:val="006A4E6E"/>
    <w:rsid w:val="006A5185"/>
    <w:rsid w:val="006A5199"/>
    <w:rsid w:val="006A533E"/>
    <w:rsid w:val="006A5669"/>
    <w:rsid w:val="006A587F"/>
    <w:rsid w:val="006A58E4"/>
    <w:rsid w:val="006A597C"/>
    <w:rsid w:val="006A5A0A"/>
    <w:rsid w:val="006A6170"/>
    <w:rsid w:val="006A6201"/>
    <w:rsid w:val="006A64D4"/>
    <w:rsid w:val="006A6BEF"/>
    <w:rsid w:val="006A6CCA"/>
    <w:rsid w:val="006A70DA"/>
    <w:rsid w:val="006A74E7"/>
    <w:rsid w:val="006A7A42"/>
    <w:rsid w:val="006A7C0C"/>
    <w:rsid w:val="006A7DAA"/>
    <w:rsid w:val="006B000D"/>
    <w:rsid w:val="006B003D"/>
    <w:rsid w:val="006B072C"/>
    <w:rsid w:val="006B096C"/>
    <w:rsid w:val="006B09E7"/>
    <w:rsid w:val="006B10AC"/>
    <w:rsid w:val="006B123A"/>
    <w:rsid w:val="006B18D8"/>
    <w:rsid w:val="006B1C64"/>
    <w:rsid w:val="006B1E95"/>
    <w:rsid w:val="006B1EED"/>
    <w:rsid w:val="006B1FC1"/>
    <w:rsid w:val="006B225F"/>
    <w:rsid w:val="006B2407"/>
    <w:rsid w:val="006B25A6"/>
    <w:rsid w:val="006B3704"/>
    <w:rsid w:val="006B3E32"/>
    <w:rsid w:val="006B3F71"/>
    <w:rsid w:val="006B41AE"/>
    <w:rsid w:val="006B4440"/>
    <w:rsid w:val="006B45C1"/>
    <w:rsid w:val="006B45FA"/>
    <w:rsid w:val="006B488C"/>
    <w:rsid w:val="006B4900"/>
    <w:rsid w:val="006B495A"/>
    <w:rsid w:val="006B4AC2"/>
    <w:rsid w:val="006B4AF0"/>
    <w:rsid w:val="006B4C0E"/>
    <w:rsid w:val="006B5032"/>
    <w:rsid w:val="006B50EE"/>
    <w:rsid w:val="006B527D"/>
    <w:rsid w:val="006B55F8"/>
    <w:rsid w:val="006B5652"/>
    <w:rsid w:val="006B587B"/>
    <w:rsid w:val="006B59B3"/>
    <w:rsid w:val="006B59C1"/>
    <w:rsid w:val="006B5D3D"/>
    <w:rsid w:val="006B611D"/>
    <w:rsid w:val="006B6192"/>
    <w:rsid w:val="006B632F"/>
    <w:rsid w:val="006B6422"/>
    <w:rsid w:val="006B657B"/>
    <w:rsid w:val="006B65AF"/>
    <w:rsid w:val="006B6926"/>
    <w:rsid w:val="006B6CE7"/>
    <w:rsid w:val="006B6E31"/>
    <w:rsid w:val="006B7184"/>
    <w:rsid w:val="006B7CCE"/>
    <w:rsid w:val="006B7EC8"/>
    <w:rsid w:val="006C0346"/>
    <w:rsid w:val="006C06B2"/>
    <w:rsid w:val="006C072B"/>
    <w:rsid w:val="006C092D"/>
    <w:rsid w:val="006C0BCD"/>
    <w:rsid w:val="006C0CE3"/>
    <w:rsid w:val="006C0EB1"/>
    <w:rsid w:val="006C0F2C"/>
    <w:rsid w:val="006C10F0"/>
    <w:rsid w:val="006C11AF"/>
    <w:rsid w:val="006C14B9"/>
    <w:rsid w:val="006C1654"/>
    <w:rsid w:val="006C185B"/>
    <w:rsid w:val="006C19DD"/>
    <w:rsid w:val="006C19E5"/>
    <w:rsid w:val="006C1FE9"/>
    <w:rsid w:val="006C20AC"/>
    <w:rsid w:val="006C2501"/>
    <w:rsid w:val="006C29A8"/>
    <w:rsid w:val="006C2C46"/>
    <w:rsid w:val="006C2D4A"/>
    <w:rsid w:val="006C2E68"/>
    <w:rsid w:val="006C2F69"/>
    <w:rsid w:val="006C327D"/>
    <w:rsid w:val="006C335E"/>
    <w:rsid w:val="006C3453"/>
    <w:rsid w:val="006C3574"/>
    <w:rsid w:val="006C3906"/>
    <w:rsid w:val="006C3A18"/>
    <w:rsid w:val="006C3B9A"/>
    <w:rsid w:val="006C3DFD"/>
    <w:rsid w:val="006C4141"/>
    <w:rsid w:val="006C41A5"/>
    <w:rsid w:val="006C4438"/>
    <w:rsid w:val="006C4458"/>
    <w:rsid w:val="006C44AB"/>
    <w:rsid w:val="006C47CA"/>
    <w:rsid w:val="006C4EE0"/>
    <w:rsid w:val="006C4FA4"/>
    <w:rsid w:val="006C50EF"/>
    <w:rsid w:val="006C52BB"/>
    <w:rsid w:val="006C5737"/>
    <w:rsid w:val="006C57A5"/>
    <w:rsid w:val="006C5A39"/>
    <w:rsid w:val="006C5D93"/>
    <w:rsid w:val="006C5E50"/>
    <w:rsid w:val="006C5F34"/>
    <w:rsid w:val="006C6300"/>
    <w:rsid w:val="006C63C2"/>
    <w:rsid w:val="006C644B"/>
    <w:rsid w:val="006C64C6"/>
    <w:rsid w:val="006C67C3"/>
    <w:rsid w:val="006C6A74"/>
    <w:rsid w:val="006C6B5D"/>
    <w:rsid w:val="006C6C45"/>
    <w:rsid w:val="006C6C68"/>
    <w:rsid w:val="006C6F8E"/>
    <w:rsid w:val="006C7378"/>
    <w:rsid w:val="006C7569"/>
    <w:rsid w:val="006C780D"/>
    <w:rsid w:val="006C7D1E"/>
    <w:rsid w:val="006C7E3B"/>
    <w:rsid w:val="006C7E7E"/>
    <w:rsid w:val="006D0096"/>
    <w:rsid w:val="006D0141"/>
    <w:rsid w:val="006D07CD"/>
    <w:rsid w:val="006D0968"/>
    <w:rsid w:val="006D0C3B"/>
    <w:rsid w:val="006D0D9E"/>
    <w:rsid w:val="006D0E97"/>
    <w:rsid w:val="006D0EEC"/>
    <w:rsid w:val="006D0F50"/>
    <w:rsid w:val="006D1399"/>
    <w:rsid w:val="006D1523"/>
    <w:rsid w:val="006D170D"/>
    <w:rsid w:val="006D1751"/>
    <w:rsid w:val="006D180F"/>
    <w:rsid w:val="006D1A0F"/>
    <w:rsid w:val="006D1DF0"/>
    <w:rsid w:val="006D20A0"/>
    <w:rsid w:val="006D22EC"/>
    <w:rsid w:val="006D2306"/>
    <w:rsid w:val="006D2903"/>
    <w:rsid w:val="006D2AB4"/>
    <w:rsid w:val="006D2E68"/>
    <w:rsid w:val="006D2F0A"/>
    <w:rsid w:val="006D2FE0"/>
    <w:rsid w:val="006D3DB8"/>
    <w:rsid w:val="006D3E27"/>
    <w:rsid w:val="006D40FD"/>
    <w:rsid w:val="006D43ED"/>
    <w:rsid w:val="006D43FB"/>
    <w:rsid w:val="006D464B"/>
    <w:rsid w:val="006D48A0"/>
    <w:rsid w:val="006D48E7"/>
    <w:rsid w:val="006D4924"/>
    <w:rsid w:val="006D5189"/>
    <w:rsid w:val="006D53D5"/>
    <w:rsid w:val="006D54B1"/>
    <w:rsid w:val="006D56AC"/>
    <w:rsid w:val="006D5AA8"/>
    <w:rsid w:val="006D5CA7"/>
    <w:rsid w:val="006D5DDD"/>
    <w:rsid w:val="006D5F2C"/>
    <w:rsid w:val="006D6205"/>
    <w:rsid w:val="006D6732"/>
    <w:rsid w:val="006D6763"/>
    <w:rsid w:val="006D6A39"/>
    <w:rsid w:val="006D6BA1"/>
    <w:rsid w:val="006D6F88"/>
    <w:rsid w:val="006D7229"/>
    <w:rsid w:val="006D7560"/>
    <w:rsid w:val="006D7684"/>
    <w:rsid w:val="006D775D"/>
    <w:rsid w:val="006D7800"/>
    <w:rsid w:val="006D7C6D"/>
    <w:rsid w:val="006D7DEB"/>
    <w:rsid w:val="006D7EBF"/>
    <w:rsid w:val="006D7F0E"/>
    <w:rsid w:val="006E07B0"/>
    <w:rsid w:val="006E09AE"/>
    <w:rsid w:val="006E0B0D"/>
    <w:rsid w:val="006E0BC3"/>
    <w:rsid w:val="006E137E"/>
    <w:rsid w:val="006E13A1"/>
    <w:rsid w:val="006E1B50"/>
    <w:rsid w:val="006E1B66"/>
    <w:rsid w:val="006E1B83"/>
    <w:rsid w:val="006E1CA0"/>
    <w:rsid w:val="006E1F1B"/>
    <w:rsid w:val="006E227E"/>
    <w:rsid w:val="006E24C9"/>
    <w:rsid w:val="006E296B"/>
    <w:rsid w:val="006E29DB"/>
    <w:rsid w:val="006E2E8B"/>
    <w:rsid w:val="006E2F1B"/>
    <w:rsid w:val="006E38F5"/>
    <w:rsid w:val="006E4615"/>
    <w:rsid w:val="006E487F"/>
    <w:rsid w:val="006E489F"/>
    <w:rsid w:val="006E4B7D"/>
    <w:rsid w:val="006E4C73"/>
    <w:rsid w:val="006E4D5D"/>
    <w:rsid w:val="006E4E5D"/>
    <w:rsid w:val="006E4ECE"/>
    <w:rsid w:val="006E50E5"/>
    <w:rsid w:val="006E55A7"/>
    <w:rsid w:val="006E583A"/>
    <w:rsid w:val="006E5C51"/>
    <w:rsid w:val="006E60D2"/>
    <w:rsid w:val="006E6167"/>
    <w:rsid w:val="006E66CE"/>
    <w:rsid w:val="006E6821"/>
    <w:rsid w:val="006E6859"/>
    <w:rsid w:val="006E6972"/>
    <w:rsid w:val="006E6C9C"/>
    <w:rsid w:val="006E6E08"/>
    <w:rsid w:val="006E741E"/>
    <w:rsid w:val="006E7CD8"/>
    <w:rsid w:val="006E7D35"/>
    <w:rsid w:val="006E7D8F"/>
    <w:rsid w:val="006E7D9E"/>
    <w:rsid w:val="006F046E"/>
    <w:rsid w:val="006F0937"/>
    <w:rsid w:val="006F0B43"/>
    <w:rsid w:val="006F0EA1"/>
    <w:rsid w:val="006F0FB6"/>
    <w:rsid w:val="006F11BB"/>
    <w:rsid w:val="006F150B"/>
    <w:rsid w:val="006F16CB"/>
    <w:rsid w:val="006F1941"/>
    <w:rsid w:val="006F1949"/>
    <w:rsid w:val="006F19F3"/>
    <w:rsid w:val="006F1BD6"/>
    <w:rsid w:val="006F1CDC"/>
    <w:rsid w:val="006F2259"/>
    <w:rsid w:val="006F2FF5"/>
    <w:rsid w:val="006F30AE"/>
    <w:rsid w:val="006F3401"/>
    <w:rsid w:val="006F37F9"/>
    <w:rsid w:val="006F41BE"/>
    <w:rsid w:val="006F45E9"/>
    <w:rsid w:val="006F4624"/>
    <w:rsid w:val="006F4F3C"/>
    <w:rsid w:val="006F512C"/>
    <w:rsid w:val="006F53F1"/>
    <w:rsid w:val="006F5568"/>
    <w:rsid w:val="006F5740"/>
    <w:rsid w:val="006F59ED"/>
    <w:rsid w:val="006F5BA0"/>
    <w:rsid w:val="006F5BA3"/>
    <w:rsid w:val="006F5D1E"/>
    <w:rsid w:val="006F5D2B"/>
    <w:rsid w:val="006F5E2C"/>
    <w:rsid w:val="006F5E58"/>
    <w:rsid w:val="006F5F0B"/>
    <w:rsid w:val="006F61F9"/>
    <w:rsid w:val="006F62C7"/>
    <w:rsid w:val="006F646E"/>
    <w:rsid w:val="006F65A0"/>
    <w:rsid w:val="006F66E8"/>
    <w:rsid w:val="006F6876"/>
    <w:rsid w:val="006F6B04"/>
    <w:rsid w:val="006F70D9"/>
    <w:rsid w:val="006F7186"/>
    <w:rsid w:val="006F7411"/>
    <w:rsid w:val="006F78EF"/>
    <w:rsid w:val="006F7AC2"/>
    <w:rsid w:val="006F7B93"/>
    <w:rsid w:val="006F7D7D"/>
    <w:rsid w:val="006F7DBB"/>
    <w:rsid w:val="006F7ED8"/>
    <w:rsid w:val="00700736"/>
    <w:rsid w:val="007009E2"/>
    <w:rsid w:val="00700ADC"/>
    <w:rsid w:val="00700F3F"/>
    <w:rsid w:val="0070105D"/>
    <w:rsid w:val="007012C6"/>
    <w:rsid w:val="0070132A"/>
    <w:rsid w:val="00701A50"/>
    <w:rsid w:val="00701BCB"/>
    <w:rsid w:val="00701D6B"/>
    <w:rsid w:val="00701FDD"/>
    <w:rsid w:val="007024FA"/>
    <w:rsid w:val="00702702"/>
    <w:rsid w:val="0070273D"/>
    <w:rsid w:val="00702D88"/>
    <w:rsid w:val="00702EA0"/>
    <w:rsid w:val="00702F7E"/>
    <w:rsid w:val="00702FF6"/>
    <w:rsid w:val="00702FF7"/>
    <w:rsid w:val="007033D1"/>
    <w:rsid w:val="00703756"/>
    <w:rsid w:val="00703833"/>
    <w:rsid w:val="00703854"/>
    <w:rsid w:val="00703A4A"/>
    <w:rsid w:val="00703B60"/>
    <w:rsid w:val="00703EF0"/>
    <w:rsid w:val="00704058"/>
    <w:rsid w:val="00704595"/>
    <w:rsid w:val="00704688"/>
    <w:rsid w:val="007046F8"/>
    <w:rsid w:val="0070485E"/>
    <w:rsid w:val="0070487B"/>
    <w:rsid w:val="007049F0"/>
    <w:rsid w:val="00704A8C"/>
    <w:rsid w:val="00704C69"/>
    <w:rsid w:val="00704D19"/>
    <w:rsid w:val="00705794"/>
    <w:rsid w:val="0070581A"/>
    <w:rsid w:val="00705C5F"/>
    <w:rsid w:val="00705DD8"/>
    <w:rsid w:val="00705E36"/>
    <w:rsid w:val="00705F3B"/>
    <w:rsid w:val="00705F89"/>
    <w:rsid w:val="00706569"/>
    <w:rsid w:val="00706731"/>
    <w:rsid w:val="00706DD0"/>
    <w:rsid w:val="00706F70"/>
    <w:rsid w:val="007071BE"/>
    <w:rsid w:val="00707316"/>
    <w:rsid w:val="00707647"/>
    <w:rsid w:val="0070764B"/>
    <w:rsid w:val="007079F5"/>
    <w:rsid w:val="00707C64"/>
    <w:rsid w:val="0071007E"/>
    <w:rsid w:val="0071049E"/>
    <w:rsid w:val="00710655"/>
    <w:rsid w:val="00710892"/>
    <w:rsid w:val="00710AA3"/>
    <w:rsid w:val="00710B40"/>
    <w:rsid w:val="00710C64"/>
    <w:rsid w:val="00711046"/>
    <w:rsid w:val="0071106A"/>
    <w:rsid w:val="007110FB"/>
    <w:rsid w:val="0071128C"/>
    <w:rsid w:val="007117B0"/>
    <w:rsid w:val="00711DD2"/>
    <w:rsid w:val="00711F0A"/>
    <w:rsid w:val="007123E4"/>
    <w:rsid w:val="00712469"/>
    <w:rsid w:val="0071262C"/>
    <w:rsid w:val="0071269C"/>
    <w:rsid w:val="00712C09"/>
    <w:rsid w:val="00712DAA"/>
    <w:rsid w:val="00712F89"/>
    <w:rsid w:val="00713109"/>
    <w:rsid w:val="00713176"/>
    <w:rsid w:val="00713598"/>
    <w:rsid w:val="007136ED"/>
    <w:rsid w:val="0071385C"/>
    <w:rsid w:val="00713EA4"/>
    <w:rsid w:val="007145AA"/>
    <w:rsid w:val="00714667"/>
    <w:rsid w:val="00714BF0"/>
    <w:rsid w:val="00714E35"/>
    <w:rsid w:val="00714E73"/>
    <w:rsid w:val="00715286"/>
    <w:rsid w:val="00715938"/>
    <w:rsid w:val="0071599E"/>
    <w:rsid w:val="00715DD9"/>
    <w:rsid w:val="00715F3F"/>
    <w:rsid w:val="007167FE"/>
    <w:rsid w:val="007168CF"/>
    <w:rsid w:val="00717517"/>
    <w:rsid w:val="00720055"/>
    <w:rsid w:val="0072008C"/>
    <w:rsid w:val="00720205"/>
    <w:rsid w:val="007203B2"/>
    <w:rsid w:val="00720582"/>
    <w:rsid w:val="007205AF"/>
    <w:rsid w:val="007211B8"/>
    <w:rsid w:val="007212D3"/>
    <w:rsid w:val="00721480"/>
    <w:rsid w:val="00721681"/>
    <w:rsid w:val="007219D9"/>
    <w:rsid w:val="00721BCD"/>
    <w:rsid w:val="007220CC"/>
    <w:rsid w:val="0072256F"/>
    <w:rsid w:val="007227E8"/>
    <w:rsid w:val="0072288A"/>
    <w:rsid w:val="00722A54"/>
    <w:rsid w:val="00722C57"/>
    <w:rsid w:val="00722E0E"/>
    <w:rsid w:val="007233DC"/>
    <w:rsid w:val="0072361C"/>
    <w:rsid w:val="0072387B"/>
    <w:rsid w:val="00723DF4"/>
    <w:rsid w:val="00723F8F"/>
    <w:rsid w:val="007244EF"/>
    <w:rsid w:val="00724BBC"/>
    <w:rsid w:val="00724D31"/>
    <w:rsid w:val="00724EDE"/>
    <w:rsid w:val="00724FB9"/>
    <w:rsid w:val="00725551"/>
    <w:rsid w:val="0072564A"/>
    <w:rsid w:val="00725B50"/>
    <w:rsid w:val="00726D0D"/>
    <w:rsid w:val="00726F18"/>
    <w:rsid w:val="007273D4"/>
    <w:rsid w:val="00727421"/>
    <w:rsid w:val="0072747D"/>
    <w:rsid w:val="00727611"/>
    <w:rsid w:val="00727688"/>
    <w:rsid w:val="00727C5A"/>
    <w:rsid w:val="00727CCB"/>
    <w:rsid w:val="00727F18"/>
    <w:rsid w:val="00730110"/>
    <w:rsid w:val="007301D1"/>
    <w:rsid w:val="007302EF"/>
    <w:rsid w:val="007305A7"/>
    <w:rsid w:val="00730881"/>
    <w:rsid w:val="007308CE"/>
    <w:rsid w:val="00730A30"/>
    <w:rsid w:val="00731331"/>
    <w:rsid w:val="00731401"/>
    <w:rsid w:val="00731622"/>
    <w:rsid w:val="00731866"/>
    <w:rsid w:val="0073199F"/>
    <w:rsid w:val="00732212"/>
    <w:rsid w:val="0073267E"/>
    <w:rsid w:val="0073286E"/>
    <w:rsid w:val="00732F77"/>
    <w:rsid w:val="00733266"/>
    <w:rsid w:val="00733448"/>
    <w:rsid w:val="00733652"/>
    <w:rsid w:val="00733902"/>
    <w:rsid w:val="00733CCD"/>
    <w:rsid w:val="00733CD3"/>
    <w:rsid w:val="00733D7F"/>
    <w:rsid w:val="00733E21"/>
    <w:rsid w:val="007340A3"/>
    <w:rsid w:val="00734123"/>
    <w:rsid w:val="0073422C"/>
    <w:rsid w:val="00734231"/>
    <w:rsid w:val="007342D1"/>
    <w:rsid w:val="00734658"/>
    <w:rsid w:val="007346C2"/>
    <w:rsid w:val="00734905"/>
    <w:rsid w:val="00734981"/>
    <w:rsid w:val="00734DA3"/>
    <w:rsid w:val="00734DD8"/>
    <w:rsid w:val="0073523B"/>
    <w:rsid w:val="00735315"/>
    <w:rsid w:val="00735324"/>
    <w:rsid w:val="00735866"/>
    <w:rsid w:val="00735A7B"/>
    <w:rsid w:val="00735EC1"/>
    <w:rsid w:val="00736005"/>
    <w:rsid w:val="0073637F"/>
    <w:rsid w:val="00736384"/>
    <w:rsid w:val="007364CF"/>
    <w:rsid w:val="00736685"/>
    <w:rsid w:val="00737490"/>
    <w:rsid w:val="007375F3"/>
    <w:rsid w:val="00737925"/>
    <w:rsid w:val="00737BC4"/>
    <w:rsid w:val="00737C37"/>
    <w:rsid w:val="00737C4C"/>
    <w:rsid w:val="00737E61"/>
    <w:rsid w:val="00740967"/>
    <w:rsid w:val="00740B3A"/>
    <w:rsid w:val="00740C36"/>
    <w:rsid w:val="00740C5D"/>
    <w:rsid w:val="007410D6"/>
    <w:rsid w:val="0074128A"/>
    <w:rsid w:val="00741634"/>
    <w:rsid w:val="00741ADB"/>
    <w:rsid w:val="00741D0C"/>
    <w:rsid w:val="00741F1B"/>
    <w:rsid w:val="00742865"/>
    <w:rsid w:val="00742977"/>
    <w:rsid w:val="00742F68"/>
    <w:rsid w:val="00743244"/>
    <w:rsid w:val="00743254"/>
    <w:rsid w:val="00743623"/>
    <w:rsid w:val="00743D14"/>
    <w:rsid w:val="00743D56"/>
    <w:rsid w:val="007445D4"/>
    <w:rsid w:val="00744C08"/>
    <w:rsid w:val="00744F1B"/>
    <w:rsid w:val="00745354"/>
    <w:rsid w:val="00745732"/>
    <w:rsid w:val="00745844"/>
    <w:rsid w:val="00745926"/>
    <w:rsid w:val="00745A4E"/>
    <w:rsid w:val="00745C88"/>
    <w:rsid w:val="00745E59"/>
    <w:rsid w:val="00746443"/>
    <w:rsid w:val="007469B6"/>
    <w:rsid w:val="00747193"/>
    <w:rsid w:val="007471F2"/>
    <w:rsid w:val="00747246"/>
    <w:rsid w:val="0074730E"/>
    <w:rsid w:val="007478FA"/>
    <w:rsid w:val="00747C2C"/>
    <w:rsid w:val="00747E54"/>
    <w:rsid w:val="0075013A"/>
    <w:rsid w:val="00750539"/>
    <w:rsid w:val="0075053A"/>
    <w:rsid w:val="00750BEE"/>
    <w:rsid w:val="00750FF0"/>
    <w:rsid w:val="0075114B"/>
    <w:rsid w:val="007511CF"/>
    <w:rsid w:val="0075153B"/>
    <w:rsid w:val="007517D2"/>
    <w:rsid w:val="00751D5F"/>
    <w:rsid w:val="00752221"/>
    <w:rsid w:val="0075256E"/>
    <w:rsid w:val="007525B7"/>
    <w:rsid w:val="00752904"/>
    <w:rsid w:val="00752B51"/>
    <w:rsid w:val="00752DA9"/>
    <w:rsid w:val="00754406"/>
    <w:rsid w:val="0075475A"/>
    <w:rsid w:val="0075494C"/>
    <w:rsid w:val="00754980"/>
    <w:rsid w:val="00754E21"/>
    <w:rsid w:val="00755012"/>
    <w:rsid w:val="007552A8"/>
    <w:rsid w:val="007554FA"/>
    <w:rsid w:val="00755570"/>
    <w:rsid w:val="00755791"/>
    <w:rsid w:val="00755802"/>
    <w:rsid w:val="00755811"/>
    <w:rsid w:val="00755890"/>
    <w:rsid w:val="007558C4"/>
    <w:rsid w:val="00755BE4"/>
    <w:rsid w:val="00755C81"/>
    <w:rsid w:val="00755F2B"/>
    <w:rsid w:val="00755F59"/>
    <w:rsid w:val="00755FCA"/>
    <w:rsid w:val="00756161"/>
    <w:rsid w:val="00756620"/>
    <w:rsid w:val="007567AF"/>
    <w:rsid w:val="00756989"/>
    <w:rsid w:val="00756C92"/>
    <w:rsid w:val="00756E44"/>
    <w:rsid w:val="007576E4"/>
    <w:rsid w:val="00757860"/>
    <w:rsid w:val="00757EF0"/>
    <w:rsid w:val="00760051"/>
    <w:rsid w:val="007601EC"/>
    <w:rsid w:val="00760256"/>
    <w:rsid w:val="00760382"/>
    <w:rsid w:val="007605EA"/>
    <w:rsid w:val="0076097B"/>
    <w:rsid w:val="00760A55"/>
    <w:rsid w:val="00760AA5"/>
    <w:rsid w:val="00760F13"/>
    <w:rsid w:val="00761132"/>
    <w:rsid w:val="0076138B"/>
    <w:rsid w:val="00761A26"/>
    <w:rsid w:val="00761DDD"/>
    <w:rsid w:val="007627D5"/>
    <w:rsid w:val="00762855"/>
    <w:rsid w:val="00762889"/>
    <w:rsid w:val="00762CBE"/>
    <w:rsid w:val="0076342D"/>
    <w:rsid w:val="00763465"/>
    <w:rsid w:val="00763559"/>
    <w:rsid w:val="007635AD"/>
    <w:rsid w:val="0076360E"/>
    <w:rsid w:val="00763B8D"/>
    <w:rsid w:val="00763CFF"/>
    <w:rsid w:val="00763DAC"/>
    <w:rsid w:val="00764362"/>
    <w:rsid w:val="00764420"/>
    <w:rsid w:val="0076446E"/>
    <w:rsid w:val="007644BA"/>
    <w:rsid w:val="00764516"/>
    <w:rsid w:val="00764811"/>
    <w:rsid w:val="007648A3"/>
    <w:rsid w:val="00764B85"/>
    <w:rsid w:val="0076510F"/>
    <w:rsid w:val="00765353"/>
    <w:rsid w:val="00765578"/>
    <w:rsid w:val="007657DE"/>
    <w:rsid w:val="007657E4"/>
    <w:rsid w:val="007658E6"/>
    <w:rsid w:val="00765B99"/>
    <w:rsid w:val="00765CDC"/>
    <w:rsid w:val="0076616F"/>
    <w:rsid w:val="00766529"/>
    <w:rsid w:val="00766C33"/>
    <w:rsid w:val="0076722E"/>
    <w:rsid w:val="007673A3"/>
    <w:rsid w:val="007677EF"/>
    <w:rsid w:val="0076798A"/>
    <w:rsid w:val="00767A7B"/>
    <w:rsid w:val="00767C90"/>
    <w:rsid w:val="00767F5E"/>
    <w:rsid w:val="00770462"/>
    <w:rsid w:val="00770AA9"/>
    <w:rsid w:val="00771C5B"/>
    <w:rsid w:val="007721D4"/>
    <w:rsid w:val="00772449"/>
    <w:rsid w:val="007724E5"/>
    <w:rsid w:val="007725E1"/>
    <w:rsid w:val="00772740"/>
    <w:rsid w:val="00772B76"/>
    <w:rsid w:val="00772C5B"/>
    <w:rsid w:val="00772D8C"/>
    <w:rsid w:val="00772EFC"/>
    <w:rsid w:val="007733A3"/>
    <w:rsid w:val="0077349C"/>
    <w:rsid w:val="007738B2"/>
    <w:rsid w:val="007738F5"/>
    <w:rsid w:val="00773E92"/>
    <w:rsid w:val="00773F8E"/>
    <w:rsid w:val="00774849"/>
    <w:rsid w:val="00774DE6"/>
    <w:rsid w:val="00774E38"/>
    <w:rsid w:val="007751E2"/>
    <w:rsid w:val="007755A4"/>
    <w:rsid w:val="00775607"/>
    <w:rsid w:val="00775C45"/>
    <w:rsid w:val="00775D3B"/>
    <w:rsid w:val="007761F0"/>
    <w:rsid w:val="00776838"/>
    <w:rsid w:val="00776A98"/>
    <w:rsid w:val="00776F16"/>
    <w:rsid w:val="007770A5"/>
    <w:rsid w:val="00777136"/>
    <w:rsid w:val="0077743C"/>
    <w:rsid w:val="00777970"/>
    <w:rsid w:val="00777B89"/>
    <w:rsid w:val="00777C1D"/>
    <w:rsid w:val="00777E1A"/>
    <w:rsid w:val="00777EDF"/>
    <w:rsid w:val="0078028B"/>
    <w:rsid w:val="0078077D"/>
    <w:rsid w:val="007809F2"/>
    <w:rsid w:val="00780A66"/>
    <w:rsid w:val="00780B32"/>
    <w:rsid w:val="00780DAD"/>
    <w:rsid w:val="00780FC4"/>
    <w:rsid w:val="0078107C"/>
    <w:rsid w:val="007815B6"/>
    <w:rsid w:val="00781D4E"/>
    <w:rsid w:val="00782398"/>
    <w:rsid w:val="00782439"/>
    <w:rsid w:val="00782557"/>
    <w:rsid w:val="00782861"/>
    <w:rsid w:val="00782E86"/>
    <w:rsid w:val="00783090"/>
    <w:rsid w:val="00783117"/>
    <w:rsid w:val="00783206"/>
    <w:rsid w:val="0078321D"/>
    <w:rsid w:val="00783847"/>
    <w:rsid w:val="007839B6"/>
    <w:rsid w:val="00783A31"/>
    <w:rsid w:val="00783E38"/>
    <w:rsid w:val="0078461A"/>
    <w:rsid w:val="00784801"/>
    <w:rsid w:val="0078486C"/>
    <w:rsid w:val="00784AFD"/>
    <w:rsid w:val="00784B38"/>
    <w:rsid w:val="007853A3"/>
    <w:rsid w:val="007853FF"/>
    <w:rsid w:val="00785465"/>
    <w:rsid w:val="00785637"/>
    <w:rsid w:val="0078573F"/>
    <w:rsid w:val="0078597F"/>
    <w:rsid w:val="00785C2E"/>
    <w:rsid w:val="00786203"/>
    <w:rsid w:val="007868C8"/>
    <w:rsid w:val="007869D8"/>
    <w:rsid w:val="00786AD9"/>
    <w:rsid w:val="00786D04"/>
    <w:rsid w:val="00786F3B"/>
    <w:rsid w:val="007870E3"/>
    <w:rsid w:val="007873C3"/>
    <w:rsid w:val="00787941"/>
    <w:rsid w:val="00787BAC"/>
    <w:rsid w:val="007900E3"/>
    <w:rsid w:val="00790370"/>
    <w:rsid w:val="00790F4A"/>
    <w:rsid w:val="007918B4"/>
    <w:rsid w:val="00791C5D"/>
    <w:rsid w:val="00792043"/>
    <w:rsid w:val="007924FA"/>
    <w:rsid w:val="00792744"/>
    <w:rsid w:val="00792EBF"/>
    <w:rsid w:val="00793064"/>
    <w:rsid w:val="00793066"/>
    <w:rsid w:val="00793339"/>
    <w:rsid w:val="007935B0"/>
    <w:rsid w:val="007936A2"/>
    <w:rsid w:val="007937F9"/>
    <w:rsid w:val="00793893"/>
    <w:rsid w:val="00793943"/>
    <w:rsid w:val="00793A87"/>
    <w:rsid w:val="00793AB3"/>
    <w:rsid w:val="00793BCA"/>
    <w:rsid w:val="00793D63"/>
    <w:rsid w:val="00793DCB"/>
    <w:rsid w:val="00794309"/>
    <w:rsid w:val="007943BA"/>
    <w:rsid w:val="007943E8"/>
    <w:rsid w:val="0079447D"/>
    <w:rsid w:val="007947CA"/>
    <w:rsid w:val="00794FA4"/>
    <w:rsid w:val="00795E4E"/>
    <w:rsid w:val="0079639A"/>
    <w:rsid w:val="00796535"/>
    <w:rsid w:val="0079658F"/>
    <w:rsid w:val="007965E0"/>
    <w:rsid w:val="00796A54"/>
    <w:rsid w:val="0079700C"/>
    <w:rsid w:val="0079760E"/>
    <w:rsid w:val="00797FE8"/>
    <w:rsid w:val="007A0090"/>
    <w:rsid w:val="007A02F2"/>
    <w:rsid w:val="007A0522"/>
    <w:rsid w:val="007A05A9"/>
    <w:rsid w:val="007A08D7"/>
    <w:rsid w:val="007A0A4C"/>
    <w:rsid w:val="007A0FFC"/>
    <w:rsid w:val="007A1190"/>
    <w:rsid w:val="007A143A"/>
    <w:rsid w:val="007A14AE"/>
    <w:rsid w:val="007A15B4"/>
    <w:rsid w:val="007A1689"/>
    <w:rsid w:val="007A16F6"/>
    <w:rsid w:val="007A1843"/>
    <w:rsid w:val="007A1AFE"/>
    <w:rsid w:val="007A207B"/>
    <w:rsid w:val="007A2093"/>
    <w:rsid w:val="007A223B"/>
    <w:rsid w:val="007A287C"/>
    <w:rsid w:val="007A2A98"/>
    <w:rsid w:val="007A30ED"/>
    <w:rsid w:val="007A34D0"/>
    <w:rsid w:val="007A36BE"/>
    <w:rsid w:val="007A36E0"/>
    <w:rsid w:val="007A37C0"/>
    <w:rsid w:val="007A385F"/>
    <w:rsid w:val="007A38E9"/>
    <w:rsid w:val="007A39A9"/>
    <w:rsid w:val="007A39FF"/>
    <w:rsid w:val="007A3B51"/>
    <w:rsid w:val="007A3F75"/>
    <w:rsid w:val="007A4224"/>
    <w:rsid w:val="007A452A"/>
    <w:rsid w:val="007A4627"/>
    <w:rsid w:val="007A46F8"/>
    <w:rsid w:val="007A4987"/>
    <w:rsid w:val="007A4AFF"/>
    <w:rsid w:val="007A50DA"/>
    <w:rsid w:val="007A522A"/>
    <w:rsid w:val="007A5740"/>
    <w:rsid w:val="007A5B61"/>
    <w:rsid w:val="007A5B63"/>
    <w:rsid w:val="007A5CCE"/>
    <w:rsid w:val="007A5E26"/>
    <w:rsid w:val="007A6216"/>
    <w:rsid w:val="007A6226"/>
    <w:rsid w:val="007A6581"/>
    <w:rsid w:val="007A6795"/>
    <w:rsid w:val="007A67B3"/>
    <w:rsid w:val="007A6833"/>
    <w:rsid w:val="007A6B22"/>
    <w:rsid w:val="007A6D4F"/>
    <w:rsid w:val="007A7131"/>
    <w:rsid w:val="007A7229"/>
    <w:rsid w:val="007A72C2"/>
    <w:rsid w:val="007A7410"/>
    <w:rsid w:val="007A7615"/>
    <w:rsid w:val="007A77DC"/>
    <w:rsid w:val="007A7BA3"/>
    <w:rsid w:val="007A7BCA"/>
    <w:rsid w:val="007A7C21"/>
    <w:rsid w:val="007A7C7A"/>
    <w:rsid w:val="007A7DD0"/>
    <w:rsid w:val="007B079C"/>
    <w:rsid w:val="007B0934"/>
    <w:rsid w:val="007B0D5F"/>
    <w:rsid w:val="007B0F70"/>
    <w:rsid w:val="007B1163"/>
    <w:rsid w:val="007B129C"/>
    <w:rsid w:val="007B12D1"/>
    <w:rsid w:val="007B1673"/>
    <w:rsid w:val="007B17B4"/>
    <w:rsid w:val="007B1820"/>
    <w:rsid w:val="007B1AB5"/>
    <w:rsid w:val="007B1D90"/>
    <w:rsid w:val="007B2008"/>
    <w:rsid w:val="007B2535"/>
    <w:rsid w:val="007B27D8"/>
    <w:rsid w:val="007B28CE"/>
    <w:rsid w:val="007B29E0"/>
    <w:rsid w:val="007B2B15"/>
    <w:rsid w:val="007B2BD1"/>
    <w:rsid w:val="007B2FBE"/>
    <w:rsid w:val="007B32E6"/>
    <w:rsid w:val="007B3304"/>
    <w:rsid w:val="007B331A"/>
    <w:rsid w:val="007B3691"/>
    <w:rsid w:val="007B3794"/>
    <w:rsid w:val="007B38D5"/>
    <w:rsid w:val="007B3B9B"/>
    <w:rsid w:val="007B3BDB"/>
    <w:rsid w:val="007B3E6B"/>
    <w:rsid w:val="007B45D7"/>
    <w:rsid w:val="007B47DF"/>
    <w:rsid w:val="007B4890"/>
    <w:rsid w:val="007B4BE9"/>
    <w:rsid w:val="007B4F4A"/>
    <w:rsid w:val="007B50AC"/>
    <w:rsid w:val="007B544D"/>
    <w:rsid w:val="007B5C57"/>
    <w:rsid w:val="007B5F44"/>
    <w:rsid w:val="007B5FAB"/>
    <w:rsid w:val="007B6014"/>
    <w:rsid w:val="007B604A"/>
    <w:rsid w:val="007B61FF"/>
    <w:rsid w:val="007B63FA"/>
    <w:rsid w:val="007B657B"/>
    <w:rsid w:val="007B7091"/>
    <w:rsid w:val="007B736A"/>
    <w:rsid w:val="007B77CC"/>
    <w:rsid w:val="007B785A"/>
    <w:rsid w:val="007B7AAE"/>
    <w:rsid w:val="007B7BD2"/>
    <w:rsid w:val="007B7E91"/>
    <w:rsid w:val="007C0181"/>
    <w:rsid w:val="007C01FE"/>
    <w:rsid w:val="007C0356"/>
    <w:rsid w:val="007C0748"/>
    <w:rsid w:val="007C07BD"/>
    <w:rsid w:val="007C0D0D"/>
    <w:rsid w:val="007C0F3D"/>
    <w:rsid w:val="007C0FCF"/>
    <w:rsid w:val="007C1416"/>
    <w:rsid w:val="007C1548"/>
    <w:rsid w:val="007C1791"/>
    <w:rsid w:val="007C1B90"/>
    <w:rsid w:val="007C1B98"/>
    <w:rsid w:val="007C1C4A"/>
    <w:rsid w:val="007C1FF2"/>
    <w:rsid w:val="007C250C"/>
    <w:rsid w:val="007C29D2"/>
    <w:rsid w:val="007C2EEC"/>
    <w:rsid w:val="007C300D"/>
    <w:rsid w:val="007C310B"/>
    <w:rsid w:val="007C3725"/>
    <w:rsid w:val="007C37CE"/>
    <w:rsid w:val="007C3905"/>
    <w:rsid w:val="007C3EDE"/>
    <w:rsid w:val="007C3FE2"/>
    <w:rsid w:val="007C4016"/>
    <w:rsid w:val="007C40ED"/>
    <w:rsid w:val="007C435F"/>
    <w:rsid w:val="007C4A8D"/>
    <w:rsid w:val="007C4D9B"/>
    <w:rsid w:val="007C504B"/>
    <w:rsid w:val="007C50A3"/>
    <w:rsid w:val="007C5149"/>
    <w:rsid w:val="007C55C9"/>
    <w:rsid w:val="007C5C54"/>
    <w:rsid w:val="007C5DC5"/>
    <w:rsid w:val="007C5EF3"/>
    <w:rsid w:val="007C609C"/>
    <w:rsid w:val="007C61A5"/>
    <w:rsid w:val="007C67D2"/>
    <w:rsid w:val="007C69E4"/>
    <w:rsid w:val="007C6BE1"/>
    <w:rsid w:val="007C6D12"/>
    <w:rsid w:val="007C6FC9"/>
    <w:rsid w:val="007C74FF"/>
    <w:rsid w:val="007C7587"/>
    <w:rsid w:val="007C7D75"/>
    <w:rsid w:val="007C7DF3"/>
    <w:rsid w:val="007D0156"/>
    <w:rsid w:val="007D053C"/>
    <w:rsid w:val="007D05F1"/>
    <w:rsid w:val="007D0BBF"/>
    <w:rsid w:val="007D0C89"/>
    <w:rsid w:val="007D0E1E"/>
    <w:rsid w:val="007D1052"/>
    <w:rsid w:val="007D13C1"/>
    <w:rsid w:val="007D1457"/>
    <w:rsid w:val="007D1727"/>
    <w:rsid w:val="007D1AFC"/>
    <w:rsid w:val="007D2204"/>
    <w:rsid w:val="007D279A"/>
    <w:rsid w:val="007D2BE3"/>
    <w:rsid w:val="007D31E3"/>
    <w:rsid w:val="007D3456"/>
    <w:rsid w:val="007D36FE"/>
    <w:rsid w:val="007D3727"/>
    <w:rsid w:val="007D3786"/>
    <w:rsid w:val="007D386E"/>
    <w:rsid w:val="007D3A25"/>
    <w:rsid w:val="007D3F2F"/>
    <w:rsid w:val="007D4077"/>
    <w:rsid w:val="007D40AD"/>
    <w:rsid w:val="007D45ED"/>
    <w:rsid w:val="007D473E"/>
    <w:rsid w:val="007D49F0"/>
    <w:rsid w:val="007D4A83"/>
    <w:rsid w:val="007D4CE3"/>
    <w:rsid w:val="007D4D7D"/>
    <w:rsid w:val="007D506C"/>
    <w:rsid w:val="007D5452"/>
    <w:rsid w:val="007D5569"/>
    <w:rsid w:val="007D5A05"/>
    <w:rsid w:val="007D5DBC"/>
    <w:rsid w:val="007D5E4E"/>
    <w:rsid w:val="007D760F"/>
    <w:rsid w:val="007D7923"/>
    <w:rsid w:val="007D7C79"/>
    <w:rsid w:val="007E01D3"/>
    <w:rsid w:val="007E0E8F"/>
    <w:rsid w:val="007E1117"/>
    <w:rsid w:val="007E12AA"/>
    <w:rsid w:val="007E1599"/>
    <w:rsid w:val="007E1A21"/>
    <w:rsid w:val="007E1A82"/>
    <w:rsid w:val="007E1B0D"/>
    <w:rsid w:val="007E1B2B"/>
    <w:rsid w:val="007E1BA0"/>
    <w:rsid w:val="007E1C94"/>
    <w:rsid w:val="007E1EA4"/>
    <w:rsid w:val="007E1FCD"/>
    <w:rsid w:val="007E2D44"/>
    <w:rsid w:val="007E2E84"/>
    <w:rsid w:val="007E323F"/>
    <w:rsid w:val="007E3317"/>
    <w:rsid w:val="007E347B"/>
    <w:rsid w:val="007E36DF"/>
    <w:rsid w:val="007E3CAD"/>
    <w:rsid w:val="007E3F71"/>
    <w:rsid w:val="007E4018"/>
    <w:rsid w:val="007E4590"/>
    <w:rsid w:val="007E4AAE"/>
    <w:rsid w:val="007E4B18"/>
    <w:rsid w:val="007E4B64"/>
    <w:rsid w:val="007E4EA3"/>
    <w:rsid w:val="007E4F48"/>
    <w:rsid w:val="007E4F6C"/>
    <w:rsid w:val="007E524D"/>
    <w:rsid w:val="007E5420"/>
    <w:rsid w:val="007E55C8"/>
    <w:rsid w:val="007E5AFA"/>
    <w:rsid w:val="007E606F"/>
    <w:rsid w:val="007E6ABF"/>
    <w:rsid w:val="007E6B14"/>
    <w:rsid w:val="007E701E"/>
    <w:rsid w:val="007E70AD"/>
    <w:rsid w:val="007E7796"/>
    <w:rsid w:val="007E7902"/>
    <w:rsid w:val="007E795F"/>
    <w:rsid w:val="007E7F65"/>
    <w:rsid w:val="007E7FEB"/>
    <w:rsid w:val="007F038A"/>
    <w:rsid w:val="007F0435"/>
    <w:rsid w:val="007F0736"/>
    <w:rsid w:val="007F0A6A"/>
    <w:rsid w:val="007F0B3F"/>
    <w:rsid w:val="007F0BC1"/>
    <w:rsid w:val="007F0D9C"/>
    <w:rsid w:val="007F0E7D"/>
    <w:rsid w:val="007F0F7E"/>
    <w:rsid w:val="007F1215"/>
    <w:rsid w:val="007F1900"/>
    <w:rsid w:val="007F1B89"/>
    <w:rsid w:val="007F1BE6"/>
    <w:rsid w:val="007F20F9"/>
    <w:rsid w:val="007F227F"/>
    <w:rsid w:val="007F232D"/>
    <w:rsid w:val="007F2541"/>
    <w:rsid w:val="007F2B9E"/>
    <w:rsid w:val="007F329E"/>
    <w:rsid w:val="007F3333"/>
    <w:rsid w:val="007F334F"/>
    <w:rsid w:val="007F3353"/>
    <w:rsid w:val="007F3827"/>
    <w:rsid w:val="007F3E26"/>
    <w:rsid w:val="007F3EEF"/>
    <w:rsid w:val="007F40FA"/>
    <w:rsid w:val="007F447D"/>
    <w:rsid w:val="007F47DB"/>
    <w:rsid w:val="007F4810"/>
    <w:rsid w:val="007F4C02"/>
    <w:rsid w:val="007F51A9"/>
    <w:rsid w:val="007F5384"/>
    <w:rsid w:val="007F538E"/>
    <w:rsid w:val="007F5B47"/>
    <w:rsid w:val="007F5C13"/>
    <w:rsid w:val="007F5DA3"/>
    <w:rsid w:val="007F63BC"/>
    <w:rsid w:val="007F6BCF"/>
    <w:rsid w:val="007F6D9A"/>
    <w:rsid w:val="007F6F76"/>
    <w:rsid w:val="007F7200"/>
    <w:rsid w:val="007F7400"/>
    <w:rsid w:val="007F7442"/>
    <w:rsid w:val="007F769E"/>
    <w:rsid w:val="007F7A6D"/>
    <w:rsid w:val="007F7AB2"/>
    <w:rsid w:val="007F7AC5"/>
    <w:rsid w:val="007F7DA0"/>
    <w:rsid w:val="007F7DD6"/>
    <w:rsid w:val="007F7FFC"/>
    <w:rsid w:val="008005E4"/>
    <w:rsid w:val="008006E7"/>
    <w:rsid w:val="008009F8"/>
    <w:rsid w:val="00800DB2"/>
    <w:rsid w:val="0080186A"/>
    <w:rsid w:val="00801885"/>
    <w:rsid w:val="00801B6E"/>
    <w:rsid w:val="00801B83"/>
    <w:rsid w:val="00801C31"/>
    <w:rsid w:val="00802017"/>
    <w:rsid w:val="008021F4"/>
    <w:rsid w:val="008028D3"/>
    <w:rsid w:val="008029EC"/>
    <w:rsid w:val="008032B6"/>
    <w:rsid w:val="0080340D"/>
    <w:rsid w:val="00803690"/>
    <w:rsid w:val="008037C7"/>
    <w:rsid w:val="0080387B"/>
    <w:rsid w:val="00803892"/>
    <w:rsid w:val="00803A1E"/>
    <w:rsid w:val="00803BF5"/>
    <w:rsid w:val="00803C43"/>
    <w:rsid w:val="008042B3"/>
    <w:rsid w:val="00804543"/>
    <w:rsid w:val="00804766"/>
    <w:rsid w:val="0080490C"/>
    <w:rsid w:val="00804A2A"/>
    <w:rsid w:val="00804CB0"/>
    <w:rsid w:val="008050C2"/>
    <w:rsid w:val="00805283"/>
    <w:rsid w:val="00805470"/>
    <w:rsid w:val="008059BD"/>
    <w:rsid w:val="0080630E"/>
    <w:rsid w:val="0080680D"/>
    <w:rsid w:val="008068E5"/>
    <w:rsid w:val="00806D9E"/>
    <w:rsid w:val="00806F40"/>
    <w:rsid w:val="00806F88"/>
    <w:rsid w:val="00807126"/>
    <w:rsid w:val="0080738F"/>
    <w:rsid w:val="008074AD"/>
    <w:rsid w:val="008075E4"/>
    <w:rsid w:val="0080789D"/>
    <w:rsid w:val="008079BD"/>
    <w:rsid w:val="00807FA6"/>
    <w:rsid w:val="0081018E"/>
    <w:rsid w:val="008101F5"/>
    <w:rsid w:val="00810302"/>
    <w:rsid w:val="0081067E"/>
    <w:rsid w:val="008106BB"/>
    <w:rsid w:val="00810759"/>
    <w:rsid w:val="008107C4"/>
    <w:rsid w:val="008108A1"/>
    <w:rsid w:val="008108BB"/>
    <w:rsid w:val="00810968"/>
    <w:rsid w:val="00810ABC"/>
    <w:rsid w:val="00811063"/>
    <w:rsid w:val="0081126F"/>
    <w:rsid w:val="00811486"/>
    <w:rsid w:val="0081190A"/>
    <w:rsid w:val="00811B39"/>
    <w:rsid w:val="00811E31"/>
    <w:rsid w:val="00811F18"/>
    <w:rsid w:val="008124DB"/>
    <w:rsid w:val="00812769"/>
    <w:rsid w:val="00812CDD"/>
    <w:rsid w:val="00812DE5"/>
    <w:rsid w:val="00812F6D"/>
    <w:rsid w:val="0081310E"/>
    <w:rsid w:val="00813322"/>
    <w:rsid w:val="00813405"/>
    <w:rsid w:val="00813566"/>
    <w:rsid w:val="00813594"/>
    <w:rsid w:val="008136D0"/>
    <w:rsid w:val="00813B7C"/>
    <w:rsid w:val="00813B81"/>
    <w:rsid w:val="00813EFF"/>
    <w:rsid w:val="00814516"/>
    <w:rsid w:val="00814570"/>
    <w:rsid w:val="008146C4"/>
    <w:rsid w:val="0081481A"/>
    <w:rsid w:val="00814860"/>
    <w:rsid w:val="00814C7F"/>
    <w:rsid w:val="00815203"/>
    <w:rsid w:val="00815422"/>
    <w:rsid w:val="00815595"/>
    <w:rsid w:val="00815D5B"/>
    <w:rsid w:val="00815D77"/>
    <w:rsid w:val="00816207"/>
    <w:rsid w:val="00816500"/>
    <w:rsid w:val="00816505"/>
    <w:rsid w:val="00816C63"/>
    <w:rsid w:val="008170E1"/>
    <w:rsid w:val="008174B6"/>
    <w:rsid w:val="00817539"/>
    <w:rsid w:val="00817C34"/>
    <w:rsid w:val="00820185"/>
    <w:rsid w:val="00820235"/>
    <w:rsid w:val="0082025C"/>
    <w:rsid w:val="008207B6"/>
    <w:rsid w:val="00820D80"/>
    <w:rsid w:val="00821634"/>
    <w:rsid w:val="00821810"/>
    <w:rsid w:val="00822117"/>
    <w:rsid w:val="0082259A"/>
    <w:rsid w:val="00822D99"/>
    <w:rsid w:val="00823264"/>
    <w:rsid w:val="008239BC"/>
    <w:rsid w:val="00823D2B"/>
    <w:rsid w:val="00823E71"/>
    <w:rsid w:val="0082410C"/>
    <w:rsid w:val="008241BA"/>
    <w:rsid w:val="0082451A"/>
    <w:rsid w:val="0082461E"/>
    <w:rsid w:val="00824940"/>
    <w:rsid w:val="00824AC4"/>
    <w:rsid w:val="00824CA1"/>
    <w:rsid w:val="00825244"/>
    <w:rsid w:val="00825275"/>
    <w:rsid w:val="00825838"/>
    <w:rsid w:val="00825BB4"/>
    <w:rsid w:val="00826156"/>
    <w:rsid w:val="008263E0"/>
    <w:rsid w:val="0082694D"/>
    <w:rsid w:val="00826E54"/>
    <w:rsid w:val="0082732A"/>
    <w:rsid w:val="0082733F"/>
    <w:rsid w:val="00827415"/>
    <w:rsid w:val="008274A5"/>
    <w:rsid w:val="008279FF"/>
    <w:rsid w:val="00827BEA"/>
    <w:rsid w:val="00827D00"/>
    <w:rsid w:val="0083017A"/>
    <w:rsid w:val="0083037E"/>
    <w:rsid w:val="008304D3"/>
    <w:rsid w:val="008308CE"/>
    <w:rsid w:val="00830A4B"/>
    <w:rsid w:val="00830A93"/>
    <w:rsid w:val="00830D40"/>
    <w:rsid w:val="00830E40"/>
    <w:rsid w:val="008315DF"/>
    <w:rsid w:val="008317FE"/>
    <w:rsid w:val="00831891"/>
    <w:rsid w:val="00831A1C"/>
    <w:rsid w:val="00831BBC"/>
    <w:rsid w:val="00831E99"/>
    <w:rsid w:val="0083236C"/>
    <w:rsid w:val="00832603"/>
    <w:rsid w:val="00832902"/>
    <w:rsid w:val="00832BE1"/>
    <w:rsid w:val="00832D46"/>
    <w:rsid w:val="00832DAC"/>
    <w:rsid w:val="00832F28"/>
    <w:rsid w:val="008330F3"/>
    <w:rsid w:val="00833138"/>
    <w:rsid w:val="008333F2"/>
    <w:rsid w:val="00833771"/>
    <w:rsid w:val="0083407D"/>
    <w:rsid w:val="0083435D"/>
    <w:rsid w:val="0083447F"/>
    <w:rsid w:val="008349AD"/>
    <w:rsid w:val="00835221"/>
    <w:rsid w:val="008352AC"/>
    <w:rsid w:val="008354ED"/>
    <w:rsid w:val="00835845"/>
    <w:rsid w:val="00835A8F"/>
    <w:rsid w:val="00835B02"/>
    <w:rsid w:val="00835B15"/>
    <w:rsid w:val="0083648D"/>
    <w:rsid w:val="00836557"/>
    <w:rsid w:val="008365DB"/>
    <w:rsid w:val="00836D08"/>
    <w:rsid w:val="00836EF7"/>
    <w:rsid w:val="008370BA"/>
    <w:rsid w:val="00837197"/>
    <w:rsid w:val="0083724B"/>
    <w:rsid w:val="008374D6"/>
    <w:rsid w:val="00837712"/>
    <w:rsid w:val="00837903"/>
    <w:rsid w:val="00837BE0"/>
    <w:rsid w:val="0084003F"/>
    <w:rsid w:val="0084019E"/>
    <w:rsid w:val="00840828"/>
    <w:rsid w:val="00840C48"/>
    <w:rsid w:val="00840D8C"/>
    <w:rsid w:val="00840E84"/>
    <w:rsid w:val="008414DA"/>
    <w:rsid w:val="0084164E"/>
    <w:rsid w:val="00841B61"/>
    <w:rsid w:val="00841C5A"/>
    <w:rsid w:val="008422EA"/>
    <w:rsid w:val="00842623"/>
    <w:rsid w:val="0084265B"/>
    <w:rsid w:val="008426C4"/>
    <w:rsid w:val="008427B9"/>
    <w:rsid w:val="0084299E"/>
    <w:rsid w:val="00843A95"/>
    <w:rsid w:val="008441C3"/>
    <w:rsid w:val="00844242"/>
    <w:rsid w:val="00844304"/>
    <w:rsid w:val="008446E6"/>
    <w:rsid w:val="00844772"/>
    <w:rsid w:val="008448BA"/>
    <w:rsid w:val="00844B0C"/>
    <w:rsid w:val="00844D05"/>
    <w:rsid w:val="00844E81"/>
    <w:rsid w:val="0084502D"/>
    <w:rsid w:val="008452C6"/>
    <w:rsid w:val="00845F71"/>
    <w:rsid w:val="008466B9"/>
    <w:rsid w:val="008467B2"/>
    <w:rsid w:val="008467C5"/>
    <w:rsid w:val="00846BDE"/>
    <w:rsid w:val="00846D8C"/>
    <w:rsid w:val="00846DDE"/>
    <w:rsid w:val="008470DD"/>
    <w:rsid w:val="0084754B"/>
    <w:rsid w:val="00847837"/>
    <w:rsid w:val="00847C90"/>
    <w:rsid w:val="00850158"/>
    <w:rsid w:val="008501E5"/>
    <w:rsid w:val="008503DA"/>
    <w:rsid w:val="00850545"/>
    <w:rsid w:val="008505EB"/>
    <w:rsid w:val="0085080A"/>
    <w:rsid w:val="00850880"/>
    <w:rsid w:val="00850C64"/>
    <w:rsid w:val="00850CEF"/>
    <w:rsid w:val="00851299"/>
    <w:rsid w:val="00851581"/>
    <w:rsid w:val="00851840"/>
    <w:rsid w:val="00851E69"/>
    <w:rsid w:val="00851F42"/>
    <w:rsid w:val="0085238E"/>
    <w:rsid w:val="008525C6"/>
    <w:rsid w:val="0085264F"/>
    <w:rsid w:val="00852989"/>
    <w:rsid w:val="00852CB4"/>
    <w:rsid w:val="00852E32"/>
    <w:rsid w:val="00852FD7"/>
    <w:rsid w:val="00853042"/>
    <w:rsid w:val="00854344"/>
    <w:rsid w:val="0085438B"/>
    <w:rsid w:val="0085458F"/>
    <w:rsid w:val="0085471A"/>
    <w:rsid w:val="00854758"/>
    <w:rsid w:val="00854A8A"/>
    <w:rsid w:val="00854B7F"/>
    <w:rsid w:val="00854CF3"/>
    <w:rsid w:val="00854ED1"/>
    <w:rsid w:val="00854F91"/>
    <w:rsid w:val="00855091"/>
    <w:rsid w:val="008554D2"/>
    <w:rsid w:val="008554EB"/>
    <w:rsid w:val="00855586"/>
    <w:rsid w:val="008555CD"/>
    <w:rsid w:val="00855643"/>
    <w:rsid w:val="0085566D"/>
    <w:rsid w:val="008558BA"/>
    <w:rsid w:val="00855CBD"/>
    <w:rsid w:val="00855DDB"/>
    <w:rsid w:val="00855E40"/>
    <w:rsid w:val="00855E9F"/>
    <w:rsid w:val="00856533"/>
    <w:rsid w:val="00857148"/>
    <w:rsid w:val="008573A9"/>
    <w:rsid w:val="0085758B"/>
    <w:rsid w:val="008575F3"/>
    <w:rsid w:val="00857ECA"/>
    <w:rsid w:val="00857F9B"/>
    <w:rsid w:val="008600BB"/>
    <w:rsid w:val="00860262"/>
    <w:rsid w:val="008604E2"/>
    <w:rsid w:val="008605B7"/>
    <w:rsid w:val="00860612"/>
    <w:rsid w:val="00860A06"/>
    <w:rsid w:val="00860F75"/>
    <w:rsid w:val="00860FB3"/>
    <w:rsid w:val="00861216"/>
    <w:rsid w:val="008613A6"/>
    <w:rsid w:val="008615DD"/>
    <w:rsid w:val="00861CF1"/>
    <w:rsid w:val="00861E59"/>
    <w:rsid w:val="00861F2C"/>
    <w:rsid w:val="0086255E"/>
    <w:rsid w:val="00862651"/>
    <w:rsid w:val="008629AA"/>
    <w:rsid w:val="00862E65"/>
    <w:rsid w:val="0086330D"/>
    <w:rsid w:val="008635B4"/>
    <w:rsid w:val="008635FC"/>
    <w:rsid w:val="008637B0"/>
    <w:rsid w:val="00863B68"/>
    <w:rsid w:val="00863DE0"/>
    <w:rsid w:val="008641D4"/>
    <w:rsid w:val="008644B9"/>
    <w:rsid w:val="00864E97"/>
    <w:rsid w:val="00864F0E"/>
    <w:rsid w:val="00865129"/>
    <w:rsid w:val="008651C6"/>
    <w:rsid w:val="008652DD"/>
    <w:rsid w:val="008654CD"/>
    <w:rsid w:val="00865780"/>
    <w:rsid w:val="0086579D"/>
    <w:rsid w:val="00865BD9"/>
    <w:rsid w:val="0086601B"/>
    <w:rsid w:val="008663D4"/>
    <w:rsid w:val="008666F3"/>
    <w:rsid w:val="008667D9"/>
    <w:rsid w:val="00866893"/>
    <w:rsid w:val="008669CD"/>
    <w:rsid w:val="00866BD9"/>
    <w:rsid w:val="00866C5B"/>
    <w:rsid w:val="00866D5F"/>
    <w:rsid w:val="008670BA"/>
    <w:rsid w:val="008675BD"/>
    <w:rsid w:val="00867886"/>
    <w:rsid w:val="00867CB4"/>
    <w:rsid w:val="0087063C"/>
    <w:rsid w:val="00870683"/>
    <w:rsid w:val="008706DC"/>
    <w:rsid w:val="0087081A"/>
    <w:rsid w:val="00870A5E"/>
    <w:rsid w:val="00870A84"/>
    <w:rsid w:val="00870AA1"/>
    <w:rsid w:val="00870F09"/>
    <w:rsid w:val="00870F1B"/>
    <w:rsid w:val="0087142C"/>
    <w:rsid w:val="00871799"/>
    <w:rsid w:val="00871982"/>
    <w:rsid w:val="008719EC"/>
    <w:rsid w:val="00871A30"/>
    <w:rsid w:val="00871A45"/>
    <w:rsid w:val="00871E0A"/>
    <w:rsid w:val="00871E8F"/>
    <w:rsid w:val="00871ED3"/>
    <w:rsid w:val="00871F1F"/>
    <w:rsid w:val="00871F35"/>
    <w:rsid w:val="00872088"/>
    <w:rsid w:val="008721D7"/>
    <w:rsid w:val="00872694"/>
    <w:rsid w:val="00872715"/>
    <w:rsid w:val="00872765"/>
    <w:rsid w:val="0087294C"/>
    <w:rsid w:val="008729B7"/>
    <w:rsid w:val="00872A36"/>
    <w:rsid w:val="00872D74"/>
    <w:rsid w:val="008730A6"/>
    <w:rsid w:val="008730DD"/>
    <w:rsid w:val="008734D1"/>
    <w:rsid w:val="0087385D"/>
    <w:rsid w:val="00873B52"/>
    <w:rsid w:val="00873C61"/>
    <w:rsid w:val="00873DFC"/>
    <w:rsid w:val="00873EF5"/>
    <w:rsid w:val="00874084"/>
    <w:rsid w:val="008741AD"/>
    <w:rsid w:val="00874293"/>
    <w:rsid w:val="00874655"/>
    <w:rsid w:val="0087465D"/>
    <w:rsid w:val="00874941"/>
    <w:rsid w:val="008753AD"/>
    <w:rsid w:val="00875571"/>
    <w:rsid w:val="00875894"/>
    <w:rsid w:val="00875E07"/>
    <w:rsid w:val="008761E3"/>
    <w:rsid w:val="008762B7"/>
    <w:rsid w:val="00876664"/>
    <w:rsid w:val="00876809"/>
    <w:rsid w:val="00876822"/>
    <w:rsid w:val="0087685A"/>
    <w:rsid w:val="008768A5"/>
    <w:rsid w:val="00876A2C"/>
    <w:rsid w:val="00876B0A"/>
    <w:rsid w:val="00876E97"/>
    <w:rsid w:val="0087771E"/>
    <w:rsid w:val="00877CDE"/>
    <w:rsid w:val="00880182"/>
    <w:rsid w:val="0088018B"/>
    <w:rsid w:val="00880338"/>
    <w:rsid w:val="008804B8"/>
    <w:rsid w:val="0088059F"/>
    <w:rsid w:val="008805CE"/>
    <w:rsid w:val="00880646"/>
    <w:rsid w:val="00880656"/>
    <w:rsid w:val="008808DA"/>
    <w:rsid w:val="008809F9"/>
    <w:rsid w:val="00880C33"/>
    <w:rsid w:val="00880C48"/>
    <w:rsid w:val="0088130F"/>
    <w:rsid w:val="00881816"/>
    <w:rsid w:val="00881CF5"/>
    <w:rsid w:val="00881DB1"/>
    <w:rsid w:val="00882335"/>
    <w:rsid w:val="008825BB"/>
    <w:rsid w:val="00882AD6"/>
    <w:rsid w:val="00882C08"/>
    <w:rsid w:val="00882C0F"/>
    <w:rsid w:val="008832C6"/>
    <w:rsid w:val="00883581"/>
    <w:rsid w:val="00883CAD"/>
    <w:rsid w:val="00883E7E"/>
    <w:rsid w:val="0088441E"/>
    <w:rsid w:val="008846AD"/>
    <w:rsid w:val="008847EC"/>
    <w:rsid w:val="008849AB"/>
    <w:rsid w:val="00884BF7"/>
    <w:rsid w:val="00884E57"/>
    <w:rsid w:val="008850BC"/>
    <w:rsid w:val="00885639"/>
    <w:rsid w:val="00885AAA"/>
    <w:rsid w:val="00885B1A"/>
    <w:rsid w:val="00886448"/>
    <w:rsid w:val="008864E3"/>
    <w:rsid w:val="0088691B"/>
    <w:rsid w:val="00886E2B"/>
    <w:rsid w:val="008872C4"/>
    <w:rsid w:val="0088751F"/>
    <w:rsid w:val="00887914"/>
    <w:rsid w:val="00887E8C"/>
    <w:rsid w:val="00890207"/>
    <w:rsid w:val="008904D6"/>
    <w:rsid w:val="008904EC"/>
    <w:rsid w:val="00890577"/>
    <w:rsid w:val="00890737"/>
    <w:rsid w:val="0089082B"/>
    <w:rsid w:val="00890A22"/>
    <w:rsid w:val="00891183"/>
    <w:rsid w:val="008911BD"/>
    <w:rsid w:val="0089126F"/>
    <w:rsid w:val="008912FA"/>
    <w:rsid w:val="00891551"/>
    <w:rsid w:val="008919F0"/>
    <w:rsid w:val="00891A11"/>
    <w:rsid w:val="00891ADB"/>
    <w:rsid w:val="00891C93"/>
    <w:rsid w:val="008920AF"/>
    <w:rsid w:val="008920CA"/>
    <w:rsid w:val="0089223E"/>
    <w:rsid w:val="008926EE"/>
    <w:rsid w:val="0089273A"/>
    <w:rsid w:val="00892E96"/>
    <w:rsid w:val="008930BB"/>
    <w:rsid w:val="008934C9"/>
    <w:rsid w:val="0089353D"/>
    <w:rsid w:val="00893742"/>
    <w:rsid w:val="008937F8"/>
    <w:rsid w:val="00893A3C"/>
    <w:rsid w:val="00893C73"/>
    <w:rsid w:val="008944FE"/>
    <w:rsid w:val="008945AC"/>
    <w:rsid w:val="00894689"/>
    <w:rsid w:val="008946D0"/>
    <w:rsid w:val="00894887"/>
    <w:rsid w:val="0089494F"/>
    <w:rsid w:val="008949D4"/>
    <w:rsid w:val="00894A5E"/>
    <w:rsid w:val="00895100"/>
    <w:rsid w:val="00895156"/>
    <w:rsid w:val="008953DD"/>
    <w:rsid w:val="00895447"/>
    <w:rsid w:val="00895B8B"/>
    <w:rsid w:val="00895EC3"/>
    <w:rsid w:val="00896053"/>
    <w:rsid w:val="0089634C"/>
    <w:rsid w:val="0089642E"/>
    <w:rsid w:val="008966E0"/>
    <w:rsid w:val="0089684A"/>
    <w:rsid w:val="00896987"/>
    <w:rsid w:val="00896EAC"/>
    <w:rsid w:val="00896F59"/>
    <w:rsid w:val="00896FB0"/>
    <w:rsid w:val="00897272"/>
    <w:rsid w:val="00897A97"/>
    <w:rsid w:val="00897C09"/>
    <w:rsid w:val="00897C10"/>
    <w:rsid w:val="00897DF1"/>
    <w:rsid w:val="008A0002"/>
    <w:rsid w:val="008A0015"/>
    <w:rsid w:val="008A04D7"/>
    <w:rsid w:val="008A05A8"/>
    <w:rsid w:val="008A0603"/>
    <w:rsid w:val="008A08A8"/>
    <w:rsid w:val="008A0CF7"/>
    <w:rsid w:val="008A0E05"/>
    <w:rsid w:val="008A0FF3"/>
    <w:rsid w:val="008A1283"/>
    <w:rsid w:val="008A12D7"/>
    <w:rsid w:val="008A13F0"/>
    <w:rsid w:val="008A1710"/>
    <w:rsid w:val="008A190D"/>
    <w:rsid w:val="008A1D54"/>
    <w:rsid w:val="008A1DE8"/>
    <w:rsid w:val="008A1EA4"/>
    <w:rsid w:val="008A2076"/>
    <w:rsid w:val="008A258E"/>
    <w:rsid w:val="008A27E4"/>
    <w:rsid w:val="008A32AB"/>
    <w:rsid w:val="008A3383"/>
    <w:rsid w:val="008A3483"/>
    <w:rsid w:val="008A367E"/>
    <w:rsid w:val="008A39C4"/>
    <w:rsid w:val="008A3A0A"/>
    <w:rsid w:val="008A3D80"/>
    <w:rsid w:val="008A3EE5"/>
    <w:rsid w:val="008A3F67"/>
    <w:rsid w:val="008A3F89"/>
    <w:rsid w:val="008A4590"/>
    <w:rsid w:val="008A466C"/>
    <w:rsid w:val="008A4690"/>
    <w:rsid w:val="008A46CE"/>
    <w:rsid w:val="008A47F3"/>
    <w:rsid w:val="008A4AFB"/>
    <w:rsid w:val="008A4CC9"/>
    <w:rsid w:val="008A4F40"/>
    <w:rsid w:val="008A50C0"/>
    <w:rsid w:val="008A554A"/>
    <w:rsid w:val="008A59C8"/>
    <w:rsid w:val="008A5EAB"/>
    <w:rsid w:val="008A61ED"/>
    <w:rsid w:val="008A6AD2"/>
    <w:rsid w:val="008A6B57"/>
    <w:rsid w:val="008A6B83"/>
    <w:rsid w:val="008A6FF1"/>
    <w:rsid w:val="008A7023"/>
    <w:rsid w:val="008A707A"/>
    <w:rsid w:val="008A714B"/>
    <w:rsid w:val="008A759E"/>
    <w:rsid w:val="008A766C"/>
    <w:rsid w:val="008A7723"/>
    <w:rsid w:val="008A78E3"/>
    <w:rsid w:val="008A7A7F"/>
    <w:rsid w:val="008A7DFA"/>
    <w:rsid w:val="008B01B4"/>
    <w:rsid w:val="008B0318"/>
    <w:rsid w:val="008B0338"/>
    <w:rsid w:val="008B0873"/>
    <w:rsid w:val="008B0880"/>
    <w:rsid w:val="008B0A36"/>
    <w:rsid w:val="008B0C6C"/>
    <w:rsid w:val="008B100C"/>
    <w:rsid w:val="008B13F4"/>
    <w:rsid w:val="008B147D"/>
    <w:rsid w:val="008B171F"/>
    <w:rsid w:val="008B19D3"/>
    <w:rsid w:val="008B1A1E"/>
    <w:rsid w:val="008B1C48"/>
    <w:rsid w:val="008B1F42"/>
    <w:rsid w:val="008B20B7"/>
    <w:rsid w:val="008B213D"/>
    <w:rsid w:val="008B241F"/>
    <w:rsid w:val="008B2AC0"/>
    <w:rsid w:val="008B2CF3"/>
    <w:rsid w:val="008B2F4D"/>
    <w:rsid w:val="008B3122"/>
    <w:rsid w:val="008B33E9"/>
    <w:rsid w:val="008B38A4"/>
    <w:rsid w:val="008B4248"/>
    <w:rsid w:val="008B468B"/>
    <w:rsid w:val="008B48A6"/>
    <w:rsid w:val="008B4C9F"/>
    <w:rsid w:val="008B4EC9"/>
    <w:rsid w:val="008B4ECD"/>
    <w:rsid w:val="008B4F92"/>
    <w:rsid w:val="008B4FAC"/>
    <w:rsid w:val="008B5042"/>
    <w:rsid w:val="008B50A7"/>
    <w:rsid w:val="008B5388"/>
    <w:rsid w:val="008B558D"/>
    <w:rsid w:val="008B57FA"/>
    <w:rsid w:val="008B5A1F"/>
    <w:rsid w:val="008B5EE7"/>
    <w:rsid w:val="008B5FB9"/>
    <w:rsid w:val="008B68B9"/>
    <w:rsid w:val="008B6DD2"/>
    <w:rsid w:val="008B6E18"/>
    <w:rsid w:val="008B75A3"/>
    <w:rsid w:val="008B7E7E"/>
    <w:rsid w:val="008C0352"/>
    <w:rsid w:val="008C04EF"/>
    <w:rsid w:val="008C063E"/>
    <w:rsid w:val="008C0797"/>
    <w:rsid w:val="008C0CC7"/>
    <w:rsid w:val="008C0CE0"/>
    <w:rsid w:val="008C0E6D"/>
    <w:rsid w:val="008C1074"/>
    <w:rsid w:val="008C1306"/>
    <w:rsid w:val="008C1336"/>
    <w:rsid w:val="008C13F5"/>
    <w:rsid w:val="008C1481"/>
    <w:rsid w:val="008C17BC"/>
    <w:rsid w:val="008C17EA"/>
    <w:rsid w:val="008C1AA5"/>
    <w:rsid w:val="008C21D8"/>
    <w:rsid w:val="008C24D1"/>
    <w:rsid w:val="008C299C"/>
    <w:rsid w:val="008C2DFC"/>
    <w:rsid w:val="008C32D0"/>
    <w:rsid w:val="008C3735"/>
    <w:rsid w:val="008C3907"/>
    <w:rsid w:val="008C39D9"/>
    <w:rsid w:val="008C3B48"/>
    <w:rsid w:val="008C3D97"/>
    <w:rsid w:val="008C3F8F"/>
    <w:rsid w:val="008C43A8"/>
    <w:rsid w:val="008C4706"/>
    <w:rsid w:val="008C4745"/>
    <w:rsid w:val="008C47CB"/>
    <w:rsid w:val="008C4E27"/>
    <w:rsid w:val="008C5366"/>
    <w:rsid w:val="008C5504"/>
    <w:rsid w:val="008C588F"/>
    <w:rsid w:val="008C5BFA"/>
    <w:rsid w:val="008C5D99"/>
    <w:rsid w:val="008C627B"/>
    <w:rsid w:val="008C62D6"/>
    <w:rsid w:val="008C659D"/>
    <w:rsid w:val="008C6767"/>
    <w:rsid w:val="008C6955"/>
    <w:rsid w:val="008C6BB6"/>
    <w:rsid w:val="008C6E56"/>
    <w:rsid w:val="008C7085"/>
    <w:rsid w:val="008C7196"/>
    <w:rsid w:val="008C734C"/>
    <w:rsid w:val="008C76BF"/>
    <w:rsid w:val="008C79F1"/>
    <w:rsid w:val="008C7B16"/>
    <w:rsid w:val="008C7EA0"/>
    <w:rsid w:val="008D0122"/>
    <w:rsid w:val="008D02B9"/>
    <w:rsid w:val="008D0574"/>
    <w:rsid w:val="008D05A1"/>
    <w:rsid w:val="008D0BFB"/>
    <w:rsid w:val="008D0CBB"/>
    <w:rsid w:val="008D0CEE"/>
    <w:rsid w:val="008D1378"/>
    <w:rsid w:val="008D158F"/>
    <w:rsid w:val="008D1647"/>
    <w:rsid w:val="008D1E22"/>
    <w:rsid w:val="008D2787"/>
    <w:rsid w:val="008D27D7"/>
    <w:rsid w:val="008D29FD"/>
    <w:rsid w:val="008D2A7D"/>
    <w:rsid w:val="008D2CF1"/>
    <w:rsid w:val="008D2DEA"/>
    <w:rsid w:val="008D2E9A"/>
    <w:rsid w:val="008D3386"/>
    <w:rsid w:val="008D366F"/>
    <w:rsid w:val="008D3921"/>
    <w:rsid w:val="008D3E4A"/>
    <w:rsid w:val="008D41BE"/>
    <w:rsid w:val="008D422B"/>
    <w:rsid w:val="008D42CB"/>
    <w:rsid w:val="008D4448"/>
    <w:rsid w:val="008D4610"/>
    <w:rsid w:val="008D4993"/>
    <w:rsid w:val="008D58F3"/>
    <w:rsid w:val="008D5ADC"/>
    <w:rsid w:val="008D5BE3"/>
    <w:rsid w:val="008D5EFB"/>
    <w:rsid w:val="008D609B"/>
    <w:rsid w:val="008D619E"/>
    <w:rsid w:val="008D6214"/>
    <w:rsid w:val="008D6630"/>
    <w:rsid w:val="008D68B0"/>
    <w:rsid w:val="008D6AF2"/>
    <w:rsid w:val="008D6B45"/>
    <w:rsid w:val="008D6CCD"/>
    <w:rsid w:val="008D6D23"/>
    <w:rsid w:val="008D6FC6"/>
    <w:rsid w:val="008D7041"/>
    <w:rsid w:val="008D71F5"/>
    <w:rsid w:val="008D755C"/>
    <w:rsid w:val="008D75CB"/>
    <w:rsid w:val="008D7C86"/>
    <w:rsid w:val="008E0168"/>
    <w:rsid w:val="008E051C"/>
    <w:rsid w:val="008E0BBB"/>
    <w:rsid w:val="008E0D73"/>
    <w:rsid w:val="008E0EC9"/>
    <w:rsid w:val="008E11B1"/>
    <w:rsid w:val="008E14EF"/>
    <w:rsid w:val="008E1662"/>
    <w:rsid w:val="008E1ABD"/>
    <w:rsid w:val="008E1DF7"/>
    <w:rsid w:val="008E20B2"/>
    <w:rsid w:val="008E2C41"/>
    <w:rsid w:val="008E2C9B"/>
    <w:rsid w:val="008E2DC7"/>
    <w:rsid w:val="008E312B"/>
    <w:rsid w:val="008E3768"/>
    <w:rsid w:val="008E37B4"/>
    <w:rsid w:val="008E3AFB"/>
    <w:rsid w:val="008E3C0C"/>
    <w:rsid w:val="008E3C44"/>
    <w:rsid w:val="008E3CB7"/>
    <w:rsid w:val="008E3EEF"/>
    <w:rsid w:val="008E428B"/>
    <w:rsid w:val="008E4585"/>
    <w:rsid w:val="008E458F"/>
    <w:rsid w:val="008E4662"/>
    <w:rsid w:val="008E46B7"/>
    <w:rsid w:val="008E4957"/>
    <w:rsid w:val="008E49CB"/>
    <w:rsid w:val="008E4CCA"/>
    <w:rsid w:val="008E53CD"/>
    <w:rsid w:val="008E546C"/>
    <w:rsid w:val="008E58C7"/>
    <w:rsid w:val="008E5A01"/>
    <w:rsid w:val="008E5F18"/>
    <w:rsid w:val="008E60F4"/>
    <w:rsid w:val="008E6324"/>
    <w:rsid w:val="008E6368"/>
    <w:rsid w:val="008E66E2"/>
    <w:rsid w:val="008E67A0"/>
    <w:rsid w:val="008E6A9D"/>
    <w:rsid w:val="008E6FB1"/>
    <w:rsid w:val="008E707D"/>
    <w:rsid w:val="008E74E6"/>
    <w:rsid w:val="008E7781"/>
    <w:rsid w:val="008E7A48"/>
    <w:rsid w:val="008E7C0C"/>
    <w:rsid w:val="008E7DAF"/>
    <w:rsid w:val="008E7F18"/>
    <w:rsid w:val="008F036E"/>
    <w:rsid w:val="008F057C"/>
    <w:rsid w:val="008F0B9D"/>
    <w:rsid w:val="008F1058"/>
    <w:rsid w:val="008F11A6"/>
    <w:rsid w:val="008F12D0"/>
    <w:rsid w:val="008F1313"/>
    <w:rsid w:val="008F168B"/>
    <w:rsid w:val="008F179B"/>
    <w:rsid w:val="008F1D2C"/>
    <w:rsid w:val="008F1DB8"/>
    <w:rsid w:val="008F1DC2"/>
    <w:rsid w:val="008F2C3E"/>
    <w:rsid w:val="008F336D"/>
    <w:rsid w:val="008F34CF"/>
    <w:rsid w:val="008F378E"/>
    <w:rsid w:val="008F3989"/>
    <w:rsid w:val="008F3A42"/>
    <w:rsid w:val="008F3F9D"/>
    <w:rsid w:val="008F4C6A"/>
    <w:rsid w:val="008F501B"/>
    <w:rsid w:val="008F5089"/>
    <w:rsid w:val="008F5329"/>
    <w:rsid w:val="008F56B6"/>
    <w:rsid w:val="008F58BF"/>
    <w:rsid w:val="008F5996"/>
    <w:rsid w:val="008F5A00"/>
    <w:rsid w:val="008F5AE5"/>
    <w:rsid w:val="008F5D41"/>
    <w:rsid w:val="008F614B"/>
    <w:rsid w:val="008F6200"/>
    <w:rsid w:val="008F62A3"/>
    <w:rsid w:val="008F6615"/>
    <w:rsid w:val="008F6843"/>
    <w:rsid w:val="008F6B87"/>
    <w:rsid w:val="008F7051"/>
    <w:rsid w:val="008F7880"/>
    <w:rsid w:val="008F7B76"/>
    <w:rsid w:val="008F7BCB"/>
    <w:rsid w:val="008F7DD4"/>
    <w:rsid w:val="008F7FF6"/>
    <w:rsid w:val="0090016D"/>
    <w:rsid w:val="00900533"/>
    <w:rsid w:val="009008C7"/>
    <w:rsid w:val="00900903"/>
    <w:rsid w:val="009009A7"/>
    <w:rsid w:val="00900AE3"/>
    <w:rsid w:val="00900BB1"/>
    <w:rsid w:val="009010DE"/>
    <w:rsid w:val="00901CED"/>
    <w:rsid w:val="00901FD4"/>
    <w:rsid w:val="009020D6"/>
    <w:rsid w:val="009023A8"/>
    <w:rsid w:val="0090282E"/>
    <w:rsid w:val="00902982"/>
    <w:rsid w:val="00902D72"/>
    <w:rsid w:val="0090330B"/>
    <w:rsid w:val="009034B9"/>
    <w:rsid w:val="009036FC"/>
    <w:rsid w:val="00903810"/>
    <w:rsid w:val="00903B02"/>
    <w:rsid w:val="00903C3E"/>
    <w:rsid w:val="009044A6"/>
    <w:rsid w:val="0090480B"/>
    <w:rsid w:val="009049D9"/>
    <w:rsid w:val="009051E0"/>
    <w:rsid w:val="00905290"/>
    <w:rsid w:val="009055A2"/>
    <w:rsid w:val="00905830"/>
    <w:rsid w:val="00905AD3"/>
    <w:rsid w:val="00905F96"/>
    <w:rsid w:val="00906C2C"/>
    <w:rsid w:val="00906ED7"/>
    <w:rsid w:val="00906EF1"/>
    <w:rsid w:val="00907407"/>
    <w:rsid w:val="00907669"/>
    <w:rsid w:val="00907907"/>
    <w:rsid w:val="00907DE0"/>
    <w:rsid w:val="00907E3A"/>
    <w:rsid w:val="00907EF8"/>
    <w:rsid w:val="0091029D"/>
    <w:rsid w:val="0091039E"/>
    <w:rsid w:val="00910462"/>
    <w:rsid w:val="009104AD"/>
    <w:rsid w:val="009105F1"/>
    <w:rsid w:val="00910EB9"/>
    <w:rsid w:val="00910F39"/>
    <w:rsid w:val="0091119E"/>
    <w:rsid w:val="00911A64"/>
    <w:rsid w:val="00911ACC"/>
    <w:rsid w:val="00911F90"/>
    <w:rsid w:val="00911FB5"/>
    <w:rsid w:val="0091227B"/>
    <w:rsid w:val="009123C0"/>
    <w:rsid w:val="00912701"/>
    <w:rsid w:val="009128A2"/>
    <w:rsid w:val="00912AB2"/>
    <w:rsid w:val="00912C23"/>
    <w:rsid w:val="00912C96"/>
    <w:rsid w:val="00912E25"/>
    <w:rsid w:val="00913074"/>
    <w:rsid w:val="00913145"/>
    <w:rsid w:val="0091324A"/>
    <w:rsid w:val="009136A0"/>
    <w:rsid w:val="0091390B"/>
    <w:rsid w:val="00913B19"/>
    <w:rsid w:val="00913C91"/>
    <w:rsid w:val="00913EB2"/>
    <w:rsid w:val="0091404E"/>
    <w:rsid w:val="00914397"/>
    <w:rsid w:val="00914497"/>
    <w:rsid w:val="00914B34"/>
    <w:rsid w:val="00914C17"/>
    <w:rsid w:val="00914E13"/>
    <w:rsid w:val="00914EB8"/>
    <w:rsid w:val="00914EF2"/>
    <w:rsid w:val="009151A3"/>
    <w:rsid w:val="0091547A"/>
    <w:rsid w:val="0091547B"/>
    <w:rsid w:val="009154C4"/>
    <w:rsid w:val="009156D9"/>
    <w:rsid w:val="009157DD"/>
    <w:rsid w:val="00915BDA"/>
    <w:rsid w:val="00915C2B"/>
    <w:rsid w:val="00915EB8"/>
    <w:rsid w:val="009160B8"/>
    <w:rsid w:val="009160D3"/>
    <w:rsid w:val="00916436"/>
    <w:rsid w:val="00916660"/>
    <w:rsid w:val="00916A2F"/>
    <w:rsid w:val="00916B55"/>
    <w:rsid w:val="00916BD3"/>
    <w:rsid w:val="00916DB4"/>
    <w:rsid w:val="009173F4"/>
    <w:rsid w:val="009175C6"/>
    <w:rsid w:val="009175CE"/>
    <w:rsid w:val="00917673"/>
    <w:rsid w:val="0091777A"/>
    <w:rsid w:val="00917A36"/>
    <w:rsid w:val="00917BEC"/>
    <w:rsid w:val="009201F5"/>
    <w:rsid w:val="009202A9"/>
    <w:rsid w:val="00920771"/>
    <w:rsid w:val="009207F2"/>
    <w:rsid w:val="00920BAD"/>
    <w:rsid w:val="00921016"/>
    <w:rsid w:val="0092127C"/>
    <w:rsid w:val="00921629"/>
    <w:rsid w:val="009216AD"/>
    <w:rsid w:val="00921773"/>
    <w:rsid w:val="009218BA"/>
    <w:rsid w:val="009222F6"/>
    <w:rsid w:val="0092233E"/>
    <w:rsid w:val="009225E6"/>
    <w:rsid w:val="00922BB0"/>
    <w:rsid w:val="00922FDA"/>
    <w:rsid w:val="0092306B"/>
    <w:rsid w:val="0092335D"/>
    <w:rsid w:val="009236F7"/>
    <w:rsid w:val="009238F0"/>
    <w:rsid w:val="00923A0E"/>
    <w:rsid w:val="00923B64"/>
    <w:rsid w:val="00923E91"/>
    <w:rsid w:val="00924365"/>
    <w:rsid w:val="009244F7"/>
    <w:rsid w:val="00924B99"/>
    <w:rsid w:val="00924D99"/>
    <w:rsid w:val="00924EE4"/>
    <w:rsid w:val="0092563E"/>
    <w:rsid w:val="00925762"/>
    <w:rsid w:val="00925832"/>
    <w:rsid w:val="00925E0B"/>
    <w:rsid w:val="00925E46"/>
    <w:rsid w:val="00925F06"/>
    <w:rsid w:val="00925F13"/>
    <w:rsid w:val="0092617B"/>
    <w:rsid w:val="00926462"/>
    <w:rsid w:val="009267C9"/>
    <w:rsid w:val="00926A41"/>
    <w:rsid w:val="00926B78"/>
    <w:rsid w:val="00926DE9"/>
    <w:rsid w:val="00926FBD"/>
    <w:rsid w:val="0092751E"/>
    <w:rsid w:val="00927878"/>
    <w:rsid w:val="00927B86"/>
    <w:rsid w:val="00927C05"/>
    <w:rsid w:val="00927C09"/>
    <w:rsid w:val="00927EF3"/>
    <w:rsid w:val="00927F11"/>
    <w:rsid w:val="00927FFB"/>
    <w:rsid w:val="00930918"/>
    <w:rsid w:val="00930C21"/>
    <w:rsid w:val="00930CD5"/>
    <w:rsid w:val="00930CF2"/>
    <w:rsid w:val="0093128C"/>
    <w:rsid w:val="009312B6"/>
    <w:rsid w:val="00931934"/>
    <w:rsid w:val="00931E77"/>
    <w:rsid w:val="00932557"/>
    <w:rsid w:val="009328BD"/>
    <w:rsid w:val="0093295F"/>
    <w:rsid w:val="00932AE6"/>
    <w:rsid w:val="00932BB6"/>
    <w:rsid w:val="00933371"/>
    <w:rsid w:val="009335FF"/>
    <w:rsid w:val="00933A58"/>
    <w:rsid w:val="00933C85"/>
    <w:rsid w:val="00934267"/>
    <w:rsid w:val="00934B00"/>
    <w:rsid w:val="00934C93"/>
    <w:rsid w:val="00934D7B"/>
    <w:rsid w:val="00934E22"/>
    <w:rsid w:val="00934E4B"/>
    <w:rsid w:val="009353D1"/>
    <w:rsid w:val="00935782"/>
    <w:rsid w:val="00935AA2"/>
    <w:rsid w:val="00935C63"/>
    <w:rsid w:val="00935F70"/>
    <w:rsid w:val="00936253"/>
    <w:rsid w:val="009363EC"/>
    <w:rsid w:val="009366B2"/>
    <w:rsid w:val="00936AB4"/>
    <w:rsid w:val="00936BCD"/>
    <w:rsid w:val="00936D77"/>
    <w:rsid w:val="00937080"/>
    <w:rsid w:val="009370E9"/>
    <w:rsid w:val="009371A1"/>
    <w:rsid w:val="0093743E"/>
    <w:rsid w:val="009375CA"/>
    <w:rsid w:val="00937604"/>
    <w:rsid w:val="00937829"/>
    <w:rsid w:val="00937C72"/>
    <w:rsid w:val="0094005A"/>
    <w:rsid w:val="009400A0"/>
    <w:rsid w:val="0094028B"/>
    <w:rsid w:val="00940500"/>
    <w:rsid w:val="00940606"/>
    <w:rsid w:val="0094081C"/>
    <w:rsid w:val="00940824"/>
    <w:rsid w:val="0094096A"/>
    <w:rsid w:val="00940F72"/>
    <w:rsid w:val="00941212"/>
    <w:rsid w:val="0094170E"/>
    <w:rsid w:val="00941EE9"/>
    <w:rsid w:val="0094200A"/>
    <w:rsid w:val="009420E8"/>
    <w:rsid w:val="00942D75"/>
    <w:rsid w:val="00942EC7"/>
    <w:rsid w:val="009435FA"/>
    <w:rsid w:val="009436F8"/>
    <w:rsid w:val="009438D1"/>
    <w:rsid w:val="009440D8"/>
    <w:rsid w:val="009442B8"/>
    <w:rsid w:val="0094488F"/>
    <w:rsid w:val="00944DDE"/>
    <w:rsid w:val="00944F88"/>
    <w:rsid w:val="009450DB"/>
    <w:rsid w:val="0094548C"/>
    <w:rsid w:val="00945651"/>
    <w:rsid w:val="009457EA"/>
    <w:rsid w:val="00945A5D"/>
    <w:rsid w:val="009466B9"/>
    <w:rsid w:val="0094677B"/>
    <w:rsid w:val="009469DD"/>
    <w:rsid w:val="00946DE1"/>
    <w:rsid w:val="00946F67"/>
    <w:rsid w:val="009472BE"/>
    <w:rsid w:val="00947382"/>
    <w:rsid w:val="009475E0"/>
    <w:rsid w:val="009478C8"/>
    <w:rsid w:val="00947A4A"/>
    <w:rsid w:val="00947B14"/>
    <w:rsid w:val="00947E98"/>
    <w:rsid w:val="00947EE8"/>
    <w:rsid w:val="0095019A"/>
    <w:rsid w:val="00950225"/>
    <w:rsid w:val="009502DC"/>
    <w:rsid w:val="009503B1"/>
    <w:rsid w:val="009508A8"/>
    <w:rsid w:val="009508D2"/>
    <w:rsid w:val="00950A4B"/>
    <w:rsid w:val="00950F9A"/>
    <w:rsid w:val="0095127B"/>
    <w:rsid w:val="0095134A"/>
    <w:rsid w:val="0095153C"/>
    <w:rsid w:val="00951749"/>
    <w:rsid w:val="009519E6"/>
    <w:rsid w:val="00951DA1"/>
    <w:rsid w:val="009523C4"/>
    <w:rsid w:val="00952455"/>
    <w:rsid w:val="009524C7"/>
    <w:rsid w:val="009530F8"/>
    <w:rsid w:val="009530FF"/>
    <w:rsid w:val="009531A8"/>
    <w:rsid w:val="0095371E"/>
    <w:rsid w:val="00953A05"/>
    <w:rsid w:val="00953F36"/>
    <w:rsid w:val="009547BA"/>
    <w:rsid w:val="009549DF"/>
    <w:rsid w:val="00955342"/>
    <w:rsid w:val="0095554E"/>
    <w:rsid w:val="0095580A"/>
    <w:rsid w:val="00955AFA"/>
    <w:rsid w:val="00955FCF"/>
    <w:rsid w:val="009560AA"/>
    <w:rsid w:val="00956964"/>
    <w:rsid w:val="00956C20"/>
    <w:rsid w:val="00956C47"/>
    <w:rsid w:val="00956E87"/>
    <w:rsid w:val="00956F21"/>
    <w:rsid w:val="0095710B"/>
    <w:rsid w:val="00957297"/>
    <w:rsid w:val="0095729D"/>
    <w:rsid w:val="00957314"/>
    <w:rsid w:val="009574BA"/>
    <w:rsid w:val="00957816"/>
    <w:rsid w:val="00957BE0"/>
    <w:rsid w:val="00960691"/>
    <w:rsid w:val="0096083D"/>
    <w:rsid w:val="00960CA3"/>
    <w:rsid w:val="00960DC5"/>
    <w:rsid w:val="00960FA0"/>
    <w:rsid w:val="00960FBA"/>
    <w:rsid w:val="00961242"/>
    <w:rsid w:val="00961AFA"/>
    <w:rsid w:val="00961B95"/>
    <w:rsid w:val="00961C5A"/>
    <w:rsid w:val="00961FC7"/>
    <w:rsid w:val="009622F8"/>
    <w:rsid w:val="009626F0"/>
    <w:rsid w:val="00962B73"/>
    <w:rsid w:val="00962BF4"/>
    <w:rsid w:val="0096303C"/>
    <w:rsid w:val="009634E5"/>
    <w:rsid w:val="00963A11"/>
    <w:rsid w:val="00963BF7"/>
    <w:rsid w:val="00963C8E"/>
    <w:rsid w:val="00963D38"/>
    <w:rsid w:val="00963DF6"/>
    <w:rsid w:val="00963F1F"/>
    <w:rsid w:val="00964019"/>
    <w:rsid w:val="009640AD"/>
    <w:rsid w:val="00964108"/>
    <w:rsid w:val="00964122"/>
    <w:rsid w:val="00964325"/>
    <w:rsid w:val="009645D5"/>
    <w:rsid w:val="00964859"/>
    <w:rsid w:val="00964C08"/>
    <w:rsid w:val="00964DC1"/>
    <w:rsid w:val="00964FA1"/>
    <w:rsid w:val="00965168"/>
    <w:rsid w:val="009651F0"/>
    <w:rsid w:val="0096525D"/>
    <w:rsid w:val="00965574"/>
    <w:rsid w:val="009656A9"/>
    <w:rsid w:val="00965741"/>
    <w:rsid w:val="00965817"/>
    <w:rsid w:val="00965996"/>
    <w:rsid w:val="00965C9D"/>
    <w:rsid w:val="00966286"/>
    <w:rsid w:val="009663EC"/>
    <w:rsid w:val="0096661B"/>
    <w:rsid w:val="009671B6"/>
    <w:rsid w:val="0096763E"/>
    <w:rsid w:val="0096769E"/>
    <w:rsid w:val="00967C50"/>
    <w:rsid w:val="00967DD8"/>
    <w:rsid w:val="00970485"/>
    <w:rsid w:val="009704D1"/>
    <w:rsid w:val="00970671"/>
    <w:rsid w:val="0097075E"/>
    <w:rsid w:val="00970B77"/>
    <w:rsid w:val="00970D6A"/>
    <w:rsid w:val="00970ED3"/>
    <w:rsid w:val="00970F46"/>
    <w:rsid w:val="0097102F"/>
    <w:rsid w:val="009710A8"/>
    <w:rsid w:val="009715D9"/>
    <w:rsid w:val="00971703"/>
    <w:rsid w:val="00971D8A"/>
    <w:rsid w:val="00971E22"/>
    <w:rsid w:val="0097264B"/>
    <w:rsid w:val="00972EAF"/>
    <w:rsid w:val="00972F9D"/>
    <w:rsid w:val="00972FE3"/>
    <w:rsid w:val="00973182"/>
    <w:rsid w:val="0097379E"/>
    <w:rsid w:val="00973D9C"/>
    <w:rsid w:val="00973E2A"/>
    <w:rsid w:val="0097466E"/>
    <w:rsid w:val="009747D3"/>
    <w:rsid w:val="00974BCB"/>
    <w:rsid w:val="00974D65"/>
    <w:rsid w:val="00975369"/>
    <w:rsid w:val="00975581"/>
    <w:rsid w:val="00975611"/>
    <w:rsid w:val="0097563D"/>
    <w:rsid w:val="00975B6E"/>
    <w:rsid w:val="00975D08"/>
    <w:rsid w:val="0097602D"/>
    <w:rsid w:val="009760B1"/>
    <w:rsid w:val="009763A8"/>
    <w:rsid w:val="00976635"/>
    <w:rsid w:val="009766B8"/>
    <w:rsid w:val="00976910"/>
    <w:rsid w:val="00976DCE"/>
    <w:rsid w:val="00976F1F"/>
    <w:rsid w:val="00976FE9"/>
    <w:rsid w:val="0097707A"/>
    <w:rsid w:val="00977761"/>
    <w:rsid w:val="0097797B"/>
    <w:rsid w:val="00977DD6"/>
    <w:rsid w:val="00977E4D"/>
    <w:rsid w:val="00977E76"/>
    <w:rsid w:val="00980043"/>
    <w:rsid w:val="0098024E"/>
    <w:rsid w:val="00980580"/>
    <w:rsid w:val="00980B0B"/>
    <w:rsid w:val="0098109D"/>
    <w:rsid w:val="00981271"/>
    <w:rsid w:val="00981754"/>
    <w:rsid w:val="00981A1C"/>
    <w:rsid w:val="00981E62"/>
    <w:rsid w:val="00981F72"/>
    <w:rsid w:val="0098228B"/>
    <w:rsid w:val="00982302"/>
    <w:rsid w:val="00982476"/>
    <w:rsid w:val="00982517"/>
    <w:rsid w:val="00982601"/>
    <w:rsid w:val="0098269C"/>
    <w:rsid w:val="00982808"/>
    <w:rsid w:val="00982990"/>
    <w:rsid w:val="00982B70"/>
    <w:rsid w:val="00982BE8"/>
    <w:rsid w:val="00982DB5"/>
    <w:rsid w:val="00983111"/>
    <w:rsid w:val="00983305"/>
    <w:rsid w:val="009833A9"/>
    <w:rsid w:val="009834FF"/>
    <w:rsid w:val="00984425"/>
    <w:rsid w:val="009844E4"/>
    <w:rsid w:val="009848A8"/>
    <w:rsid w:val="00984C35"/>
    <w:rsid w:val="00984D81"/>
    <w:rsid w:val="00984EDD"/>
    <w:rsid w:val="00985124"/>
    <w:rsid w:val="00985681"/>
    <w:rsid w:val="009859AD"/>
    <w:rsid w:val="00985ACD"/>
    <w:rsid w:val="00985B4B"/>
    <w:rsid w:val="00986198"/>
    <w:rsid w:val="0098645D"/>
    <w:rsid w:val="009865AA"/>
    <w:rsid w:val="00986671"/>
    <w:rsid w:val="0098667F"/>
    <w:rsid w:val="00986924"/>
    <w:rsid w:val="00986A61"/>
    <w:rsid w:val="00986A74"/>
    <w:rsid w:val="00986A7C"/>
    <w:rsid w:val="00986D64"/>
    <w:rsid w:val="00986EFA"/>
    <w:rsid w:val="009874C3"/>
    <w:rsid w:val="009874C5"/>
    <w:rsid w:val="009874FA"/>
    <w:rsid w:val="0098798D"/>
    <w:rsid w:val="00987C12"/>
    <w:rsid w:val="00987EF7"/>
    <w:rsid w:val="00987FCF"/>
    <w:rsid w:val="009903E8"/>
    <w:rsid w:val="009907D7"/>
    <w:rsid w:val="009908E9"/>
    <w:rsid w:val="00990B61"/>
    <w:rsid w:val="00990D02"/>
    <w:rsid w:val="00990F87"/>
    <w:rsid w:val="0099140F"/>
    <w:rsid w:val="009917C1"/>
    <w:rsid w:val="00991DB8"/>
    <w:rsid w:val="00991E50"/>
    <w:rsid w:val="009923BC"/>
    <w:rsid w:val="009924D7"/>
    <w:rsid w:val="00992540"/>
    <w:rsid w:val="009927E2"/>
    <w:rsid w:val="009928ED"/>
    <w:rsid w:val="0099295C"/>
    <w:rsid w:val="00992E71"/>
    <w:rsid w:val="00992F08"/>
    <w:rsid w:val="0099327E"/>
    <w:rsid w:val="00993473"/>
    <w:rsid w:val="00993590"/>
    <w:rsid w:val="009938D7"/>
    <w:rsid w:val="00993AE6"/>
    <w:rsid w:val="00993B92"/>
    <w:rsid w:val="00994047"/>
    <w:rsid w:val="00994075"/>
    <w:rsid w:val="009940C3"/>
    <w:rsid w:val="009941A6"/>
    <w:rsid w:val="00994548"/>
    <w:rsid w:val="009948B0"/>
    <w:rsid w:val="00994911"/>
    <w:rsid w:val="00994988"/>
    <w:rsid w:val="009949B7"/>
    <w:rsid w:val="00995319"/>
    <w:rsid w:val="009961CF"/>
    <w:rsid w:val="00996230"/>
    <w:rsid w:val="00996307"/>
    <w:rsid w:val="00996638"/>
    <w:rsid w:val="00996773"/>
    <w:rsid w:val="009967A8"/>
    <w:rsid w:val="00996906"/>
    <w:rsid w:val="00996A87"/>
    <w:rsid w:val="00996C09"/>
    <w:rsid w:val="00996CA6"/>
    <w:rsid w:val="00996CDF"/>
    <w:rsid w:val="00996D9C"/>
    <w:rsid w:val="00996DC0"/>
    <w:rsid w:val="00996F4D"/>
    <w:rsid w:val="009972D9"/>
    <w:rsid w:val="00997637"/>
    <w:rsid w:val="009976E7"/>
    <w:rsid w:val="00997B23"/>
    <w:rsid w:val="00997F64"/>
    <w:rsid w:val="00997FF7"/>
    <w:rsid w:val="009A00AE"/>
    <w:rsid w:val="009A0191"/>
    <w:rsid w:val="009A027C"/>
    <w:rsid w:val="009A032E"/>
    <w:rsid w:val="009A05A9"/>
    <w:rsid w:val="009A05AB"/>
    <w:rsid w:val="009A0B9B"/>
    <w:rsid w:val="009A0D90"/>
    <w:rsid w:val="009A0FB7"/>
    <w:rsid w:val="009A1294"/>
    <w:rsid w:val="009A1439"/>
    <w:rsid w:val="009A149F"/>
    <w:rsid w:val="009A14DD"/>
    <w:rsid w:val="009A1529"/>
    <w:rsid w:val="009A1561"/>
    <w:rsid w:val="009A182D"/>
    <w:rsid w:val="009A18CB"/>
    <w:rsid w:val="009A190C"/>
    <w:rsid w:val="009A1C1F"/>
    <w:rsid w:val="009A26AB"/>
    <w:rsid w:val="009A2B97"/>
    <w:rsid w:val="009A2D0B"/>
    <w:rsid w:val="009A3065"/>
    <w:rsid w:val="009A3292"/>
    <w:rsid w:val="009A36B6"/>
    <w:rsid w:val="009A371F"/>
    <w:rsid w:val="009A3CAE"/>
    <w:rsid w:val="009A3D3F"/>
    <w:rsid w:val="009A43A3"/>
    <w:rsid w:val="009A444B"/>
    <w:rsid w:val="009A44AC"/>
    <w:rsid w:val="009A4539"/>
    <w:rsid w:val="009A4AE1"/>
    <w:rsid w:val="009A4B1C"/>
    <w:rsid w:val="009A4D46"/>
    <w:rsid w:val="009A50C9"/>
    <w:rsid w:val="009A511A"/>
    <w:rsid w:val="009A534E"/>
    <w:rsid w:val="009A5456"/>
    <w:rsid w:val="009A58F6"/>
    <w:rsid w:val="009A5BCF"/>
    <w:rsid w:val="009A5EBD"/>
    <w:rsid w:val="009A6202"/>
    <w:rsid w:val="009A638D"/>
    <w:rsid w:val="009A6896"/>
    <w:rsid w:val="009A69AF"/>
    <w:rsid w:val="009A6F89"/>
    <w:rsid w:val="009A7448"/>
    <w:rsid w:val="009A745F"/>
    <w:rsid w:val="009A7D8A"/>
    <w:rsid w:val="009A7E17"/>
    <w:rsid w:val="009A7EAB"/>
    <w:rsid w:val="009A7F32"/>
    <w:rsid w:val="009B0171"/>
    <w:rsid w:val="009B0874"/>
    <w:rsid w:val="009B0CF0"/>
    <w:rsid w:val="009B0D09"/>
    <w:rsid w:val="009B0DDD"/>
    <w:rsid w:val="009B1274"/>
    <w:rsid w:val="009B127B"/>
    <w:rsid w:val="009B1465"/>
    <w:rsid w:val="009B167F"/>
    <w:rsid w:val="009B1871"/>
    <w:rsid w:val="009B18BC"/>
    <w:rsid w:val="009B19B6"/>
    <w:rsid w:val="009B1B11"/>
    <w:rsid w:val="009B1B1B"/>
    <w:rsid w:val="009B1EEE"/>
    <w:rsid w:val="009B218E"/>
    <w:rsid w:val="009B2361"/>
    <w:rsid w:val="009B2576"/>
    <w:rsid w:val="009B28BA"/>
    <w:rsid w:val="009B2950"/>
    <w:rsid w:val="009B2BE2"/>
    <w:rsid w:val="009B2C94"/>
    <w:rsid w:val="009B2CF7"/>
    <w:rsid w:val="009B2E40"/>
    <w:rsid w:val="009B3420"/>
    <w:rsid w:val="009B3998"/>
    <w:rsid w:val="009B3C15"/>
    <w:rsid w:val="009B42A9"/>
    <w:rsid w:val="009B4513"/>
    <w:rsid w:val="009B455D"/>
    <w:rsid w:val="009B464B"/>
    <w:rsid w:val="009B46E9"/>
    <w:rsid w:val="009B4914"/>
    <w:rsid w:val="009B4C54"/>
    <w:rsid w:val="009B5141"/>
    <w:rsid w:val="009B516D"/>
    <w:rsid w:val="009B547E"/>
    <w:rsid w:val="009B5507"/>
    <w:rsid w:val="009B565E"/>
    <w:rsid w:val="009B57D9"/>
    <w:rsid w:val="009B57DC"/>
    <w:rsid w:val="009B585C"/>
    <w:rsid w:val="009B5CE4"/>
    <w:rsid w:val="009B6451"/>
    <w:rsid w:val="009B66B3"/>
    <w:rsid w:val="009B6845"/>
    <w:rsid w:val="009B6FA1"/>
    <w:rsid w:val="009B6FF7"/>
    <w:rsid w:val="009B783F"/>
    <w:rsid w:val="009C0272"/>
    <w:rsid w:val="009C05AB"/>
    <w:rsid w:val="009C0F75"/>
    <w:rsid w:val="009C108D"/>
    <w:rsid w:val="009C1176"/>
    <w:rsid w:val="009C12A6"/>
    <w:rsid w:val="009C1494"/>
    <w:rsid w:val="009C14D7"/>
    <w:rsid w:val="009C15CC"/>
    <w:rsid w:val="009C1869"/>
    <w:rsid w:val="009C1873"/>
    <w:rsid w:val="009C1C8B"/>
    <w:rsid w:val="009C1D4E"/>
    <w:rsid w:val="009C1DA2"/>
    <w:rsid w:val="009C1EEC"/>
    <w:rsid w:val="009C2585"/>
    <w:rsid w:val="009C27E6"/>
    <w:rsid w:val="009C2BBD"/>
    <w:rsid w:val="009C2E4E"/>
    <w:rsid w:val="009C30C3"/>
    <w:rsid w:val="009C3101"/>
    <w:rsid w:val="009C31C9"/>
    <w:rsid w:val="009C363B"/>
    <w:rsid w:val="009C38E2"/>
    <w:rsid w:val="009C3923"/>
    <w:rsid w:val="009C4032"/>
    <w:rsid w:val="009C4525"/>
    <w:rsid w:val="009C45D5"/>
    <w:rsid w:val="009C4976"/>
    <w:rsid w:val="009C4CA1"/>
    <w:rsid w:val="009C4E19"/>
    <w:rsid w:val="009C4E3A"/>
    <w:rsid w:val="009C5236"/>
    <w:rsid w:val="009C54CD"/>
    <w:rsid w:val="009C5862"/>
    <w:rsid w:val="009C5B1E"/>
    <w:rsid w:val="009C63B3"/>
    <w:rsid w:val="009C6BBF"/>
    <w:rsid w:val="009C7097"/>
    <w:rsid w:val="009C7573"/>
    <w:rsid w:val="009C7748"/>
    <w:rsid w:val="009C77F9"/>
    <w:rsid w:val="009D0048"/>
    <w:rsid w:val="009D00A8"/>
    <w:rsid w:val="009D0315"/>
    <w:rsid w:val="009D0372"/>
    <w:rsid w:val="009D04F3"/>
    <w:rsid w:val="009D058F"/>
    <w:rsid w:val="009D0CAC"/>
    <w:rsid w:val="009D0D0F"/>
    <w:rsid w:val="009D1045"/>
    <w:rsid w:val="009D143B"/>
    <w:rsid w:val="009D14AC"/>
    <w:rsid w:val="009D14D1"/>
    <w:rsid w:val="009D163B"/>
    <w:rsid w:val="009D16C9"/>
    <w:rsid w:val="009D1A11"/>
    <w:rsid w:val="009D1A91"/>
    <w:rsid w:val="009D1D65"/>
    <w:rsid w:val="009D201E"/>
    <w:rsid w:val="009D22B3"/>
    <w:rsid w:val="009D276D"/>
    <w:rsid w:val="009D2B2F"/>
    <w:rsid w:val="009D2C43"/>
    <w:rsid w:val="009D2C86"/>
    <w:rsid w:val="009D2D94"/>
    <w:rsid w:val="009D2E77"/>
    <w:rsid w:val="009D2EE8"/>
    <w:rsid w:val="009D30F6"/>
    <w:rsid w:val="009D31D3"/>
    <w:rsid w:val="009D3378"/>
    <w:rsid w:val="009D3628"/>
    <w:rsid w:val="009D3662"/>
    <w:rsid w:val="009D36AC"/>
    <w:rsid w:val="009D3825"/>
    <w:rsid w:val="009D3A99"/>
    <w:rsid w:val="009D3C33"/>
    <w:rsid w:val="009D3E85"/>
    <w:rsid w:val="009D40CB"/>
    <w:rsid w:val="009D4209"/>
    <w:rsid w:val="009D4360"/>
    <w:rsid w:val="009D45EE"/>
    <w:rsid w:val="009D4D44"/>
    <w:rsid w:val="009D4F18"/>
    <w:rsid w:val="009D5077"/>
    <w:rsid w:val="009D5682"/>
    <w:rsid w:val="009D5944"/>
    <w:rsid w:val="009D5B0B"/>
    <w:rsid w:val="009D5B4E"/>
    <w:rsid w:val="009D5BF5"/>
    <w:rsid w:val="009D620F"/>
    <w:rsid w:val="009D62A2"/>
    <w:rsid w:val="009D66EC"/>
    <w:rsid w:val="009D6751"/>
    <w:rsid w:val="009D69F0"/>
    <w:rsid w:val="009D6C71"/>
    <w:rsid w:val="009D6F6F"/>
    <w:rsid w:val="009D742F"/>
    <w:rsid w:val="009D7512"/>
    <w:rsid w:val="009D767E"/>
    <w:rsid w:val="009D78CD"/>
    <w:rsid w:val="009D7926"/>
    <w:rsid w:val="009D79B5"/>
    <w:rsid w:val="009D7E72"/>
    <w:rsid w:val="009D7FAD"/>
    <w:rsid w:val="009D7FC4"/>
    <w:rsid w:val="009E0181"/>
    <w:rsid w:val="009E045A"/>
    <w:rsid w:val="009E0492"/>
    <w:rsid w:val="009E04BF"/>
    <w:rsid w:val="009E0882"/>
    <w:rsid w:val="009E096E"/>
    <w:rsid w:val="009E0D2C"/>
    <w:rsid w:val="009E16E8"/>
    <w:rsid w:val="009E1C4A"/>
    <w:rsid w:val="009E1D69"/>
    <w:rsid w:val="009E2704"/>
    <w:rsid w:val="009E2740"/>
    <w:rsid w:val="009E28E9"/>
    <w:rsid w:val="009E2C8B"/>
    <w:rsid w:val="009E2F8E"/>
    <w:rsid w:val="009E2FD6"/>
    <w:rsid w:val="009E30CA"/>
    <w:rsid w:val="009E326C"/>
    <w:rsid w:val="009E3CDE"/>
    <w:rsid w:val="009E4055"/>
    <w:rsid w:val="009E41B9"/>
    <w:rsid w:val="009E49BD"/>
    <w:rsid w:val="009E4C10"/>
    <w:rsid w:val="009E55E5"/>
    <w:rsid w:val="009E560C"/>
    <w:rsid w:val="009E5AAF"/>
    <w:rsid w:val="009E5FC6"/>
    <w:rsid w:val="009E6237"/>
    <w:rsid w:val="009E6843"/>
    <w:rsid w:val="009E68E1"/>
    <w:rsid w:val="009E6DF3"/>
    <w:rsid w:val="009E70D2"/>
    <w:rsid w:val="009E7398"/>
    <w:rsid w:val="009E7759"/>
    <w:rsid w:val="009E7890"/>
    <w:rsid w:val="009E7BE5"/>
    <w:rsid w:val="009E7EBF"/>
    <w:rsid w:val="009F00F7"/>
    <w:rsid w:val="009F04A1"/>
    <w:rsid w:val="009F0BCC"/>
    <w:rsid w:val="009F1213"/>
    <w:rsid w:val="009F144D"/>
    <w:rsid w:val="009F17C1"/>
    <w:rsid w:val="009F1809"/>
    <w:rsid w:val="009F1A61"/>
    <w:rsid w:val="009F1CAE"/>
    <w:rsid w:val="009F1D2E"/>
    <w:rsid w:val="009F1EF1"/>
    <w:rsid w:val="009F1F1B"/>
    <w:rsid w:val="009F1F70"/>
    <w:rsid w:val="009F1F7D"/>
    <w:rsid w:val="009F2154"/>
    <w:rsid w:val="009F2217"/>
    <w:rsid w:val="009F2604"/>
    <w:rsid w:val="009F29BC"/>
    <w:rsid w:val="009F2EA1"/>
    <w:rsid w:val="009F32A2"/>
    <w:rsid w:val="009F3B1C"/>
    <w:rsid w:val="009F3B75"/>
    <w:rsid w:val="009F3E5F"/>
    <w:rsid w:val="009F3F19"/>
    <w:rsid w:val="009F4061"/>
    <w:rsid w:val="009F40DA"/>
    <w:rsid w:val="009F4327"/>
    <w:rsid w:val="009F4482"/>
    <w:rsid w:val="009F4509"/>
    <w:rsid w:val="009F45E1"/>
    <w:rsid w:val="009F4682"/>
    <w:rsid w:val="009F469B"/>
    <w:rsid w:val="009F48B4"/>
    <w:rsid w:val="009F4FCD"/>
    <w:rsid w:val="009F504C"/>
    <w:rsid w:val="009F515A"/>
    <w:rsid w:val="009F52BF"/>
    <w:rsid w:val="009F54C5"/>
    <w:rsid w:val="009F5B18"/>
    <w:rsid w:val="009F5F0B"/>
    <w:rsid w:val="009F634A"/>
    <w:rsid w:val="009F6649"/>
    <w:rsid w:val="009F672B"/>
    <w:rsid w:val="009F6C6D"/>
    <w:rsid w:val="009F6CB9"/>
    <w:rsid w:val="009F6E22"/>
    <w:rsid w:val="009F7067"/>
    <w:rsid w:val="009F70B6"/>
    <w:rsid w:val="009F7272"/>
    <w:rsid w:val="009F7D51"/>
    <w:rsid w:val="009F7DDE"/>
    <w:rsid w:val="009F7E08"/>
    <w:rsid w:val="00A00021"/>
    <w:rsid w:val="00A000BF"/>
    <w:rsid w:val="00A003D2"/>
    <w:rsid w:val="00A00790"/>
    <w:rsid w:val="00A00A32"/>
    <w:rsid w:val="00A00B55"/>
    <w:rsid w:val="00A00D4F"/>
    <w:rsid w:val="00A00D8F"/>
    <w:rsid w:val="00A00D93"/>
    <w:rsid w:val="00A00E03"/>
    <w:rsid w:val="00A00E49"/>
    <w:rsid w:val="00A00F03"/>
    <w:rsid w:val="00A00F8D"/>
    <w:rsid w:val="00A00FD3"/>
    <w:rsid w:val="00A0131E"/>
    <w:rsid w:val="00A016E4"/>
    <w:rsid w:val="00A01A6F"/>
    <w:rsid w:val="00A01CBA"/>
    <w:rsid w:val="00A01D39"/>
    <w:rsid w:val="00A01F41"/>
    <w:rsid w:val="00A01FCE"/>
    <w:rsid w:val="00A0241E"/>
    <w:rsid w:val="00A0284B"/>
    <w:rsid w:val="00A02AD2"/>
    <w:rsid w:val="00A02FD3"/>
    <w:rsid w:val="00A03475"/>
    <w:rsid w:val="00A035B2"/>
    <w:rsid w:val="00A03795"/>
    <w:rsid w:val="00A038C0"/>
    <w:rsid w:val="00A03ADD"/>
    <w:rsid w:val="00A03C4E"/>
    <w:rsid w:val="00A04271"/>
    <w:rsid w:val="00A046EE"/>
    <w:rsid w:val="00A04777"/>
    <w:rsid w:val="00A04BD2"/>
    <w:rsid w:val="00A04E8D"/>
    <w:rsid w:val="00A04F21"/>
    <w:rsid w:val="00A051E4"/>
    <w:rsid w:val="00A053D9"/>
    <w:rsid w:val="00A059DA"/>
    <w:rsid w:val="00A05A8D"/>
    <w:rsid w:val="00A05BBC"/>
    <w:rsid w:val="00A05C5D"/>
    <w:rsid w:val="00A05E26"/>
    <w:rsid w:val="00A0698E"/>
    <w:rsid w:val="00A06FC0"/>
    <w:rsid w:val="00A0709E"/>
    <w:rsid w:val="00A07529"/>
    <w:rsid w:val="00A07567"/>
    <w:rsid w:val="00A07DBB"/>
    <w:rsid w:val="00A07E6E"/>
    <w:rsid w:val="00A10A26"/>
    <w:rsid w:val="00A10A37"/>
    <w:rsid w:val="00A10AF7"/>
    <w:rsid w:val="00A10C86"/>
    <w:rsid w:val="00A11370"/>
    <w:rsid w:val="00A116EB"/>
    <w:rsid w:val="00A116EC"/>
    <w:rsid w:val="00A11DFC"/>
    <w:rsid w:val="00A11E5A"/>
    <w:rsid w:val="00A1265B"/>
    <w:rsid w:val="00A12D90"/>
    <w:rsid w:val="00A13357"/>
    <w:rsid w:val="00A133BD"/>
    <w:rsid w:val="00A13445"/>
    <w:rsid w:val="00A138E2"/>
    <w:rsid w:val="00A13CB6"/>
    <w:rsid w:val="00A13EA1"/>
    <w:rsid w:val="00A14C8B"/>
    <w:rsid w:val="00A14DC1"/>
    <w:rsid w:val="00A150F6"/>
    <w:rsid w:val="00A1529E"/>
    <w:rsid w:val="00A1548F"/>
    <w:rsid w:val="00A154B5"/>
    <w:rsid w:val="00A1572B"/>
    <w:rsid w:val="00A1587E"/>
    <w:rsid w:val="00A15D2E"/>
    <w:rsid w:val="00A161B7"/>
    <w:rsid w:val="00A162BF"/>
    <w:rsid w:val="00A16567"/>
    <w:rsid w:val="00A16901"/>
    <w:rsid w:val="00A16AFD"/>
    <w:rsid w:val="00A16F06"/>
    <w:rsid w:val="00A171DD"/>
    <w:rsid w:val="00A17401"/>
    <w:rsid w:val="00A1754B"/>
    <w:rsid w:val="00A20020"/>
    <w:rsid w:val="00A200AD"/>
    <w:rsid w:val="00A20417"/>
    <w:rsid w:val="00A2050D"/>
    <w:rsid w:val="00A207C4"/>
    <w:rsid w:val="00A2088F"/>
    <w:rsid w:val="00A20BFA"/>
    <w:rsid w:val="00A20D58"/>
    <w:rsid w:val="00A20E28"/>
    <w:rsid w:val="00A20FF2"/>
    <w:rsid w:val="00A2117A"/>
    <w:rsid w:val="00A211FA"/>
    <w:rsid w:val="00A2123F"/>
    <w:rsid w:val="00A213C0"/>
    <w:rsid w:val="00A217B1"/>
    <w:rsid w:val="00A21904"/>
    <w:rsid w:val="00A21994"/>
    <w:rsid w:val="00A21F1A"/>
    <w:rsid w:val="00A22067"/>
    <w:rsid w:val="00A22127"/>
    <w:rsid w:val="00A22678"/>
    <w:rsid w:val="00A22A53"/>
    <w:rsid w:val="00A22F1A"/>
    <w:rsid w:val="00A2301B"/>
    <w:rsid w:val="00A23A65"/>
    <w:rsid w:val="00A23CA4"/>
    <w:rsid w:val="00A23E4A"/>
    <w:rsid w:val="00A23EB5"/>
    <w:rsid w:val="00A24159"/>
    <w:rsid w:val="00A24585"/>
    <w:rsid w:val="00A245A4"/>
    <w:rsid w:val="00A245E6"/>
    <w:rsid w:val="00A24658"/>
    <w:rsid w:val="00A24C5B"/>
    <w:rsid w:val="00A24D71"/>
    <w:rsid w:val="00A24EE1"/>
    <w:rsid w:val="00A25205"/>
    <w:rsid w:val="00A25420"/>
    <w:rsid w:val="00A25926"/>
    <w:rsid w:val="00A25B05"/>
    <w:rsid w:val="00A25D52"/>
    <w:rsid w:val="00A25FC2"/>
    <w:rsid w:val="00A260DF"/>
    <w:rsid w:val="00A26212"/>
    <w:rsid w:val="00A2628F"/>
    <w:rsid w:val="00A2639A"/>
    <w:rsid w:val="00A26486"/>
    <w:rsid w:val="00A26651"/>
    <w:rsid w:val="00A26BB6"/>
    <w:rsid w:val="00A27159"/>
    <w:rsid w:val="00A27324"/>
    <w:rsid w:val="00A27455"/>
    <w:rsid w:val="00A276B0"/>
    <w:rsid w:val="00A276C7"/>
    <w:rsid w:val="00A27809"/>
    <w:rsid w:val="00A27C4A"/>
    <w:rsid w:val="00A27C9B"/>
    <w:rsid w:val="00A30215"/>
    <w:rsid w:val="00A302F2"/>
    <w:rsid w:val="00A3054B"/>
    <w:rsid w:val="00A309EF"/>
    <w:rsid w:val="00A30D45"/>
    <w:rsid w:val="00A310A3"/>
    <w:rsid w:val="00A3115B"/>
    <w:rsid w:val="00A3158C"/>
    <w:rsid w:val="00A315C4"/>
    <w:rsid w:val="00A31A52"/>
    <w:rsid w:val="00A31C13"/>
    <w:rsid w:val="00A31F9D"/>
    <w:rsid w:val="00A31FEF"/>
    <w:rsid w:val="00A32195"/>
    <w:rsid w:val="00A321CF"/>
    <w:rsid w:val="00A324E5"/>
    <w:rsid w:val="00A326BD"/>
    <w:rsid w:val="00A32A2B"/>
    <w:rsid w:val="00A32B48"/>
    <w:rsid w:val="00A32BDE"/>
    <w:rsid w:val="00A32DBB"/>
    <w:rsid w:val="00A337E3"/>
    <w:rsid w:val="00A33927"/>
    <w:rsid w:val="00A33D48"/>
    <w:rsid w:val="00A33FAD"/>
    <w:rsid w:val="00A33FE2"/>
    <w:rsid w:val="00A342C0"/>
    <w:rsid w:val="00A344B9"/>
    <w:rsid w:val="00A34776"/>
    <w:rsid w:val="00A34ABC"/>
    <w:rsid w:val="00A34CD2"/>
    <w:rsid w:val="00A34DCF"/>
    <w:rsid w:val="00A34EED"/>
    <w:rsid w:val="00A359EF"/>
    <w:rsid w:val="00A35C11"/>
    <w:rsid w:val="00A3618E"/>
    <w:rsid w:val="00A368B3"/>
    <w:rsid w:val="00A36C4D"/>
    <w:rsid w:val="00A36E31"/>
    <w:rsid w:val="00A377DF"/>
    <w:rsid w:val="00A37B47"/>
    <w:rsid w:val="00A37B51"/>
    <w:rsid w:val="00A37B5B"/>
    <w:rsid w:val="00A40182"/>
    <w:rsid w:val="00A40B29"/>
    <w:rsid w:val="00A410B5"/>
    <w:rsid w:val="00A41187"/>
    <w:rsid w:val="00A41423"/>
    <w:rsid w:val="00A417F9"/>
    <w:rsid w:val="00A41EB1"/>
    <w:rsid w:val="00A42130"/>
    <w:rsid w:val="00A422F1"/>
    <w:rsid w:val="00A42448"/>
    <w:rsid w:val="00A42A08"/>
    <w:rsid w:val="00A4328B"/>
    <w:rsid w:val="00A43298"/>
    <w:rsid w:val="00A4336E"/>
    <w:rsid w:val="00A436D0"/>
    <w:rsid w:val="00A4373D"/>
    <w:rsid w:val="00A439B5"/>
    <w:rsid w:val="00A43B11"/>
    <w:rsid w:val="00A43D2F"/>
    <w:rsid w:val="00A43EA3"/>
    <w:rsid w:val="00A43F44"/>
    <w:rsid w:val="00A43FD7"/>
    <w:rsid w:val="00A44094"/>
    <w:rsid w:val="00A445DD"/>
    <w:rsid w:val="00A44605"/>
    <w:rsid w:val="00A44B0A"/>
    <w:rsid w:val="00A44D0C"/>
    <w:rsid w:val="00A44F7C"/>
    <w:rsid w:val="00A45AB2"/>
    <w:rsid w:val="00A45BFF"/>
    <w:rsid w:val="00A45DBC"/>
    <w:rsid w:val="00A464B6"/>
    <w:rsid w:val="00A465E5"/>
    <w:rsid w:val="00A466AA"/>
    <w:rsid w:val="00A4672E"/>
    <w:rsid w:val="00A467AD"/>
    <w:rsid w:val="00A46958"/>
    <w:rsid w:val="00A46B69"/>
    <w:rsid w:val="00A46CE7"/>
    <w:rsid w:val="00A46F06"/>
    <w:rsid w:val="00A47226"/>
    <w:rsid w:val="00A474F8"/>
    <w:rsid w:val="00A475C4"/>
    <w:rsid w:val="00A47CBA"/>
    <w:rsid w:val="00A47F06"/>
    <w:rsid w:val="00A50381"/>
    <w:rsid w:val="00A504BD"/>
    <w:rsid w:val="00A506D4"/>
    <w:rsid w:val="00A5085D"/>
    <w:rsid w:val="00A50865"/>
    <w:rsid w:val="00A509E5"/>
    <w:rsid w:val="00A50A66"/>
    <w:rsid w:val="00A513AD"/>
    <w:rsid w:val="00A51470"/>
    <w:rsid w:val="00A5157A"/>
    <w:rsid w:val="00A515F3"/>
    <w:rsid w:val="00A51778"/>
    <w:rsid w:val="00A518F3"/>
    <w:rsid w:val="00A51946"/>
    <w:rsid w:val="00A51EF4"/>
    <w:rsid w:val="00A51F2F"/>
    <w:rsid w:val="00A51FF2"/>
    <w:rsid w:val="00A522F6"/>
    <w:rsid w:val="00A523E3"/>
    <w:rsid w:val="00A526B0"/>
    <w:rsid w:val="00A5274D"/>
    <w:rsid w:val="00A528B2"/>
    <w:rsid w:val="00A529B4"/>
    <w:rsid w:val="00A52C7B"/>
    <w:rsid w:val="00A53077"/>
    <w:rsid w:val="00A532EE"/>
    <w:rsid w:val="00A534E3"/>
    <w:rsid w:val="00A53546"/>
    <w:rsid w:val="00A53684"/>
    <w:rsid w:val="00A53BEB"/>
    <w:rsid w:val="00A53D43"/>
    <w:rsid w:val="00A53F51"/>
    <w:rsid w:val="00A541F9"/>
    <w:rsid w:val="00A54228"/>
    <w:rsid w:val="00A54426"/>
    <w:rsid w:val="00A5487D"/>
    <w:rsid w:val="00A5499F"/>
    <w:rsid w:val="00A54D6D"/>
    <w:rsid w:val="00A552D1"/>
    <w:rsid w:val="00A5533E"/>
    <w:rsid w:val="00A55367"/>
    <w:rsid w:val="00A553E2"/>
    <w:rsid w:val="00A5546C"/>
    <w:rsid w:val="00A55514"/>
    <w:rsid w:val="00A55668"/>
    <w:rsid w:val="00A56518"/>
    <w:rsid w:val="00A568F8"/>
    <w:rsid w:val="00A56AFF"/>
    <w:rsid w:val="00A56BD9"/>
    <w:rsid w:val="00A57266"/>
    <w:rsid w:val="00A5741F"/>
    <w:rsid w:val="00A577C1"/>
    <w:rsid w:val="00A57A16"/>
    <w:rsid w:val="00A57D13"/>
    <w:rsid w:val="00A60DB1"/>
    <w:rsid w:val="00A60E52"/>
    <w:rsid w:val="00A60E78"/>
    <w:rsid w:val="00A61082"/>
    <w:rsid w:val="00A612AA"/>
    <w:rsid w:val="00A615F9"/>
    <w:rsid w:val="00A61610"/>
    <w:rsid w:val="00A61695"/>
    <w:rsid w:val="00A61771"/>
    <w:rsid w:val="00A61821"/>
    <w:rsid w:val="00A61ABF"/>
    <w:rsid w:val="00A61BE3"/>
    <w:rsid w:val="00A61D0B"/>
    <w:rsid w:val="00A61DAE"/>
    <w:rsid w:val="00A61DC1"/>
    <w:rsid w:val="00A61EE8"/>
    <w:rsid w:val="00A6200F"/>
    <w:rsid w:val="00A62105"/>
    <w:rsid w:val="00A622EB"/>
    <w:rsid w:val="00A62328"/>
    <w:rsid w:val="00A62758"/>
    <w:rsid w:val="00A62DD5"/>
    <w:rsid w:val="00A62F5B"/>
    <w:rsid w:val="00A630C8"/>
    <w:rsid w:val="00A6319D"/>
    <w:rsid w:val="00A631E6"/>
    <w:rsid w:val="00A632B9"/>
    <w:rsid w:val="00A63354"/>
    <w:rsid w:val="00A63E05"/>
    <w:rsid w:val="00A6418D"/>
    <w:rsid w:val="00A641D2"/>
    <w:rsid w:val="00A6435F"/>
    <w:rsid w:val="00A64773"/>
    <w:rsid w:val="00A64968"/>
    <w:rsid w:val="00A64F64"/>
    <w:rsid w:val="00A65632"/>
    <w:rsid w:val="00A65716"/>
    <w:rsid w:val="00A65B98"/>
    <w:rsid w:val="00A661DC"/>
    <w:rsid w:val="00A66362"/>
    <w:rsid w:val="00A665A6"/>
    <w:rsid w:val="00A66B3E"/>
    <w:rsid w:val="00A670B5"/>
    <w:rsid w:val="00A671E4"/>
    <w:rsid w:val="00A674C5"/>
    <w:rsid w:val="00A67B72"/>
    <w:rsid w:val="00A67F8A"/>
    <w:rsid w:val="00A700ED"/>
    <w:rsid w:val="00A701BE"/>
    <w:rsid w:val="00A703DC"/>
    <w:rsid w:val="00A7094C"/>
    <w:rsid w:val="00A709F9"/>
    <w:rsid w:val="00A70C01"/>
    <w:rsid w:val="00A70CB5"/>
    <w:rsid w:val="00A71974"/>
    <w:rsid w:val="00A7199D"/>
    <w:rsid w:val="00A71BB1"/>
    <w:rsid w:val="00A71CA1"/>
    <w:rsid w:val="00A71F31"/>
    <w:rsid w:val="00A71F9F"/>
    <w:rsid w:val="00A72519"/>
    <w:rsid w:val="00A725C5"/>
    <w:rsid w:val="00A72B94"/>
    <w:rsid w:val="00A72EBA"/>
    <w:rsid w:val="00A730D2"/>
    <w:rsid w:val="00A732FB"/>
    <w:rsid w:val="00A733DD"/>
    <w:rsid w:val="00A7341B"/>
    <w:rsid w:val="00A7367C"/>
    <w:rsid w:val="00A739F0"/>
    <w:rsid w:val="00A73A77"/>
    <w:rsid w:val="00A73C2B"/>
    <w:rsid w:val="00A73D7A"/>
    <w:rsid w:val="00A7405D"/>
    <w:rsid w:val="00A7471E"/>
    <w:rsid w:val="00A74773"/>
    <w:rsid w:val="00A747EE"/>
    <w:rsid w:val="00A7484E"/>
    <w:rsid w:val="00A75149"/>
    <w:rsid w:val="00A75195"/>
    <w:rsid w:val="00A75602"/>
    <w:rsid w:val="00A75926"/>
    <w:rsid w:val="00A75968"/>
    <w:rsid w:val="00A759A2"/>
    <w:rsid w:val="00A762E0"/>
    <w:rsid w:val="00A766BE"/>
    <w:rsid w:val="00A7692B"/>
    <w:rsid w:val="00A76994"/>
    <w:rsid w:val="00A76E4A"/>
    <w:rsid w:val="00A76ED8"/>
    <w:rsid w:val="00A77298"/>
    <w:rsid w:val="00A77373"/>
    <w:rsid w:val="00A773E8"/>
    <w:rsid w:val="00A77B9A"/>
    <w:rsid w:val="00A802AB"/>
    <w:rsid w:val="00A8043D"/>
    <w:rsid w:val="00A80CAF"/>
    <w:rsid w:val="00A81190"/>
    <w:rsid w:val="00A81216"/>
    <w:rsid w:val="00A8196F"/>
    <w:rsid w:val="00A819FF"/>
    <w:rsid w:val="00A81A78"/>
    <w:rsid w:val="00A81ABA"/>
    <w:rsid w:val="00A81C82"/>
    <w:rsid w:val="00A820A4"/>
    <w:rsid w:val="00A820C7"/>
    <w:rsid w:val="00A8218E"/>
    <w:rsid w:val="00A82916"/>
    <w:rsid w:val="00A82CC8"/>
    <w:rsid w:val="00A82D2F"/>
    <w:rsid w:val="00A82D5C"/>
    <w:rsid w:val="00A82FC8"/>
    <w:rsid w:val="00A83176"/>
    <w:rsid w:val="00A83215"/>
    <w:rsid w:val="00A8343C"/>
    <w:rsid w:val="00A83659"/>
    <w:rsid w:val="00A83A82"/>
    <w:rsid w:val="00A83CAF"/>
    <w:rsid w:val="00A83DFA"/>
    <w:rsid w:val="00A83EE5"/>
    <w:rsid w:val="00A83F38"/>
    <w:rsid w:val="00A84194"/>
    <w:rsid w:val="00A84408"/>
    <w:rsid w:val="00A845FF"/>
    <w:rsid w:val="00A84A41"/>
    <w:rsid w:val="00A8537A"/>
    <w:rsid w:val="00A854DB"/>
    <w:rsid w:val="00A85705"/>
    <w:rsid w:val="00A85834"/>
    <w:rsid w:val="00A85AA4"/>
    <w:rsid w:val="00A85D28"/>
    <w:rsid w:val="00A85F7B"/>
    <w:rsid w:val="00A863A3"/>
    <w:rsid w:val="00A863FC"/>
    <w:rsid w:val="00A864E9"/>
    <w:rsid w:val="00A8662A"/>
    <w:rsid w:val="00A86A12"/>
    <w:rsid w:val="00A86D3D"/>
    <w:rsid w:val="00A86D47"/>
    <w:rsid w:val="00A86ED3"/>
    <w:rsid w:val="00A875DF"/>
    <w:rsid w:val="00A878EC"/>
    <w:rsid w:val="00A87B0E"/>
    <w:rsid w:val="00A87BA2"/>
    <w:rsid w:val="00A87D0A"/>
    <w:rsid w:val="00A900B3"/>
    <w:rsid w:val="00A902E8"/>
    <w:rsid w:val="00A9062A"/>
    <w:rsid w:val="00A907C0"/>
    <w:rsid w:val="00A90A42"/>
    <w:rsid w:val="00A90A44"/>
    <w:rsid w:val="00A90E52"/>
    <w:rsid w:val="00A90F76"/>
    <w:rsid w:val="00A9118E"/>
    <w:rsid w:val="00A9127E"/>
    <w:rsid w:val="00A916E8"/>
    <w:rsid w:val="00A918B9"/>
    <w:rsid w:val="00A91913"/>
    <w:rsid w:val="00A919CB"/>
    <w:rsid w:val="00A9209E"/>
    <w:rsid w:val="00A920E5"/>
    <w:rsid w:val="00A92A0E"/>
    <w:rsid w:val="00A92AAF"/>
    <w:rsid w:val="00A92B70"/>
    <w:rsid w:val="00A92D74"/>
    <w:rsid w:val="00A9365E"/>
    <w:rsid w:val="00A93686"/>
    <w:rsid w:val="00A939CD"/>
    <w:rsid w:val="00A93CDF"/>
    <w:rsid w:val="00A93E4A"/>
    <w:rsid w:val="00A94199"/>
    <w:rsid w:val="00A942DE"/>
    <w:rsid w:val="00A946FB"/>
    <w:rsid w:val="00A94702"/>
    <w:rsid w:val="00A94BC8"/>
    <w:rsid w:val="00A94EC9"/>
    <w:rsid w:val="00A94F08"/>
    <w:rsid w:val="00A95361"/>
    <w:rsid w:val="00A955C2"/>
    <w:rsid w:val="00A9567D"/>
    <w:rsid w:val="00A95682"/>
    <w:rsid w:val="00A958E8"/>
    <w:rsid w:val="00A95B2E"/>
    <w:rsid w:val="00A95CB5"/>
    <w:rsid w:val="00A95D51"/>
    <w:rsid w:val="00A95EC1"/>
    <w:rsid w:val="00A95F83"/>
    <w:rsid w:val="00A9607F"/>
    <w:rsid w:val="00A96156"/>
    <w:rsid w:val="00A96468"/>
    <w:rsid w:val="00A967B2"/>
    <w:rsid w:val="00A96BE2"/>
    <w:rsid w:val="00A96C9F"/>
    <w:rsid w:val="00A9718F"/>
    <w:rsid w:val="00A9731C"/>
    <w:rsid w:val="00A9745A"/>
    <w:rsid w:val="00A97CFB"/>
    <w:rsid w:val="00AA00BE"/>
    <w:rsid w:val="00AA0200"/>
    <w:rsid w:val="00AA0450"/>
    <w:rsid w:val="00AA04F9"/>
    <w:rsid w:val="00AA0553"/>
    <w:rsid w:val="00AA06B9"/>
    <w:rsid w:val="00AA0AEC"/>
    <w:rsid w:val="00AA0C3A"/>
    <w:rsid w:val="00AA0CF8"/>
    <w:rsid w:val="00AA0D60"/>
    <w:rsid w:val="00AA0DA3"/>
    <w:rsid w:val="00AA0F0F"/>
    <w:rsid w:val="00AA109B"/>
    <w:rsid w:val="00AA1F7C"/>
    <w:rsid w:val="00AA2666"/>
    <w:rsid w:val="00AA27FB"/>
    <w:rsid w:val="00AA2851"/>
    <w:rsid w:val="00AA2918"/>
    <w:rsid w:val="00AA2AEB"/>
    <w:rsid w:val="00AA2DD2"/>
    <w:rsid w:val="00AA391E"/>
    <w:rsid w:val="00AA3A3C"/>
    <w:rsid w:val="00AA3CAE"/>
    <w:rsid w:val="00AA3CE2"/>
    <w:rsid w:val="00AA3E4A"/>
    <w:rsid w:val="00AA407E"/>
    <w:rsid w:val="00AA50AF"/>
    <w:rsid w:val="00AA540C"/>
    <w:rsid w:val="00AA5555"/>
    <w:rsid w:val="00AA5761"/>
    <w:rsid w:val="00AA5852"/>
    <w:rsid w:val="00AA5CB3"/>
    <w:rsid w:val="00AA5F8D"/>
    <w:rsid w:val="00AA644A"/>
    <w:rsid w:val="00AA668F"/>
    <w:rsid w:val="00AA687D"/>
    <w:rsid w:val="00AA6E79"/>
    <w:rsid w:val="00AA7055"/>
    <w:rsid w:val="00AA70F1"/>
    <w:rsid w:val="00AA720E"/>
    <w:rsid w:val="00AA722A"/>
    <w:rsid w:val="00AA76B9"/>
    <w:rsid w:val="00AA7864"/>
    <w:rsid w:val="00AA7B19"/>
    <w:rsid w:val="00AA7C16"/>
    <w:rsid w:val="00AA7E49"/>
    <w:rsid w:val="00AB033F"/>
    <w:rsid w:val="00AB04D6"/>
    <w:rsid w:val="00AB0AAE"/>
    <w:rsid w:val="00AB0C95"/>
    <w:rsid w:val="00AB0E60"/>
    <w:rsid w:val="00AB10F7"/>
    <w:rsid w:val="00AB14AF"/>
    <w:rsid w:val="00AB1754"/>
    <w:rsid w:val="00AB1786"/>
    <w:rsid w:val="00AB198D"/>
    <w:rsid w:val="00AB1EC6"/>
    <w:rsid w:val="00AB1F36"/>
    <w:rsid w:val="00AB2425"/>
    <w:rsid w:val="00AB2666"/>
    <w:rsid w:val="00AB26ED"/>
    <w:rsid w:val="00AB2808"/>
    <w:rsid w:val="00AB280E"/>
    <w:rsid w:val="00AB28D1"/>
    <w:rsid w:val="00AB2A60"/>
    <w:rsid w:val="00AB2B3D"/>
    <w:rsid w:val="00AB2D8A"/>
    <w:rsid w:val="00AB3144"/>
    <w:rsid w:val="00AB3CA3"/>
    <w:rsid w:val="00AB3F54"/>
    <w:rsid w:val="00AB402E"/>
    <w:rsid w:val="00AB4612"/>
    <w:rsid w:val="00AB482A"/>
    <w:rsid w:val="00AB51BE"/>
    <w:rsid w:val="00AB5EFC"/>
    <w:rsid w:val="00AB64C1"/>
    <w:rsid w:val="00AB6793"/>
    <w:rsid w:val="00AB6B2C"/>
    <w:rsid w:val="00AB6C35"/>
    <w:rsid w:val="00AB6C71"/>
    <w:rsid w:val="00AB6D7E"/>
    <w:rsid w:val="00AB6E89"/>
    <w:rsid w:val="00AB726E"/>
    <w:rsid w:val="00AB741E"/>
    <w:rsid w:val="00AB769C"/>
    <w:rsid w:val="00AB77E6"/>
    <w:rsid w:val="00AB784E"/>
    <w:rsid w:val="00AB7AF1"/>
    <w:rsid w:val="00AB7D0B"/>
    <w:rsid w:val="00AB7DE6"/>
    <w:rsid w:val="00AB7EC7"/>
    <w:rsid w:val="00AC022F"/>
    <w:rsid w:val="00AC03A1"/>
    <w:rsid w:val="00AC059C"/>
    <w:rsid w:val="00AC0703"/>
    <w:rsid w:val="00AC08F4"/>
    <w:rsid w:val="00AC09B9"/>
    <w:rsid w:val="00AC0A6A"/>
    <w:rsid w:val="00AC0B57"/>
    <w:rsid w:val="00AC11C4"/>
    <w:rsid w:val="00AC132F"/>
    <w:rsid w:val="00AC151C"/>
    <w:rsid w:val="00AC15AA"/>
    <w:rsid w:val="00AC167D"/>
    <w:rsid w:val="00AC16FE"/>
    <w:rsid w:val="00AC170D"/>
    <w:rsid w:val="00AC183B"/>
    <w:rsid w:val="00AC1942"/>
    <w:rsid w:val="00AC1C4C"/>
    <w:rsid w:val="00AC204A"/>
    <w:rsid w:val="00AC208E"/>
    <w:rsid w:val="00AC26E7"/>
    <w:rsid w:val="00AC2A6E"/>
    <w:rsid w:val="00AC2CBA"/>
    <w:rsid w:val="00AC2DF2"/>
    <w:rsid w:val="00AC2FBF"/>
    <w:rsid w:val="00AC31D9"/>
    <w:rsid w:val="00AC35A0"/>
    <w:rsid w:val="00AC39A5"/>
    <w:rsid w:val="00AC3B89"/>
    <w:rsid w:val="00AC44E6"/>
    <w:rsid w:val="00AC4519"/>
    <w:rsid w:val="00AC4521"/>
    <w:rsid w:val="00AC4575"/>
    <w:rsid w:val="00AC45C3"/>
    <w:rsid w:val="00AC471F"/>
    <w:rsid w:val="00AC481A"/>
    <w:rsid w:val="00AC49A2"/>
    <w:rsid w:val="00AC4A4E"/>
    <w:rsid w:val="00AC4A6C"/>
    <w:rsid w:val="00AC4A82"/>
    <w:rsid w:val="00AC4B20"/>
    <w:rsid w:val="00AC4EFF"/>
    <w:rsid w:val="00AC51C6"/>
    <w:rsid w:val="00AC5B89"/>
    <w:rsid w:val="00AC5FA6"/>
    <w:rsid w:val="00AC6417"/>
    <w:rsid w:val="00AC69F4"/>
    <w:rsid w:val="00AC6BA1"/>
    <w:rsid w:val="00AC6F20"/>
    <w:rsid w:val="00AC6F64"/>
    <w:rsid w:val="00AC7129"/>
    <w:rsid w:val="00AC750E"/>
    <w:rsid w:val="00AC7B98"/>
    <w:rsid w:val="00AC7BB8"/>
    <w:rsid w:val="00AC7E5C"/>
    <w:rsid w:val="00AC7F47"/>
    <w:rsid w:val="00AC7FDC"/>
    <w:rsid w:val="00AD033F"/>
    <w:rsid w:val="00AD0B01"/>
    <w:rsid w:val="00AD0CDF"/>
    <w:rsid w:val="00AD0ECA"/>
    <w:rsid w:val="00AD1189"/>
    <w:rsid w:val="00AD1DC5"/>
    <w:rsid w:val="00AD1FBC"/>
    <w:rsid w:val="00AD2535"/>
    <w:rsid w:val="00AD2691"/>
    <w:rsid w:val="00AD2FF0"/>
    <w:rsid w:val="00AD3212"/>
    <w:rsid w:val="00AD3417"/>
    <w:rsid w:val="00AD34CF"/>
    <w:rsid w:val="00AD396B"/>
    <w:rsid w:val="00AD39F3"/>
    <w:rsid w:val="00AD3F1C"/>
    <w:rsid w:val="00AD4460"/>
    <w:rsid w:val="00AD4641"/>
    <w:rsid w:val="00AD46B2"/>
    <w:rsid w:val="00AD4770"/>
    <w:rsid w:val="00AD483F"/>
    <w:rsid w:val="00AD4854"/>
    <w:rsid w:val="00AD4A11"/>
    <w:rsid w:val="00AD4D01"/>
    <w:rsid w:val="00AD5357"/>
    <w:rsid w:val="00AD551B"/>
    <w:rsid w:val="00AD558F"/>
    <w:rsid w:val="00AD57D1"/>
    <w:rsid w:val="00AD5999"/>
    <w:rsid w:val="00AD59BB"/>
    <w:rsid w:val="00AD611B"/>
    <w:rsid w:val="00AD6207"/>
    <w:rsid w:val="00AD63C3"/>
    <w:rsid w:val="00AD67E0"/>
    <w:rsid w:val="00AD680F"/>
    <w:rsid w:val="00AD6857"/>
    <w:rsid w:val="00AD686C"/>
    <w:rsid w:val="00AD68B1"/>
    <w:rsid w:val="00AD6B90"/>
    <w:rsid w:val="00AD6FFA"/>
    <w:rsid w:val="00AD7430"/>
    <w:rsid w:val="00AD7684"/>
    <w:rsid w:val="00AD791C"/>
    <w:rsid w:val="00AD7DD6"/>
    <w:rsid w:val="00AD7F4F"/>
    <w:rsid w:val="00AE010E"/>
    <w:rsid w:val="00AE0298"/>
    <w:rsid w:val="00AE0634"/>
    <w:rsid w:val="00AE0915"/>
    <w:rsid w:val="00AE0B09"/>
    <w:rsid w:val="00AE0C0A"/>
    <w:rsid w:val="00AE0CE8"/>
    <w:rsid w:val="00AE0E55"/>
    <w:rsid w:val="00AE1417"/>
    <w:rsid w:val="00AE1852"/>
    <w:rsid w:val="00AE186D"/>
    <w:rsid w:val="00AE1A2F"/>
    <w:rsid w:val="00AE1FC8"/>
    <w:rsid w:val="00AE211B"/>
    <w:rsid w:val="00AE2442"/>
    <w:rsid w:val="00AE2999"/>
    <w:rsid w:val="00AE2A9C"/>
    <w:rsid w:val="00AE2F8A"/>
    <w:rsid w:val="00AE336E"/>
    <w:rsid w:val="00AE3474"/>
    <w:rsid w:val="00AE3503"/>
    <w:rsid w:val="00AE3AFC"/>
    <w:rsid w:val="00AE3E0B"/>
    <w:rsid w:val="00AE3FCF"/>
    <w:rsid w:val="00AE4127"/>
    <w:rsid w:val="00AE4392"/>
    <w:rsid w:val="00AE47C0"/>
    <w:rsid w:val="00AE48BF"/>
    <w:rsid w:val="00AE48E2"/>
    <w:rsid w:val="00AE4D26"/>
    <w:rsid w:val="00AE4D37"/>
    <w:rsid w:val="00AE4D59"/>
    <w:rsid w:val="00AE5762"/>
    <w:rsid w:val="00AE5B10"/>
    <w:rsid w:val="00AE66A3"/>
    <w:rsid w:val="00AE6BAE"/>
    <w:rsid w:val="00AE718C"/>
    <w:rsid w:val="00AE72E4"/>
    <w:rsid w:val="00AE7CAF"/>
    <w:rsid w:val="00AE7DB9"/>
    <w:rsid w:val="00AF0058"/>
    <w:rsid w:val="00AF00D1"/>
    <w:rsid w:val="00AF080D"/>
    <w:rsid w:val="00AF093C"/>
    <w:rsid w:val="00AF0C3F"/>
    <w:rsid w:val="00AF0E18"/>
    <w:rsid w:val="00AF0FA7"/>
    <w:rsid w:val="00AF106D"/>
    <w:rsid w:val="00AF14CA"/>
    <w:rsid w:val="00AF1596"/>
    <w:rsid w:val="00AF1754"/>
    <w:rsid w:val="00AF25D8"/>
    <w:rsid w:val="00AF2A2A"/>
    <w:rsid w:val="00AF2C81"/>
    <w:rsid w:val="00AF3469"/>
    <w:rsid w:val="00AF3A07"/>
    <w:rsid w:val="00AF3A3F"/>
    <w:rsid w:val="00AF3DFD"/>
    <w:rsid w:val="00AF3E99"/>
    <w:rsid w:val="00AF4127"/>
    <w:rsid w:val="00AF4414"/>
    <w:rsid w:val="00AF46AE"/>
    <w:rsid w:val="00AF46ED"/>
    <w:rsid w:val="00AF4CA4"/>
    <w:rsid w:val="00AF4F66"/>
    <w:rsid w:val="00AF5315"/>
    <w:rsid w:val="00AF55DF"/>
    <w:rsid w:val="00AF572F"/>
    <w:rsid w:val="00AF59BE"/>
    <w:rsid w:val="00AF5B31"/>
    <w:rsid w:val="00AF5BD3"/>
    <w:rsid w:val="00AF5D24"/>
    <w:rsid w:val="00AF5D2A"/>
    <w:rsid w:val="00AF61D1"/>
    <w:rsid w:val="00AF6572"/>
    <w:rsid w:val="00AF6631"/>
    <w:rsid w:val="00AF6AAA"/>
    <w:rsid w:val="00AF766E"/>
    <w:rsid w:val="00AF76A2"/>
    <w:rsid w:val="00AF7787"/>
    <w:rsid w:val="00AF7B99"/>
    <w:rsid w:val="00AF7BF0"/>
    <w:rsid w:val="00AF7D71"/>
    <w:rsid w:val="00AF7F98"/>
    <w:rsid w:val="00B00055"/>
    <w:rsid w:val="00B00164"/>
    <w:rsid w:val="00B003C1"/>
    <w:rsid w:val="00B00E69"/>
    <w:rsid w:val="00B012ED"/>
    <w:rsid w:val="00B01390"/>
    <w:rsid w:val="00B016A3"/>
    <w:rsid w:val="00B01A74"/>
    <w:rsid w:val="00B020DE"/>
    <w:rsid w:val="00B029AE"/>
    <w:rsid w:val="00B02C94"/>
    <w:rsid w:val="00B02E17"/>
    <w:rsid w:val="00B02E2F"/>
    <w:rsid w:val="00B02EC5"/>
    <w:rsid w:val="00B03405"/>
    <w:rsid w:val="00B0368B"/>
    <w:rsid w:val="00B036CA"/>
    <w:rsid w:val="00B03895"/>
    <w:rsid w:val="00B03BF0"/>
    <w:rsid w:val="00B03C4F"/>
    <w:rsid w:val="00B03FDF"/>
    <w:rsid w:val="00B04086"/>
    <w:rsid w:val="00B043B9"/>
    <w:rsid w:val="00B04406"/>
    <w:rsid w:val="00B047D6"/>
    <w:rsid w:val="00B04A7A"/>
    <w:rsid w:val="00B04C9B"/>
    <w:rsid w:val="00B04FAE"/>
    <w:rsid w:val="00B052DA"/>
    <w:rsid w:val="00B05380"/>
    <w:rsid w:val="00B0538E"/>
    <w:rsid w:val="00B05C23"/>
    <w:rsid w:val="00B05D5A"/>
    <w:rsid w:val="00B06472"/>
    <w:rsid w:val="00B06547"/>
    <w:rsid w:val="00B06716"/>
    <w:rsid w:val="00B06F0E"/>
    <w:rsid w:val="00B06F4C"/>
    <w:rsid w:val="00B071DB"/>
    <w:rsid w:val="00B074DC"/>
    <w:rsid w:val="00B0757D"/>
    <w:rsid w:val="00B076FA"/>
    <w:rsid w:val="00B077A8"/>
    <w:rsid w:val="00B07B83"/>
    <w:rsid w:val="00B07F9A"/>
    <w:rsid w:val="00B10082"/>
    <w:rsid w:val="00B10188"/>
    <w:rsid w:val="00B10410"/>
    <w:rsid w:val="00B1062A"/>
    <w:rsid w:val="00B10869"/>
    <w:rsid w:val="00B10895"/>
    <w:rsid w:val="00B117FD"/>
    <w:rsid w:val="00B1193A"/>
    <w:rsid w:val="00B11F11"/>
    <w:rsid w:val="00B12670"/>
    <w:rsid w:val="00B12859"/>
    <w:rsid w:val="00B1286C"/>
    <w:rsid w:val="00B128C0"/>
    <w:rsid w:val="00B128FE"/>
    <w:rsid w:val="00B12D36"/>
    <w:rsid w:val="00B12F38"/>
    <w:rsid w:val="00B1306D"/>
    <w:rsid w:val="00B13149"/>
    <w:rsid w:val="00B1334A"/>
    <w:rsid w:val="00B133DD"/>
    <w:rsid w:val="00B139C1"/>
    <w:rsid w:val="00B13CDA"/>
    <w:rsid w:val="00B13D80"/>
    <w:rsid w:val="00B13DC9"/>
    <w:rsid w:val="00B13F28"/>
    <w:rsid w:val="00B140E1"/>
    <w:rsid w:val="00B14234"/>
    <w:rsid w:val="00B1445D"/>
    <w:rsid w:val="00B14ABE"/>
    <w:rsid w:val="00B14B8B"/>
    <w:rsid w:val="00B14E59"/>
    <w:rsid w:val="00B1532A"/>
    <w:rsid w:val="00B15660"/>
    <w:rsid w:val="00B15804"/>
    <w:rsid w:val="00B15962"/>
    <w:rsid w:val="00B159B9"/>
    <w:rsid w:val="00B15D67"/>
    <w:rsid w:val="00B15ECF"/>
    <w:rsid w:val="00B162F8"/>
    <w:rsid w:val="00B1698A"/>
    <w:rsid w:val="00B169A8"/>
    <w:rsid w:val="00B169F1"/>
    <w:rsid w:val="00B16CBF"/>
    <w:rsid w:val="00B1711C"/>
    <w:rsid w:val="00B17470"/>
    <w:rsid w:val="00B174AC"/>
    <w:rsid w:val="00B175EC"/>
    <w:rsid w:val="00B176B9"/>
    <w:rsid w:val="00B17DD3"/>
    <w:rsid w:val="00B17E86"/>
    <w:rsid w:val="00B201E9"/>
    <w:rsid w:val="00B20306"/>
    <w:rsid w:val="00B20769"/>
    <w:rsid w:val="00B207B4"/>
    <w:rsid w:val="00B209DB"/>
    <w:rsid w:val="00B212C6"/>
    <w:rsid w:val="00B212F9"/>
    <w:rsid w:val="00B21C87"/>
    <w:rsid w:val="00B21E15"/>
    <w:rsid w:val="00B21EE2"/>
    <w:rsid w:val="00B22189"/>
    <w:rsid w:val="00B22333"/>
    <w:rsid w:val="00B2233C"/>
    <w:rsid w:val="00B223C0"/>
    <w:rsid w:val="00B2249D"/>
    <w:rsid w:val="00B22599"/>
    <w:rsid w:val="00B2286B"/>
    <w:rsid w:val="00B22E8E"/>
    <w:rsid w:val="00B22F90"/>
    <w:rsid w:val="00B235E0"/>
    <w:rsid w:val="00B2374E"/>
    <w:rsid w:val="00B23A7D"/>
    <w:rsid w:val="00B24173"/>
    <w:rsid w:val="00B243FC"/>
    <w:rsid w:val="00B2449C"/>
    <w:rsid w:val="00B244D1"/>
    <w:rsid w:val="00B24502"/>
    <w:rsid w:val="00B245C4"/>
    <w:rsid w:val="00B24BB8"/>
    <w:rsid w:val="00B24CA5"/>
    <w:rsid w:val="00B24D36"/>
    <w:rsid w:val="00B25190"/>
    <w:rsid w:val="00B256BC"/>
    <w:rsid w:val="00B2571B"/>
    <w:rsid w:val="00B25859"/>
    <w:rsid w:val="00B25C57"/>
    <w:rsid w:val="00B25D16"/>
    <w:rsid w:val="00B25F9D"/>
    <w:rsid w:val="00B264A7"/>
    <w:rsid w:val="00B264BB"/>
    <w:rsid w:val="00B26741"/>
    <w:rsid w:val="00B268CD"/>
    <w:rsid w:val="00B26A89"/>
    <w:rsid w:val="00B26B0B"/>
    <w:rsid w:val="00B26C53"/>
    <w:rsid w:val="00B271D9"/>
    <w:rsid w:val="00B272AF"/>
    <w:rsid w:val="00B27558"/>
    <w:rsid w:val="00B275BA"/>
    <w:rsid w:val="00B275EA"/>
    <w:rsid w:val="00B277C4"/>
    <w:rsid w:val="00B2784E"/>
    <w:rsid w:val="00B27852"/>
    <w:rsid w:val="00B27BCD"/>
    <w:rsid w:val="00B27D3C"/>
    <w:rsid w:val="00B27DEB"/>
    <w:rsid w:val="00B27E15"/>
    <w:rsid w:val="00B30182"/>
    <w:rsid w:val="00B30641"/>
    <w:rsid w:val="00B3095C"/>
    <w:rsid w:val="00B30EA9"/>
    <w:rsid w:val="00B3101F"/>
    <w:rsid w:val="00B31512"/>
    <w:rsid w:val="00B315ED"/>
    <w:rsid w:val="00B31995"/>
    <w:rsid w:val="00B31EB8"/>
    <w:rsid w:val="00B3226A"/>
    <w:rsid w:val="00B32319"/>
    <w:rsid w:val="00B323DF"/>
    <w:rsid w:val="00B3269F"/>
    <w:rsid w:val="00B327D1"/>
    <w:rsid w:val="00B32847"/>
    <w:rsid w:val="00B3287E"/>
    <w:rsid w:val="00B32BDE"/>
    <w:rsid w:val="00B32C89"/>
    <w:rsid w:val="00B32D79"/>
    <w:rsid w:val="00B32E63"/>
    <w:rsid w:val="00B33093"/>
    <w:rsid w:val="00B33139"/>
    <w:rsid w:val="00B3355F"/>
    <w:rsid w:val="00B33738"/>
    <w:rsid w:val="00B3386A"/>
    <w:rsid w:val="00B33BFD"/>
    <w:rsid w:val="00B33E8B"/>
    <w:rsid w:val="00B340BD"/>
    <w:rsid w:val="00B3474D"/>
    <w:rsid w:val="00B3489A"/>
    <w:rsid w:val="00B34A31"/>
    <w:rsid w:val="00B34A6D"/>
    <w:rsid w:val="00B34CF2"/>
    <w:rsid w:val="00B34E3B"/>
    <w:rsid w:val="00B34F4B"/>
    <w:rsid w:val="00B3514B"/>
    <w:rsid w:val="00B35324"/>
    <w:rsid w:val="00B353D7"/>
    <w:rsid w:val="00B35C85"/>
    <w:rsid w:val="00B36437"/>
    <w:rsid w:val="00B36481"/>
    <w:rsid w:val="00B368C8"/>
    <w:rsid w:val="00B36DAE"/>
    <w:rsid w:val="00B36DE3"/>
    <w:rsid w:val="00B36E37"/>
    <w:rsid w:val="00B373C4"/>
    <w:rsid w:val="00B376E2"/>
    <w:rsid w:val="00B3780C"/>
    <w:rsid w:val="00B37ABC"/>
    <w:rsid w:val="00B37BCD"/>
    <w:rsid w:val="00B4001F"/>
    <w:rsid w:val="00B402CD"/>
    <w:rsid w:val="00B40EAA"/>
    <w:rsid w:val="00B4106A"/>
    <w:rsid w:val="00B411E4"/>
    <w:rsid w:val="00B4178A"/>
    <w:rsid w:val="00B4212E"/>
    <w:rsid w:val="00B4222B"/>
    <w:rsid w:val="00B423ED"/>
    <w:rsid w:val="00B4281F"/>
    <w:rsid w:val="00B428ED"/>
    <w:rsid w:val="00B42AAA"/>
    <w:rsid w:val="00B43018"/>
    <w:rsid w:val="00B432C3"/>
    <w:rsid w:val="00B434B7"/>
    <w:rsid w:val="00B434D2"/>
    <w:rsid w:val="00B4385A"/>
    <w:rsid w:val="00B4391D"/>
    <w:rsid w:val="00B43BC2"/>
    <w:rsid w:val="00B43D63"/>
    <w:rsid w:val="00B4407C"/>
    <w:rsid w:val="00B4421C"/>
    <w:rsid w:val="00B4453B"/>
    <w:rsid w:val="00B44679"/>
    <w:rsid w:val="00B44805"/>
    <w:rsid w:val="00B44A98"/>
    <w:rsid w:val="00B45179"/>
    <w:rsid w:val="00B457FA"/>
    <w:rsid w:val="00B45861"/>
    <w:rsid w:val="00B458C5"/>
    <w:rsid w:val="00B45AFE"/>
    <w:rsid w:val="00B45C97"/>
    <w:rsid w:val="00B460FA"/>
    <w:rsid w:val="00B463B7"/>
    <w:rsid w:val="00B4648F"/>
    <w:rsid w:val="00B467DF"/>
    <w:rsid w:val="00B46F6E"/>
    <w:rsid w:val="00B4708D"/>
    <w:rsid w:val="00B47235"/>
    <w:rsid w:val="00B473F1"/>
    <w:rsid w:val="00B474A7"/>
    <w:rsid w:val="00B474AF"/>
    <w:rsid w:val="00B475BF"/>
    <w:rsid w:val="00B47883"/>
    <w:rsid w:val="00B478DD"/>
    <w:rsid w:val="00B47FF6"/>
    <w:rsid w:val="00B500C2"/>
    <w:rsid w:val="00B504D8"/>
    <w:rsid w:val="00B5062D"/>
    <w:rsid w:val="00B5068C"/>
    <w:rsid w:val="00B50B8A"/>
    <w:rsid w:val="00B50E04"/>
    <w:rsid w:val="00B50F86"/>
    <w:rsid w:val="00B513B0"/>
    <w:rsid w:val="00B51451"/>
    <w:rsid w:val="00B51765"/>
    <w:rsid w:val="00B5180E"/>
    <w:rsid w:val="00B518F2"/>
    <w:rsid w:val="00B521D2"/>
    <w:rsid w:val="00B521E1"/>
    <w:rsid w:val="00B52570"/>
    <w:rsid w:val="00B52816"/>
    <w:rsid w:val="00B52844"/>
    <w:rsid w:val="00B52CF4"/>
    <w:rsid w:val="00B53230"/>
    <w:rsid w:val="00B53743"/>
    <w:rsid w:val="00B53964"/>
    <w:rsid w:val="00B53B55"/>
    <w:rsid w:val="00B53C57"/>
    <w:rsid w:val="00B53CC2"/>
    <w:rsid w:val="00B53F24"/>
    <w:rsid w:val="00B53FB4"/>
    <w:rsid w:val="00B54830"/>
    <w:rsid w:val="00B54A9E"/>
    <w:rsid w:val="00B54C14"/>
    <w:rsid w:val="00B553FF"/>
    <w:rsid w:val="00B5548D"/>
    <w:rsid w:val="00B55766"/>
    <w:rsid w:val="00B55808"/>
    <w:rsid w:val="00B5594A"/>
    <w:rsid w:val="00B55BFC"/>
    <w:rsid w:val="00B55F51"/>
    <w:rsid w:val="00B56283"/>
    <w:rsid w:val="00B56818"/>
    <w:rsid w:val="00B569D5"/>
    <w:rsid w:val="00B56B84"/>
    <w:rsid w:val="00B56C9D"/>
    <w:rsid w:val="00B57283"/>
    <w:rsid w:val="00B57383"/>
    <w:rsid w:val="00B57507"/>
    <w:rsid w:val="00B575FD"/>
    <w:rsid w:val="00B57854"/>
    <w:rsid w:val="00B57C47"/>
    <w:rsid w:val="00B60103"/>
    <w:rsid w:val="00B60F21"/>
    <w:rsid w:val="00B60FAA"/>
    <w:rsid w:val="00B611F3"/>
    <w:rsid w:val="00B6147B"/>
    <w:rsid w:val="00B615D5"/>
    <w:rsid w:val="00B619AD"/>
    <w:rsid w:val="00B61BFA"/>
    <w:rsid w:val="00B61CF3"/>
    <w:rsid w:val="00B61E54"/>
    <w:rsid w:val="00B61FB1"/>
    <w:rsid w:val="00B61FF7"/>
    <w:rsid w:val="00B62355"/>
    <w:rsid w:val="00B62563"/>
    <w:rsid w:val="00B6259D"/>
    <w:rsid w:val="00B62CF9"/>
    <w:rsid w:val="00B63445"/>
    <w:rsid w:val="00B63818"/>
    <w:rsid w:val="00B6391B"/>
    <w:rsid w:val="00B63C45"/>
    <w:rsid w:val="00B63CC9"/>
    <w:rsid w:val="00B63FDF"/>
    <w:rsid w:val="00B641D8"/>
    <w:rsid w:val="00B648A5"/>
    <w:rsid w:val="00B64A62"/>
    <w:rsid w:val="00B6516F"/>
    <w:rsid w:val="00B652ED"/>
    <w:rsid w:val="00B65453"/>
    <w:rsid w:val="00B654DC"/>
    <w:rsid w:val="00B65797"/>
    <w:rsid w:val="00B65919"/>
    <w:rsid w:val="00B659CB"/>
    <w:rsid w:val="00B65AFF"/>
    <w:rsid w:val="00B65F25"/>
    <w:rsid w:val="00B669A5"/>
    <w:rsid w:val="00B66A13"/>
    <w:rsid w:val="00B66BEB"/>
    <w:rsid w:val="00B66C27"/>
    <w:rsid w:val="00B66D3E"/>
    <w:rsid w:val="00B6734C"/>
    <w:rsid w:val="00B67667"/>
    <w:rsid w:val="00B676F6"/>
    <w:rsid w:val="00B678F6"/>
    <w:rsid w:val="00B70395"/>
    <w:rsid w:val="00B703CA"/>
    <w:rsid w:val="00B703F8"/>
    <w:rsid w:val="00B70882"/>
    <w:rsid w:val="00B70BFE"/>
    <w:rsid w:val="00B70C81"/>
    <w:rsid w:val="00B710AB"/>
    <w:rsid w:val="00B712C9"/>
    <w:rsid w:val="00B7136B"/>
    <w:rsid w:val="00B7143D"/>
    <w:rsid w:val="00B718F2"/>
    <w:rsid w:val="00B7199D"/>
    <w:rsid w:val="00B71B24"/>
    <w:rsid w:val="00B71C09"/>
    <w:rsid w:val="00B71C61"/>
    <w:rsid w:val="00B71EA9"/>
    <w:rsid w:val="00B71FA5"/>
    <w:rsid w:val="00B72168"/>
    <w:rsid w:val="00B7274A"/>
    <w:rsid w:val="00B727BC"/>
    <w:rsid w:val="00B72C55"/>
    <w:rsid w:val="00B72DC6"/>
    <w:rsid w:val="00B73304"/>
    <w:rsid w:val="00B73418"/>
    <w:rsid w:val="00B73449"/>
    <w:rsid w:val="00B73816"/>
    <w:rsid w:val="00B738A2"/>
    <w:rsid w:val="00B73A51"/>
    <w:rsid w:val="00B73AF8"/>
    <w:rsid w:val="00B74618"/>
    <w:rsid w:val="00B74689"/>
    <w:rsid w:val="00B75340"/>
    <w:rsid w:val="00B75344"/>
    <w:rsid w:val="00B754EB"/>
    <w:rsid w:val="00B75724"/>
    <w:rsid w:val="00B75881"/>
    <w:rsid w:val="00B75C3A"/>
    <w:rsid w:val="00B75C8B"/>
    <w:rsid w:val="00B7607E"/>
    <w:rsid w:val="00B760F6"/>
    <w:rsid w:val="00B76399"/>
    <w:rsid w:val="00B76F94"/>
    <w:rsid w:val="00B770A7"/>
    <w:rsid w:val="00B7791F"/>
    <w:rsid w:val="00B77B34"/>
    <w:rsid w:val="00B77B74"/>
    <w:rsid w:val="00B77D03"/>
    <w:rsid w:val="00B77F96"/>
    <w:rsid w:val="00B802BB"/>
    <w:rsid w:val="00B803FB"/>
    <w:rsid w:val="00B8073E"/>
    <w:rsid w:val="00B80C0B"/>
    <w:rsid w:val="00B80CD0"/>
    <w:rsid w:val="00B80E5D"/>
    <w:rsid w:val="00B8134D"/>
    <w:rsid w:val="00B8160B"/>
    <w:rsid w:val="00B81E57"/>
    <w:rsid w:val="00B82899"/>
    <w:rsid w:val="00B82AF1"/>
    <w:rsid w:val="00B82D24"/>
    <w:rsid w:val="00B82F28"/>
    <w:rsid w:val="00B833BB"/>
    <w:rsid w:val="00B83492"/>
    <w:rsid w:val="00B835E9"/>
    <w:rsid w:val="00B8368D"/>
    <w:rsid w:val="00B83AA1"/>
    <w:rsid w:val="00B83DD0"/>
    <w:rsid w:val="00B83E77"/>
    <w:rsid w:val="00B8406E"/>
    <w:rsid w:val="00B84198"/>
    <w:rsid w:val="00B84274"/>
    <w:rsid w:val="00B84310"/>
    <w:rsid w:val="00B84546"/>
    <w:rsid w:val="00B846EA"/>
    <w:rsid w:val="00B84C3C"/>
    <w:rsid w:val="00B84EC2"/>
    <w:rsid w:val="00B84F62"/>
    <w:rsid w:val="00B850BC"/>
    <w:rsid w:val="00B85139"/>
    <w:rsid w:val="00B85423"/>
    <w:rsid w:val="00B855C9"/>
    <w:rsid w:val="00B858E9"/>
    <w:rsid w:val="00B85961"/>
    <w:rsid w:val="00B8596B"/>
    <w:rsid w:val="00B859CC"/>
    <w:rsid w:val="00B85B53"/>
    <w:rsid w:val="00B85D52"/>
    <w:rsid w:val="00B85ECC"/>
    <w:rsid w:val="00B860FE"/>
    <w:rsid w:val="00B865A1"/>
    <w:rsid w:val="00B86800"/>
    <w:rsid w:val="00B86AA2"/>
    <w:rsid w:val="00B86CD5"/>
    <w:rsid w:val="00B87064"/>
    <w:rsid w:val="00B8722E"/>
    <w:rsid w:val="00B873D7"/>
    <w:rsid w:val="00B87408"/>
    <w:rsid w:val="00B87A7B"/>
    <w:rsid w:val="00B87D0A"/>
    <w:rsid w:val="00B87E3F"/>
    <w:rsid w:val="00B90100"/>
    <w:rsid w:val="00B90297"/>
    <w:rsid w:val="00B902D2"/>
    <w:rsid w:val="00B902EF"/>
    <w:rsid w:val="00B903C5"/>
    <w:rsid w:val="00B903FD"/>
    <w:rsid w:val="00B9042C"/>
    <w:rsid w:val="00B90444"/>
    <w:rsid w:val="00B90E12"/>
    <w:rsid w:val="00B91020"/>
    <w:rsid w:val="00B919D7"/>
    <w:rsid w:val="00B91A75"/>
    <w:rsid w:val="00B91DC2"/>
    <w:rsid w:val="00B91E75"/>
    <w:rsid w:val="00B921A2"/>
    <w:rsid w:val="00B92796"/>
    <w:rsid w:val="00B92953"/>
    <w:rsid w:val="00B929B2"/>
    <w:rsid w:val="00B92C4C"/>
    <w:rsid w:val="00B92F3D"/>
    <w:rsid w:val="00B92FE5"/>
    <w:rsid w:val="00B930C1"/>
    <w:rsid w:val="00B931E7"/>
    <w:rsid w:val="00B93393"/>
    <w:rsid w:val="00B93484"/>
    <w:rsid w:val="00B935AC"/>
    <w:rsid w:val="00B9360F"/>
    <w:rsid w:val="00B936F7"/>
    <w:rsid w:val="00B93751"/>
    <w:rsid w:val="00B93DF9"/>
    <w:rsid w:val="00B946C1"/>
    <w:rsid w:val="00B9484E"/>
    <w:rsid w:val="00B94943"/>
    <w:rsid w:val="00B94956"/>
    <w:rsid w:val="00B94BCD"/>
    <w:rsid w:val="00B94BEE"/>
    <w:rsid w:val="00B94CC5"/>
    <w:rsid w:val="00B94D87"/>
    <w:rsid w:val="00B951F8"/>
    <w:rsid w:val="00B953DB"/>
    <w:rsid w:val="00B954D3"/>
    <w:rsid w:val="00B957CA"/>
    <w:rsid w:val="00B95AF1"/>
    <w:rsid w:val="00B95C0B"/>
    <w:rsid w:val="00B95D26"/>
    <w:rsid w:val="00B95D68"/>
    <w:rsid w:val="00B9632C"/>
    <w:rsid w:val="00B96377"/>
    <w:rsid w:val="00B964B9"/>
    <w:rsid w:val="00B96740"/>
    <w:rsid w:val="00B969BF"/>
    <w:rsid w:val="00B96B8C"/>
    <w:rsid w:val="00B96C8A"/>
    <w:rsid w:val="00B97044"/>
    <w:rsid w:val="00B974F8"/>
    <w:rsid w:val="00B975DB"/>
    <w:rsid w:val="00B9770A"/>
    <w:rsid w:val="00B97A03"/>
    <w:rsid w:val="00B97AF7"/>
    <w:rsid w:val="00BA03AC"/>
    <w:rsid w:val="00BA0989"/>
    <w:rsid w:val="00BA0AAF"/>
    <w:rsid w:val="00BA0CCA"/>
    <w:rsid w:val="00BA0D6F"/>
    <w:rsid w:val="00BA0E3B"/>
    <w:rsid w:val="00BA0E70"/>
    <w:rsid w:val="00BA0F0A"/>
    <w:rsid w:val="00BA0FE1"/>
    <w:rsid w:val="00BA108D"/>
    <w:rsid w:val="00BA148E"/>
    <w:rsid w:val="00BA16BC"/>
    <w:rsid w:val="00BA1E8A"/>
    <w:rsid w:val="00BA24AC"/>
    <w:rsid w:val="00BA2845"/>
    <w:rsid w:val="00BA2A71"/>
    <w:rsid w:val="00BA2AF0"/>
    <w:rsid w:val="00BA30DA"/>
    <w:rsid w:val="00BA33C6"/>
    <w:rsid w:val="00BA4869"/>
    <w:rsid w:val="00BA4BA7"/>
    <w:rsid w:val="00BA5809"/>
    <w:rsid w:val="00BA58B5"/>
    <w:rsid w:val="00BA5CFA"/>
    <w:rsid w:val="00BA60E4"/>
    <w:rsid w:val="00BA61AE"/>
    <w:rsid w:val="00BA631C"/>
    <w:rsid w:val="00BA65D7"/>
    <w:rsid w:val="00BA671E"/>
    <w:rsid w:val="00BA67BE"/>
    <w:rsid w:val="00BA681E"/>
    <w:rsid w:val="00BA6ADE"/>
    <w:rsid w:val="00BA6DA8"/>
    <w:rsid w:val="00BA6E14"/>
    <w:rsid w:val="00BA7532"/>
    <w:rsid w:val="00BA7BBC"/>
    <w:rsid w:val="00BB000E"/>
    <w:rsid w:val="00BB0188"/>
    <w:rsid w:val="00BB018A"/>
    <w:rsid w:val="00BB01E4"/>
    <w:rsid w:val="00BB0530"/>
    <w:rsid w:val="00BB0E58"/>
    <w:rsid w:val="00BB0F73"/>
    <w:rsid w:val="00BB11CE"/>
    <w:rsid w:val="00BB138E"/>
    <w:rsid w:val="00BB14C5"/>
    <w:rsid w:val="00BB16AF"/>
    <w:rsid w:val="00BB1C3A"/>
    <w:rsid w:val="00BB1E09"/>
    <w:rsid w:val="00BB201A"/>
    <w:rsid w:val="00BB218F"/>
    <w:rsid w:val="00BB26C0"/>
    <w:rsid w:val="00BB28D1"/>
    <w:rsid w:val="00BB2915"/>
    <w:rsid w:val="00BB2A41"/>
    <w:rsid w:val="00BB2CDD"/>
    <w:rsid w:val="00BB2F3B"/>
    <w:rsid w:val="00BB2FCB"/>
    <w:rsid w:val="00BB3005"/>
    <w:rsid w:val="00BB37EB"/>
    <w:rsid w:val="00BB3A47"/>
    <w:rsid w:val="00BB3ADD"/>
    <w:rsid w:val="00BB3D7D"/>
    <w:rsid w:val="00BB3DC9"/>
    <w:rsid w:val="00BB3EAD"/>
    <w:rsid w:val="00BB3EF4"/>
    <w:rsid w:val="00BB416F"/>
    <w:rsid w:val="00BB442D"/>
    <w:rsid w:val="00BB462F"/>
    <w:rsid w:val="00BB46C6"/>
    <w:rsid w:val="00BB4C6A"/>
    <w:rsid w:val="00BB4D4B"/>
    <w:rsid w:val="00BB4E7B"/>
    <w:rsid w:val="00BB50AB"/>
    <w:rsid w:val="00BB588F"/>
    <w:rsid w:val="00BB5A17"/>
    <w:rsid w:val="00BB6398"/>
    <w:rsid w:val="00BB64C9"/>
    <w:rsid w:val="00BB685A"/>
    <w:rsid w:val="00BB69AB"/>
    <w:rsid w:val="00BB6ED4"/>
    <w:rsid w:val="00BB6F82"/>
    <w:rsid w:val="00BB7061"/>
    <w:rsid w:val="00BB7066"/>
    <w:rsid w:val="00BB71A8"/>
    <w:rsid w:val="00BB7274"/>
    <w:rsid w:val="00BB72F4"/>
    <w:rsid w:val="00BB76A3"/>
    <w:rsid w:val="00BC008A"/>
    <w:rsid w:val="00BC0366"/>
    <w:rsid w:val="00BC0371"/>
    <w:rsid w:val="00BC04F6"/>
    <w:rsid w:val="00BC05A7"/>
    <w:rsid w:val="00BC06E9"/>
    <w:rsid w:val="00BC06F9"/>
    <w:rsid w:val="00BC07A5"/>
    <w:rsid w:val="00BC0927"/>
    <w:rsid w:val="00BC09C7"/>
    <w:rsid w:val="00BC0BA6"/>
    <w:rsid w:val="00BC1191"/>
    <w:rsid w:val="00BC12B4"/>
    <w:rsid w:val="00BC1734"/>
    <w:rsid w:val="00BC1B6F"/>
    <w:rsid w:val="00BC20E2"/>
    <w:rsid w:val="00BC25B2"/>
    <w:rsid w:val="00BC2639"/>
    <w:rsid w:val="00BC2E70"/>
    <w:rsid w:val="00BC30D4"/>
    <w:rsid w:val="00BC3443"/>
    <w:rsid w:val="00BC3623"/>
    <w:rsid w:val="00BC3A41"/>
    <w:rsid w:val="00BC3A8F"/>
    <w:rsid w:val="00BC3B2C"/>
    <w:rsid w:val="00BC3D98"/>
    <w:rsid w:val="00BC3FE0"/>
    <w:rsid w:val="00BC41DC"/>
    <w:rsid w:val="00BC4218"/>
    <w:rsid w:val="00BC4338"/>
    <w:rsid w:val="00BC471A"/>
    <w:rsid w:val="00BC47C3"/>
    <w:rsid w:val="00BC4DFB"/>
    <w:rsid w:val="00BC503F"/>
    <w:rsid w:val="00BC5178"/>
    <w:rsid w:val="00BC51D3"/>
    <w:rsid w:val="00BC54EC"/>
    <w:rsid w:val="00BC61D3"/>
    <w:rsid w:val="00BC6276"/>
    <w:rsid w:val="00BC6281"/>
    <w:rsid w:val="00BC64DE"/>
    <w:rsid w:val="00BC6765"/>
    <w:rsid w:val="00BC69E6"/>
    <w:rsid w:val="00BC6A93"/>
    <w:rsid w:val="00BC6B1C"/>
    <w:rsid w:val="00BC6E82"/>
    <w:rsid w:val="00BC703B"/>
    <w:rsid w:val="00BC73BF"/>
    <w:rsid w:val="00BC74A5"/>
    <w:rsid w:val="00BC77D0"/>
    <w:rsid w:val="00BD065A"/>
    <w:rsid w:val="00BD06E4"/>
    <w:rsid w:val="00BD0880"/>
    <w:rsid w:val="00BD08BF"/>
    <w:rsid w:val="00BD0987"/>
    <w:rsid w:val="00BD0D64"/>
    <w:rsid w:val="00BD1A7B"/>
    <w:rsid w:val="00BD1AFE"/>
    <w:rsid w:val="00BD1CA1"/>
    <w:rsid w:val="00BD2163"/>
    <w:rsid w:val="00BD2CE8"/>
    <w:rsid w:val="00BD2F17"/>
    <w:rsid w:val="00BD2F96"/>
    <w:rsid w:val="00BD34DC"/>
    <w:rsid w:val="00BD3627"/>
    <w:rsid w:val="00BD37A0"/>
    <w:rsid w:val="00BD3A2A"/>
    <w:rsid w:val="00BD42D5"/>
    <w:rsid w:val="00BD4608"/>
    <w:rsid w:val="00BD477A"/>
    <w:rsid w:val="00BD49A0"/>
    <w:rsid w:val="00BD4B0C"/>
    <w:rsid w:val="00BD4CB7"/>
    <w:rsid w:val="00BD4CDE"/>
    <w:rsid w:val="00BD4D7D"/>
    <w:rsid w:val="00BD4E57"/>
    <w:rsid w:val="00BD5357"/>
    <w:rsid w:val="00BD54D3"/>
    <w:rsid w:val="00BD5A79"/>
    <w:rsid w:val="00BD5C6F"/>
    <w:rsid w:val="00BD5C93"/>
    <w:rsid w:val="00BD5F9F"/>
    <w:rsid w:val="00BD60FB"/>
    <w:rsid w:val="00BD64C0"/>
    <w:rsid w:val="00BD6885"/>
    <w:rsid w:val="00BD690D"/>
    <w:rsid w:val="00BD6A45"/>
    <w:rsid w:val="00BD6BA9"/>
    <w:rsid w:val="00BD70BA"/>
    <w:rsid w:val="00BD749F"/>
    <w:rsid w:val="00BD7936"/>
    <w:rsid w:val="00BD7B66"/>
    <w:rsid w:val="00BE03C8"/>
    <w:rsid w:val="00BE050E"/>
    <w:rsid w:val="00BE05D1"/>
    <w:rsid w:val="00BE0DEF"/>
    <w:rsid w:val="00BE1212"/>
    <w:rsid w:val="00BE19B9"/>
    <w:rsid w:val="00BE1BE4"/>
    <w:rsid w:val="00BE1CB6"/>
    <w:rsid w:val="00BE1CE8"/>
    <w:rsid w:val="00BE221A"/>
    <w:rsid w:val="00BE2345"/>
    <w:rsid w:val="00BE2CF7"/>
    <w:rsid w:val="00BE2E90"/>
    <w:rsid w:val="00BE2F03"/>
    <w:rsid w:val="00BE331B"/>
    <w:rsid w:val="00BE334B"/>
    <w:rsid w:val="00BE34A0"/>
    <w:rsid w:val="00BE37CD"/>
    <w:rsid w:val="00BE410F"/>
    <w:rsid w:val="00BE42AA"/>
    <w:rsid w:val="00BE42CC"/>
    <w:rsid w:val="00BE44D6"/>
    <w:rsid w:val="00BE4D0B"/>
    <w:rsid w:val="00BE595D"/>
    <w:rsid w:val="00BE5A31"/>
    <w:rsid w:val="00BE5C42"/>
    <w:rsid w:val="00BE6070"/>
    <w:rsid w:val="00BE6371"/>
    <w:rsid w:val="00BE63DD"/>
    <w:rsid w:val="00BE6754"/>
    <w:rsid w:val="00BE68C2"/>
    <w:rsid w:val="00BE6A32"/>
    <w:rsid w:val="00BE6E09"/>
    <w:rsid w:val="00BE6F76"/>
    <w:rsid w:val="00BE717E"/>
    <w:rsid w:val="00BE7AE9"/>
    <w:rsid w:val="00BE7B2D"/>
    <w:rsid w:val="00BE7E9E"/>
    <w:rsid w:val="00BE7E9F"/>
    <w:rsid w:val="00BE7F81"/>
    <w:rsid w:val="00BF00F7"/>
    <w:rsid w:val="00BF067D"/>
    <w:rsid w:val="00BF09EF"/>
    <w:rsid w:val="00BF0A99"/>
    <w:rsid w:val="00BF0C22"/>
    <w:rsid w:val="00BF0CA9"/>
    <w:rsid w:val="00BF0F6E"/>
    <w:rsid w:val="00BF1008"/>
    <w:rsid w:val="00BF1028"/>
    <w:rsid w:val="00BF1290"/>
    <w:rsid w:val="00BF145C"/>
    <w:rsid w:val="00BF1997"/>
    <w:rsid w:val="00BF1B3E"/>
    <w:rsid w:val="00BF2011"/>
    <w:rsid w:val="00BF210F"/>
    <w:rsid w:val="00BF2287"/>
    <w:rsid w:val="00BF2538"/>
    <w:rsid w:val="00BF253F"/>
    <w:rsid w:val="00BF261B"/>
    <w:rsid w:val="00BF2637"/>
    <w:rsid w:val="00BF2C90"/>
    <w:rsid w:val="00BF2CF3"/>
    <w:rsid w:val="00BF2EAC"/>
    <w:rsid w:val="00BF37EB"/>
    <w:rsid w:val="00BF3E52"/>
    <w:rsid w:val="00BF3E79"/>
    <w:rsid w:val="00BF3E82"/>
    <w:rsid w:val="00BF4177"/>
    <w:rsid w:val="00BF4819"/>
    <w:rsid w:val="00BF48F3"/>
    <w:rsid w:val="00BF4BF9"/>
    <w:rsid w:val="00BF4F9A"/>
    <w:rsid w:val="00BF51AF"/>
    <w:rsid w:val="00BF534C"/>
    <w:rsid w:val="00BF53E8"/>
    <w:rsid w:val="00BF61F9"/>
    <w:rsid w:val="00BF6213"/>
    <w:rsid w:val="00BF64F7"/>
    <w:rsid w:val="00BF6A2A"/>
    <w:rsid w:val="00BF6A3D"/>
    <w:rsid w:val="00BF6AFE"/>
    <w:rsid w:val="00BF6CD7"/>
    <w:rsid w:val="00BF6D09"/>
    <w:rsid w:val="00BF73C7"/>
    <w:rsid w:val="00BF7CF1"/>
    <w:rsid w:val="00C00207"/>
    <w:rsid w:val="00C003EA"/>
    <w:rsid w:val="00C004B5"/>
    <w:rsid w:val="00C00736"/>
    <w:rsid w:val="00C007A2"/>
    <w:rsid w:val="00C00A4B"/>
    <w:rsid w:val="00C00E68"/>
    <w:rsid w:val="00C00F75"/>
    <w:rsid w:val="00C0102C"/>
    <w:rsid w:val="00C017CB"/>
    <w:rsid w:val="00C017DA"/>
    <w:rsid w:val="00C01A30"/>
    <w:rsid w:val="00C022A5"/>
    <w:rsid w:val="00C02643"/>
    <w:rsid w:val="00C02683"/>
    <w:rsid w:val="00C026AE"/>
    <w:rsid w:val="00C026E1"/>
    <w:rsid w:val="00C02721"/>
    <w:rsid w:val="00C02842"/>
    <w:rsid w:val="00C02897"/>
    <w:rsid w:val="00C02A1A"/>
    <w:rsid w:val="00C02ED1"/>
    <w:rsid w:val="00C030A4"/>
    <w:rsid w:val="00C0310C"/>
    <w:rsid w:val="00C03878"/>
    <w:rsid w:val="00C04120"/>
    <w:rsid w:val="00C041A2"/>
    <w:rsid w:val="00C04381"/>
    <w:rsid w:val="00C044CC"/>
    <w:rsid w:val="00C044EA"/>
    <w:rsid w:val="00C04561"/>
    <w:rsid w:val="00C04AA2"/>
    <w:rsid w:val="00C04BCC"/>
    <w:rsid w:val="00C04BFB"/>
    <w:rsid w:val="00C04C10"/>
    <w:rsid w:val="00C0514C"/>
    <w:rsid w:val="00C052F8"/>
    <w:rsid w:val="00C05312"/>
    <w:rsid w:val="00C057A9"/>
    <w:rsid w:val="00C05975"/>
    <w:rsid w:val="00C06119"/>
    <w:rsid w:val="00C0613C"/>
    <w:rsid w:val="00C06580"/>
    <w:rsid w:val="00C0664B"/>
    <w:rsid w:val="00C06915"/>
    <w:rsid w:val="00C06CAE"/>
    <w:rsid w:val="00C06CCB"/>
    <w:rsid w:val="00C06F10"/>
    <w:rsid w:val="00C072DC"/>
    <w:rsid w:val="00C074C2"/>
    <w:rsid w:val="00C074F4"/>
    <w:rsid w:val="00C07F0E"/>
    <w:rsid w:val="00C07FC1"/>
    <w:rsid w:val="00C101BB"/>
    <w:rsid w:val="00C101E9"/>
    <w:rsid w:val="00C10293"/>
    <w:rsid w:val="00C102E2"/>
    <w:rsid w:val="00C10B9B"/>
    <w:rsid w:val="00C11334"/>
    <w:rsid w:val="00C11470"/>
    <w:rsid w:val="00C11497"/>
    <w:rsid w:val="00C1156A"/>
    <w:rsid w:val="00C115C7"/>
    <w:rsid w:val="00C1164B"/>
    <w:rsid w:val="00C11957"/>
    <w:rsid w:val="00C11E10"/>
    <w:rsid w:val="00C122BD"/>
    <w:rsid w:val="00C12471"/>
    <w:rsid w:val="00C1298D"/>
    <w:rsid w:val="00C12A23"/>
    <w:rsid w:val="00C12E37"/>
    <w:rsid w:val="00C13149"/>
    <w:rsid w:val="00C13166"/>
    <w:rsid w:val="00C1333F"/>
    <w:rsid w:val="00C13811"/>
    <w:rsid w:val="00C13A59"/>
    <w:rsid w:val="00C13E52"/>
    <w:rsid w:val="00C13F00"/>
    <w:rsid w:val="00C14285"/>
    <w:rsid w:val="00C143FD"/>
    <w:rsid w:val="00C14418"/>
    <w:rsid w:val="00C14BB6"/>
    <w:rsid w:val="00C14D99"/>
    <w:rsid w:val="00C14E1B"/>
    <w:rsid w:val="00C14EF2"/>
    <w:rsid w:val="00C15017"/>
    <w:rsid w:val="00C150C8"/>
    <w:rsid w:val="00C15300"/>
    <w:rsid w:val="00C1541B"/>
    <w:rsid w:val="00C15539"/>
    <w:rsid w:val="00C15634"/>
    <w:rsid w:val="00C15D0D"/>
    <w:rsid w:val="00C15E63"/>
    <w:rsid w:val="00C1657C"/>
    <w:rsid w:val="00C1664A"/>
    <w:rsid w:val="00C168BC"/>
    <w:rsid w:val="00C16D32"/>
    <w:rsid w:val="00C16DCC"/>
    <w:rsid w:val="00C16E61"/>
    <w:rsid w:val="00C17071"/>
    <w:rsid w:val="00C171E2"/>
    <w:rsid w:val="00C17346"/>
    <w:rsid w:val="00C175F6"/>
    <w:rsid w:val="00C17621"/>
    <w:rsid w:val="00C17B2D"/>
    <w:rsid w:val="00C17DD7"/>
    <w:rsid w:val="00C17F59"/>
    <w:rsid w:val="00C2007D"/>
    <w:rsid w:val="00C201E0"/>
    <w:rsid w:val="00C2069B"/>
    <w:rsid w:val="00C20702"/>
    <w:rsid w:val="00C20993"/>
    <w:rsid w:val="00C20B42"/>
    <w:rsid w:val="00C20BFC"/>
    <w:rsid w:val="00C20E02"/>
    <w:rsid w:val="00C210D8"/>
    <w:rsid w:val="00C2123A"/>
    <w:rsid w:val="00C2161D"/>
    <w:rsid w:val="00C2190B"/>
    <w:rsid w:val="00C221E1"/>
    <w:rsid w:val="00C225D6"/>
    <w:rsid w:val="00C22AAF"/>
    <w:rsid w:val="00C22CB2"/>
    <w:rsid w:val="00C232BF"/>
    <w:rsid w:val="00C233C2"/>
    <w:rsid w:val="00C23833"/>
    <w:rsid w:val="00C23A4C"/>
    <w:rsid w:val="00C23DDE"/>
    <w:rsid w:val="00C240C6"/>
    <w:rsid w:val="00C243C3"/>
    <w:rsid w:val="00C244A3"/>
    <w:rsid w:val="00C2467E"/>
    <w:rsid w:val="00C2473D"/>
    <w:rsid w:val="00C24DBC"/>
    <w:rsid w:val="00C25CE8"/>
    <w:rsid w:val="00C2623B"/>
    <w:rsid w:val="00C26634"/>
    <w:rsid w:val="00C26762"/>
    <w:rsid w:val="00C269AF"/>
    <w:rsid w:val="00C26CF7"/>
    <w:rsid w:val="00C27030"/>
    <w:rsid w:val="00C2738D"/>
    <w:rsid w:val="00C273F5"/>
    <w:rsid w:val="00C2743E"/>
    <w:rsid w:val="00C2744D"/>
    <w:rsid w:val="00C274C7"/>
    <w:rsid w:val="00C274DC"/>
    <w:rsid w:val="00C27709"/>
    <w:rsid w:val="00C27B5D"/>
    <w:rsid w:val="00C27D08"/>
    <w:rsid w:val="00C27EB0"/>
    <w:rsid w:val="00C301E7"/>
    <w:rsid w:val="00C302E0"/>
    <w:rsid w:val="00C30662"/>
    <w:rsid w:val="00C307A0"/>
    <w:rsid w:val="00C30855"/>
    <w:rsid w:val="00C30AC8"/>
    <w:rsid w:val="00C30BC2"/>
    <w:rsid w:val="00C3158D"/>
    <w:rsid w:val="00C3195A"/>
    <w:rsid w:val="00C31B1F"/>
    <w:rsid w:val="00C31BC3"/>
    <w:rsid w:val="00C31E14"/>
    <w:rsid w:val="00C31EBB"/>
    <w:rsid w:val="00C31EC2"/>
    <w:rsid w:val="00C3222B"/>
    <w:rsid w:val="00C322CE"/>
    <w:rsid w:val="00C32836"/>
    <w:rsid w:val="00C32B06"/>
    <w:rsid w:val="00C32BDF"/>
    <w:rsid w:val="00C32CA4"/>
    <w:rsid w:val="00C32D78"/>
    <w:rsid w:val="00C32E32"/>
    <w:rsid w:val="00C33050"/>
    <w:rsid w:val="00C33123"/>
    <w:rsid w:val="00C33284"/>
    <w:rsid w:val="00C33C08"/>
    <w:rsid w:val="00C33C59"/>
    <w:rsid w:val="00C34373"/>
    <w:rsid w:val="00C34512"/>
    <w:rsid w:val="00C34565"/>
    <w:rsid w:val="00C34798"/>
    <w:rsid w:val="00C348DB"/>
    <w:rsid w:val="00C34E6B"/>
    <w:rsid w:val="00C350D7"/>
    <w:rsid w:val="00C351EA"/>
    <w:rsid w:val="00C354FF"/>
    <w:rsid w:val="00C355A7"/>
    <w:rsid w:val="00C3562E"/>
    <w:rsid w:val="00C357C2"/>
    <w:rsid w:val="00C36470"/>
    <w:rsid w:val="00C36B58"/>
    <w:rsid w:val="00C36BA6"/>
    <w:rsid w:val="00C36E1B"/>
    <w:rsid w:val="00C3704B"/>
    <w:rsid w:val="00C3709B"/>
    <w:rsid w:val="00C371E7"/>
    <w:rsid w:val="00C371FF"/>
    <w:rsid w:val="00C37520"/>
    <w:rsid w:val="00C376F9"/>
    <w:rsid w:val="00C37773"/>
    <w:rsid w:val="00C37B12"/>
    <w:rsid w:val="00C37B70"/>
    <w:rsid w:val="00C37BA7"/>
    <w:rsid w:val="00C40011"/>
    <w:rsid w:val="00C40348"/>
    <w:rsid w:val="00C405B5"/>
    <w:rsid w:val="00C408DE"/>
    <w:rsid w:val="00C40AF4"/>
    <w:rsid w:val="00C40C40"/>
    <w:rsid w:val="00C41370"/>
    <w:rsid w:val="00C41D1B"/>
    <w:rsid w:val="00C420B3"/>
    <w:rsid w:val="00C420BE"/>
    <w:rsid w:val="00C4248E"/>
    <w:rsid w:val="00C425BD"/>
    <w:rsid w:val="00C42658"/>
    <w:rsid w:val="00C42CF8"/>
    <w:rsid w:val="00C42D35"/>
    <w:rsid w:val="00C42DB2"/>
    <w:rsid w:val="00C43344"/>
    <w:rsid w:val="00C43654"/>
    <w:rsid w:val="00C437AD"/>
    <w:rsid w:val="00C43ABA"/>
    <w:rsid w:val="00C43C40"/>
    <w:rsid w:val="00C43C64"/>
    <w:rsid w:val="00C4480E"/>
    <w:rsid w:val="00C44CD9"/>
    <w:rsid w:val="00C44CE9"/>
    <w:rsid w:val="00C44D85"/>
    <w:rsid w:val="00C454AD"/>
    <w:rsid w:val="00C459EF"/>
    <w:rsid w:val="00C45D75"/>
    <w:rsid w:val="00C46327"/>
    <w:rsid w:val="00C464B6"/>
    <w:rsid w:val="00C46721"/>
    <w:rsid w:val="00C468E4"/>
    <w:rsid w:val="00C4692E"/>
    <w:rsid w:val="00C46A07"/>
    <w:rsid w:val="00C46CAB"/>
    <w:rsid w:val="00C4710E"/>
    <w:rsid w:val="00C47272"/>
    <w:rsid w:val="00C47708"/>
    <w:rsid w:val="00C47A07"/>
    <w:rsid w:val="00C47BF1"/>
    <w:rsid w:val="00C47EE3"/>
    <w:rsid w:val="00C47F86"/>
    <w:rsid w:val="00C50528"/>
    <w:rsid w:val="00C506B5"/>
    <w:rsid w:val="00C506B7"/>
    <w:rsid w:val="00C50704"/>
    <w:rsid w:val="00C507C2"/>
    <w:rsid w:val="00C50A66"/>
    <w:rsid w:val="00C50A68"/>
    <w:rsid w:val="00C50DED"/>
    <w:rsid w:val="00C50E2C"/>
    <w:rsid w:val="00C50EAE"/>
    <w:rsid w:val="00C510C3"/>
    <w:rsid w:val="00C516AE"/>
    <w:rsid w:val="00C516B0"/>
    <w:rsid w:val="00C517E8"/>
    <w:rsid w:val="00C51A6F"/>
    <w:rsid w:val="00C52178"/>
    <w:rsid w:val="00C5232F"/>
    <w:rsid w:val="00C52619"/>
    <w:rsid w:val="00C5280A"/>
    <w:rsid w:val="00C52A0C"/>
    <w:rsid w:val="00C52AA9"/>
    <w:rsid w:val="00C52F3A"/>
    <w:rsid w:val="00C5358B"/>
    <w:rsid w:val="00C53776"/>
    <w:rsid w:val="00C53A10"/>
    <w:rsid w:val="00C53C30"/>
    <w:rsid w:val="00C53EAF"/>
    <w:rsid w:val="00C53F6D"/>
    <w:rsid w:val="00C54010"/>
    <w:rsid w:val="00C54060"/>
    <w:rsid w:val="00C54136"/>
    <w:rsid w:val="00C5422F"/>
    <w:rsid w:val="00C54512"/>
    <w:rsid w:val="00C547AE"/>
    <w:rsid w:val="00C549EB"/>
    <w:rsid w:val="00C551CF"/>
    <w:rsid w:val="00C553D6"/>
    <w:rsid w:val="00C55539"/>
    <w:rsid w:val="00C555EB"/>
    <w:rsid w:val="00C55736"/>
    <w:rsid w:val="00C55E75"/>
    <w:rsid w:val="00C5630C"/>
    <w:rsid w:val="00C563D5"/>
    <w:rsid w:val="00C5670D"/>
    <w:rsid w:val="00C56D76"/>
    <w:rsid w:val="00C56F04"/>
    <w:rsid w:val="00C5724E"/>
    <w:rsid w:val="00C57397"/>
    <w:rsid w:val="00C57C15"/>
    <w:rsid w:val="00C57E82"/>
    <w:rsid w:val="00C60089"/>
    <w:rsid w:val="00C601C1"/>
    <w:rsid w:val="00C60620"/>
    <w:rsid w:val="00C60A63"/>
    <w:rsid w:val="00C60B44"/>
    <w:rsid w:val="00C61355"/>
    <w:rsid w:val="00C61632"/>
    <w:rsid w:val="00C61B75"/>
    <w:rsid w:val="00C6207C"/>
    <w:rsid w:val="00C622D6"/>
    <w:rsid w:val="00C62309"/>
    <w:rsid w:val="00C6233B"/>
    <w:rsid w:val="00C623B5"/>
    <w:rsid w:val="00C6257D"/>
    <w:rsid w:val="00C62918"/>
    <w:rsid w:val="00C62AF8"/>
    <w:rsid w:val="00C62CDD"/>
    <w:rsid w:val="00C6321A"/>
    <w:rsid w:val="00C63490"/>
    <w:rsid w:val="00C63579"/>
    <w:rsid w:val="00C6384D"/>
    <w:rsid w:val="00C6385F"/>
    <w:rsid w:val="00C63DEB"/>
    <w:rsid w:val="00C64927"/>
    <w:rsid w:val="00C64AA8"/>
    <w:rsid w:val="00C64B49"/>
    <w:rsid w:val="00C64ED4"/>
    <w:rsid w:val="00C64F50"/>
    <w:rsid w:val="00C652BB"/>
    <w:rsid w:val="00C653BF"/>
    <w:rsid w:val="00C657E5"/>
    <w:rsid w:val="00C659FF"/>
    <w:rsid w:val="00C65BD7"/>
    <w:rsid w:val="00C65CAC"/>
    <w:rsid w:val="00C65CFD"/>
    <w:rsid w:val="00C66082"/>
    <w:rsid w:val="00C662E0"/>
    <w:rsid w:val="00C66552"/>
    <w:rsid w:val="00C669D6"/>
    <w:rsid w:val="00C66BB1"/>
    <w:rsid w:val="00C66BC0"/>
    <w:rsid w:val="00C66D2D"/>
    <w:rsid w:val="00C671D3"/>
    <w:rsid w:val="00C673FE"/>
    <w:rsid w:val="00C675BC"/>
    <w:rsid w:val="00C677B1"/>
    <w:rsid w:val="00C6799B"/>
    <w:rsid w:val="00C67B79"/>
    <w:rsid w:val="00C70251"/>
    <w:rsid w:val="00C704B8"/>
    <w:rsid w:val="00C7060D"/>
    <w:rsid w:val="00C70D46"/>
    <w:rsid w:val="00C7133C"/>
    <w:rsid w:val="00C71538"/>
    <w:rsid w:val="00C71B2B"/>
    <w:rsid w:val="00C71E6E"/>
    <w:rsid w:val="00C72038"/>
    <w:rsid w:val="00C721A7"/>
    <w:rsid w:val="00C72200"/>
    <w:rsid w:val="00C72428"/>
    <w:rsid w:val="00C7268D"/>
    <w:rsid w:val="00C726B3"/>
    <w:rsid w:val="00C729A6"/>
    <w:rsid w:val="00C73386"/>
    <w:rsid w:val="00C73C70"/>
    <w:rsid w:val="00C7428C"/>
    <w:rsid w:val="00C74391"/>
    <w:rsid w:val="00C748F2"/>
    <w:rsid w:val="00C74C1B"/>
    <w:rsid w:val="00C75213"/>
    <w:rsid w:val="00C75249"/>
    <w:rsid w:val="00C75568"/>
    <w:rsid w:val="00C7582D"/>
    <w:rsid w:val="00C75892"/>
    <w:rsid w:val="00C75E6C"/>
    <w:rsid w:val="00C761EE"/>
    <w:rsid w:val="00C76521"/>
    <w:rsid w:val="00C7669B"/>
    <w:rsid w:val="00C76770"/>
    <w:rsid w:val="00C76D02"/>
    <w:rsid w:val="00C776A4"/>
    <w:rsid w:val="00C777E3"/>
    <w:rsid w:val="00C77DB1"/>
    <w:rsid w:val="00C77E07"/>
    <w:rsid w:val="00C8001F"/>
    <w:rsid w:val="00C80536"/>
    <w:rsid w:val="00C805AA"/>
    <w:rsid w:val="00C807CB"/>
    <w:rsid w:val="00C808C0"/>
    <w:rsid w:val="00C80F91"/>
    <w:rsid w:val="00C810C1"/>
    <w:rsid w:val="00C8137F"/>
    <w:rsid w:val="00C8193B"/>
    <w:rsid w:val="00C81B6A"/>
    <w:rsid w:val="00C81C6D"/>
    <w:rsid w:val="00C81D5B"/>
    <w:rsid w:val="00C8202D"/>
    <w:rsid w:val="00C82B63"/>
    <w:rsid w:val="00C82BE1"/>
    <w:rsid w:val="00C82F3D"/>
    <w:rsid w:val="00C82F43"/>
    <w:rsid w:val="00C82FEB"/>
    <w:rsid w:val="00C83014"/>
    <w:rsid w:val="00C8352B"/>
    <w:rsid w:val="00C83559"/>
    <w:rsid w:val="00C8355D"/>
    <w:rsid w:val="00C83818"/>
    <w:rsid w:val="00C8385B"/>
    <w:rsid w:val="00C8421F"/>
    <w:rsid w:val="00C842D4"/>
    <w:rsid w:val="00C84382"/>
    <w:rsid w:val="00C84743"/>
    <w:rsid w:val="00C84A76"/>
    <w:rsid w:val="00C85185"/>
    <w:rsid w:val="00C8562C"/>
    <w:rsid w:val="00C859F5"/>
    <w:rsid w:val="00C85D7B"/>
    <w:rsid w:val="00C86120"/>
    <w:rsid w:val="00C861A9"/>
    <w:rsid w:val="00C8642A"/>
    <w:rsid w:val="00C86631"/>
    <w:rsid w:val="00C86860"/>
    <w:rsid w:val="00C87069"/>
    <w:rsid w:val="00C87186"/>
    <w:rsid w:val="00C87A12"/>
    <w:rsid w:val="00C908BA"/>
    <w:rsid w:val="00C90928"/>
    <w:rsid w:val="00C909D2"/>
    <w:rsid w:val="00C90D63"/>
    <w:rsid w:val="00C90E9C"/>
    <w:rsid w:val="00C910E5"/>
    <w:rsid w:val="00C9151E"/>
    <w:rsid w:val="00C91525"/>
    <w:rsid w:val="00C9168A"/>
    <w:rsid w:val="00C9184B"/>
    <w:rsid w:val="00C91A31"/>
    <w:rsid w:val="00C91AB9"/>
    <w:rsid w:val="00C9294C"/>
    <w:rsid w:val="00C9297A"/>
    <w:rsid w:val="00C92989"/>
    <w:rsid w:val="00C929BF"/>
    <w:rsid w:val="00C93601"/>
    <w:rsid w:val="00C936DA"/>
    <w:rsid w:val="00C9370B"/>
    <w:rsid w:val="00C937C7"/>
    <w:rsid w:val="00C93A87"/>
    <w:rsid w:val="00C93DF4"/>
    <w:rsid w:val="00C9421D"/>
    <w:rsid w:val="00C9468E"/>
    <w:rsid w:val="00C94846"/>
    <w:rsid w:val="00C94BBB"/>
    <w:rsid w:val="00C94C24"/>
    <w:rsid w:val="00C94DF3"/>
    <w:rsid w:val="00C94F2D"/>
    <w:rsid w:val="00C952C6"/>
    <w:rsid w:val="00C9549A"/>
    <w:rsid w:val="00C954C2"/>
    <w:rsid w:val="00C95BB7"/>
    <w:rsid w:val="00C95CA4"/>
    <w:rsid w:val="00C95EA0"/>
    <w:rsid w:val="00C96321"/>
    <w:rsid w:val="00C96721"/>
    <w:rsid w:val="00C96962"/>
    <w:rsid w:val="00C96970"/>
    <w:rsid w:val="00C97073"/>
    <w:rsid w:val="00C976BC"/>
    <w:rsid w:val="00C977F4"/>
    <w:rsid w:val="00CA13C4"/>
    <w:rsid w:val="00CA1768"/>
    <w:rsid w:val="00CA17BE"/>
    <w:rsid w:val="00CA189A"/>
    <w:rsid w:val="00CA1A9F"/>
    <w:rsid w:val="00CA1D57"/>
    <w:rsid w:val="00CA1FEF"/>
    <w:rsid w:val="00CA20B4"/>
    <w:rsid w:val="00CA236F"/>
    <w:rsid w:val="00CA263C"/>
    <w:rsid w:val="00CA2994"/>
    <w:rsid w:val="00CA2BF1"/>
    <w:rsid w:val="00CA2C56"/>
    <w:rsid w:val="00CA2CC6"/>
    <w:rsid w:val="00CA31B5"/>
    <w:rsid w:val="00CA3937"/>
    <w:rsid w:val="00CA3CBC"/>
    <w:rsid w:val="00CA3E42"/>
    <w:rsid w:val="00CA4091"/>
    <w:rsid w:val="00CA456C"/>
    <w:rsid w:val="00CA4984"/>
    <w:rsid w:val="00CA4A9C"/>
    <w:rsid w:val="00CA4BD6"/>
    <w:rsid w:val="00CA4FBF"/>
    <w:rsid w:val="00CA5057"/>
    <w:rsid w:val="00CA5515"/>
    <w:rsid w:val="00CA583F"/>
    <w:rsid w:val="00CA5BAE"/>
    <w:rsid w:val="00CA65FC"/>
    <w:rsid w:val="00CA6A91"/>
    <w:rsid w:val="00CA706A"/>
    <w:rsid w:val="00CA7462"/>
    <w:rsid w:val="00CB02CA"/>
    <w:rsid w:val="00CB02F0"/>
    <w:rsid w:val="00CB0338"/>
    <w:rsid w:val="00CB045F"/>
    <w:rsid w:val="00CB0D5E"/>
    <w:rsid w:val="00CB0FC3"/>
    <w:rsid w:val="00CB161D"/>
    <w:rsid w:val="00CB1C76"/>
    <w:rsid w:val="00CB2064"/>
    <w:rsid w:val="00CB20CB"/>
    <w:rsid w:val="00CB222A"/>
    <w:rsid w:val="00CB23A9"/>
    <w:rsid w:val="00CB2425"/>
    <w:rsid w:val="00CB254A"/>
    <w:rsid w:val="00CB25E1"/>
    <w:rsid w:val="00CB265F"/>
    <w:rsid w:val="00CB272B"/>
    <w:rsid w:val="00CB28ED"/>
    <w:rsid w:val="00CB2D90"/>
    <w:rsid w:val="00CB31C0"/>
    <w:rsid w:val="00CB3330"/>
    <w:rsid w:val="00CB3EB7"/>
    <w:rsid w:val="00CB419A"/>
    <w:rsid w:val="00CB42BE"/>
    <w:rsid w:val="00CB4628"/>
    <w:rsid w:val="00CB4685"/>
    <w:rsid w:val="00CB4A0E"/>
    <w:rsid w:val="00CB506E"/>
    <w:rsid w:val="00CB54A0"/>
    <w:rsid w:val="00CB5881"/>
    <w:rsid w:val="00CB5885"/>
    <w:rsid w:val="00CB5B2D"/>
    <w:rsid w:val="00CB5C60"/>
    <w:rsid w:val="00CB5F21"/>
    <w:rsid w:val="00CB6197"/>
    <w:rsid w:val="00CB629A"/>
    <w:rsid w:val="00CB660F"/>
    <w:rsid w:val="00CB69D8"/>
    <w:rsid w:val="00CB6E31"/>
    <w:rsid w:val="00CB6F33"/>
    <w:rsid w:val="00CB6FBD"/>
    <w:rsid w:val="00CB719C"/>
    <w:rsid w:val="00CB72CE"/>
    <w:rsid w:val="00CB79A0"/>
    <w:rsid w:val="00CB79D4"/>
    <w:rsid w:val="00CB7A73"/>
    <w:rsid w:val="00CB7BC5"/>
    <w:rsid w:val="00CB7BEA"/>
    <w:rsid w:val="00CC0076"/>
    <w:rsid w:val="00CC0298"/>
    <w:rsid w:val="00CC02C2"/>
    <w:rsid w:val="00CC034B"/>
    <w:rsid w:val="00CC05D8"/>
    <w:rsid w:val="00CC06C4"/>
    <w:rsid w:val="00CC07D0"/>
    <w:rsid w:val="00CC1453"/>
    <w:rsid w:val="00CC167D"/>
    <w:rsid w:val="00CC17BB"/>
    <w:rsid w:val="00CC1FA0"/>
    <w:rsid w:val="00CC224C"/>
    <w:rsid w:val="00CC25E2"/>
    <w:rsid w:val="00CC2620"/>
    <w:rsid w:val="00CC2A07"/>
    <w:rsid w:val="00CC2E33"/>
    <w:rsid w:val="00CC3137"/>
    <w:rsid w:val="00CC33FA"/>
    <w:rsid w:val="00CC3560"/>
    <w:rsid w:val="00CC3692"/>
    <w:rsid w:val="00CC37F3"/>
    <w:rsid w:val="00CC38FE"/>
    <w:rsid w:val="00CC3D0D"/>
    <w:rsid w:val="00CC3E91"/>
    <w:rsid w:val="00CC3F56"/>
    <w:rsid w:val="00CC44F0"/>
    <w:rsid w:val="00CC46A0"/>
    <w:rsid w:val="00CC4A6F"/>
    <w:rsid w:val="00CC4E55"/>
    <w:rsid w:val="00CC4EEB"/>
    <w:rsid w:val="00CC509E"/>
    <w:rsid w:val="00CC5142"/>
    <w:rsid w:val="00CC57C3"/>
    <w:rsid w:val="00CC5D1C"/>
    <w:rsid w:val="00CC5F6F"/>
    <w:rsid w:val="00CC6020"/>
    <w:rsid w:val="00CC6183"/>
    <w:rsid w:val="00CC655D"/>
    <w:rsid w:val="00CC68A9"/>
    <w:rsid w:val="00CC68E2"/>
    <w:rsid w:val="00CC6B97"/>
    <w:rsid w:val="00CC6F8B"/>
    <w:rsid w:val="00CC7095"/>
    <w:rsid w:val="00CC73D6"/>
    <w:rsid w:val="00CC73F0"/>
    <w:rsid w:val="00CC765C"/>
    <w:rsid w:val="00CC7A31"/>
    <w:rsid w:val="00CC7AAF"/>
    <w:rsid w:val="00CC7F0D"/>
    <w:rsid w:val="00CD04E7"/>
    <w:rsid w:val="00CD0724"/>
    <w:rsid w:val="00CD089C"/>
    <w:rsid w:val="00CD0CA0"/>
    <w:rsid w:val="00CD0D0F"/>
    <w:rsid w:val="00CD1314"/>
    <w:rsid w:val="00CD13ED"/>
    <w:rsid w:val="00CD14E8"/>
    <w:rsid w:val="00CD15DC"/>
    <w:rsid w:val="00CD1857"/>
    <w:rsid w:val="00CD1F24"/>
    <w:rsid w:val="00CD2503"/>
    <w:rsid w:val="00CD28A8"/>
    <w:rsid w:val="00CD2AC2"/>
    <w:rsid w:val="00CD309B"/>
    <w:rsid w:val="00CD30D4"/>
    <w:rsid w:val="00CD3149"/>
    <w:rsid w:val="00CD32A5"/>
    <w:rsid w:val="00CD3611"/>
    <w:rsid w:val="00CD371F"/>
    <w:rsid w:val="00CD3EBC"/>
    <w:rsid w:val="00CD3EE2"/>
    <w:rsid w:val="00CD3F06"/>
    <w:rsid w:val="00CD3FF9"/>
    <w:rsid w:val="00CD40E2"/>
    <w:rsid w:val="00CD430B"/>
    <w:rsid w:val="00CD48C7"/>
    <w:rsid w:val="00CD49CD"/>
    <w:rsid w:val="00CD5116"/>
    <w:rsid w:val="00CD55B6"/>
    <w:rsid w:val="00CD6393"/>
    <w:rsid w:val="00CD642C"/>
    <w:rsid w:val="00CD6831"/>
    <w:rsid w:val="00CD6975"/>
    <w:rsid w:val="00CD6D01"/>
    <w:rsid w:val="00CD71F3"/>
    <w:rsid w:val="00CD7273"/>
    <w:rsid w:val="00CD7688"/>
    <w:rsid w:val="00CD7A38"/>
    <w:rsid w:val="00CD7B1C"/>
    <w:rsid w:val="00CD7C7A"/>
    <w:rsid w:val="00CD7DEC"/>
    <w:rsid w:val="00CD7E16"/>
    <w:rsid w:val="00CE06C6"/>
    <w:rsid w:val="00CE07B3"/>
    <w:rsid w:val="00CE08EC"/>
    <w:rsid w:val="00CE09C3"/>
    <w:rsid w:val="00CE09C9"/>
    <w:rsid w:val="00CE0BB8"/>
    <w:rsid w:val="00CE0F51"/>
    <w:rsid w:val="00CE0F8A"/>
    <w:rsid w:val="00CE1068"/>
    <w:rsid w:val="00CE107A"/>
    <w:rsid w:val="00CE1651"/>
    <w:rsid w:val="00CE195D"/>
    <w:rsid w:val="00CE1A41"/>
    <w:rsid w:val="00CE2974"/>
    <w:rsid w:val="00CE2C87"/>
    <w:rsid w:val="00CE2F25"/>
    <w:rsid w:val="00CE30F1"/>
    <w:rsid w:val="00CE32BE"/>
    <w:rsid w:val="00CE3507"/>
    <w:rsid w:val="00CE3588"/>
    <w:rsid w:val="00CE3A78"/>
    <w:rsid w:val="00CE3B17"/>
    <w:rsid w:val="00CE3DC3"/>
    <w:rsid w:val="00CE3DE2"/>
    <w:rsid w:val="00CE4121"/>
    <w:rsid w:val="00CE4355"/>
    <w:rsid w:val="00CE4666"/>
    <w:rsid w:val="00CE469C"/>
    <w:rsid w:val="00CE46E9"/>
    <w:rsid w:val="00CE4980"/>
    <w:rsid w:val="00CE4D24"/>
    <w:rsid w:val="00CE4D97"/>
    <w:rsid w:val="00CE4DC7"/>
    <w:rsid w:val="00CE4FE2"/>
    <w:rsid w:val="00CE51E1"/>
    <w:rsid w:val="00CE52FC"/>
    <w:rsid w:val="00CE539E"/>
    <w:rsid w:val="00CE54B0"/>
    <w:rsid w:val="00CE571E"/>
    <w:rsid w:val="00CE5819"/>
    <w:rsid w:val="00CE5A3A"/>
    <w:rsid w:val="00CE5AEF"/>
    <w:rsid w:val="00CE5B30"/>
    <w:rsid w:val="00CE609C"/>
    <w:rsid w:val="00CE61CE"/>
    <w:rsid w:val="00CE62E0"/>
    <w:rsid w:val="00CE64CC"/>
    <w:rsid w:val="00CE66EE"/>
    <w:rsid w:val="00CE6AF1"/>
    <w:rsid w:val="00CE6FDF"/>
    <w:rsid w:val="00CE749C"/>
    <w:rsid w:val="00CE774A"/>
    <w:rsid w:val="00CE78CE"/>
    <w:rsid w:val="00CE7BF1"/>
    <w:rsid w:val="00CF0217"/>
    <w:rsid w:val="00CF09E4"/>
    <w:rsid w:val="00CF0F07"/>
    <w:rsid w:val="00CF1006"/>
    <w:rsid w:val="00CF1573"/>
    <w:rsid w:val="00CF168D"/>
    <w:rsid w:val="00CF1935"/>
    <w:rsid w:val="00CF1B5B"/>
    <w:rsid w:val="00CF2059"/>
    <w:rsid w:val="00CF2097"/>
    <w:rsid w:val="00CF2363"/>
    <w:rsid w:val="00CF246E"/>
    <w:rsid w:val="00CF26D4"/>
    <w:rsid w:val="00CF3049"/>
    <w:rsid w:val="00CF33A1"/>
    <w:rsid w:val="00CF349B"/>
    <w:rsid w:val="00CF3656"/>
    <w:rsid w:val="00CF36B9"/>
    <w:rsid w:val="00CF3AB8"/>
    <w:rsid w:val="00CF3AFA"/>
    <w:rsid w:val="00CF3B15"/>
    <w:rsid w:val="00CF3FBF"/>
    <w:rsid w:val="00CF41E6"/>
    <w:rsid w:val="00CF4307"/>
    <w:rsid w:val="00CF44A3"/>
    <w:rsid w:val="00CF4799"/>
    <w:rsid w:val="00CF4B91"/>
    <w:rsid w:val="00CF4C4F"/>
    <w:rsid w:val="00CF518D"/>
    <w:rsid w:val="00CF551D"/>
    <w:rsid w:val="00CF5533"/>
    <w:rsid w:val="00CF571D"/>
    <w:rsid w:val="00CF582A"/>
    <w:rsid w:val="00CF5B97"/>
    <w:rsid w:val="00CF65A7"/>
    <w:rsid w:val="00CF6685"/>
    <w:rsid w:val="00CF68D9"/>
    <w:rsid w:val="00CF69BE"/>
    <w:rsid w:val="00CF7043"/>
    <w:rsid w:val="00CF7124"/>
    <w:rsid w:val="00CF7645"/>
    <w:rsid w:val="00CF7988"/>
    <w:rsid w:val="00CF7D5A"/>
    <w:rsid w:val="00CF7E9D"/>
    <w:rsid w:val="00CF7F2F"/>
    <w:rsid w:val="00D0001B"/>
    <w:rsid w:val="00D0014C"/>
    <w:rsid w:val="00D00797"/>
    <w:rsid w:val="00D00BE8"/>
    <w:rsid w:val="00D00CFD"/>
    <w:rsid w:val="00D010EF"/>
    <w:rsid w:val="00D01310"/>
    <w:rsid w:val="00D01643"/>
    <w:rsid w:val="00D0191B"/>
    <w:rsid w:val="00D01A30"/>
    <w:rsid w:val="00D01D22"/>
    <w:rsid w:val="00D01D7B"/>
    <w:rsid w:val="00D01F78"/>
    <w:rsid w:val="00D01F79"/>
    <w:rsid w:val="00D02236"/>
    <w:rsid w:val="00D0224C"/>
    <w:rsid w:val="00D02B35"/>
    <w:rsid w:val="00D02CD7"/>
    <w:rsid w:val="00D0325B"/>
    <w:rsid w:val="00D03437"/>
    <w:rsid w:val="00D03523"/>
    <w:rsid w:val="00D03A95"/>
    <w:rsid w:val="00D03C76"/>
    <w:rsid w:val="00D03D2D"/>
    <w:rsid w:val="00D03E5B"/>
    <w:rsid w:val="00D03F0B"/>
    <w:rsid w:val="00D03FAD"/>
    <w:rsid w:val="00D04068"/>
    <w:rsid w:val="00D041AE"/>
    <w:rsid w:val="00D04303"/>
    <w:rsid w:val="00D0434D"/>
    <w:rsid w:val="00D04461"/>
    <w:rsid w:val="00D044FC"/>
    <w:rsid w:val="00D0459F"/>
    <w:rsid w:val="00D047FF"/>
    <w:rsid w:val="00D048D8"/>
    <w:rsid w:val="00D04999"/>
    <w:rsid w:val="00D04AC1"/>
    <w:rsid w:val="00D04ADF"/>
    <w:rsid w:val="00D04C86"/>
    <w:rsid w:val="00D04D4C"/>
    <w:rsid w:val="00D04DFD"/>
    <w:rsid w:val="00D05224"/>
    <w:rsid w:val="00D05501"/>
    <w:rsid w:val="00D0558A"/>
    <w:rsid w:val="00D05684"/>
    <w:rsid w:val="00D0579C"/>
    <w:rsid w:val="00D059B2"/>
    <w:rsid w:val="00D05ADA"/>
    <w:rsid w:val="00D0615C"/>
    <w:rsid w:val="00D06249"/>
    <w:rsid w:val="00D068C7"/>
    <w:rsid w:val="00D068E2"/>
    <w:rsid w:val="00D06915"/>
    <w:rsid w:val="00D073BD"/>
    <w:rsid w:val="00D07460"/>
    <w:rsid w:val="00D07591"/>
    <w:rsid w:val="00D078AF"/>
    <w:rsid w:val="00D078C8"/>
    <w:rsid w:val="00D07BE5"/>
    <w:rsid w:val="00D07C1E"/>
    <w:rsid w:val="00D07C54"/>
    <w:rsid w:val="00D10051"/>
    <w:rsid w:val="00D10108"/>
    <w:rsid w:val="00D104FB"/>
    <w:rsid w:val="00D10863"/>
    <w:rsid w:val="00D10C12"/>
    <w:rsid w:val="00D10CA5"/>
    <w:rsid w:val="00D10CCB"/>
    <w:rsid w:val="00D113FA"/>
    <w:rsid w:val="00D11912"/>
    <w:rsid w:val="00D11BD0"/>
    <w:rsid w:val="00D12366"/>
    <w:rsid w:val="00D12497"/>
    <w:rsid w:val="00D12705"/>
    <w:rsid w:val="00D1273D"/>
    <w:rsid w:val="00D12CA4"/>
    <w:rsid w:val="00D136C0"/>
    <w:rsid w:val="00D1392D"/>
    <w:rsid w:val="00D13A22"/>
    <w:rsid w:val="00D1437A"/>
    <w:rsid w:val="00D1475A"/>
    <w:rsid w:val="00D14BEA"/>
    <w:rsid w:val="00D14CA8"/>
    <w:rsid w:val="00D15034"/>
    <w:rsid w:val="00D1521A"/>
    <w:rsid w:val="00D1525A"/>
    <w:rsid w:val="00D152BA"/>
    <w:rsid w:val="00D15AE9"/>
    <w:rsid w:val="00D15C4A"/>
    <w:rsid w:val="00D15DEA"/>
    <w:rsid w:val="00D15F07"/>
    <w:rsid w:val="00D16013"/>
    <w:rsid w:val="00D1642D"/>
    <w:rsid w:val="00D16494"/>
    <w:rsid w:val="00D16818"/>
    <w:rsid w:val="00D16A1E"/>
    <w:rsid w:val="00D16DAD"/>
    <w:rsid w:val="00D16DBE"/>
    <w:rsid w:val="00D17049"/>
    <w:rsid w:val="00D17383"/>
    <w:rsid w:val="00D1760C"/>
    <w:rsid w:val="00D179E9"/>
    <w:rsid w:val="00D17A26"/>
    <w:rsid w:val="00D17C13"/>
    <w:rsid w:val="00D17FBD"/>
    <w:rsid w:val="00D206C2"/>
    <w:rsid w:val="00D2070D"/>
    <w:rsid w:val="00D20DEE"/>
    <w:rsid w:val="00D2112C"/>
    <w:rsid w:val="00D211A1"/>
    <w:rsid w:val="00D213DF"/>
    <w:rsid w:val="00D21634"/>
    <w:rsid w:val="00D2183E"/>
    <w:rsid w:val="00D21C3F"/>
    <w:rsid w:val="00D21E2E"/>
    <w:rsid w:val="00D21F70"/>
    <w:rsid w:val="00D22374"/>
    <w:rsid w:val="00D223B6"/>
    <w:rsid w:val="00D2270D"/>
    <w:rsid w:val="00D232CC"/>
    <w:rsid w:val="00D234E8"/>
    <w:rsid w:val="00D23631"/>
    <w:rsid w:val="00D240B1"/>
    <w:rsid w:val="00D240B8"/>
    <w:rsid w:val="00D24B15"/>
    <w:rsid w:val="00D24CE3"/>
    <w:rsid w:val="00D2506E"/>
    <w:rsid w:val="00D253C2"/>
    <w:rsid w:val="00D25695"/>
    <w:rsid w:val="00D25E38"/>
    <w:rsid w:val="00D25EF2"/>
    <w:rsid w:val="00D260F3"/>
    <w:rsid w:val="00D26297"/>
    <w:rsid w:val="00D2689A"/>
    <w:rsid w:val="00D269A8"/>
    <w:rsid w:val="00D26A9C"/>
    <w:rsid w:val="00D26AA2"/>
    <w:rsid w:val="00D26CEE"/>
    <w:rsid w:val="00D273BA"/>
    <w:rsid w:val="00D2750E"/>
    <w:rsid w:val="00D27571"/>
    <w:rsid w:val="00D27B22"/>
    <w:rsid w:val="00D27D5D"/>
    <w:rsid w:val="00D30000"/>
    <w:rsid w:val="00D30756"/>
    <w:rsid w:val="00D307B1"/>
    <w:rsid w:val="00D30A5B"/>
    <w:rsid w:val="00D30F21"/>
    <w:rsid w:val="00D311B9"/>
    <w:rsid w:val="00D3181F"/>
    <w:rsid w:val="00D32106"/>
    <w:rsid w:val="00D321FC"/>
    <w:rsid w:val="00D3229C"/>
    <w:rsid w:val="00D322E6"/>
    <w:rsid w:val="00D32374"/>
    <w:rsid w:val="00D3242A"/>
    <w:rsid w:val="00D3253F"/>
    <w:rsid w:val="00D32782"/>
    <w:rsid w:val="00D328B7"/>
    <w:rsid w:val="00D329F6"/>
    <w:rsid w:val="00D32A1C"/>
    <w:rsid w:val="00D32B05"/>
    <w:rsid w:val="00D32B64"/>
    <w:rsid w:val="00D32B9B"/>
    <w:rsid w:val="00D32D41"/>
    <w:rsid w:val="00D32D90"/>
    <w:rsid w:val="00D32DDC"/>
    <w:rsid w:val="00D33248"/>
    <w:rsid w:val="00D333BF"/>
    <w:rsid w:val="00D33B7E"/>
    <w:rsid w:val="00D3446F"/>
    <w:rsid w:val="00D345B9"/>
    <w:rsid w:val="00D3495C"/>
    <w:rsid w:val="00D349B8"/>
    <w:rsid w:val="00D349C0"/>
    <w:rsid w:val="00D34CA7"/>
    <w:rsid w:val="00D34D68"/>
    <w:rsid w:val="00D34D76"/>
    <w:rsid w:val="00D350A8"/>
    <w:rsid w:val="00D3520C"/>
    <w:rsid w:val="00D35A7D"/>
    <w:rsid w:val="00D35CB1"/>
    <w:rsid w:val="00D35E3F"/>
    <w:rsid w:val="00D35EE2"/>
    <w:rsid w:val="00D36115"/>
    <w:rsid w:val="00D361E8"/>
    <w:rsid w:val="00D3664F"/>
    <w:rsid w:val="00D366B0"/>
    <w:rsid w:val="00D36A73"/>
    <w:rsid w:val="00D36DC0"/>
    <w:rsid w:val="00D37105"/>
    <w:rsid w:val="00D37111"/>
    <w:rsid w:val="00D3713E"/>
    <w:rsid w:val="00D37265"/>
    <w:rsid w:val="00D372E1"/>
    <w:rsid w:val="00D37459"/>
    <w:rsid w:val="00D37598"/>
    <w:rsid w:val="00D376D4"/>
    <w:rsid w:val="00D3778F"/>
    <w:rsid w:val="00D378DC"/>
    <w:rsid w:val="00D37903"/>
    <w:rsid w:val="00D3790F"/>
    <w:rsid w:val="00D40531"/>
    <w:rsid w:val="00D4076A"/>
    <w:rsid w:val="00D40CF7"/>
    <w:rsid w:val="00D410E6"/>
    <w:rsid w:val="00D411D5"/>
    <w:rsid w:val="00D4147E"/>
    <w:rsid w:val="00D41872"/>
    <w:rsid w:val="00D41CD7"/>
    <w:rsid w:val="00D41E65"/>
    <w:rsid w:val="00D41FDD"/>
    <w:rsid w:val="00D42155"/>
    <w:rsid w:val="00D42474"/>
    <w:rsid w:val="00D42721"/>
    <w:rsid w:val="00D42780"/>
    <w:rsid w:val="00D42A12"/>
    <w:rsid w:val="00D42C66"/>
    <w:rsid w:val="00D42C89"/>
    <w:rsid w:val="00D42CBB"/>
    <w:rsid w:val="00D42FF5"/>
    <w:rsid w:val="00D430CB"/>
    <w:rsid w:val="00D4326C"/>
    <w:rsid w:val="00D43602"/>
    <w:rsid w:val="00D43712"/>
    <w:rsid w:val="00D439FA"/>
    <w:rsid w:val="00D444BD"/>
    <w:rsid w:val="00D44C3D"/>
    <w:rsid w:val="00D45903"/>
    <w:rsid w:val="00D45B8B"/>
    <w:rsid w:val="00D4619E"/>
    <w:rsid w:val="00D46542"/>
    <w:rsid w:val="00D467E2"/>
    <w:rsid w:val="00D46900"/>
    <w:rsid w:val="00D46A14"/>
    <w:rsid w:val="00D4712C"/>
    <w:rsid w:val="00D471AA"/>
    <w:rsid w:val="00D4733C"/>
    <w:rsid w:val="00D477CB"/>
    <w:rsid w:val="00D47816"/>
    <w:rsid w:val="00D47B41"/>
    <w:rsid w:val="00D50B01"/>
    <w:rsid w:val="00D51050"/>
    <w:rsid w:val="00D5151C"/>
    <w:rsid w:val="00D5162B"/>
    <w:rsid w:val="00D5162F"/>
    <w:rsid w:val="00D51A7D"/>
    <w:rsid w:val="00D51D2E"/>
    <w:rsid w:val="00D51D57"/>
    <w:rsid w:val="00D51F50"/>
    <w:rsid w:val="00D5213E"/>
    <w:rsid w:val="00D522AC"/>
    <w:rsid w:val="00D526DE"/>
    <w:rsid w:val="00D5282F"/>
    <w:rsid w:val="00D52979"/>
    <w:rsid w:val="00D52BAF"/>
    <w:rsid w:val="00D52F21"/>
    <w:rsid w:val="00D531D5"/>
    <w:rsid w:val="00D53543"/>
    <w:rsid w:val="00D5363F"/>
    <w:rsid w:val="00D5370B"/>
    <w:rsid w:val="00D53D90"/>
    <w:rsid w:val="00D53EE2"/>
    <w:rsid w:val="00D54183"/>
    <w:rsid w:val="00D54380"/>
    <w:rsid w:val="00D54488"/>
    <w:rsid w:val="00D55394"/>
    <w:rsid w:val="00D553E8"/>
    <w:rsid w:val="00D555D6"/>
    <w:rsid w:val="00D55612"/>
    <w:rsid w:val="00D55644"/>
    <w:rsid w:val="00D56310"/>
    <w:rsid w:val="00D567F3"/>
    <w:rsid w:val="00D56BA0"/>
    <w:rsid w:val="00D56C57"/>
    <w:rsid w:val="00D5745A"/>
    <w:rsid w:val="00D576B9"/>
    <w:rsid w:val="00D577F1"/>
    <w:rsid w:val="00D5797D"/>
    <w:rsid w:val="00D57ADC"/>
    <w:rsid w:val="00D57F91"/>
    <w:rsid w:val="00D60268"/>
    <w:rsid w:val="00D60387"/>
    <w:rsid w:val="00D6049A"/>
    <w:rsid w:val="00D6064D"/>
    <w:rsid w:val="00D60741"/>
    <w:rsid w:val="00D6092D"/>
    <w:rsid w:val="00D60F12"/>
    <w:rsid w:val="00D6113F"/>
    <w:rsid w:val="00D614D7"/>
    <w:rsid w:val="00D615FC"/>
    <w:rsid w:val="00D617AC"/>
    <w:rsid w:val="00D61860"/>
    <w:rsid w:val="00D61C6A"/>
    <w:rsid w:val="00D61F22"/>
    <w:rsid w:val="00D62755"/>
    <w:rsid w:val="00D628A8"/>
    <w:rsid w:val="00D629F5"/>
    <w:rsid w:val="00D62A69"/>
    <w:rsid w:val="00D62E83"/>
    <w:rsid w:val="00D63220"/>
    <w:rsid w:val="00D633B7"/>
    <w:rsid w:val="00D633FF"/>
    <w:rsid w:val="00D63526"/>
    <w:rsid w:val="00D63664"/>
    <w:rsid w:val="00D63922"/>
    <w:rsid w:val="00D63D5C"/>
    <w:rsid w:val="00D63F15"/>
    <w:rsid w:val="00D63FBB"/>
    <w:rsid w:val="00D642FD"/>
    <w:rsid w:val="00D64A91"/>
    <w:rsid w:val="00D64C2D"/>
    <w:rsid w:val="00D653DA"/>
    <w:rsid w:val="00D65438"/>
    <w:rsid w:val="00D65EBE"/>
    <w:rsid w:val="00D65F5D"/>
    <w:rsid w:val="00D66364"/>
    <w:rsid w:val="00D663EE"/>
    <w:rsid w:val="00D6678A"/>
    <w:rsid w:val="00D66ADE"/>
    <w:rsid w:val="00D66AEE"/>
    <w:rsid w:val="00D66D91"/>
    <w:rsid w:val="00D66EC9"/>
    <w:rsid w:val="00D67238"/>
    <w:rsid w:val="00D6758A"/>
    <w:rsid w:val="00D67A66"/>
    <w:rsid w:val="00D67CF7"/>
    <w:rsid w:val="00D67DED"/>
    <w:rsid w:val="00D7021B"/>
    <w:rsid w:val="00D703D3"/>
    <w:rsid w:val="00D703DF"/>
    <w:rsid w:val="00D7069E"/>
    <w:rsid w:val="00D707E8"/>
    <w:rsid w:val="00D70D9D"/>
    <w:rsid w:val="00D70DB3"/>
    <w:rsid w:val="00D71099"/>
    <w:rsid w:val="00D714A9"/>
    <w:rsid w:val="00D715D7"/>
    <w:rsid w:val="00D71BC0"/>
    <w:rsid w:val="00D71BFD"/>
    <w:rsid w:val="00D71D5E"/>
    <w:rsid w:val="00D7209B"/>
    <w:rsid w:val="00D72243"/>
    <w:rsid w:val="00D722CA"/>
    <w:rsid w:val="00D722E0"/>
    <w:rsid w:val="00D727CC"/>
    <w:rsid w:val="00D72BCB"/>
    <w:rsid w:val="00D7308C"/>
    <w:rsid w:val="00D730C2"/>
    <w:rsid w:val="00D73141"/>
    <w:rsid w:val="00D7364C"/>
    <w:rsid w:val="00D73EBF"/>
    <w:rsid w:val="00D740D3"/>
    <w:rsid w:val="00D7476B"/>
    <w:rsid w:val="00D7477E"/>
    <w:rsid w:val="00D74FF6"/>
    <w:rsid w:val="00D75225"/>
    <w:rsid w:val="00D7524A"/>
    <w:rsid w:val="00D75856"/>
    <w:rsid w:val="00D759DA"/>
    <w:rsid w:val="00D75AB6"/>
    <w:rsid w:val="00D75DA8"/>
    <w:rsid w:val="00D75E01"/>
    <w:rsid w:val="00D75E04"/>
    <w:rsid w:val="00D75F75"/>
    <w:rsid w:val="00D76236"/>
    <w:rsid w:val="00D76D00"/>
    <w:rsid w:val="00D774B0"/>
    <w:rsid w:val="00D7764D"/>
    <w:rsid w:val="00D778A6"/>
    <w:rsid w:val="00D77922"/>
    <w:rsid w:val="00D779C5"/>
    <w:rsid w:val="00D77EA3"/>
    <w:rsid w:val="00D80BFD"/>
    <w:rsid w:val="00D81402"/>
    <w:rsid w:val="00D8163D"/>
    <w:rsid w:val="00D8169A"/>
    <w:rsid w:val="00D817BF"/>
    <w:rsid w:val="00D819FA"/>
    <w:rsid w:val="00D81D77"/>
    <w:rsid w:val="00D825B4"/>
    <w:rsid w:val="00D8269D"/>
    <w:rsid w:val="00D82BCB"/>
    <w:rsid w:val="00D830F2"/>
    <w:rsid w:val="00D83656"/>
    <w:rsid w:val="00D836AD"/>
    <w:rsid w:val="00D83E93"/>
    <w:rsid w:val="00D845AD"/>
    <w:rsid w:val="00D848D2"/>
    <w:rsid w:val="00D84BF5"/>
    <w:rsid w:val="00D84C5A"/>
    <w:rsid w:val="00D84CC2"/>
    <w:rsid w:val="00D85073"/>
    <w:rsid w:val="00D85240"/>
    <w:rsid w:val="00D853E6"/>
    <w:rsid w:val="00D85893"/>
    <w:rsid w:val="00D8593D"/>
    <w:rsid w:val="00D85BB1"/>
    <w:rsid w:val="00D85D77"/>
    <w:rsid w:val="00D85F26"/>
    <w:rsid w:val="00D861AC"/>
    <w:rsid w:val="00D86422"/>
    <w:rsid w:val="00D86588"/>
    <w:rsid w:val="00D86AA9"/>
    <w:rsid w:val="00D86B12"/>
    <w:rsid w:val="00D86B28"/>
    <w:rsid w:val="00D86D18"/>
    <w:rsid w:val="00D86DAD"/>
    <w:rsid w:val="00D87271"/>
    <w:rsid w:val="00D87BF5"/>
    <w:rsid w:val="00D87EE8"/>
    <w:rsid w:val="00D87FDB"/>
    <w:rsid w:val="00D90105"/>
    <w:rsid w:val="00D903E9"/>
    <w:rsid w:val="00D90483"/>
    <w:rsid w:val="00D905E0"/>
    <w:rsid w:val="00D90E48"/>
    <w:rsid w:val="00D90E87"/>
    <w:rsid w:val="00D911B0"/>
    <w:rsid w:val="00D91395"/>
    <w:rsid w:val="00D9170E"/>
    <w:rsid w:val="00D91DBC"/>
    <w:rsid w:val="00D91F3B"/>
    <w:rsid w:val="00D9200B"/>
    <w:rsid w:val="00D922B9"/>
    <w:rsid w:val="00D922FC"/>
    <w:rsid w:val="00D92432"/>
    <w:rsid w:val="00D92560"/>
    <w:rsid w:val="00D925FE"/>
    <w:rsid w:val="00D92B85"/>
    <w:rsid w:val="00D92B8A"/>
    <w:rsid w:val="00D92BFA"/>
    <w:rsid w:val="00D92CEA"/>
    <w:rsid w:val="00D92D64"/>
    <w:rsid w:val="00D930C2"/>
    <w:rsid w:val="00D9348D"/>
    <w:rsid w:val="00D93604"/>
    <w:rsid w:val="00D939BA"/>
    <w:rsid w:val="00D93ADF"/>
    <w:rsid w:val="00D93EDE"/>
    <w:rsid w:val="00D94505"/>
    <w:rsid w:val="00D945E1"/>
    <w:rsid w:val="00D94632"/>
    <w:rsid w:val="00D94774"/>
    <w:rsid w:val="00D948BE"/>
    <w:rsid w:val="00D9492D"/>
    <w:rsid w:val="00D94DC9"/>
    <w:rsid w:val="00D94E19"/>
    <w:rsid w:val="00D950FD"/>
    <w:rsid w:val="00D95368"/>
    <w:rsid w:val="00D956B3"/>
    <w:rsid w:val="00D95E07"/>
    <w:rsid w:val="00D9606D"/>
    <w:rsid w:val="00D9693A"/>
    <w:rsid w:val="00D96D21"/>
    <w:rsid w:val="00D96E44"/>
    <w:rsid w:val="00D96F93"/>
    <w:rsid w:val="00D9702B"/>
    <w:rsid w:val="00D97052"/>
    <w:rsid w:val="00D97194"/>
    <w:rsid w:val="00D9771F"/>
    <w:rsid w:val="00D97BCA"/>
    <w:rsid w:val="00DA013E"/>
    <w:rsid w:val="00DA1159"/>
    <w:rsid w:val="00DA143D"/>
    <w:rsid w:val="00DA1574"/>
    <w:rsid w:val="00DA186E"/>
    <w:rsid w:val="00DA1A78"/>
    <w:rsid w:val="00DA1BEA"/>
    <w:rsid w:val="00DA1C96"/>
    <w:rsid w:val="00DA1DB6"/>
    <w:rsid w:val="00DA1E15"/>
    <w:rsid w:val="00DA1F6A"/>
    <w:rsid w:val="00DA21DE"/>
    <w:rsid w:val="00DA258F"/>
    <w:rsid w:val="00DA26CE"/>
    <w:rsid w:val="00DA2A07"/>
    <w:rsid w:val="00DA2B3D"/>
    <w:rsid w:val="00DA2B4E"/>
    <w:rsid w:val="00DA2CE7"/>
    <w:rsid w:val="00DA3178"/>
    <w:rsid w:val="00DA31DD"/>
    <w:rsid w:val="00DA324A"/>
    <w:rsid w:val="00DA340A"/>
    <w:rsid w:val="00DA3445"/>
    <w:rsid w:val="00DA34CA"/>
    <w:rsid w:val="00DA381A"/>
    <w:rsid w:val="00DA3C7F"/>
    <w:rsid w:val="00DA3CF8"/>
    <w:rsid w:val="00DA3DA7"/>
    <w:rsid w:val="00DA4481"/>
    <w:rsid w:val="00DA4DEE"/>
    <w:rsid w:val="00DA5081"/>
    <w:rsid w:val="00DA51E0"/>
    <w:rsid w:val="00DA5313"/>
    <w:rsid w:val="00DA5491"/>
    <w:rsid w:val="00DA56C0"/>
    <w:rsid w:val="00DA58B3"/>
    <w:rsid w:val="00DA5A47"/>
    <w:rsid w:val="00DA5CF0"/>
    <w:rsid w:val="00DA5ED8"/>
    <w:rsid w:val="00DA607C"/>
    <w:rsid w:val="00DA6364"/>
    <w:rsid w:val="00DA66B8"/>
    <w:rsid w:val="00DA676D"/>
    <w:rsid w:val="00DA6899"/>
    <w:rsid w:val="00DA68BE"/>
    <w:rsid w:val="00DA6967"/>
    <w:rsid w:val="00DA6E18"/>
    <w:rsid w:val="00DA7153"/>
    <w:rsid w:val="00DA71DB"/>
    <w:rsid w:val="00DA76EA"/>
    <w:rsid w:val="00DA7949"/>
    <w:rsid w:val="00DA7A57"/>
    <w:rsid w:val="00DA7BD2"/>
    <w:rsid w:val="00DA7E70"/>
    <w:rsid w:val="00DB03BF"/>
    <w:rsid w:val="00DB07E1"/>
    <w:rsid w:val="00DB0850"/>
    <w:rsid w:val="00DB08D9"/>
    <w:rsid w:val="00DB0A5D"/>
    <w:rsid w:val="00DB0AE6"/>
    <w:rsid w:val="00DB0B69"/>
    <w:rsid w:val="00DB0B6A"/>
    <w:rsid w:val="00DB0C10"/>
    <w:rsid w:val="00DB0E2C"/>
    <w:rsid w:val="00DB0F8B"/>
    <w:rsid w:val="00DB131C"/>
    <w:rsid w:val="00DB1986"/>
    <w:rsid w:val="00DB19A9"/>
    <w:rsid w:val="00DB252B"/>
    <w:rsid w:val="00DB25A1"/>
    <w:rsid w:val="00DB275E"/>
    <w:rsid w:val="00DB2982"/>
    <w:rsid w:val="00DB2CFD"/>
    <w:rsid w:val="00DB31F6"/>
    <w:rsid w:val="00DB32CB"/>
    <w:rsid w:val="00DB3536"/>
    <w:rsid w:val="00DB3649"/>
    <w:rsid w:val="00DB36DF"/>
    <w:rsid w:val="00DB3BCA"/>
    <w:rsid w:val="00DB3BD9"/>
    <w:rsid w:val="00DB3FC2"/>
    <w:rsid w:val="00DB4472"/>
    <w:rsid w:val="00DB4503"/>
    <w:rsid w:val="00DB47E1"/>
    <w:rsid w:val="00DB4822"/>
    <w:rsid w:val="00DB4C85"/>
    <w:rsid w:val="00DB4D4B"/>
    <w:rsid w:val="00DB4E18"/>
    <w:rsid w:val="00DB5061"/>
    <w:rsid w:val="00DB51F3"/>
    <w:rsid w:val="00DB5548"/>
    <w:rsid w:val="00DB55F2"/>
    <w:rsid w:val="00DB55F9"/>
    <w:rsid w:val="00DB5B44"/>
    <w:rsid w:val="00DB5BBD"/>
    <w:rsid w:val="00DB6032"/>
    <w:rsid w:val="00DB62D1"/>
    <w:rsid w:val="00DB65F9"/>
    <w:rsid w:val="00DB66DB"/>
    <w:rsid w:val="00DB68F6"/>
    <w:rsid w:val="00DB6930"/>
    <w:rsid w:val="00DB6A65"/>
    <w:rsid w:val="00DB6EE8"/>
    <w:rsid w:val="00DB6F1A"/>
    <w:rsid w:val="00DB70B3"/>
    <w:rsid w:val="00DB7260"/>
    <w:rsid w:val="00DB729F"/>
    <w:rsid w:val="00DB7363"/>
    <w:rsid w:val="00DB73BA"/>
    <w:rsid w:val="00DB75E3"/>
    <w:rsid w:val="00DB78BE"/>
    <w:rsid w:val="00DB7C42"/>
    <w:rsid w:val="00DB7ED5"/>
    <w:rsid w:val="00DC03FE"/>
    <w:rsid w:val="00DC0753"/>
    <w:rsid w:val="00DC076E"/>
    <w:rsid w:val="00DC0982"/>
    <w:rsid w:val="00DC0A36"/>
    <w:rsid w:val="00DC0B62"/>
    <w:rsid w:val="00DC0B79"/>
    <w:rsid w:val="00DC0BFC"/>
    <w:rsid w:val="00DC0C59"/>
    <w:rsid w:val="00DC0D6F"/>
    <w:rsid w:val="00DC0F24"/>
    <w:rsid w:val="00DC111D"/>
    <w:rsid w:val="00DC11E2"/>
    <w:rsid w:val="00DC16CC"/>
    <w:rsid w:val="00DC1A48"/>
    <w:rsid w:val="00DC1AFC"/>
    <w:rsid w:val="00DC1B97"/>
    <w:rsid w:val="00DC1CB0"/>
    <w:rsid w:val="00DC228D"/>
    <w:rsid w:val="00DC22D8"/>
    <w:rsid w:val="00DC2412"/>
    <w:rsid w:val="00DC28E4"/>
    <w:rsid w:val="00DC28FD"/>
    <w:rsid w:val="00DC2D44"/>
    <w:rsid w:val="00DC2EA8"/>
    <w:rsid w:val="00DC2FFF"/>
    <w:rsid w:val="00DC331C"/>
    <w:rsid w:val="00DC35A3"/>
    <w:rsid w:val="00DC3B85"/>
    <w:rsid w:val="00DC3D3F"/>
    <w:rsid w:val="00DC4798"/>
    <w:rsid w:val="00DC47F0"/>
    <w:rsid w:val="00DC48DA"/>
    <w:rsid w:val="00DC4D10"/>
    <w:rsid w:val="00DC4ECD"/>
    <w:rsid w:val="00DC5302"/>
    <w:rsid w:val="00DC5486"/>
    <w:rsid w:val="00DC55E0"/>
    <w:rsid w:val="00DC5984"/>
    <w:rsid w:val="00DC5AC8"/>
    <w:rsid w:val="00DC5C0C"/>
    <w:rsid w:val="00DC5E9C"/>
    <w:rsid w:val="00DC608A"/>
    <w:rsid w:val="00DC60A0"/>
    <w:rsid w:val="00DC6300"/>
    <w:rsid w:val="00DC667D"/>
    <w:rsid w:val="00DC68FC"/>
    <w:rsid w:val="00DC6A4C"/>
    <w:rsid w:val="00DC7216"/>
    <w:rsid w:val="00DC7340"/>
    <w:rsid w:val="00DC7461"/>
    <w:rsid w:val="00DC7D67"/>
    <w:rsid w:val="00DD00FA"/>
    <w:rsid w:val="00DD031E"/>
    <w:rsid w:val="00DD0325"/>
    <w:rsid w:val="00DD05EB"/>
    <w:rsid w:val="00DD0888"/>
    <w:rsid w:val="00DD0C24"/>
    <w:rsid w:val="00DD0D75"/>
    <w:rsid w:val="00DD0F16"/>
    <w:rsid w:val="00DD11C6"/>
    <w:rsid w:val="00DD1384"/>
    <w:rsid w:val="00DD1742"/>
    <w:rsid w:val="00DD17AD"/>
    <w:rsid w:val="00DD18A5"/>
    <w:rsid w:val="00DD1DAB"/>
    <w:rsid w:val="00DD1E4D"/>
    <w:rsid w:val="00DD1FAD"/>
    <w:rsid w:val="00DD217B"/>
    <w:rsid w:val="00DD217E"/>
    <w:rsid w:val="00DD21DF"/>
    <w:rsid w:val="00DD2317"/>
    <w:rsid w:val="00DD25D3"/>
    <w:rsid w:val="00DD2625"/>
    <w:rsid w:val="00DD2822"/>
    <w:rsid w:val="00DD2ECC"/>
    <w:rsid w:val="00DD2F74"/>
    <w:rsid w:val="00DD31EC"/>
    <w:rsid w:val="00DD3809"/>
    <w:rsid w:val="00DD3A74"/>
    <w:rsid w:val="00DD3B4A"/>
    <w:rsid w:val="00DD3C93"/>
    <w:rsid w:val="00DD440F"/>
    <w:rsid w:val="00DD4460"/>
    <w:rsid w:val="00DD49A5"/>
    <w:rsid w:val="00DD4CF1"/>
    <w:rsid w:val="00DD5015"/>
    <w:rsid w:val="00DD547D"/>
    <w:rsid w:val="00DD58F1"/>
    <w:rsid w:val="00DD5C25"/>
    <w:rsid w:val="00DD629D"/>
    <w:rsid w:val="00DD635C"/>
    <w:rsid w:val="00DD6385"/>
    <w:rsid w:val="00DD63EC"/>
    <w:rsid w:val="00DD6872"/>
    <w:rsid w:val="00DD68F1"/>
    <w:rsid w:val="00DD6DA7"/>
    <w:rsid w:val="00DD6E02"/>
    <w:rsid w:val="00DD71F8"/>
    <w:rsid w:val="00DD7968"/>
    <w:rsid w:val="00DD7EC7"/>
    <w:rsid w:val="00DD7ED2"/>
    <w:rsid w:val="00DE0143"/>
    <w:rsid w:val="00DE05BC"/>
    <w:rsid w:val="00DE09BA"/>
    <w:rsid w:val="00DE0D48"/>
    <w:rsid w:val="00DE0D8F"/>
    <w:rsid w:val="00DE0F77"/>
    <w:rsid w:val="00DE1350"/>
    <w:rsid w:val="00DE1811"/>
    <w:rsid w:val="00DE1946"/>
    <w:rsid w:val="00DE1FC3"/>
    <w:rsid w:val="00DE221A"/>
    <w:rsid w:val="00DE2286"/>
    <w:rsid w:val="00DE25FF"/>
    <w:rsid w:val="00DE2906"/>
    <w:rsid w:val="00DE2FD9"/>
    <w:rsid w:val="00DE3676"/>
    <w:rsid w:val="00DE376C"/>
    <w:rsid w:val="00DE3933"/>
    <w:rsid w:val="00DE3A1E"/>
    <w:rsid w:val="00DE4540"/>
    <w:rsid w:val="00DE464F"/>
    <w:rsid w:val="00DE47CE"/>
    <w:rsid w:val="00DE4B0F"/>
    <w:rsid w:val="00DE4CFF"/>
    <w:rsid w:val="00DE50BA"/>
    <w:rsid w:val="00DE5552"/>
    <w:rsid w:val="00DE56DC"/>
    <w:rsid w:val="00DE58D6"/>
    <w:rsid w:val="00DE591D"/>
    <w:rsid w:val="00DE5AAA"/>
    <w:rsid w:val="00DE5AAD"/>
    <w:rsid w:val="00DE5D0A"/>
    <w:rsid w:val="00DE5D19"/>
    <w:rsid w:val="00DE61C0"/>
    <w:rsid w:val="00DE61E7"/>
    <w:rsid w:val="00DE648A"/>
    <w:rsid w:val="00DE6D94"/>
    <w:rsid w:val="00DE7155"/>
    <w:rsid w:val="00DE723E"/>
    <w:rsid w:val="00DE75DE"/>
    <w:rsid w:val="00DE7835"/>
    <w:rsid w:val="00DE7845"/>
    <w:rsid w:val="00DE7AED"/>
    <w:rsid w:val="00DE7AEE"/>
    <w:rsid w:val="00DF01DE"/>
    <w:rsid w:val="00DF0463"/>
    <w:rsid w:val="00DF05F2"/>
    <w:rsid w:val="00DF07A7"/>
    <w:rsid w:val="00DF0B7A"/>
    <w:rsid w:val="00DF0FD6"/>
    <w:rsid w:val="00DF1166"/>
    <w:rsid w:val="00DF155C"/>
    <w:rsid w:val="00DF174F"/>
    <w:rsid w:val="00DF1957"/>
    <w:rsid w:val="00DF198B"/>
    <w:rsid w:val="00DF19E5"/>
    <w:rsid w:val="00DF1F81"/>
    <w:rsid w:val="00DF22D3"/>
    <w:rsid w:val="00DF2D03"/>
    <w:rsid w:val="00DF2E9D"/>
    <w:rsid w:val="00DF2EA1"/>
    <w:rsid w:val="00DF2F9C"/>
    <w:rsid w:val="00DF30B0"/>
    <w:rsid w:val="00DF32BE"/>
    <w:rsid w:val="00DF3446"/>
    <w:rsid w:val="00DF381B"/>
    <w:rsid w:val="00DF3AA1"/>
    <w:rsid w:val="00DF42C2"/>
    <w:rsid w:val="00DF448C"/>
    <w:rsid w:val="00DF45E1"/>
    <w:rsid w:val="00DF47B0"/>
    <w:rsid w:val="00DF489B"/>
    <w:rsid w:val="00DF4AA0"/>
    <w:rsid w:val="00DF4F8A"/>
    <w:rsid w:val="00DF4FAF"/>
    <w:rsid w:val="00DF5339"/>
    <w:rsid w:val="00DF5430"/>
    <w:rsid w:val="00DF5691"/>
    <w:rsid w:val="00DF5C65"/>
    <w:rsid w:val="00DF5C69"/>
    <w:rsid w:val="00DF5F86"/>
    <w:rsid w:val="00DF6207"/>
    <w:rsid w:val="00DF6539"/>
    <w:rsid w:val="00DF65A1"/>
    <w:rsid w:val="00DF67B1"/>
    <w:rsid w:val="00DF67B7"/>
    <w:rsid w:val="00DF6811"/>
    <w:rsid w:val="00DF6C42"/>
    <w:rsid w:val="00DF6FC5"/>
    <w:rsid w:val="00DF700D"/>
    <w:rsid w:val="00DF70A3"/>
    <w:rsid w:val="00DF71A4"/>
    <w:rsid w:val="00DF7820"/>
    <w:rsid w:val="00DF7851"/>
    <w:rsid w:val="00DF7AE1"/>
    <w:rsid w:val="00DF7C2D"/>
    <w:rsid w:val="00DF7D3F"/>
    <w:rsid w:val="00DF7D5A"/>
    <w:rsid w:val="00DF7E06"/>
    <w:rsid w:val="00DF7E2C"/>
    <w:rsid w:val="00E000B4"/>
    <w:rsid w:val="00E00284"/>
    <w:rsid w:val="00E002AC"/>
    <w:rsid w:val="00E005B9"/>
    <w:rsid w:val="00E006D2"/>
    <w:rsid w:val="00E008F9"/>
    <w:rsid w:val="00E00B8C"/>
    <w:rsid w:val="00E00BFA"/>
    <w:rsid w:val="00E00C38"/>
    <w:rsid w:val="00E01304"/>
    <w:rsid w:val="00E016E3"/>
    <w:rsid w:val="00E01738"/>
    <w:rsid w:val="00E01849"/>
    <w:rsid w:val="00E01ACF"/>
    <w:rsid w:val="00E01C8C"/>
    <w:rsid w:val="00E01E0D"/>
    <w:rsid w:val="00E01F9B"/>
    <w:rsid w:val="00E02174"/>
    <w:rsid w:val="00E02290"/>
    <w:rsid w:val="00E02612"/>
    <w:rsid w:val="00E02991"/>
    <w:rsid w:val="00E02993"/>
    <w:rsid w:val="00E02CFC"/>
    <w:rsid w:val="00E02EFF"/>
    <w:rsid w:val="00E032E9"/>
    <w:rsid w:val="00E0344F"/>
    <w:rsid w:val="00E036A5"/>
    <w:rsid w:val="00E036EF"/>
    <w:rsid w:val="00E0387C"/>
    <w:rsid w:val="00E038DD"/>
    <w:rsid w:val="00E03D32"/>
    <w:rsid w:val="00E0402A"/>
    <w:rsid w:val="00E04385"/>
    <w:rsid w:val="00E04623"/>
    <w:rsid w:val="00E04A54"/>
    <w:rsid w:val="00E04BE8"/>
    <w:rsid w:val="00E04C67"/>
    <w:rsid w:val="00E050E5"/>
    <w:rsid w:val="00E05370"/>
    <w:rsid w:val="00E0543E"/>
    <w:rsid w:val="00E05620"/>
    <w:rsid w:val="00E0592F"/>
    <w:rsid w:val="00E059CC"/>
    <w:rsid w:val="00E05B6B"/>
    <w:rsid w:val="00E05B7A"/>
    <w:rsid w:val="00E05C3D"/>
    <w:rsid w:val="00E05C69"/>
    <w:rsid w:val="00E05E25"/>
    <w:rsid w:val="00E05E5E"/>
    <w:rsid w:val="00E061F8"/>
    <w:rsid w:val="00E06277"/>
    <w:rsid w:val="00E0667F"/>
    <w:rsid w:val="00E067F4"/>
    <w:rsid w:val="00E06A84"/>
    <w:rsid w:val="00E06AEA"/>
    <w:rsid w:val="00E06B4F"/>
    <w:rsid w:val="00E06D1D"/>
    <w:rsid w:val="00E0729B"/>
    <w:rsid w:val="00E0735E"/>
    <w:rsid w:val="00E075A9"/>
    <w:rsid w:val="00E077D0"/>
    <w:rsid w:val="00E07AF9"/>
    <w:rsid w:val="00E07B0E"/>
    <w:rsid w:val="00E07B64"/>
    <w:rsid w:val="00E07B94"/>
    <w:rsid w:val="00E10504"/>
    <w:rsid w:val="00E1070A"/>
    <w:rsid w:val="00E10750"/>
    <w:rsid w:val="00E10AD2"/>
    <w:rsid w:val="00E10E3D"/>
    <w:rsid w:val="00E10E71"/>
    <w:rsid w:val="00E10FA3"/>
    <w:rsid w:val="00E113A0"/>
    <w:rsid w:val="00E114D5"/>
    <w:rsid w:val="00E11983"/>
    <w:rsid w:val="00E11ABA"/>
    <w:rsid w:val="00E11C27"/>
    <w:rsid w:val="00E11CE8"/>
    <w:rsid w:val="00E12533"/>
    <w:rsid w:val="00E12743"/>
    <w:rsid w:val="00E12860"/>
    <w:rsid w:val="00E129D1"/>
    <w:rsid w:val="00E12A07"/>
    <w:rsid w:val="00E12ECE"/>
    <w:rsid w:val="00E1337E"/>
    <w:rsid w:val="00E13533"/>
    <w:rsid w:val="00E13926"/>
    <w:rsid w:val="00E13D8F"/>
    <w:rsid w:val="00E13DBB"/>
    <w:rsid w:val="00E13FC8"/>
    <w:rsid w:val="00E141E2"/>
    <w:rsid w:val="00E1421C"/>
    <w:rsid w:val="00E14296"/>
    <w:rsid w:val="00E14347"/>
    <w:rsid w:val="00E146CB"/>
    <w:rsid w:val="00E14838"/>
    <w:rsid w:val="00E14C02"/>
    <w:rsid w:val="00E14C3C"/>
    <w:rsid w:val="00E14E03"/>
    <w:rsid w:val="00E14ED4"/>
    <w:rsid w:val="00E15196"/>
    <w:rsid w:val="00E154B0"/>
    <w:rsid w:val="00E156AC"/>
    <w:rsid w:val="00E15836"/>
    <w:rsid w:val="00E15EC4"/>
    <w:rsid w:val="00E165A4"/>
    <w:rsid w:val="00E16782"/>
    <w:rsid w:val="00E1691B"/>
    <w:rsid w:val="00E16970"/>
    <w:rsid w:val="00E16A36"/>
    <w:rsid w:val="00E16E5C"/>
    <w:rsid w:val="00E17163"/>
    <w:rsid w:val="00E17B0E"/>
    <w:rsid w:val="00E17E25"/>
    <w:rsid w:val="00E2001A"/>
    <w:rsid w:val="00E2015C"/>
    <w:rsid w:val="00E2020D"/>
    <w:rsid w:val="00E204E2"/>
    <w:rsid w:val="00E20665"/>
    <w:rsid w:val="00E20700"/>
    <w:rsid w:val="00E20A7F"/>
    <w:rsid w:val="00E20BC1"/>
    <w:rsid w:val="00E20CE4"/>
    <w:rsid w:val="00E20E97"/>
    <w:rsid w:val="00E21032"/>
    <w:rsid w:val="00E2110D"/>
    <w:rsid w:val="00E21226"/>
    <w:rsid w:val="00E212FA"/>
    <w:rsid w:val="00E2141E"/>
    <w:rsid w:val="00E21E7B"/>
    <w:rsid w:val="00E223B3"/>
    <w:rsid w:val="00E224C7"/>
    <w:rsid w:val="00E22B97"/>
    <w:rsid w:val="00E22E2C"/>
    <w:rsid w:val="00E22F12"/>
    <w:rsid w:val="00E232BB"/>
    <w:rsid w:val="00E23B30"/>
    <w:rsid w:val="00E23C1D"/>
    <w:rsid w:val="00E23FEB"/>
    <w:rsid w:val="00E24146"/>
    <w:rsid w:val="00E24270"/>
    <w:rsid w:val="00E243FC"/>
    <w:rsid w:val="00E24470"/>
    <w:rsid w:val="00E245BB"/>
    <w:rsid w:val="00E2477C"/>
    <w:rsid w:val="00E247B6"/>
    <w:rsid w:val="00E252E1"/>
    <w:rsid w:val="00E255B7"/>
    <w:rsid w:val="00E256DD"/>
    <w:rsid w:val="00E258BB"/>
    <w:rsid w:val="00E259E0"/>
    <w:rsid w:val="00E25A0F"/>
    <w:rsid w:val="00E25C61"/>
    <w:rsid w:val="00E25F1B"/>
    <w:rsid w:val="00E25F37"/>
    <w:rsid w:val="00E26507"/>
    <w:rsid w:val="00E2654E"/>
    <w:rsid w:val="00E26705"/>
    <w:rsid w:val="00E26F83"/>
    <w:rsid w:val="00E2708E"/>
    <w:rsid w:val="00E27335"/>
    <w:rsid w:val="00E27577"/>
    <w:rsid w:val="00E2786D"/>
    <w:rsid w:val="00E27F5D"/>
    <w:rsid w:val="00E27F7A"/>
    <w:rsid w:val="00E301C8"/>
    <w:rsid w:val="00E30383"/>
    <w:rsid w:val="00E305FA"/>
    <w:rsid w:val="00E3069D"/>
    <w:rsid w:val="00E307C6"/>
    <w:rsid w:val="00E30902"/>
    <w:rsid w:val="00E30C0B"/>
    <w:rsid w:val="00E30D32"/>
    <w:rsid w:val="00E310B7"/>
    <w:rsid w:val="00E31451"/>
    <w:rsid w:val="00E31564"/>
    <w:rsid w:val="00E316EB"/>
    <w:rsid w:val="00E31D53"/>
    <w:rsid w:val="00E31DC5"/>
    <w:rsid w:val="00E31E9A"/>
    <w:rsid w:val="00E321B5"/>
    <w:rsid w:val="00E3233C"/>
    <w:rsid w:val="00E32A16"/>
    <w:rsid w:val="00E32A59"/>
    <w:rsid w:val="00E32EEC"/>
    <w:rsid w:val="00E32F3C"/>
    <w:rsid w:val="00E3323B"/>
    <w:rsid w:val="00E33256"/>
    <w:rsid w:val="00E33445"/>
    <w:rsid w:val="00E3347D"/>
    <w:rsid w:val="00E335B0"/>
    <w:rsid w:val="00E33D2B"/>
    <w:rsid w:val="00E33D32"/>
    <w:rsid w:val="00E3429C"/>
    <w:rsid w:val="00E3432A"/>
    <w:rsid w:val="00E34439"/>
    <w:rsid w:val="00E3450F"/>
    <w:rsid w:val="00E3458A"/>
    <w:rsid w:val="00E3491F"/>
    <w:rsid w:val="00E34E13"/>
    <w:rsid w:val="00E34FC4"/>
    <w:rsid w:val="00E352B1"/>
    <w:rsid w:val="00E35494"/>
    <w:rsid w:val="00E355BF"/>
    <w:rsid w:val="00E35A2E"/>
    <w:rsid w:val="00E35C39"/>
    <w:rsid w:val="00E35EC1"/>
    <w:rsid w:val="00E36148"/>
    <w:rsid w:val="00E36323"/>
    <w:rsid w:val="00E36814"/>
    <w:rsid w:val="00E36CDE"/>
    <w:rsid w:val="00E36DB4"/>
    <w:rsid w:val="00E370B5"/>
    <w:rsid w:val="00E37300"/>
    <w:rsid w:val="00E37338"/>
    <w:rsid w:val="00E37415"/>
    <w:rsid w:val="00E374F3"/>
    <w:rsid w:val="00E37563"/>
    <w:rsid w:val="00E378A2"/>
    <w:rsid w:val="00E37B91"/>
    <w:rsid w:val="00E40619"/>
    <w:rsid w:val="00E40EAF"/>
    <w:rsid w:val="00E414BD"/>
    <w:rsid w:val="00E4171F"/>
    <w:rsid w:val="00E41725"/>
    <w:rsid w:val="00E41983"/>
    <w:rsid w:val="00E41BFB"/>
    <w:rsid w:val="00E42C22"/>
    <w:rsid w:val="00E430FB"/>
    <w:rsid w:val="00E432E2"/>
    <w:rsid w:val="00E43697"/>
    <w:rsid w:val="00E43733"/>
    <w:rsid w:val="00E437FE"/>
    <w:rsid w:val="00E43953"/>
    <w:rsid w:val="00E439CF"/>
    <w:rsid w:val="00E43AB6"/>
    <w:rsid w:val="00E43D56"/>
    <w:rsid w:val="00E43DC3"/>
    <w:rsid w:val="00E43FB1"/>
    <w:rsid w:val="00E44210"/>
    <w:rsid w:val="00E44A03"/>
    <w:rsid w:val="00E44A4C"/>
    <w:rsid w:val="00E44D8A"/>
    <w:rsid w:val="00E44EF3"/>
    <w:rsid w:val="00E45149"/>
    <w:rsid w:val="00E45241"/>
    <w:rsid w:val="00E4552C"/>
    <w:rsid w:val="00E45611"/>
    <w:rsid w:val="00E45956"/>
    <w:rsid w:val="00E45979"/>
    <w:rsid w:val="00E45B57"/>
    <w:rsid w:val="00E460D0"/>
    <w:rsid w:val="00E46502"/>
    <w:rsid w:val="00E46B1D"/>
    <w:rsid w:val="00E46C5B"/>
    <w:rsid w:val="00E46C8B"/>
    <w:rsid w:val="00E46CD3"/>
    <w:rsid w:val="00E46D78"/>
    <w:rsid w:val="00E46FC9"/>
    <w:rsid w:val="00E470FF"/>
    <w:rsid w:val="00E47233"/>
    <w:rsid w:val="00E47388"/>
    <w:rsid w:val="00E4741E"/>
    <w:rsid w:val="00E476F8"/>
    <w:rsid w:val="00E4781B"/>
    <w:rsid w:val="00E478E3"/>
    <w:rsid w:val="00E47A97"/>
    <w:rsid w:val="00E47B92"/>
    <w:rsid w:val="00E47FA8"/>
    <w:rsid w:val="00E50255"/>
    <w:rsid w:val="00E50392"/>
    <w:rsid w:val="00E5089E"/>
    <w:rsid w:val="00E508D2"/>
    <w:rsid w:val="00E50A3E"/>
    <w:rsid w:val="00E5132C"/>
    <w:rsid w:val="00E5143C"/>
    <w:rsid w:val="00E51826"/>
    <w:rsid w:val="00E51F02"/>
    <w:rsid w:val="00E5248C"/>
    <w:rsid w:val="00E5272E"/>
    <w:rsid w:val="00E52753"/>
    <w:rsid w:val="00E527D4"/>
    <w:rsid w:val="00E52965"/>
    <w:rsid w:val="00E52AE2"/>
    <w:rsid w:val="00E52BAF"/>
    <w:rsid w:val="00E52E96"/>
    <w:rsid w:val="00E5328A"/>
    <w:rsid w:val="00E53420"/>
    <w:rsid w:val="00E53499"/>
    <w:rsid w:val="00E535D4"/>
    <w:rsid w:val="00E536AB"/>
    <w:rsid w:val="00E54240"/>
    <w:rsid w:val="00E54907"/>
    <w:rsid w:val="00E549BD"/>
    <w:rsid w:val="00E54A59"/>
    <w:rsid w:val="00E55088"/>
    <w:rsid w:val="00E55209"/>
    <w:rsid w:val="00E5548F"/>
    <w:rsid w:val="00E55560"/>
    <w:rsid w:val="00E5559E"/>
    <w:rsid w:val="00E55743"/>
    <w:rsid w:val="00E55797"/>
    <w:rsid w:val="00E55E53"/>
    <w:rsid w:val="00E55E65"/>
    <w:rsid w:val="00E5631E"/>
    <w:rsid w:val="00E564A4"/>
    <w:rsid w:val="00E565F9"/>
    <w:rsid w:val="00E56728"/>
    <w:rsid w:val="00E56968"/>
    <w:rsid w:val="00E569DA"/>
    <w:rsid w:val="00E56A15"/>
    <w:rsid w:val="00E56D5C"/>
    <w:rsid w:val="00E56DC3"/>
    <w:rsid w:val="00E56E96"/>
    <w:rsid w:val="00E57465"/>
    <w:rsid w:val="00E577B2"/>
    <w:rsid w:val="00E57E3F"/>
    <w:rsid w:val="00E60110"/>
    <w:rsid w:val="00E60141"/>
    <w:rsid w:val="00E6020A"/>
    <w:rsid w:val="00E60258"/>
    <w:rsid w:val="00E60368"/>
    <w:rsid w:val="00E6095F"/>
    <w:rsid w:val="00E61245"/>
    <w:rsid w:val="00E612ED"/>
    <w:rsid w:val="00E61BA2"/>
    <w:rsid w:val="00E62384"/>
    <w:rsid w:val="00E6243E"/>
    <w:rsid w:val="00E62587"/>
    <w:rsid w:val="00E63147"/>
    <w:rsid w:val="00E63174"/>
    <w:rsid w:val="00E6324C"/>
    <w:rsid w:val="00E63304"/>
    <w:rsid w:val="00E63404"/>
    <w:rsid w:val="00E63777"/>
    <w:rsid w:val="00E637E3"/>
    <w:rsid w:val="00E63B3D"/>
    <w:rsid w:val="00E63D94"/>
    <w:rsid w:val="00E64307"/>
    <w:rsid w:val="00E644AC"/>
    <w:rsid w:val="00E644BA"/>
    <w:rsid w:val="00E64612"/>
    <w:rsid w:val="00E64892"/>
    <w:rsid w:val="00E64F63"/>
    <w:rsid w:val="00E65615"/>
    <w:rsid w:val="00E65627"/>
    <w:rsid w:val="00E656D2"/>
    <w:rsid w:val="00E66031"/>
    <w:rsid w:val="00E6619F"/>
    <w:rsid w:val="00E66258"/>
    <w:rsid w:val="00E6688B"/>
    <w:rsid w:val="00E66B79"/>
    <w:rsid w:val="00E66BB3"/>
    <w:rsid w:val="00E66D49"/>
    <w:rsid w:val="00E66F3A"/>
    <w:rsid w:val="00E6701C"/>
    <w:rsid w:val="00E6733A"/>
    <w:rsid w:val="00E67686"/>
    <w:rsid w:val="00E677CA"/>
    <w:rsid w:val="00E67AB4"/>
    <w:rsid w:val="00E67B1F"/>
    <w:rsid w:val="00E67F09"/>
    <w:rsid w:val="00E67FA1"/>
    <w:rsid w:val="00E70356"/>
    <w:rsid w:val="00E7046C"/>
    <w:rsid w:val="00E7049C"/>
    <w:rsid w:val="00E705AC"/>
    <w:rsid w:val="00E70A07"/>
    <w:rsid w:val="00E70AB8"/>
    <w:rsid w:val="00E70D42"/>
    <w:rsid w:val="00E70F50"/>
    <w:rsid w:val="00E70F65"/>
    <w:rsid w:val="00E710DB"/>
    <w:rsid w:val="00E71463"/>
    <w:rsid w:val="00E71586"/>
    <w:rsid w:val="00E71865"/>
    <w:rsid w:val="00E7194B"/>
    <w:rsid w:val="00E719DB"/>
    <w:rsid w:val="00E71B71"/>
    <w:rsid w:val="00E721D3"/>
    <w:rsid w:val="00E72306"/>
    <w:rsid w:val="00E724B5"/>
    <w:rsid w:val="00E724C2"/>
    <w:rsid w:val="00E72699"/>
    <w:rsid w:val="00E72962"/>
    <w:rsid w:val="00E729A3"/>
    <w:rsid w:val="00E735D3"/>
    <w:rsid w:val="00E73B3A"/>
    <w:rsid w:val="00E73C56"/>
    <w:rsid w:val="00E74165"/>
    <w:rsid w:val="00E744F6"/>
    <w:rsid w:val="00E745EC"/>
    <w:rsid w:val="00E748E3"/>
    <w:rsid w:val="00E74D10"/>
    <w:rsid w:val="00E74DC5"/>
    <w:rsid w:val="00E756C0"/>
    <w:rsid w:val="00E7573C"/>
    <w:rsid w:val="00E75A00"/>
    <w:rsid w:val="00E75C26"/>
    <w:rsid w:val="00E75D0F"/>
    <w:rsid w:val="00E75D7F"/>
    <w:rsid w:val="00E75EAB"/>
    <w:rsid w:val="00E76051"/>
    <w:rsid w:val="00E76192"/>
    <w:rsid w:val="00E76540"/>
    <w:rsid w:val="00E7657D"/>
    <w:rsid w:val="00E76643"/>
    <w:rsid w:val="00E76C70"/>
    <w:rsid w:val="00E76C71"/>
    <w:rsid w:val="00E76F0C"/>
    <w:rsid w:val="00E77225"/>
    <w:rsid w:val="00E774CE"/>
    <w:rsid w:val="00E775B2"/>
    <w:rsid w:val="00E778AE"/>
    <w:rsid w:val="00E778DF"/>
    <w:rsid w:val="00E778FF"/>
    <w:rsid w:val="00E77A09"/>
    <w:rsid w:val="00E77B25"/>
    <w:rsid w:val="00E77B9E"/>
    <w:rsid w:val="00E77BB9"/>
    <w:rsid w:val="00E77F7C"/>
    <w:rsid w:val="00E77F90"/>
    <w:rsid w:val="00E80105"/>
    <w:rsid w:val="00E804D7"/>
    <w:rsid w:val="00E808D8"/>
    <w:rsid w:val="00E80C19"/>
    <w:rsid w:val="00E80CB4"/>
    <w:rsid w:val="00E80D3B"/>
    <w:rsid w:val="00E80EEE"/>
    <w:rsid w:val="00E8155D"/>
    <w:rsid w:val="00E81C89"/>
    <w:rsid w:val="00E822A5"/>
    <w:rsid w:val="00E8249F"/>
    <w:rsid w:val="00E8297C"/>
    <w:rsid w:val="00E82E85"/>
    <w:rsid w:val="00E83619"/>
    <w:rsid w:val="00E836BF"/>
    <w:rsid w:val="00E838BD"/>
    <w:rsid w:val="00E8397A"/>
    <w:rsid w:val="00E83F02"/>
    <w:rsid w:val="00E8443E"/>
    <w:rsid w:val="00E84642"/>
    <w:rsid w:val="00E8468A"/>
    <w:rsid w:val="00E84A45"/>
    <w:rsid w:val="00E84A58"/>
    <w:rsid w:val="00E84D88"/>
    <w:rsid w:val="00E84E06"/>
    <w:rsid w:val="00E84F0F"/>
    <w:rsid w:val="00E84F54"/>
    <w:rsid w:val="00E85516"/>
    <w:rsid w:val="00E859B1"/>
    <w:rsid w:val="00E866FC"/>
    <w:rsid w:val="00E86D6C"/>
    <w:rsid w:val="00E87061"/>
    <w:rsid w:val="00E872F4"/>
    <w:rsid w:val="00E8738C"/>
    <w:rsid w:val="00E873D8"/>
    <w:rsid w:val="00E87755"/>
    <w:rsid w:val="00E878F9"/>
    <w:rsid w:val="00E87A1C"/>
    <w:rsid w:val="00E87C80"/>
    <w:rsid w:val="00E90058"/>
    <w:rsid w:val="00E90299"/>
    <w:rsid w:val="00E9032E"/>
    <w:rsid w:val="00E90520"/>
    <w:rsid w:val="00E907EA"/>
    <w:rsid w:val="00E908AA"/>
    <w:rsid w:val="00E90B6A"/>
    <w:rsid w:val="00E9107A"/>
    <w:rsid w:val="00E91112"/>
    <w:rsid w:val="00E91117"/>
    <w:rsid w:val="00E91247"/>
    <w:rsid w:val="00E913C1"/>
    <w:rsid w:val="00E91567"/>
    <w:rsid w:val="00E918FD"/>
    <w:rsid w:val="00E91A57"/>
    <w:rsid w:val="00E91AF8"/>
    <w:rsid w:val="00E91FFF"/>
    <w:rsid w:val="00E9203D"/>
    <w:rsid w:val="00E922DB"/>
    <w:rsid w:val="00E92463"/>
    <w:rsid w:val="00E926EE"/>
    <w:rsid w:val="00E92819"/>
    <w:rsid w:val="00E928AA"/>
    <w:rsid w:val="00E92DB0"/>
    <w:rsid w:val="00E9347F"/>
    <w:rsid w:val="00E9349A"/>
    <w:rsid w:val="00E93599"/>
    <w:rsid w:val="00E935A4"/>
    <w:rsid w:val="00E93822"/>
    <w:rsid w:val="00E93C5C"/>
    <w:rsid w:val="00E93E68"/>
    <w:rsid w:val="00E93F61"/>
    <w:rsid w:val="00E941D1"/>
    <w:rsid w:val="00E94307"/>
    <w:rsid w:val="00E945DB"/>
    <w:rsid w:val="00E9479D"/>
    <w:rsid w:val="00E94836"/>
    <w:rsid w:val="00E949CE"/>
    <w:rsid w:val="00E949FB"/>
    <w:rsid w:val="00E94E6F"/>
    <w:rsid w:val="00E9520B"/>
    <w:rsid w:val="00E95A7D"/>
    <w:rsid w:val="00E95AA4"/>
    <w:rsid w:val="00E95C75"/>
    <w:rsid w:val="00E95EB7"/>
    <w:rsid w:val="00E960FB"/>
    <w:rsid w:val="00E9629A"/>
    <w:rsid w:val="00E963DB"/>
    <w:rsid w:val="00E964BA"/>
    <w:rsid w:val="00E9668D"/>
    <w:rsid w:val="00E968DA"/>
    <w:rsid w:val="00E96F79"/>
    <w:rsid w:val="00E9721E"/>
    <w:rsid w:val="00E97D77"/>
    <w:rsid w:val="00EA01CC"/>
    <w:rsid w:val="00EA0383"/>
    <w:rsid w:val="00EA0427"/>
    <w:rsid w:val="00EA05FB"/>
    <w:rsid w:val="00EA0D04"/>
    <w:rsid w:val="00EA1149"/>
    <w:rsid w:val="00EA17FA"/>
    <w:rsid w:val="00EA182B"/>
    <w:rsid w:val="00EA1944"/>
    <w:rsid w:val="00EA19CD"/>
    <w:rsid w:val="00EA1D86"/>
    <w:rsid w:val="00EA2016"/>
    <w:rsid w:val="00EA2816"/>
    <w:rsid w:val="00EA2A19"/>
    <w:rsid w:val="00EA2A5D"/>
    <w:rsid w:val="00EA2C06"/>
    <w:rsid w:val="00EA2C08"/>
    <w:rsid w:val="00EA2CCE"/>
    <w:rsid w:val="00EA2DC3"/>
    <w:rsid w:val="00EA3377"/>
    <w:rsid w:val="00EA3564"/>
    <w:rsid w:val="00EA3796"/>
    <w:rsid w:val="00EA39AE"/>
    <w:rsid w:val="00EA3C34"/>
    <w:rsid w:val="00EA3E74"/>
    <w:rsid w:val="00EA47C1"/>
    <w:rsid w:val="00EA4BD1"/>
    <w:rsid w:val="00EA54DA"/>
    <w:rsid w:val="00EA57C3"/>
    <w:rsid w:val="00EA591F"/>
    <w:rsid w:val="00EA5CAF"/>
    <w:rsid w:val="00EA6139"/>
    <w:rsid w:val="00EA67BE"/>
    <w:rsid w:val="00EA68E5"/>
    <w:rsid w:val="00EA6AC2"/>
    <w:rsid w:val="00EA6E4B"/>
    <w:rsid w:val="00EB0567"/>
    <w:rsid w:val="00EB091E"/>
    <w:rsid w:val="00EB0B09"/>
    <w:rsid w:val="00EB11F4"/>
    <w:rsid w:val="00EB124E"/>
    <w:rsid w:val="00EB12F7"/>
    <w:rsid w:val="00EB158F"/>
    <w:rsid w:val="00EB15BF"/>
    <w:rsid w:val="00EB16A3"/>
    <w:rsid w:val="00EB17AB"/>
    <w:rsid w:val="00EB1845"/>
    <w:rsid w:val="00EB1B62"/>
    <w:rsid w:val="00EB1E4C"/>
    <w:rsid w:val="00EB208E"/>
    <w:rsid w:val="00EB23CE"/>
    <w:rsid w:val="00EB26EB"/>
    <w:rsid w:val="00EB27CC"/>
    <w:rsid w:val="00EB27E6"/>
    <w:rsid w:val="00EB2875"/>
    <w:rsid w:val="00EB2A3C"/>
    <w:rsid w:val="00EB2B2B"/>
    <w:rsid w:val="00EB3259"/>
    <w:rsid w:val="00EB32C3"/>
    <w:rsid w:val="00EB3300"/>
    <w:rsid w:val="00EB3710"/>
    <w:rsid w:val="00EB3E95"/>
    <w:rsid w:val="00EB3ECF"/>
    <w:rsid w:val="00EB3FFB"/>
    <w:rsid w:val="00EB408D"/>
    <w:rsid w:val="00EB4F4F"/>
    <w:rsid w:val="00EB5051"/>
    <w:rsid w:val="00EB50C1"/>
    <w:rsid w:val="00EB517F"/>
    <w:rsid w:val="00EB549B"/>
    <w:rsid w:val="00EB56B2"/>
    <w:rsid w:val="00EB56B8"/>
    <w:rsid w:val="00EB5986"/>
    <w:rsid w:val="00EB5A7C"/>
    <w:rsid w:val="00EB5D50"/>
    <w:rsid w:val="00EB60F8"/>
    <w:rsid w:val="00EB626B"/>
    <w:rsid w:val="00EB6526"/>
    <w:rsid w:val="00EB654B"/>
    <w:rsid w:val="00EB68CA"/>
    <w:rsid w:val="00EB6A87"/>
    <w:rsid w:val="00EB6EF9"/>
    <w:rsid w:val="00EB6EFA"/>
    <w:rsid w:val="00EB7362"/>
    <w:rsid w:val="00EB7889"/>
    <w:rsid w:val="00EB79F5"/>
    <w:rsid w:val="00EB7A9A"/>
    <w:rsid w:val="00EB7B9F"/>
    <w:rsid w:val="00EC01F4"/>
    <w:rsid w:val="00EC03C5"/>
    <w:rsid w:val="00EC0443"/>
    <w:rsid w:val="00EC0D41"/>
    <w:rsid w:val="00EC1229"/>
    <w:rsid w:val="00EC1279"/>
    <w:rsid w:val="00EC1A15"/>
    <w:rsid w:val="00EC1C20"/>
    <w:rsid w:val="00EC1F16"/>
    <w:rsid w:val="00EC224A"/>
    <w:rsid w:val="00EC2B17"/>
    <w:rsid w:val="00EC2B46"/>
    <w:rsid w:val="00EC31B9"/>
    <w:rsid w:val="00EC347D"/>
    <w:rsid w:val="00EC35E3"/>
    <w:rsid w:val="00EC3709"/>
    <w:rsid w:val="00EC3899"/>
    <w:rsid w:val="00EC3DAC"/>
    <w:rsid w:val="00EC44EB"/>
    <w:rsid w:val="00EC486F"/>
    <w:rsid w:val="00EC4B5D"/>
    <w:rsid w:val="00EC4E36"/>
    <w:rsid w:val="00EC51B3"/>
    <w:rsid w:val="00EC5201"/>
    <w:rsid w:val="00EC522E"/>
    <w:rsid w:val="00EC528C"/>
    <w:rsid w:val="00EC542E"/>
    <w:rsid w:val="00EC5471"/>
    <w:rsid w:val="00EC5528"/>
    <w:rsid w:val="00EC563D"/>
    <w:rsid w:val="00EC58B9"/>
    <w:rsid w:val="00EC5A73"/>
    <w:rsid w:val="00EC5B44"/>
    <w:rsid w:val="00EC5EB9"/>
    <w:rsid w:val="00EC62F0"/>
    <w:rsid w:val="00EC659D"/>
    <w:rsid w:val="00EC673D"/>
    <w:rsid w:val="00EC6C25"/>
    <w:rsid w:val="00EC6DA1"/>
    <w:rsid w:val="00EC6E62"/>
    <w:rsid w:val="00EC70E8"/>
    <w:rsid w:val="00EC7110"/>
    <w:rsid w:val="00EC72E6"/>
    <w:rsid w:val="00EC78F5"/>
    <w:rsid w:val="00EC7B1D"/>
    <w:rsid w:val="00EC7DB5"/>
    <w:rsid w:val="00EC7F52"/>
    <w:rsid w:val="00ED010D"/>
    <w:rsid w:val="00ED091A"/>
    <w:rsid w:val="00ED095F"/>
    <w:rsid w:val="00ED0A69"/>
    <w:rsid w:val="00ED0DDF"/>
    <w:rsid w:val="00ED16ED"/>
    <w:rsid w:val="00ED1BFB"/>
    <w:rsid w:val="00ED1CCA"/>
    <w:rsid w:val="00ED1F25"/>
    <w:rsid w:val="00ED1F9E"/>
    <w:rsid w:val="00ED2152"/>
    <w:rsid w:val="00ED25D9"/>
    <w:rsid w:val="00ED272B"/>
    <w:rsid w:val="00ED299C"/>
    <w:rsid w:val="00ED2A34"/>
    <w:rsid w:val="00ED2CD5"/>
    <w:rsid w:val="00ED2D59"/>
    <w:rsid w:val="00ED2F53"/>
    <w:rsid w:val="00ED2F97"/>
    <w:rsid w:val="00ED32FD"/>
    <w:rsid w:val="00ED3311"/>
    <w:rsid w:val="00ED336C"/>
    <w:rsid w:val="00ED38CF"/>
    <w:rsid w:val="00ED3930"/>
    <w:rsid w:val="00ED3AB8"/>
    <w:rsid w:val="00ED3B5E"/>
    <w:rsid w:val="00ED3C5E"/>
    <w:rsid w:val="00ED3D7F"/>
    <w:rsid w:val="00ED3E45"/>
    <w:rsid w:val="00ED41DE"/>
    <w:rsid w:val="00ED4494"/>
    <w:rsid w:val="00ED4770"/>
    <w:rsid w:val="00ED51FD"/>
    <w:rsid w:val="00ED52B4"/>
    <w:rsid w:val="00ED5451"/>
    <w:rsid w:val="00ED556D"/>
    <w:rsid w:val="00ED5600"/>
    <w:rsid w:val="00ED59BA"/>
    <w:rsid w:val="00ED601F"/>
    <w:rsid w:val="00ED60E3"/>
    <w:rsid w:val="00ED63F0"/>
    <w:rsid w:val="00ED6789"/>
    <w:rsid w:val="00ED694F"/>
    <w:rsid w:val="00ED6F1C"/>
    <w:rsid w:val="00ED7292"/>
    <w:rsid w:val="00ED736A"/>
    <w:rsid w:val="00ED73E6"/>
    <w:rsid w:val="00ED7B93"/>
    <w:rsid w:val="00ED7CD4"/>
    <w:rsid w:val="00EE0069"/>
    <w:rsid w:val="00EE035D"/>
    <w:rsid w:val="00EE0405"/>
    <w:rsid w:val="00EE0731"/>
    <w:rsid w:val="00EE150B"/>
    <w:rsid w:val="00EE17E8"/>
    <w:rsid w:val="00EE184D"/>
    <w:rsid w:val="00EE18BB"/>
    <w:rsid w:val="00EE1C64"/>
    <w:rsid w:val="00EE1E6B"/>
    <w:rsid w:val="00EE202D"/>
    <w:rsid w:val="00EE253B"/>
    <w:rsid w:val="00EE2A11"/>
    <w:rsid w:val="00EE2B27"/>
    <w:rsid w:val="00EE2CD5"/>
    <w:rsid w:val="00EE3009"/>
    <w:rsid w:val="00EE3866"/>
    <w:rsid w:val="00EE39F5"/>
    <w:rsid w:val="00EE3AFD"/>
    <w:rsid w:val="00EE3BD4"/>
    <w:rsid w:val="00EE3BFF"/>
    <w:rsid w:val="00EE3D9D"/>
    <w:rsid w:val="00EE4011"/>
    <w:rsid w:val="00EE4062"/>
    <w:rsid w:val="00EE4533"/>
    <w:rsid w:val="00EE4822"/>
    <w:rsid w:val="00EE4AC2"/>
    <w:rsid w:val="00EE4DAD"/>
    <w:rsid w:val="00EE5267"/>
    <w:rsid w:val="00EE551D"/>
    <w:rsid w:val="00EE5AE9"/>
    <w:rsid w:val="00EE5B0C"/>
    <w:rsid w:val="00EE6038"/>
    <w:rsid w:val="00EE6315"/>
    <w:rsid w:val="00EE65D6"/>
    <w:rsid w:val="00EE65E9"/>
    <w:rsid w:val="00EE6CFA"/>
    <w:rsid w:val="00EE6FE0"/>
    <w:rsid w:val="00EE701D"/>
    <w:rsid w:val="00EE731B"/>
    <w:rsid w:val="00EE73B1"/>
    <w:rsid w:val="00EE7700"/>
    <w:rsid w:val="00EE7AFB"/>
    <w:rsid w:val="00EE7CB9"/>
    <w:rsid w:val="00EE7E26"/>
    <w:rsid w:val="00EE7F7B"/>
    <w:rsid w:val="00EF025D"/>
    <w:rsid w:val="00EF0596"/>
    <w:rsid w:val="00EF06AD"/>
    <w:rsid w:val="00EF0924"/>
    <w:rsid w:val="00EF0A43"/>
    <w:rsid w:val="00EF1241"/>
    <w:rsid w:val="00EF126E"/>
    <w:rsid w:val="00EF14A3"/>
    <w:rsid w:val="00EF15DC"/>
    <w:rsid w:val="00EF18C9"/>
    <w:rsid w:val="00EF1914"/>
    <w:rsid w:val="00EF1A20"/>
    <w:rsid w:val="00EF1A44"/>
    <w:rsid w:val="00EF2263"/>
    <w:rsid w:val="00EF27F5"/>
    <w:rsid w:val="00EF2B06"/>
    <w:rsid w:val="00EF2B98"/>
    <w:rsid w:val="00EF2BB8"/>
    <w:rsid w:val="00EF2C51"/>
    <w:rsid w:val="00EF2FCF"/>
    <w:rsid w:val="00EF372D"/>
    <w:rsid w:val="00EF3BF9"/>
    <w:rsid w:val="00EF3DC0"/>
    <w:rsid w:val="00EF3DD4"/>
    <w:rsid w:val="00EF434A"/>
    <w:rsid w:val="00EF444E"/>
    <w:rsid w:val="00EF4898"/>
    <w:rsid w:val="00EF4DF3"/>
    <w:rsid w:val="00EF4EAD"/>
    <w:rsid w:val="00EF5087"/>
    <w:rsid w:val="00EF5607"/>
    <w:rsid w:val="00EF58FF"/>
    <w:rsid w:val="00EF5BCB"/>
    <w:rsid w:val="00EF5F0E"/>
    <w:rsid w:val="00EF60BC"/>
    <w:rsid w:val="00EF63CA"/>
    <w:rsid w:val="00EF6801"/>
    <w:rsid w:val="00EF6803"/>
    <w:rsid w:val="00EF6B90"/>
    <w:rsid w:val="00EF6C31"/>
    <w:rsid w:val="00EF6D21"/>
    <w:rsid w:val="00EF6DDB"/>
    <w:rsid w:val="00EF6DEA"/>
    <w:rsid w:val="00EF7315"/>
    <w:rsid w:val="00EF745D"/>
    <w:rsid w:val="00EF756C"/>
    <w:rsid w:val="00EF7EF0"/>
    <w:rsid w:val="00EF7FAC"/>
    <w:rsid w:val="00EF7FB5"/>
    <w:rsid w:val="00F0019A"/>
    <w:rsid w:val="00F002B8"/>
    <w:rsid w:val="00F00554"/>
    <w:rsid w:val="00F0091C"/>
    <w:rsid w:val="00F00944"/>
    <w:rsid w:val="00F00ED2"/>
    <w:rsid w:val="00F01066"/>
    <w:rsid w:val="00F011B1"/>
    <w:rsid w:val="00F013D6"/>
    <w:rsid w:val="00F01487"/>
    <w:rsid w:val="00F017FF"/>
    <w:rsid w:val="00F01F9D"/>
    <w:rsid w:val="00F02085"/>
    <w:rsid w:val="00F020D6"/>
    <w:rsid w:val="00F02587"/>
    <w:rsid w:val="00F02612"/>
    <w:rsid w:val="00F02697"/>
    <w:rsid w:val="00F0299A"/>
    <w:rsid w:val="00F02AFC"/>
    <w:rsid w:val="00F02B4F"/>
    <w:rsid w:val="00F02CD0"/>
    <w:rsid w:val="00F02D18"/>
    <w:rsid w:val="00F02EB1"/>
    <w:rsid w:val="00F031CE"/>
    <w:rsid w:val="00F0328F"/>
    <w:rsid w:val="00F0330A"/>
    <w:rsid w:val="00F03452"/>
    <w:rsid w:val="00F03592"/>
    <w:rsid w:val="00F036FD"/>
    <w:rsid w:val="00F038C7"/>
    <w:rsid w:val="00F03B1C"/>
    <w:rsid w:val="00F03FC1"/>
    <w:rsid w:val="00F0459A"/>
    <w:rsid w:val="00F04800"/>
    <w:rsid w:val="00F04968"/>
    <w:rsid w:val="00F049AB"/>
    <w:rsid w:val="00F05066"/>
    <w:rsid w:val="00F051EB"/>
    <w:rsid w:val="00F056ED"/>
    <w:rsid w:val="00F057F7"/>
    <w:rsid w:val="00F05E3F"/>
    <w:rsid w:val="00F06145"/>
    <w:rsid w:val="00F0637F"/>
    <w:rsid w:val="00F064C9"/>
    <w:rsid w:val="00F06BD5"/>
    <w:rsid w:val="00F06C88"/>
    <w:rsid w:val="00F06D50"/>
    <w:rsid w:val="00F06F9E"/>
    <w:rsid w:val="00F07110"/>
    <w:rsid w:val="00F07171"/>
    <w:rsid w:val="00F0719E"/>
    <w:rsid w:val="00F100D0"/>
    <w:rsid w:val="00F1081F"/>
    <w:rsid w:val="00F10E52"/>
    <w:rsid w:val="00F10FD4"/>
    <w:rsid w:val="00F1150E"/>
    <w:rsid w:val="00F11ACE"/>
    <w:rsid w:val="00F11BE2"/>
    <w:rsid w:val="00F11FFA"/>
    <w:rsid w:val="00F12185"/>
    <w:rsid w:val="00F121F3"/>
    <w:rsid w:val="00F12247"/>
    <w:rsid w:val="00F12399"/>
    <w:rsid w:val="00F12652"/>
    <w:rsid w:val="00F12979"/>
    <w:rsid w:val="00F12A34"/>
    <w:rsid w:val="00F13333"/>
    <w:rsid w:val="00F1390E"/>
    <w:rsid w:val="00F13C6D"/>
    <w:rsid w:val="00F14157"/>
    <w:rsid w:val="00F14187"/>
    <w:rsid w:val="00F1418F"/>
    <w:rsid w:val="00F14A2F"/>
    <w:rsid w:val="00F15081"/>
    <w:rsid w:val="00F152B2"/>
    <w:rsid w:val="00F153CD"/>
    <w:rsid w:val="00F15558"/>
    <w:rsid w:val="00F155D2"/>
    <w:rsid w:val="00F15703"/>
    <w:rsid w:val="00F159BC"/>
    <w:rsid w:val="00F15AFF"/>
    <w:rsid w:val="00F16008"/>
    <w:rsid w:val="00F1605C"/>
    <w:rsid w:val="00F16821"/>
    <w:rsid w:val="00F16D79"/>
    <w:rsid w:val="00F16E90"/>
    <w:rsid w:val="00F17246"/>
    <w:rsid w:val="00F17628"/>
    <w:rsid w:val="00F17C2D"/>
    <w:rsid w:val="00F17D30"/>
    <w:rsid w:val="00F17F63"/>
    <w:rsid w:val="00F17FC1"/>
    <w:rsid w:val="00F200B5"/>
    <w:rsid w:val="00F202EB"/>
    <w:rsid w:val="00F204E0"/>
    <w:rsid w:val="00F208EC"/>
    <w:rsid w:val="00F20DB4"/>
    <w:rsid w:val="00F20F9F"/>
    <w:rsid w:val="00F20FF7"/>
    <w:rsid w:val="00F21027"/>
    <w:rsid w:val="00F21285"/>
    <w:rsid w:val="00F212B3"/>
    <w:rsid w:val="00F21A0B"/>
    <w:rsid w:val="00F21A9A"/>
    <w:rsid w:val="00F2203D"/>
    <w:rsid w:val="00F220EF"/>
    <w:rsid w:val="00F221AB"/>
    <w:rsid w:val="00F22730"/>
    <w:rsid w:val="00F227C8"/>
    <w:rsid w:val="00F2287E"/>
    <w:rsid w:val="00F232F8"/>
    <w:rsid w:val="00F235B2"/>
    <w:rsid w:val="00F23728"/>
    <w:rsid w:val="00F23814"/>
    <w:rsid w:val="00F23EBE"/>
    <w:rsid w:val="00F23FBB"/>
    <w:rsid w:val="00F24093"/>
    <w:rsid w:val="00F242DA"/>
    <w:rsid w:val="00F242FA"/>
    <w:rsid w:val="00F244CC"/>
    <w:rsid w:val="00F24C63"/>
    <w:rsid w:val="00F24FA2"/>
    <w:rsid w:val="00F2503C"/>
    <w:rsid w:val="00F25299"/>
    <w:rsid w:val="00F25327"/>
    <w:rsid w:val="00F25352"/>
    <w:rsid w:val="00F257DD"/>
    <w:rsid w:val="00F258BC"/>
    <w:rsid w:val="00F25BA0"/>
    <w:rsid w:val="00F25BF6"/>
    <w:rsid w:val="00F25D3F"/>
    <w:rsid w:val="00F26110"/>
    <w:rsid w:val="00F261B8"/>
    <w:rsid w:val="00F266BF"/>
    <w:rsid w:val="00F26818"/>
    <w:rsid w:val="00F26BD8"/>
    <w:rsid w:val="00F26DE4"/>
    <w:rsid w:val="00F26F20"/>
    <w:rsid w:val="00F26F93"/>
    <w:rsid w:val="00F270B7"/>
    <w:rsid w:val="00F27178"/>
    <w:rsid w:val="00F2765C"/>
    <w:rsid w:val="00F27723"/>
    <w:rsid w:val="00F277FE"/>
    <w:rsid w:val="00F27EDB"/>
    <w:rsid w:val="00F3000B"/>
    <w:rsid w:val="00F3004B"/>
    <w:rsid w:val="00F300A6"/>
    <w:rsid w:val="00F302EB"/>
    <w:rsid w:val="00F30382"/>
    <w:rsid w:val="00F30384"/>
    <w:rsid w:val="00F3049C"/>
    <w:rsid w:val="00F305C5"/>
    <w:rsid w:val="00F306B8"/>
    <w:rsid w:val="00F30FA2"/>
    <w:rsid w:val="00F313B4"/>
    <w:rsid w:val="00F31814"/>
    <w:rsid w:val="00F31B4C"/>
    <w:rsid w:val="00F31F5B"/>
    <w:rsid w:val="00F3202C"/>
    <w:rsid w:val="00F32097"/>
    <w:rsid w:val="00F323FC"/>
    <w:rsid w:val="00F3250F"/>
    <w:rsid w:val="00F3272F"/>
    <w:rsid w:val="00F3287A"/>
    <w:rsid w:val="00F32978"/>
    <w:rsid w:val="00F32C11"/>
    <w:rsid w:val="00F32C4D"/>
    <w:rsid w:val="00F32CED"/>
    <w:rsid w:val="00F331F0"/>
    <w:rsid w:val="00F336E7"/>
    <w:rsid w:val="00F33791"/>
    <w:rsid w:val="00F337EF"/>
    <w:rsid w:val="00F33A3B"/>
    <w:rsid w:val="00F33E51"/>
    <w:rsid w:val="00F34135"/>
    <w:rsid w:val="00F3485B"/>
    <w:rsid w:val="00F34C7C"/>
    <w:rsid w:val="00F34D75"/>
    <w:rsid w:val="00F3531B"/>
    <w:rsid w:val="00F35643"/>
    <w:rsid w:val="00F35788"/>
    <w:rsid w:val="00F359F6"/>
    <w:rsid w:val="00F35C2A"/>
    <w:rsid w:val="00F362EA"/>
    <w:rsid w:val="00F36C18"/>
    <w:rsid w:val="00F36F70"/>
    <w:rsid w:val="00F37032"/>
    <w:rsid w:val="00F37425"/>
    <w:rsid w:val="00F37663"/>
    <w:rsid w:val="00F3774C"/>
    <w:rsid w:val="00F37DF9"/>
    <w:rsid w:val="00F40380"/>
    <w:rsid w:val="00F40943"/>
    <w:rsid w:val="00F40B72"/>
    <w:rsid w:val="00F40B7B"/>
    <w:rsid w:val="00F40B94"/>
    <w:rsid w:val="00F40D19"/>
    <w:rsid w:val="00F41193"/>
    <w:rsid w:val="00F418C0"/>
    <w:rsid w:val="00F41911"/>
    <w:rsid w:val="00F41C04"/>
    <w:rsid w:val="00F41FDA"/>
    <w:rsid w:val="00F42029"/>
    <w:rsid w:val="00F42057"/>
    <w:rsid w:val="00F4208F"/>
    <w:rsid w:val="00F4222D"/>
    <w:rsid w:val="00F422E8"/>
    <w:rsid w:val="00F42503"/>
    <w:rsid w:val="00F4286F"/>
    <w:rsid w:val="00F42980"/>
    <w:rsid w:val="00F42A95"/>
    <w:rsid w:val="00F42AC1"/>
    <w:rsid w:val="00F42AEA"/>
    <w:rsid w:val="00F42B37"/>
    <w:rsid w:val="00F42E57"/>
    <w:rsid w:val="00F42F25"/>
    <w:rsid w:val="00F42F7E"/>
    <w:rsid w:val="00F430ED"/>
    <w:rsid w:val="00F43120"/>
    <w:rsid w:val="00F43132"/>
    <w:rsid w:val="00F43356"/>
    <w:rsid w:val="00F43393"/>
    <w:rsid w:val="00F43804"/>
    <w:rsid w:val="00F43E38"/>
    <w:rsid w:val="00F44863"/>
    <w:rsid w:val="00F44ABD"/>
    <w:rsid w:val="00F44BA2"/>
    <w:rsid w:val="00F44C7F"/>
    <w:rsid w:val="00F44F11"/>
    <w:rsid w:val="00F45364"/>
    <w:rsid w:val="00F45429"/>
    <w:rsid w:val="00F45AB8"/>
    <w:rsid w:val="00F45B35"/>
    <w:rsid w:val="00F45C30"/>
    <w:rsid w:val="00F46507"/>
    <w:rsid w:val="00F466A0"/>
    <w:rsid w:val="00F46780"/>
    <w:rsid w:val="00F47202"/>
    <w:rsid w:val="00F473B2"/>
    <w:rsid w:val="00F473E4"/>
    <w:rsid w:val="00F475C0"/>
    <w:rsid w:val="00F47F5F"/>
    <w:rsid w:val="00F47F77"/>
    <w:rsid w:val="00F502A5"/>
    <w:rsid w:val="00F504CC"/>
    <w:rsid w:val="00F509C2"/>
    <w:rsid w:val="00F50A98"/>
    <w:rsid w:val="00F5122B"/>
    <w:rsid w:val="00F5189D"/>
    <w:rsid w:val="00F51BB3"/>
    <w:rsid w:val="00F52257"/>
    <w:rsid w:val="00F525A5"/>
    <w:rsid w:val="00F52AFB"/>
    <w:rsid w:val="00F53393"/>
    <w:rsid w:val="00F535EC"/>
    <w:rsid w:val="00F53702"/>
    <w:rsid w:val="00F53941"/>
    <w:rsid w:val="00F53BBB"/>
    <w:rsid w:val="00F53D53"/>
    <w:rsid w:val="00F53DD6"/>
    <w:rsid w:val="00F54407"/>
    <w:rsid w:val="00F54A44"/>
    <w:rsid w:val="00F54AC1"/>
    <w:rsid w:val="00F54BC0"/>
    <w:rsid w:val="00F54BEA"/>
    <w:rsid w:val="00F54F73"/>
    <w:rsid w:val="00F55DC2"/>
    <w:rsid w:val="00F562D3"/>
    <w:rsid w:val="00F563D2"/>
    <w:rsid w:val="00F56784"/>
    <w:rsid w:val="00F56A7E"/>
    <w:rsid w:val="00F56AB3"/>
    <w:rsid w:val="00F56CB0"/>
    <w:rsid w:val="00F5714E"/>
    <w:rsid w:val="00F57482"/>
    <w:rsid w:val="00F57520"/>
    <w:rsid w:val="00F575C1"/>
    <w:rsid w:val="00F57776"/>
    <w:rsid w:val="00F57A04"/>
    <w:rsid w:val="00F57DCB"/>
    <w:rsid w:val="00F6018A"/>
    <w:rsid w:val="00F602A5"/>
    <w:rsid w:val="00F608CA"/>
    <w:rsid w:val="00F60B5D"/>
    <w:rsid w:val="00F60D52"/>
    <w:rsid w:val="00F61514"/>
    <w:rsid w:val="00F6162C"/>
    <w:rsid w:val="00F616AF"/>
    <w:rsid w:val="00F61A2D"/>
    <w:rsid w:val="00F61ABB"/>
    <w:rsid w:val="00F61D52"/>
    <w:rsid w:val="00F61ECD"/>
    <w:rsid w:val="00F62139"/>
    <w:rsid w:val="00F6216E"/>
    <w:rsid w:val="00F62640"/>
    <w:rsid w:val="00F627C2"/>
    <w:rsid w:val="00F62941"/>
    <w:rsid w:val="00F62B98"/>
    <w:rsid w:val="00F62C0A"/>
    <w:rsid w:val="00F633FD"/>
    <w:rsid w:val="00F63610"/>
    <w:rsid w:val="00F63C40"/>
    <w:rsid w:val="00F63D67"/>
    <w:rsid w:val="00F640AC"/>
    <w:rsid w:val="00F640F1"/>
    <w:rsid w:val="00F64107"/>
    <w:rsid w:val="00F6438D"/>
    <w:rsid w:val="00F64E0A"/>
    <w:rsid w:val="00F65193"/>
    <w:rsid w:val="00F65722"/>
    <w:rsid w:val="00F657B8"/>
    <w:rsid w:val="00F65FDB"/>
    <w:rsid w:val="00F6639A"/>
    <w:rsid w:val="00F66420"/>
    <w:rsid w:val="00F6672F"/>
    <w:rsid w:val="00F66A19"/>
    <w:rsid w:val="00F66D3E"/>
    <w:rsid w:val="00F66FAC"/>
    <w:rsid w:val="00F67159"/>
    <w:rsid w:val="00F67168"/>
    <w:rsid w:val="00F672C9"/>
    <w:rsid w:val="00F67792"/>
    <w:rsid w:val="00F67CD6"/>
    <w:rsid w:val="00F67E9F"/>
    <w:rsid w:val="00F67F51"/>
    <w:rsid w:val="00F70B14"/>
    <w:rsid w:val="00F70F32"/>
    <w:rsid w:val="00F70FFC"/>
    <w:rsid w:val="00F711DC"/>
    <w:rsid w:val="00F71740"/>
    <w:rsid w:val="00F717DF"/>
    <w:rsid w:val="00F71818"/>
    <w:rsid w:val="00F7247E"/>
    <w:rsid w:val="00F72560"/>
    <w:rsid w:val="00F725EE"/>
    <w:rsid w:val="00F7260B"/>
    <w:rsid w:val="00F7267F"/>
    <w:rsid w:val="00F728BE"/>
    <w:rsid w:val="00F72955"/>
    <w:rsid w:val="00F72A7B"/>
    <w:rsid w:val="00F72B50"/>
    <w:rsid w:val="00F72BC9"/>
    <w:rsid w:val="00F72D42"/>
    <w:rsid w:val="00F7379E"/>
    <w:rsid w:val="00F739AD"/>
    <w:rsid w:val="00F73B11"/>
    <w:rsid w:val="00F73B16"/>
    <w:rsid w:val="00F73B2C"/>
    <w:rsid w:val="00F74042"/>
    <w:rsid w:val="00F740A0"/>
    <w:rsid w:val="00F7422C"/>
    <w:rsid w:val="00F74BF2"/>
    <w:rsid w:val="00F74FFF"/>
    <w:rsid w:val="00F750E5"/>
    <w:rsid w:val="00F7523F"/>
    <w:rsid w:val="00F75300"/>
    <w:rsid w:val="00F754AD"/>
    <w:rsid w:val="00F754B1"/>
    <w:rsid w:val="00F7566A"/>
    <w:rsid w:val="00F75A9C"/>
    <w:rsid w:val="00F75AFF"/>
    <w:rsid w:val="00F75FA3"/>
    <w:rsid w:val="00F7605B"/>
    <w:rsid w:val="00F760A1"/>
    <w:rsid w:val="00F7639D"/>
    <w:rsid w:val="00F76734"/>
    <w:rsid w:val="00F76786"/>
    <w:rsid w:val="00F7692E"/>
    <w:rsid w:val="00F76CC2"/>
    <w:rsid w:val="00F773B5"/>
    <w:rsid w:val="00F77499"/>
    <w:rsid w:val="00F77C02"/>
    <w:rsid w:val="00F77C98"/>
    <w:rsid w:val="00F8025D"/>
    <w:rsid w:val="00F80446"/>
    <w:rsid w:val="00F80B84"/>
    <w:rsid w:val="00F8117C"/>
    <w:rsid w:val="00F818F9"/>
    <w:rsid w:val="00F81A1E"/>
    <w:rsid w:val="00F81A47"/>
    <w:rsid w:val="00F824FF"/>
    <w:rsid w:val="00F82BA2"/>
    <w:rsid w:val="00F82D97"/>
    <w:rsid w:val="00F82F7D"/>
    <w:rsid w:val="00F8397F"/>
    <w:rsid w:val="00F83D06"/>
    <w:rsid w:val="00F83F08"/>
    <w:rsid w:val="00F8455E"/>
    <w:rsid w:val="00F847E8"/>
    <w:rsid w:val="00F848D9"/>
    <w:rsid w:val="00F848EB"/>
    <w:rsid w:val="00F84DB0"/>
    <w:rsid w:val="00F84EA8"/>
    <w:rsid w:val="00F84EFA"/>
    <w:rsid w:val="00F855C0"/>
    <w:rsid w:val="00F85A39"/>
    <w:rsid w:val="00F85A82"/>
    <w:rsid w:val="00F85B79"/>
    <w:rsid w:val="00F85DEA"/>
    <w:rsid w:val="00F85FA7"/>
    <w:rsid w:val="00F86509"/>
    <w:rsid w:val="00F86553"/>
    <w:rsid w:val="00F8671D"/>
    <w:rsid w:val="00F86884"/>
    <w:rsid w:val="00F86A4F"/>
    <w:rsid w:val="00F87023"/>
    <w:rsid w:val="00F87579"/>
    <w:rsid w:val="00F87632"/>
    <w:rsid w:val="00F87937"/>
    <w:rsid w:val="00F87B66"/>
    <w:rsid w:val="00F87C13"/>
    <w:rsid w:val="00F87E58"/>
    <w:rsid w:val="00F90438"/>
    <w:rsid w:val="00F90564"/>
    <w:rsid w:val="00F90680"/>
    <w:rsid w:val="00F9079F"/>
    <w:rsid w:val="00F90C91"/>
    <w:rsid w:val="00F90DD6"/>
    <w:rsid w:val="00F91F3C"/>
    <w:rsid w:val="00F92B76"/>
    <w:rsid w:val="00F92CB2"/>
    <w:rsid w:val="00F92D4B"/>
    <w:rsid w:val="00F9356D"/>
    <w:rsid w:val="00F935D0"/>
    <w:rsid w:val="00F9369C"/>
    <w:rsid w:val="00F9383D"/>
    <w:rsid w:val="00F93DCA"/>
    <w:rsid w:val="00F93E4D"/>
    <w:rsid w:val="00F93F4D"/>
    <w:rsid w:val="00F940D7"/>
    <w:rsid w:val="00F94286"/>
    <w:rsid w:val="00F9432B"/>
    <w:rsid w:val="00F9459C"/>
    <w:rsid w:val="00F9486D"/>
    <w:rsid w:val="00F94BE7"/>
    <w:rsid w:val="00F94D64"/>
    <w:rsid w:val="00F95019"/>
    <w:rsid w:val="00F95159"/>
    <w:rsid w:val="00F9569F"/>
    <w:rsid w:val="00F957D7"/>
    <w:rsid w:val="00F95C49"/>
    <w:rsid w:val="00F96003"/>
    <w:rsid w:val="00F9613A"/>
    <w:rsid w:val="00F96145"/>
    <w:rsid w:val="00F963B2"/>
    <w:rsid w:val="00F96625"/>
    <w:rsid w:val="00F9664C"/>
    <w:rsid w:val="00F968D3"/>
    <w:rsid w:val="00F96996"/>
    <w:rsid w:val="00F96ADF"/>
    <w:rsid w:val="00F96C90"/>
    <w:rsid w:val="00F96DF8"/>
    <w:rsid w:val="00F96EBA"/>
    <w:rsid w:val="00F96F1A"/>
    <w:rsid w:val="00F96F58"/>
    <w:rsid w:val="00F97088"/>
    <w:rsid w:val="00F9713A"/>
    <w:rsid w:val="00F973BB"/>
    <w:rsid w:val="00F97E37"/>
    <w:rsid w:val="00FA031C"/>
    <w:rsid w:val="00FA08EC"/>
    <w:rsid w:val="00FA0BB3"/>
    <w:rsid w:val="00FA0C21"/>
    <w:rsid w:val="00FA1291"/>
    <w:rsid w:val="00FA134F"/>
    <w:rsid w:val="00FA1360"/>
    <w:rsid w:val="00FA1766"/>
    <w:rsid w:val="00FA1772"/>
    <w:rsid w:val="00FA1C43"/>
    <w:rsid w:val="00FA1F4B"/>
    <w:rsid w:val="00FA2607"/>
    <w:rsid w:val="00FA2EEA"/>
    <w:rsid w:val="00FA3030"/>
    <w:rsid w:val="00FA367C"/>
    <w:rsid w:val="00FA375C"/>
    <w:rsid w:val="00FA3C70"/>
    <w:rsid w:val="00FA3DB6"/>
    <w:rsid w:val="00FA3E10"/>
    <w:rsid w:val="00FA3EB0"/>
    <w:rsid w:val="00FA44BB"/>
    <w:rsid w:val="00FA4BD8"/>
    <w:rsid w:val="00FA4CF8"/>
    <w:rsid w:val="00FA4DA5"/>
    <w:rsid w:val="00FA4E9F"/>
    <w:rsid w:val="00FA539D"/>
    <w:rsid w:val="00FA56E8"/>
    <w:rsid w:val="00FA5832"/>
    <w:rsid w:val="00FA58B9"/>
    <w:rsid w:val="00FA594A"/>
    <w:rsid w:val="00FA5DE1"/>
    <w:rsid w:val="00FA65E5"/>
    <w:rsid w:val="00FA66D9"/>
    <w:rsid w:val="00FA680A"/>
    <w:rsid w:val="00FA6843"/>
    <w:rsid w:val="00FA6D95"/>
    <w:rsid w:val="00FA7D58"/>
    <w:rsid w:val="00FA7E36"/>
    <w:rsid w:val="00FA7FB4"/>
    <w:rsid w:val="00FB00EE"/>
    <w:rsid w:val="00FB0193"/>
    <w:rsid w:val="00FB02C9"/>
    <w:rsid w:val="00FB072A"/>
    <w:rsid w:val="00FB0A6C"/>
    <w:rsid w:val="00FB0CD5"/>
    <w:rsid w:val="00FB0EBE"/>
    <w:rsid w:val="00FB13FE"/>
    <w:rsid w:val="00FB1817"/>
    <w:rsid w:val="00FB191D"/>
    <w:rsid w:val="00FB191E"/>
    <w:rsid w:val="00FB1F57"/>
    <w:rsid w:val="00FB22B5"/>
    <w:rsid w:val="00FB23E7"/>
    <w:rsid w:val="00FB297A"/>
    <w:rsid w:val="00FB2A18"/>
    <w:rsid w:val="00FB2BE4"/>
    <w:rsid w:val="00FB2EA2"/>
    <w:rsid w:val="00FB2F4C"/>
    <w:rsid w:val="00FB2F77"/>
    <w:rsid w:val="00FB32FE"/>
    <w:rsid w:val="00FB34F6"/>
    <w:rsid w:val="00FB379F"/>
    <w:rsid w:val="00FB3904"/>
    <w:rsid w:val="00FB3921"/>
    <w:rsid w:val="00FB3A1B"/>
    <w:rsid w:val="00FB4244"/>
    <w:rsid w:val="00FB4271"/>
    <w:rsid w:val="00FB43C9"/>
    <w:rsid w:val="00FB448C"/>
    <w:rsid w:val="00FB49A2"/>
    <w:rsid w:val="00FB4A61"/>
    <w:rsid w:val="00FB4FBE"/>
    <w:rsid w:val="00FB50E5"/>
    <w:rsid w:val="00FB50F6"/>
    <w:rsid w:val="00FB51E8"/>
    <w:rsid w:val="00FB5394"/>
    <w:rsid w:val="00FB548C"/>
    <w:rsid w:val="00FB589B"/>
    <w:rsid w:val="00FB5ABA"/>
    <w:rsid w:val="00FB5EE0"/>
    <w:rsid w:val="00FB5FD5"/>
    <w:rsid w:val="00FB622A"/>
    <w:rsid w:val="00FB6686"/>
    <w:rsid w:val="00FB67A1"/>
    <w:rsid w:val="00FB6870"/>
    <w:rsid w:val="00FB6905"/>
    <w:rsid w:val="00FB6A36"/>
    <w:rsid w:val="00FB72AB"/>
    <w:rsid w:val="00FB72C5"/>
    <w:rsid w:val="00FB73E2"/>
    <w:rsid w:val="00FB7455"/>
    <w:rsid w:val="00FB75CA"/>
    <w:rsid w:val="00FB77F7"/>
    <w:rsid w:val="00FB7826"/>
    <w:rsid w:val="00FB7AEF"/>
    <w:rsid w:val="00FB7AF0"/>
    <w:rsid w:val="00FB7C66"/>
    <w:rsid w:val="00FB7F8C"/>
    <w:rsid w:val="00FC0446"/>
    <w:rsid w:val="00FC0662"/>
    <w:rsid w:val="00FC0BD8"/>
    <w:rsid w:val="00FC0D16"/>
    <w:rsid w:val="00FC17A1"/>
    <w:rsid w:val="00FC194C"/>
    <w:rsid w:val="00FC1976"/>
    <w:rsid w:val="00FC1DDA"/>
    <w:rsid w:val="00FC1DE3"/>
    <w:rsid w:val="00FC1DF9"/>
    <w:rsid w:val="00FC1EE9"/>
    <w:rsid w:val="00FC1FF0"/>
    <w:rsid w:val="00FC2472"/>
    <w:rsid w:val="00FC280A"/>
    <w:rsid w:val="00FC29C4"/>
    <w:rsid w:val="00FC2F40"/>
    <w:rsid w:val="00FC3088"/>
    <w:rsid w:val="00FC3633"/>
    <w:rsid w:val="00FC3AE0"/>
    <w:rsid w:val="00FC3D22"/>
    <w:rsid w:val="00FC3EA8"/>
    <w:rsid w:val="00FC3FC3"/>
    <w:rsid w:val="00FC3FF9"/>
    <w:rsid w:val="00FC4647"/>
    <w:rsid w:val="00FC4721"/>
    <w:rsid w:val="00FC48DB"/>
    <w:rsid w:val="00FC4ABF"/>
    <w:rsid w:val="00FC506B"/>
    <w:rsid w:val="00FC50B5"/>
    <w:rsid w:val="00FC51C3"/>
    <w:rsid w:val="00FC5333"/>
    <w:rsid w:val="00FC5361"/>
    <w:rsid w:val="00FC5377"/>
    <w:rsid w:val="00FC55FD"/>
    <w:rsid w:val="00FC6136"/>
    <w:rsid w:val="00FC61A2"/>
    <w:rsid w:val="00FC61EB"/>
    <w:rsid w:val="00FC6328"/>
    <w:rsid w:val="00FC6357"/>
    <w:rsid w:val="00FC6482"/>
    <w:rsid w:val="00FC6A90"/>
    <w:rsid w:val="00FC6C2A"/>
    <w:rsid w:val="00FC6D9E"/>
    <w:rsid w:val="00FC6F91"/>
    <w:rsid w:val="00FC70DF"/>
    <w:rsid w:val="00FC77E7"/>
    <w:rsid w:val="00FC7B5B"/>
    <w:rsid w:val="00FC7F85"/>
    <w:rsid w:val="00FD0065"/>
    <w:rsid w:val="00FD017D"/>
    <w:rsid w:val="00FD0524"/>
    <w:rsid w:val="00FD0686"/>
    <w:rsid w:val="00FD074C"/>
    <w:rsid w:val="00FD079D"/>
    <w:rsid w:val="00FD0B28"/>
    <w:rsid w:val="00FD0C60"/>
    <w:rsid w:val="00FD0D89"/>
    <w:rsid w:val="00FD1077"/>
    <w:rsid w:val="00FD12F1"/>
    <w:rsid w:val="00FD14C0"/>
    <w:rsid w:val="00FD1B09"/>
    <w:rsid w:val="00FD1DC1"/>
    <w:rsid w:val="00FD1DEB"/>
    <w:rsid w:val="00FD1E63"/>
    <w:rsid w:val="00FD22CA"/>
    <w:rsid w:val="00FD2793"/>
    <w:rsid w:val="00FD27D9"/>
    <w:rsid w:val="00FD2AA3"/>
    <w:rsid w:val="00FD2E55"/>
    <w:rsid w:val="00FD3B10"/>
    <w:rsid w:val="00FD3E7A"/>
    <w:rsid w:val="00FD4120"/>
    <w:rsid w:val="00FD4211"/>
    <w:rsid w:val="00FD4244"/>
    <w:rsid w:val="00FD4313"/>
    <w:rsid w:val="00FD4690"/>
    <w:rsid w:val="00FD4B5F"/>
    <w:rsid w:val="00FD4CCB"/>
    <w:rsid w:val="00FD4E51"/>
    <w:rsid w:val="00FD563B"/>
    <w:rsid w:val="00FD572C"/>
    <w:rsid w:val="00FD5824"/>
    <w:rsid w:val="00FD5833"/>
    <w:rsid w:val="00FD5BD6"/>
    <w:rsid w:val="00FD61CB"/>
    <w:rsid w:val="00FD6893"/>
    <w:rsid w:val="00FD69E0"/>
    <w:rsid w:val="00FD6C0A"/>
    <w:rsid w:val="00FD70A1"/>
    <w:rsid w:val="00FD72A7"/>
    <w:rsid w:val="00FD73D2"/>
    <w:rsid w:val="00FD7451"/>
    <w:rsid w:val="00FD77B3"/>
    <w:rsid w:val="00FD79CA"/>
    <w:rsid w:val="00FD7A13"/>
    <w:rsid w:val="00FD7D7C"/>
    <w:rsid w:val="00FE02F7"/>
    <w:rsid w:val="00FE054A"/>
    <w:rsid w:val="00FE060F"/>
    <w:rsid w:val="00FE0D31"/>
    <w:rsid w:val="00FE1181"/>
    <w:rsid w:val="00FE12E1"/>
    <w:rsid w:val="00FE12F6"/>
    <w:rsid w:val="00FE1656"/>
    <w:rsid w:val="00FE18C2"/>
    <w:rsid w:val="00FE1C2B"/>
    <w:rsid w:val="00FE1C8B"/>
    <w:rsid w:val="00FE1E33"/>
    <w:rsid w:val="00FE22E7"/>
    <w:rsid w:val="00FE2522"/>
    <w:rsid w:val="00FE2902"/>
    <w:rsid w:val="00FE2C74"/>
    <w:rsid w:val="00FE2D44"/>
    <w:rsid w:val="00FE2DD6"/>
    <w:rsid w:val="00FE2FC5"/>
    <w:rsid w:val="00FE301B"/>
    <w:rsid w:val="00FE31FB"/>
    <w:rsid w:val="00FE3213"/>
    <w:rsid w:val="00FE36E9"/>
    <w:rsid w:val="00FE3AE3"/>
    <w:rsid w:val="00FE3CB4"/>
    <w:rsid w:val="00FE3DE0"/>
    <w:rsid w:val="00FE3EF1"/>
    <w:rsid w:val="00FE4446"/>
    <w:rsid w:val="00FE47D6"/>
    <w:rsid w:val="00FE49D4"/>
    <w:rsid w:val="00FE4A07"/>
    <w:rsid w:val="00FE4A70"/>
    <w:rsid w:val="00FE4D87"/>
    <w:rsid w:val="00FE4DF5"/>
    <w:rsid w:val="00FE535E"/>
    <w:rsid w:val="00FE57F4"/>
    <w:rsid w:val="00FE64CC"/>
    <w:rsid w:val="00FE6539"/>
    <w:rsid w:val="00FE65C1"/>
    <w:rsid w:val="00FE66B1"/>
    <w:rsid w:val="00FE70B3"/>
    <w:rsid w:val="00FE71DE"/>
    <w:rsid w:val="00FE74B5"/>
    <w:rsid w:val="00FE74C5"/>
    <w:rsid w:val="00FE77D2"/>
    <w:rsid w:val="00FE7A48"/>
    <w:rsid w:val="00FE7AD1"/>
    <w:rsid w:val="00FE7B4C"/>
    <w:rsid w:val="00FE7BCB"/>
    <w:rsid w:val="00FE7CAA"/>
    <w:rsid w:val="00FE7DB7"/>
    <w:rsid w:val="00FE7E3D"/>
    <w:rsid w:val="00FE7FB3"/>
    <w:rsid w:val="00FF0742"/>
    <w:rsid w:val="00FF093E"/>
    <w:rsid w:val="00FF0C38"/>
    <w:rsid w:val="00FF1684"/>
    <w:rsid w:val="00FF19F4"/>
    <w:rsid w:val="00FF1B7A"/>
    <w:rsid w:val="00FF1CD3"/>
    <w:rsid w:val="00FF219E"/>
    <w:rsid w:val="00FF2970"/>
    <w:rsid w:val="00FF2B26"/>
    <w:rsid w:val="00FF2C44"/>
    <w:rsid w:val="00FF2D1E"/>
    <w:rsid w:val="00FF3014"/>
    <w:rsid w:val="00FF3236"/>
    <w:rsid w:val="00FF34EE"/>
    <w:rsid w:val="00FF3504"/>
    <w:rsid w:val="00FF35A3"/>
    <w:rsid w:val="00FF3E2E"/>
    <w:rsid w:val="00FF4041"/>
    <w:rsid w:val="00FF4155"/>
    <w:rsid w:val="00FF41AC"/>
    <w:rsid w:val="00FF4264"/>
    <w:rsid w:val="00FF43BD"/>
    <w:rsid w:val="00FF473C"/>
    <w:rsid w:val="00FF4759"/>
    <w:rsid w:val="00FF4BE6"/>
    <w:rsid w:val="00FF4CD5"/>
    <w:rsid w:val="00FF4D57"/>
    <w:rsid w:val="00FF50CC"/>
    <w:rsid w:val="00FF5231"/>
    <w:rsid w:val="00FF5367"/>
    <w:rsid w:val="00FF558F"/>
    <w:rsid w:val="00FF55CB"/>
    <w:rsid w:val="00FF5726"/>
    <w:rsid w:val="00FF572A"/>
    <w:rsid w:val="00FF5AEE"/>
    <w:rsid w:val="00FF5CA4"/>
    <w:rsid w:val="00FF5D7E"/>
    <w:rsid w:val="00FF61F5"/>
    <w:rsid w:val="00FF6380"/>
    <w:rsid w:val="00FF6554"/>
    <w:rsid w:val="00FF65AC"/>
    <w:rsid w:val="00FF66D0"/>
    <w:rsid w:val="00FF6ADC"/>
    <w:rsid w:val="00FF6BE3"/>
    <w:rsid w:val="00FF76B3"/>
    <w:rsid w:val="00FF782A"/>
    <w:rsid w:val="00FF7D39"/>
    <w:rsid w:val="02056537"/>
    <w:rsid w:val="026B4C2A"/>
    <w:rsid w:val="02CA3668"/>
    <w:rsid w:val="03533ED6"/>
    <w:rsid w:val="043C206B"/>
    <w:rsid w:val="04B92F08"/>
    <w:rsid w:val="04F3742F"/>
    <w:rsid w:val="04FE518D"/>
    <w:rsid w:val="05AE025B"/>
    <w:rsid w:val="05F80026"/>
    <w:rsid w:val="06DD65AC"/>
    <w:rsid w:val="072F4C56"/>
    <w:rsid w:val="07CD79EF"/>
    <w:rsid w:val="08003299"/>
    <w:rsid w:val="08812BFE"/>
    <w:rsid w:val="08BF5EEB"/>
    <w:rsid w:val="08E55CE3"/>
    <w:rsid w:val="08ED42E2"/>
    <w:rsid w:val="0ADB2340"/>
    <w:rsid w:val="0B357049"/>
    <w:rsid w:val="0B612963"/>
    <w:rsid w:val="0CAA641A"/>
    <w:rsid w:val="0D1737E6"/>
    <w:rsid w:val="0DBB0A26"/>
    <w:rsid w:val="0EED59DE"/>
    <w:rsid w:val="10F0434D"/>
    <w:rsid w:val="111174B3"/>
    <w:rsid w:val="11BF72F9"/>
    <w:rsid w:val="149D2424"/>
    <w:rsid w:val="149F538B"/>
    <w:rsid w:val="14D832A8"/>
    <w:rsid w:val="150B0769"/>
    <w:rsid w:val="15257DB3"/>
    <w:rsid w:val="157D0F12"/>
    <w:rsid w:val="16963DB7"/>
    <w:rsid w:val="183E10C7"/>
    <w:rsid w:val="18AD1021"/>
    <w:rsid w:val="18F501C3"/>
    <w:rsid w:val="190E1FA4"/>
    <w:rsid w:val="19F12472"/>
    <w:rsid w:val="1A7552DF"/>
    <w:rsid w:val="1B4D5900"/>
    <w:rsid w:val="1BE848E3"/>
    <w:rsid w:val="1C1C38D2"/>
    <w:rsid w:val="1C715422"/>
    <w:rsid w:val="1C7222FA"/>
    <w:rsid w:val="1C883583"/>
    <w:rsid w:val="1D0908F4"/>
    <w:rsid w:val="1D353549"/>
    <w:rsid w:val="1D397736"/>
    <w:rsid w:val="1DC25D24"/>
    <w:rsid w:val="1DC57C43"/>
    <w:rsid w:val="1E8C2335"/>
    <w:rsid w:val="1E935FD7"/>
    <w:rsid w:val="1EAA5DA2"/>
    <w:rsid w:val="204D7D92"/>
    <w:rsid w:val="20A857A8"/>
    <w:rsid w:val="20C67C9C"/>
    <w:rsid w:val="2151607C"/>
    <w:rsid w:val="2168543D"/>
    <w:rsid w:val="21A25858"/>
    <w:rsid w:val="21F72ECC"/>
    <w:rsid w:val="22CA1B52"/>
    <w:rsid w:val="22D32BCB"/>
    <w:rsid w:val="22F51B15"/>
    <w:rsid w:val="240034C1"/>
    <w:rsid w:val="245E0E4D"/>
    <w:rsid w:val="25E5722A"/>
    <w:rsid w:val="26DC3EBE"/>
    <w:rsid w:val="28100B28"/>
    <w:rsid w:val="2A0634B1"/>
    <w:rsid w:val="2A3F3FB7"/>
    <w:rsid w:val="2A987B91"/>
    <w:rsid w:val="2B4B2E47"/>
    <w:rsid w:val="2B5644B2"/>
    <w:rsid w:val="2BBC076E"/>
    <w:rsid w:val="2C2330D7"/>
    <w:rsid w:val="2D191223"/>
    <w:rsid w:val="2D465431"/>
    <w:rsid w:val="2F181AE6"/>
    <w:rsid w:val="30750D59"/>
    <w:rsid w:val="30EC1025"/>
    <w:rsid w:val="310D3987"/>
    <w:rsid w:val="31F47743"/>
    <w:rsid w:val="32A55CDE"/>
    <w:rsid w:val="32C6264B"/>
    <w:rsid w:val="33096B73"/>
    <w:rsid w:val="332139C5"/>
    <w:rsid w:val="336C12A0"/>
    <w:rsid w:val="338E4314"/>
    <w:rsid w:val="343E5B54"/>
    <w:rsid w:val="34D573C7"/>
    <w:rsid w:val="34DA5CB3"/>
    <w:rsid w:val="34DE24A1"/>
    <w:rsid w:val="3508473C"/>
    <w:rsid w:val="358C5647"/>
    <w:rsid w:val="37FF4D9E"/>
    <w:rsid w:val="396963B4"/>
    <w:rsid w:val="3BDA59B8"/>
    <w:rsid w:val="3BDC2844"/>
    <w:rsid w:val="3C1706BB"/>
    <w:rsid w:val="3C714314"/>
    <w:rsid w:val="3D5664E7"/>
    <w:rsid w:val="3E477ADD"/>
    <w:rsid w:val="3F7F2B71"/>
    <w:rsid w:val="3F9A10F5"/>
    <w:rsid w:val="3FCE07C0"/>
    <w:rsid w:val="405F0D0C"/>
    <w:rsid w:val="407B51D7"/>
    <w:rsid w:val="41D00D29"/>
    <w:rsid w:val="4223630F"/>
    <w:rsid w:val="42472245"/>
    <w:rsid w:val="430A103D"/>
    <w:rsid w:val="442416F3"/>
    <w:rsid w:val="4544775B"/>
    <w:rsid w:val="46004207"/>
    <w:rsid w:val="46B528E2"/>
    <w:rsid w:val="488276E5"/>
    <w:rsid w:val="489E1807"/>
    <w:rsid w:val="49385A4B"/>
    <w:rsid w:val="49BD43DC"/>
    <w:rsid w:val="49EF4D64"/>
    <w:rsid w:val="4A254EEE"/>
    <w:rsid w:val="4A465171"/>
    <w:rsid w:val="4A596DA1"/>
    <w:rsid w:val="4A8868DE"/>
    <w:rsid w:val="4AFC6E08"/>
    <w:rsid w:val="4C445B73"/>
    <w:rsid w:val="4D6F0230"/>
    <w:rsid w:val="4E043C80"/>
    <w:rsid w:val="4E9469B1"/>
    <w:rsid w:val="50327755"/>
    <w:rsid w:val="50571F69"/>
    <w:rsid w:val="51467CBA"/>
    <w:rsid w:val="51A20215"/>
    <w:rsid w:val="52CA129E"/>
    <w:rsid w:val="54244F7C"/>
    <w:rsid w:val="54507D51"/>
    <w:rsid w:val="548A7E51"/>
    <w:rsid w:val="549162F1"/>
    <w:rsid w:val="549B79E6"/>
    <w:rsid w:val="54D821A6"/>
    <w:rsid w:val="54F27165"/>
    <w:rsid w:val="56816C46"/>
    <w:rsid w:val="58F94FE7"/>
    <w:rsid w:val="59CD61A9"/>
    <w:rsid w:val="5A0D70ED"/>
    <w:rsid w:val="5A360EDA"/>
    <w:rsid w:val="5AB5206B"/>
    <w:rsid w:val="5BBD3A99"/>
    <w:rsid w:val="5CCA0372"/>
    <w:rsid w:val="5D1545C1"/>
    <w:rsid w:val="5E804DB1"/>
    <w:rsid w:val="5EAB3386"/>
    <w:rsid w:val="60A245FE"/>
    <w:rsid w:val="60A5002E"/>
    <w:rsid w:val="61A85BEC"/>
    <w:rsid w:val="61D05C94"/>
    <w:rsid w:val="62204266"/>
    <w:rsid w:val="62D5305C"/>
    <w:rsid w:val="63BC5783"/>
    <w:rsid w:val="63E709A1"/>
    <w:rsid w:val="63EA2AA8"/>
    <w:rsid w:val="64400422"/>
    <w:rsid w:val="65044C89"/>
    <w:rsid w:val="656A44F6"/>
    <w:rsid w:val="66F3656A"/>
    <w:rsid w:val="67176F5B"/>
    <w:rsid w:val="677C4386"/>
    <w:rsid w:val="67830271"/>
    <w:rsid w:val="67A6328F"/>
    <w:rsid w:val="67B562E9"/>
    <w:rsid w:val="68D873E0"/>
    <w:rsid w:val="691B5D35"/>
    <w:rsid w:val="69305068"/>
    <w:rsid w:val="6CAA0784"/>
    <w:rsid w:val="6CEB656D"/>
    <w:rsid w:val="6DAE475D"/>
    <w:rsid w:val="6EE90092"/>
    <w:rsid w:val="703E1126"/>
    <w:rsid w:val="70F041F4"/>
    <w:rsid w:val="712C6A68"/>
    <w:rsid w:val="715A2F71"/>
    <w:rsid w:val="71F3778C"/>
    <w:rsid w:val="722A2484"/>
    <w:rsid w:val="731D71A8"/>
    <w:rsid w:val="73D1258A"/>
    <w:rsid w:val="73DA1E2F"/>
    <w:rsid w:val="742E0136"/>
    <w:rsid w:val="742E0519"/>
    <w:rsid w:val="74501AA2"/>
    <w:rsid w:val="74F67376"/>
    <w:rsid w:val="75996B9B"/>
    <w:rsid w:val="75B836DB"/>
    <w:rsid w:val="75DB0FA3"/>
    <w:rsid w:val="76C730B1"/>
    <w:rsid w:val="77C91F03"/>
    <w:rsid w:val="782747F0"/>
    <w:rsid w:val="784E135B"/>
    <w:rsid w:val="7893125B"/>
    <w:rsid w:val="795442BA"/>
    <w:rsid w:val="79C86A54"/>
    <w:rsid w:val="7B5911DE"/>
    <w:rsid w:val="7C462EDF"/>
    <w:rsid w:val="7D7542DA"/>
    <w:rsid w:val="7D7C3C32"/>
    <w:rsid w:val="7DB73349"/>
    <w:rsid w:val="7E2B2E3B"/>
    <w:rsid w:val="7E4D34BC"/>
    <w:rsid w:val="7F2A5669"/>
    <w:rsid w:val="7F541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endarrow="block"/>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qFormat="1" w:unhideWhenUsed="0" w:uiPriority="0" w:semiHidden="0" w:name="Table Grid 5"/>
    <w:lsdException w:unhideWhenUsed="0" w:uiPriority="0" w:semiHidden="0" w:name="Table Grid 6"/>
    <w:lsdException w:qFormat="1"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3">
    <w:name w:val="heading 1"/>
    <w:basedOn w:val="1"/>
    <w:next w:val="1"/>
    <w:link w:val="65"/>
    <w:qFormat/>
    <w:uiPriority w:val="0"/>
    <w:pPr>
      <w:keepNext/>
      <w:keepLines/>
      <w:spacing w:before="340" w:after="330" w:line="576" w:lineRule="auto"/>
      <w:outlineLvl w:val="0"/>
    </w:pPr>
    <w:rPr>
      <w:b/>
      <w:bCs/>
      <w:kern w:val="44"/>
      <w:sz w:val="44"/>
      <w:szCs w:val="44"/>
    </w:rPr>
  </w:style>
  <w:style w:type="paragraph" w:styleId="2">
    <w:name w:val="heading 2"/>
    <w:basedOn w:val="1"/>
    <w:next w:val="1"/>
    <w:link w:val="70"/>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qFormat/>
    <w:uiPriority w:val="0"/>
    <w:pPr>
      <w:keepNext/>
      <w:keepLines/>
      <w:spacing w:before="260" w:after="260" w:line="416" w:lineRule="auto"/>
      <w:outlineLvl w:val="2"/>
    </w:pPr>
    <w:rPr>
      <w:b/>
      <w:bCs/>
      <w:sz w:val="32"/>
      <w:szCs w:val="32"/>
    </w:rPr>
  </w:style>
  <w:style w:type="paragraph" w:styleId="5">
    <w:name w:val="heading 4"/>
    <w:basedOn w:val="1"/>
    <w:next w:val="1"/>
    <w:link w:val="46"/>
    <w:qFormat/>
    <w:uiPriority w:val="0"/>
    <w:pPr>
      <w:keepNext/>
      <w:keepLines/>
      <w:spacing w:before="280" w:after="290" w:line="376" w:lineRule="auto"/>
      <w:outlineLvl w:val="3"/>
    </w:pPr>
    <w:rPr>
      <w:rFonts w:ascii="Arial" w:hAnsi="Arial" w:eastAsia="黑体"/>
      <w:b/>
      <w:bCs/>
      <w:szCs w:val="28"/>
    </w:rPr>
  </w:style>
  <w:style w:type="character" w:default="1" w:styleId="32">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40"/>
    <w:qFormat/>
    <w:uiPriority w:val="0"/>
    <w:pPr>
      <w:ind w:firstLine="420" w:firstLineChars="200"/>
    </w:pPr>
    <w:rPr>
      <w:sz w:val="21"/>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Document Map"/>
    <w:basedOn w:val="1"/>
    <w:link w:val="49"/>
    <w:qFormat/>
    <w:uiPriority w:val="0"/>
    <w:pPr>
      <w:shd w:val="clear" w:color="auto" w:fill="000080"/>
    </w:pPr>
    <w:rPr>
      <w:sz w:val="21"/>
    </w:rPr>
  </w:style>
  <w:style w:type="paragraph" w:styleId="9">
    <w:name w:val="annotation text"/>
    <w:basedOn w:val="1"/>
    <w:semiHidden/>
    <w:qFormat/>
    <w:uiPriority w:val="0"/>
    <w:pPr>
      <w:jc w:val="left"/>
    </w:pPr>
  </w:style>
  <w:style w:type="paragraph" w:styleId="10">
    <w:name w:val="Body Text"/>
    <w:basedOn w:val="1"/>
    <w:qFormat/>
    <w:uiPriority w:val="0"/>
    <w:pPr>
      <w:spacing w:after="120"/>
    </w:pPr>
  </w:style>
  <w:style w:type="paragraph" w:styleId="11">
    <w:name w:val="Body Text Indent"/>
    <w:basedOn w:val="1"/>
    <w:link w:val="104"/>
    <w:qFormat/>
    <w:uiPriority w:val="0"/>
    <w:pPr>
      <w:spacing w:line="360" w:lineRule="auto"/>
      <w:ind w:firstLine="570"/>
    </w:pPr>
  </w:style>
  <w:style w:type="paragraph" w:styleId="12">
    <w:name w:val="toc 3"/>
    <w:basedOn w:val="1"/>
    <w:next w:val="1"/>
    <w:autoRedefine/>
    <w:qFormat/>
    <w:uiPriority w:val="0"/>
    <w:pPr>
      <w:ind w:left="840" w:leftChars="400"/>
    </w:pPr>
    <w:rPr>
      <w:sz w:val="21"/>
    </w:rPr>
  </w:style>
  <w:style w:type="paragraph" w:styleId="13">
    <w:name w:val="Plain Text"/>
    <w:basedOn w:val="1"/>
    <w:link w:val="51"/>
    <w:autoRedefine/>
    <w:qFormat/>
    <w:uiPriority w:val="0"/>
    <w:rPr>
      <w:rFonts w:ascii="宋体" w:hAnsi="Courier New" w:cs="Courier New"/>
      <w:sz w:val="21"/>
      <w:szCs w:val="21"/>
    </w:rPr>
  </w:style>
  <w:style w:type="paragraph" w:styleId="14">
    <w:name w:val="Date"/>
    <w:basedOn w:val="1"/>
    <w:next w:val="1"/>
    <w:autoRedefine/>
    <w:qFormat/>
    <w:uiPriority w:val="0"/>
    <w:pPr>
      <w:ind w:left="100" w:leftChars="2500"/>
    </w:pPr>
    <w:rPr>
      <w:rFonts w:ascii="宋体" w:hAnsi="宋体"/>
    </w:rPr>
  </w:style>
  <w:style w:type="paragraph" w:styleId="15">
    <w:name w:val="Body Text Indent 2"/>
    <w:basedOn w:val="1"/>
    <w:autoRedefine/>
    <w:qFormat/>
    <w:uiPriority w:val="0"/>
    <w:pPr>
      <w:spacing w:line="360" w:lineRule="auto"/>
      <w:ind w:left="560"/>
    </w:pPr>
  </w:style>
  <w:style w:type="paragraph" w:styleId="16">
    <w:name w:val="Balloon Text"/>
    <w:basedOn w:val="1"/>
    <w:autoRedefine/>
    <w:semiHidden/>
    <w:qFormat/>
    <w:uiPriority w:val="0"/>
    <w:rPr>
      <w:sz w:val="18"/>
      <w:szCs w:val="18"/>
    </w:rPr>
  </w:style>
  <w:style w:type="paragraph" w:styleId="17">
    <w:name w:val="footer"/>
    <w:basedOn w:val="1"/>
    <w:link w:val="60"/>
    <w:autoRedefine/>
    <w:qFormat/>
    <w:uiPriority w:val="99"/>
    <w:pPr>
      <w:tabs>
        <w:tab w:val="center" w:pos="4153"/>
        <w:tab w:val="right" w:pos="8306"/>
      </w:tabs>
      <w:snapToGrid w:val="0"/>
      <w:jc w:val="left"/>
    </w:pPr>
    <w:rPr>
      <w:sz w:val="18"/>
      <w:szCs w:val="18"/>
    </w:rPr>
  </w:style>
  <w:style w:type="paragraph" w:styleId="1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autoRedefine/>
    <w:qFormat/>
    <w:uiPriority w:val="0"/>
    <w:pPr>
      <w:spacing w:before="120" w:after="120"/>
      <w:jc w:val="left"/>
    </w:pPr>
    <w:rPr>
      <w:b/>
      <w:bCs/>
      <w:caps/>
      <w:sz w:val="20"/>
      <w:szCs w:val="20"/>
    </w:rPr>
  </w:style>
  <w:style w:type="paragraph" w:styleId="20">
    <w:name w:val="Body Text Indent 3"/>
    <w:basedOn w:val="1"/>
    <w:autoRedefine/>
    <w:qFormat/>
    <w:uiPriority w:val="0"/>
    <w:pPr>
      <w:spacing w:after="120"/>
      <w:ind w:left="420" w:leftChars="200"/>
    </w:pPr>
    <w:rPr>
      <w:sz w:val="16"/>
      <w:szCs w:val="16"/>
    </w:rPr>
  </w:style>
  <w:style w:type="paragraph" w:styleId="21">
    <w:name w:val="toc 2"/>
    <w:basedOn w:val="1"/>
    <w:next w:val="1"/>
    <w:autoRedefine/>
    <w:qFormat/>
    <w:uiPriority w:val="0"/>
    <w:pPr>
      <w:ind w:left="210"/>
      <w:jc w:val="left"/>
    </w:pPr>
    <w:rPr>
      <w:smallCaps/>
      <w:sz w:val="20"/>
      <w:szCs w:val="20"/>
    </w:rPr>
  </w:style>
  <w:style w:type="paragraph" w:styleId="22">
    <w:name w:val="Body Text 2"/>
    <w:basedOn w:val="1"/>
    <w:autoRedefine/>
    <w:qFormat/>
    <w:uiPriority w:val="0"/>
    <w:pPr>
      <w:spacing w:after="120" w:line="480" w:lineRule="auto"/>
    </w:pPr>
  </w:style>
  <w:style w:type="paragraph" w:styleId="23">
    <w:name w:val="Normal (Web)"/>
    <w:basedOn w:val="1"/>
    <w:autoRedefine/>
    <w:qFormat/>
    <w:uiPriority w:val="99"/>
    <w:pPr>
      <w:widowControl/>
      <w:spacing w:before="100" w:beforeAutospacing="1" w:after="100" w:afterAutospacing="1" w:line="280" w:lineRule="atLeast"/>
      <w:jc w:val="left"/>
    </w:pPr>
    <w:rPr>
      <w:color w:val="000000"/>
      <w:spacing w:val="20"/>
      <w:kern w:val="0"/>
      <w:sz w:val="18"/>
      <w:szCs w:val="18"/>
    </w:rPr>
  </w:style>
  <w:style w:type="paragraph" w:styleId="24">
    <w:name w:val="Title"/>
    <w:basedOn w:val="1"/>
    <w:link w:val="55"/>
    <w:autoRedefine/>
    <w:qFormat/>
    <w:uiPriority w:val="0"/>
    <w:pPr>
      <w:jc w:val="center"/>
    </w:pPr>
    <w:rPr>
      <w:rFonts w:eastAsia="楷体_GB2312"/>
      <w:b/>
      <w:sz w:val="24"/>
      <w:szCs w:val="20"/>
    </w:rPr>
  </w:style>
  <w:style w:type="paragraph" w:styleId="25">
    <w:name w:val="annotation subject"/>
    <w:basedOn w:val="9"/>
    <w:next w:val="9"/>
    <w:autoRedefine/>
    <w:semiHidden/>
    <w:qFormat/>
    <w:uiPriority w:val="0"/>
    <w:rPr>
      <w:b/>
      <w:bCs/>
    </w:rPr>
  </w:style>
  <w:style w:type="paragraph" w:styleId="26">
    <w:name w:val="Body Text First Indent 2"/>
    <w:basedOn w:val="11"/>
    <w:link w:val="105"/>
    <w:autoRedefine/>
    <w:qFormat/>
    <w:uiPriority w:val="0"/>
    <w:pPr>
      <w:spacing w:after="120" w:line="240" w:lineRule="auto"/>
      <w:ind w:left="420" w:leftChars="200" w:firstLine="420" w:firstLineChars="200"/>
    </w:pPr>
  </w:style>
  <w:style w:type="table" w:styleId="28">
    <w:name w:val="Table Grid"/>
    <w:basedOn w:val="2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9">
    <w:name w:val="Table Elegant"/>
    <w:basedOn w:val="27"/>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30">
    <w:name w:val="Table Grid 5"/>
    <w:basedOn w:val="27"/>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31">
    <w:name w:val="Table Grid 7"/>
    <w:basedOn w:val="27"/>
    <w:autoRedefine/>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top w:val="nil"/>
          <w:left w:val="nil"/>
          <w:bottom w:val="single" w:color="000000" w:sz="12" w:space="0"/>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character" w:styleId="33">
    <w:name w:val="Strong"/>
    <w:autoRedefine/>
    <w:qFormat/>
    <w:uiPriority w:val="22"/>
    <w:rPr>
      <w:b/>
      <w:bCs/>
    </w:rPr>
  </w:style>
  <w:style w:type="character" w:styleId="34">
    <w:name w:val="page number"/>
    <w:basedOn w:val="32"/>
    <w:autoRedefine/>
    <w:qFormat/>
    <w:uiPriority w:val="0"/>
  </w:style>
  <w:style w:type="character" w:styleId="35">
    <w:name w:val="Emphasis"/>
    <w:autoRedefine/>
    <w:qFormat/>
    <w:uiPriority w:val="20"/>
    <w:rPr>
      <w:i/>
      <w:iCs/>
    </w:rPr>
  </w:style>
  <w:style w:type="character" w:styleId="36">
    <w:name w:val="Hyperlink"/>
    <w:autoRedefine/>
    <w:qFormat/>
    <w:uiPriority w:val="99"/>
    <w:rPr>
      <w:color w:val="3366CC"/>
      <w:u w:val="single"/>
    </w:rPr>
  </w:style>
  <w:style w:type="character" w:styleId="37">
    <w:name w:val="annotation reference"/>
    <w:autoRedefine/>
    <w:semiHidden/>
    <w:qFormat/>
    <w:uiPriority w:val="0"/>
    <w:rPr>
      <w:sz w:val="21"/>
      <w:szCs w:val="21"/>
    </w:rPr>
  </w:style>
  <w:style w:type="character" w:customStyle="1" w:styleId="38">
    <w:name w:val="px14"/>
    <w:basedOn w:val="32"/>
    <w:autoRedefine/>
    <w:qFormat/>
    <w:uiPriority w:val="0"/>
  </w:style>
  <w:style w:type="character" w:customStyle="1" w:styleId="39">
    <w:name w:val="标题 3 Char"/>
    <w:link w:val="4"/>
    <w:autoRedefine/>
    <w:qFormat/>
    <w:uiPriority w:val="0"/>
    <w:rPr>
      <w:rFonts w:eastAsia="宋体"/>
      <w:b/>
      <w:bCs/>
      <w:kern w:val="2"/>
      <w:sz w:val="32"/>
      <w:szCs w:val="32"/>
      <w:lang w:val="en-US" w:eastAsia="zh-CN" w:bidi="ar-SA"/>
    </w:rPr>
  </w:style>
  <w:style w:type="character" w:customStyle="1" w:styleId="40">
    <w:name w:val="正文缩进 Char"/>
    <w:link w:val="6"/>
    <w:autoRedefine/>
    <w:qFormat/>
    <w:locked/>
    <w:uiPriority w:val="0"/>
    <w:rPr>
      <w:rFonts w:eastAsia="宋体"/>
      <w:kern w:val="2"/>
      <w:sz w:val="21"/>
      <w:szCs w:val="24"/>
      <w:lang w:val="en-US" w:eastAsia="zh-CN" w:bidi="ar-SA"/>
    </w:rPr>
  </w:style>
  <w:style w:type="character" w:customStyle="1" w:styleId="41">
    <w:name w:val="图题 Char"/>
    <w:link w:val="42"/>
    <w:autoRedefine/>
    <w:qFormat/>
    <w:uiPriority w:val="0"/>
    <w:rPr>
      <w:b/>
      <w:sz w:val="28"/>
      <w:szCs w:val="28"/>
      <w:lang w:val="en-US" w:eastAsia="zh-CN" w:bidi="ar-SA"/>
    </w:rPr>
  </w:style>
  <w:style w:type="paragraph" w:customStyle="1" w:styleId="42">
    <w:name w:val="图题"/>
    <w:link w:val="41"/>
    <w:autoRedefine/>
    <w:qFormat/>
    <w:uiPriority w:val="0"/>
    <w:pPr>
      <w:tabs>
        <w:tab w:val="left" w:pos="480"/>
      </w:tabs>
      <w:spacing w:line="360" w:lineRule="auto"/>
      <w:jc w:val="center"/>
    </w:pPr>
    <w:rPr>
      <w:rFonts w:ascii="Times New Roman" w:hAnsi="Times New Roman" w:eastAsia="宋体" w:cs="Times New Roman"/>
      <w:b/>
      <w:sz w:val="28"/>
      <w:szCs w:val="28"/>
      <w:lang w:val="en-US" w:eastAsia="zh-CN" w:bidi="ar-SA"/>
    </w:rPr>
  </w:style>
  <w:style w:type="character" w:customStyle="1" w:styleId="43">
    <w:name w:val="Char Char"/>
    <w:autoRedefine/>
    <w:qFormat/>
    <w:uiPriority w:val="0"/>
    <w:rPr>
      <w:rFonts w:ascii="宋体" w:hAnsi="Courier New" w:eastAsia="宋体"/>
      <w:kern w:val="2"/>
      <w:sz w:val="21"/>
      <w:lang w:val="en-US" w:eastAsia="zh-CN" w:bidi="ar-SA"/>
    </w:rPr>
  </w:style>
  <w:style w:type="character" w:customStyle="1" w:styleId="44">
    <w:name w:val="样式 样式 宋体 小四 右侧:  -0.09 厘米 行距: 多倍行距 1.45 字行 + 黑色 Char Char"/>
    <w:link w:val="45"/>
    <w:autoRedefine/>
    <w:qFormat/>
    <w:uiPriority w:val="0"/>
    <w:rPr>
      <w:rFonts w:ascii="宋体" w:hAnsi="宋体" w:cs="宋体"/>
      <w:color w:val="000000"/>
      <w:kern w:val="2"/>
      <w:sz w:val="24"/>
      <w:szCs w:val="24"/>
    </w:rPr>
  </w:style>
  <w:style w:type="paragraph" w:customStyle="1" w:styleId="45">
    <w:name w:val="样式 样式 宋体 小四 右侧:  -0.09 厘米 行距: 多倍行距 1.45 字行 + 黑色"/>
    <w:basedOn w:val="1"/>
    <w:link w:val="44"/>
    <w:autoRedefine/>
    <w:qFormat/>
    <w:uiPriority w:val="0"/>
    <w:pPr>
      <w:adjustRightInd w:val="0"/>
      <w:snapToGrid w:val="0"/>
      <w:spacing w:line="360" w:lineRule="auto"/>
      <w:ind w:firstLine="200" w:firstLineChars="200"/>
    </w:pPr>
    <w:rPr>
      <w:rFonts w:ascii="宋体" w:hAnsi="宋体"/>
      <w:color w:val="000000"/>
      <w:sz w:val="24"/>
    </w:rPr>
  </w:style>
  <w:style w:type="character" w:customStyle="1" w:styleId="46">
    <w:name w:val="标题 4 Char"/>
    <w:link w:val="5"/>
    <w:autoRedefine/>
    <w:qFormat/>
    <w:uiPriority w:val="0"/>
    <w:rPr>
      <w:rFonts w:ascii="Arial" w:hAnsi="Arial" w:eastAsia="黑体"/>
      <w:b/>
      <w:bCs/>
      <w:kern w:val="2"/>
      <w:sz w:val="28"/>
      <w:szCs w:val="28"/>
    </w:rPr>
  </w:style>
  <w:style w:type="character" w:customStyle="1" w:styleId="47">
    <w:name w:val="wz141"/>
    <w:autoRedefine/>
    <w:qFormat/>
    <w:uiPriority w:val="0"/>
    <w:rPr>
      <w:rFonts w:hint="default" w:ascii="Arial" w:hAnsi="Arial" w:cs="Arial"/>
      <w:color w:val="245182"/>
      <w:sz w:val="21"/>
      <w:szCs w:val="21"/>
    </w:rPr>
  </w:style>
  <w:style w:type="character" w:customStyle="1" w:styleId="48">
    <w:name w:val="图题 Char Char"/>
    <w:autoRedefine/>
    <w:qFormat/>
    <w:locked/>
    <w:uiPriority w:val="0"/>
    <w:rPr>
      <w:rFonts w:eastAsia="仿宋_GB2312"/>
      <w:b/>
      <w:sz w:val="24"/>
      <w:szCs w:val="24"/>
      <w:lang w:val="en-US" w:eastAsia="zh-CN" w:bidi="ar-SA"/>
    </w:rPr>
  </w:style>
  <w:style w:type="character" w:customStyle="1" w:styleId="49">
    <w:name w:val="文档结构图 Char"/>
    <w:link w:val="8"/>
    <w:autoRedefine/>
    <w:qFormat/>
    <w:uiPriority w:val="0"/>
    <w:rPr>
      <w:kern w:val="2"/>
      <w:sz w:val="21"/>
      <w:szCs w:val="24"/>
      <w:shd w:val="clear" w:color="auto" w:fill="000080"/>
    </w:rPr>
  </w:style>
  <w:style w:type="character" w:customStyle="1" w:styleId="50">
    <w:name w:val="main1"/>
    <w:autoRedefine/>
    <w:qFormat/>
    <w:uiPriority w:val="0"/>
    <w:rPr>
      <w:color w:val="333333"/>
      <w:sz w:val="18"/>
      <w:szCs w:val="18"/>
    </w:rPr>
  </w:style>
  <w:style w:type="character" w:customStyle="1" w:styleId="51">
    <w:name w:val="纯文本 Char"/>
    <w:link w:val="13"/>
    <w:autoRedefine/>
    <w:qFormat/>
    <w:uiPriority w:val="0"/>
    <w:rPr>
      <w:rFonts w:ascii="宋体" w:hAnsi="Courier New" w:eastAsia="宋体" w:cs="Courier New"/>
      <w:kern w:val="2"/>
      <w:sz w:val="21"/>
      <w:szCs w:val="21"/>
      <w:lang w:val="en-US" w:eastAsia="zh-CN" w:bidi="ar-SA"/>
    </w:rPr>
  </w:style>
  <w:style w:type="character" w:customStyle="1" w:styleId="52">
    <w:name w:val="hei141"/>
    <w:autoRedefine/>
    <w:qFormat/>
    <w:uiPriority w:val="0"/>
    <w:rPr>
      <w:color w:val="000000"/>
      <w:sz w:val="21"/>
      <w:szCs w:val="21"/>
    </w:rPr>
  </w:style>
  <w:style w:type="character" w:customStyle="1" w:styleId="53">
    <w:name w:val="H1 Char"/>
    <w:autoRedefine/>
    <w:qFormat/>
    <w:uiPriority w:val="0"/>
    <w:rPr>
      <w:rFonts w:eastAsia="宋体"/>
      <w:b/>
      <w:bCs/>
      <w:kern w:val="44"/>
      <w:sz w:val="44"/>
      <w:szCs w:val="44"/>
      <w:lang w:val="en-US" w:eastAsia="zh-CN" w:bidi="ar-SA"/>
    </w:rPr>
  </w:style>
  <w:style w:type="character" w:customStyle="1" w:styleId="54">
    <w:name w:val="line181"/>
    <w:basedOn w:val="32"/>
    <w:autoRedefine/>
    <w:qFormat/>
    <w:uiPriority w:val="0"/>
  </w:style>
  <w:style w:type="character" w:customStyle="1" w:styleId="55">
    <w:name w:val="标题 Char"/>
    <w:link w:val="24"/>
    <w:autoRedefine/>
    <w:qFormat/>
    <w:uiPriority w:val="0"/>
    <w:rPr>
      <w:rFonts w:eastAsia="楷体_GB2312"/>
      <w:b/>
      <w:kern w:val="2"/>
      <w:sz w:val="24"/>
    </w:rPr>
  </w:style>
  <w:style w:type="character" w:customStyle="1" w:styleId="56">
    <w:name w:val="数据来源 Char"/>
    <w:link w:val="57"/>
    <w:autoRedefine/>
    <w:qFormat/>
    <w:uiPriority w:val="0"/>
    <w:rPr>
      <w:rFonts w:ascii="宋体" w:hAnsi="宋体"/>
      <w:sz w:val="21"/>
      <w:szCs w:val="21"/>
    </w:rPr>
  </w:style>
  <w:style w:type="paragraph" w:customStyle="1" w:styleId="57">
    <w:name w:val="数据来源"/>
    <w:basedOn w:val="1"/>
    <w:next w:val="1"/>
    <w:link w:val="56"/>
    <w:autoRedefine/>
    <w:qFormat/>
    <w:uiPriority w:val="0"/>
    <w:pPr>
      <w:tabs>
        <w:tab w:val="left" w:pos="1440"/>
      </w:tabs>
      <w:spacing w:line="200" w:lineRule="atLeast"/>
    </w:pPr>
    <w:rPr>
      <w:rFonts w:ascii="宋体" w:hAnsi="宋体"/>
      <w:kern w:val="0"/>
      <w:sz w:val="21"/>
      <w:szCs w:val="21"/>
    </w:rPr>
  </w:style>
  <w:style w:type="character" w:customStyle="1" w:styleId="58">
    <w:name w:val="图 Char"/>
    <w:link w:val="59"/>
    <w:autoRedefine/>
    <w:qFormat/>
    <w:uiPriority w:val="0"/>
    <w:rPr>
      <w:lang w:val="en-US" w:eastAsia="zh-CN" w:bidi="ar-SA"/>
    </w:rPr>
  </w:style>
  <w:style w:type="paragraph" w:customStyle="1" w:styleId="59">
    <w:name w:val="图"/>
    <w:link w:val="58"/>
    <w:autoRedefine/>
    <w:qFormat/>
    <w:uiPriority w:val="0"/>
    <w:pPr>
      <w:adjustRightInd w:val="0"/>
      <w:snapToGrid w:val="0"/>
      <w:jc w:val="center"/>
    </w:pPr>
    <w:rPr>
      <w:rFonts w:ascii="Times New Roman" w:hAnsi="Times New Roman" w:eastAsia="宋体" w:cs="Times New Roman"/>
      <w:lang w:val="en-US" w:eastAsia="zh-CN" w:bidi="ar-SA"/>
    </w:rPr>
  </w:style>
  <w:style w:type="character" w:customStyle="1" w:styleId="60">
    <w:name w:val="页脚 Char"/>
    <w:link w:val="17"/>
    <w:autoRedefine/>
    <w:qFormat/>
    <w:uiPriority w:val="99"/>
    <w:rPr>
      <w:kern w:val="2"/>
      <w:sz w:val="18"/>
      <w:szCs w:val="18"/>
    </w:rPr>
  </w:style>
  <w:style w:type="character" w:customStyle="1" w:styleId="61">
    <w:name w:val="H3 Char1"/>
    <w:autoRedefine/>
    <w:qFormat/>
    <w:locked/>
    <w:uiPriority w:val="0"/>
    <w:rPr>
      <w:rFonts w:eastAsia="宋体"/>
      <w:kern w:val="2"/>
      <w:sz w:val="32"/>
      <w:szCs w:val="32"/>
      <w:lang w:val="en-US" w:eastAsia="zh-CN" w:bidi="ar-SA"/>
    </w:rPr>
  </w:style>
  <w:style w:type="character" w:customStyle="1" w:styleId="62">
    <w:name w:val="contentwordstext1"/>
    <w:autoRedefine/>
    <w:qFormat/>
    <w:uiPriority w:val="0"/>
    <w:rPr>
      <w:rFonts w:hint="default"/>
      <w:sz w:val="21"/>
    </w:rPr>
  </w:style>
  <w:style w:type="character" w:customStyle="1" w:styleId="63">
    <w:name w:val="表题 Char Char"/>
    <w:link w:val="64"/>
    <w:autoRedefine/>
    <w:qFormat/>
    <w:uiPriority w:val="0"/>
    <w:rPr>
      <w:rFonts w:ascii="楷体_GB2312" w:eastAsia="楷体_GB2312"/>
      <w:b/>
      <w:sz w:val="28"/>
      <w:szCs w:val="28"/>
      <w:lang w:val="en-US" w:eastAsia="zh-CN" w:bidi="ar-SA"/>
    </w:rPr>
  </w:style>
  <w:style w:type="paragraph" w:customStyle="1" w:styleId="64">
    <w:name w:val="表题"/>
    <w:link w:val="63"/>
    <w:autoRedefine/>
    <w:qFormat/>
    <w:uiPriority w:val="0"/>
    <w:pPr>
      <w:tabs>
        <w:tab w:val="left" w:pos="480"/>
      </w:tabs>
      <w:adjustRightInd w:val="0"/>
      <w:snapToGrid w:val="0"/>
      <w:spacing w:beforeLines="50" w:line="360" w:lineRule="auto"/>
      <w:jc w:val="both"/>
    </w:pPr>
    <w:rPr>
      <w:rFonts w:ascii="楷体_GB2312" w:hAnsi="Times New Roman" w:eastAsia="楷体_GB2312" w:cs="Times New Roman"/>
      <w:b/>
      <w:sz w:val="28"/>
      <w:szCs w:val="28"/>
      <w:lang w:val="en-US" w:eastAsia="zh-CN" w:bidi="ar-SA"/>
    </w:rPr>
  </w:style>
  <w:style w:type="character" w:customStyle="1" w:styleId="65">
    <w:name w:val="标题 1 Char"/>
    <w:link w:val="3"/>
    <w:autoRedefine/>
    <w:qFormat/>
    <w:uiPriority w:val="0"/>
    <w:rPr>
      <w:b/>
      <w:bCs/>
      <w:kern w:val="44"/>
      <w:sz w:val="44"/>
      <w:szCs w:val="44"/>
    </w:rPr>
  </w:style>
  <w:style w:type="character" w:customStyle="1" w:styleId="66">
    <w:name w:val="正文(首行缩进) Char"/>
    <w:link w:val="67"/>
    <w:autoRedefine/>
    <w:qFormat/>
    <w:uiPriority w:val="0"/>
    <w:rPr>
      <w:rFonts w:eastAsia="宋体"/>
      <w:bCs/>
      <w:snapToGrid w:val="0"/>
      <w:sz w:val="24"/>
      <w:szCs w:val="24"/>
      <w:lang w:val="en-US" w:eastAsia="zh-CN" w:bidi="ar-SA"/>
    </w:rPr>
  </w:style>
  <w:style w:type="paragraph" w:customStyle="1" w:styleId="67">
    <w:name w:val="正文(首行缩进)"/>
    <w:basedOn w:val="1"/>
    <w:link w:val="66"/>
    <w:autoRedefine/>
    <w:qFormat/>
    <w:uiPriority w:val="0"/>
    <w:pPr>
      <w:tabs>
        <w:tab w:val="left" w:pos="4584"/>
      </w:tabs>
      <w:adjustRightInd w:val="0"/>
      <w:snapToGrid w:val="0"/>
      <w:spacing w:line="360" w:lineRule="auto"/>
      <w:ind w:firstLine="200" w:firstLineChars="200"/>
    </w:pPr>
    <w:rPr>
      <w:bCs/>
      <w:snapToGrid w:val="0"/>
      <w:kern w:val="0"/>
      <w:sz w:val="24"/>
    </w:rPr>
  </w:style>
  <w:style w:type="character" w:customStyle="1" w:styleId="68">
    <w:name w:val="表 Char"/>
    <w:link w:val="69"/>
    <w:autoRedefine/>
    <w:qFormat/>
    <w:uiPriority w:val="0"/>
    <w:rPr>
      <w:rFonts w:eastAsia="宋体"/>
      <w:kern w:val="2"/>
      <w:sz w:val="21"/>
      <w:lang w:val="en-US" w:eastAsia="zh-CN" w:bidi="ar-SA"/>
    </w:rPr>
  </w:style>
  <w:style w:type="paragraph" w:customStyle="1" w:styleId="69">
    <w:name w:val="表"/>
    <w:basedOn w:val="1"/>
    <w:link w:val="68"/>
    <w:autoRedefine/>
    <w:qFormat/>
    <w:uiPriority w:val="0"/>
    <w:pPr>
      <w:snapToGrid w:val="0"/>
      <w:jc w:val="center"/>
    </w:pPr>
    <w:rPr>
      <w:sz w:val="21"/>
      <w:szCs w:val="20"/>
    </w:rPr>
  </w:style>
  <w:style w:type="character" w:customStyle="1" w:styleId="70">
    <w:name w:val="标题 2 Char"/>
    <w:link w:val="2"/>
    <w:autoRedefine/>
    <w:qFormat/>
    <w:uiPriority w:val="9"/>
    <w:rPr>
      <w:rFonts w:ascii="Arial" w:hAnsi="Arial" w:eastAsia="黑体"/>
      <w:b/>
      <w:bCs/>
      <w:kern w:val="2"/>
      <w:sz w:val="32"/>
      <w:szCs w:val="32"/>
    </w:rPr>
  </w:style>
  <w:style w:type="character" w:customStyle="1" w:styleId="71">
    <w:name w:val="Head2A Char"/>
    <w:autoRedefine/>
    <w:qFormat/>
    <w:locked/>
    <w:uiPriority w:val="0"/>
    <w:rPr>
      <w:rFonts w:ascii="Arial" w:hAnsi="Arial" w:eastAsia="黑体"/>
      <w:b/>
      <w:bCs/>
      <w:kern w:val="2"/>
      <w:sz w:val="32"/>
      <w:szCs w:val="32"/>
      <w:lang w:val="en-US" w:eastAsia="zh-CN" w:bidi="ar-SA"/>
    </w:rPr>
  </w:style>
  <w:style w:type="paragraph" w:customStyle="1" w:styleId="72">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3">
    <w:name w:val="Char Char Char Char Char Char Char Char Char"/>
    <w:basedOn w:val="1"/>
    <w:autoRedefine/>
    <w:qFormat/>
    <w:uiPriority w:val="0"/>
    <w:pPr>
      <w:spacing w:after="160" w:line="240" w:lineRule="exact"/>
    </w:pPr>
    <w:rPr>
      <w:rFonts w:ascii="Verdana" w:hAnsi="Verdana" w:cs="Verdana"/>
      <w:sz w:val="20"/>
      <w:szCs w:val="20"/>
      <w:lang w:eastAsia="en-US"/>
    </w:rPr>
  </w:style>
  <w:style w:type="paragraph" w:customStyle="1" w:styleId="74">
    <w:name w:val="应填表格"/>
    <w:basedOn w:val="1"/>
    <w:autoRedefine/>
    <w:qFormat/>
    <w:uiPriority w:val="0"/>
    <w:pPr>
      <w:adjustRightInd w:val="0"/>
      <w:spacing w:before="40" w:after="40"/>
      <w:jc w:val="left"/>
      <w:textAlignment w:val="baseline"/>
    </w:pPr>
    <w:rPr>
      <w:kern w:val="0"/>
      <w:sz w:val="24"/>
      <w:szCs w:val="20"/>
    </w:rPr>
  </w:style>
  <w:style w:type="paragraph" w:customStyle="1" w:styleId="75">
    <w:name w:val="Char2"/>
    <w:basedOn w:val="1"/>
    <w:autoRedefine/>
    <w:qFormat/>
    <w:uiPriority w:val="0"/>
    <w:pPr>
      <w:spacing w:line="360" w:lineRule="auto"/>
      <w:ind w:firstLine="200" w:firstLineChars="200"/>
    </w:pPr>
    <w:rPr>
      <w:rFonts w:ascii="宋体" w:hAnsi="宋体" w:cs="宋体"/>
      <w:sz w:val="24"/>
    </w:rPr>
  </w:style>
  <w:style w:type="paragraph" w:customStyle="1" w:styleId="76">
    <w:name w:val="样式8"/>
    <w:basedOn w:val="1"/>
    <w:autoRedefine/>
    <w:qFormat/>
    <w:uiPriority w:val="0"/>
    <w:pPr>
      <w:ind w:firstLine="499"/>
    </w:pPr>
    <w:rPr>
      <w:rFonts w:ascii="宋体"/>
      <w:color w:val="000000"/>
      <w:szCs w:val="20"/>
    </w:rPr>
  </w:style>
  <w:style w:type="paragraph" w:customStyle="1" w:styleId="77">
    <w:name w:val="正文01"/>
    <w:basedOn w:val="1"/>
    <w:autoRedefine/>
    <w:qFormat/>
    <w:uiPriority w:val="0"/>
    <w:pPr>
      <w:spacing w:before="60" w:line="460" w:lineRule="exact"/>
      <w:ind w:firstLine="200" w:firstLineChars="200"/>
    </w:pPr>
    <w:rPr>
      <w:sz w:val="24"/>
    </w:rPr>
  </w:style>
  <w:style w:type="paragraph" w:customStyle="1" w:styleId="78">
    <w:name w:val="四级标题1.1.1.1"/>
    <w:basedOn w:val="1"/>
    <w:next w:val="1"/>
    <w:autoRedefine/>
    <w:qFormat/>
    <w:uiPriority w:val="0"/>
    <w:pPr>
      <w:keepNext/>
      <w:keepLines/>
      <w:widowControl/>
      <w:adjustRightInd w:val="0"/>
      <w:spacing w:before="40" w:after="40" w:line="360" w:lineRule="auto"/>
      <w:ind w:firstLine="200" w:firstLineChars="200"/>
      <w:outlineLvl w:val="3"/>
    </w:pPr>
    <w:rPr>
      <w:rFonts w:eastAsia="仿宋_GB2312" w:cs="宋体"/>
      <w:b/>
      <w:kern w:val="0"/>
      <w:sz w:val="24"/>
      <w:szCs w:val="28"/>
    </w:rPr>
  </w:style>
  <w:style w:type="paragraph" w:customStyle="1" w:styleId="79">
    <w:name w:val="word"/>
    <w:basedOn w:val="1"/>
    <w:autoRedefine/>
    <w:qFormat/>
    <w:uiPriority w:val="0"/>
    <w:pPr>
      <w:spacing w:line="360" w:lineRule="auto"/>
      <w:ind w:firstLine="480" w:firstLineChars="200"/>
    </w:pPr>
    <w:rPr>
      <w:color w:val="008000"/>
      <w:kern w:val="0"/>
      <w:sz w:val="24"/>
      <w:szCs w:val="20"/>
    </w:rPr>
  </w:style>
  <w:style w:type="paragraph" w:customStyle="1" w:styleId="80">
    <w:name w:val="Char"/>
    <w:basedOn w:val="1"/>
    <w:autoRedefine/>
    <w:qFormat/>
    <w:uiPriority w:val="0"/>
    <w:pPr>
      <w:widowControl/>
      <w:spacing w:after="160" w:line="240" w:lineRule="exact"/>
      <w:jc w:val="left"/>
    </w:pPr>
    <w:rPr>
      <w:rFonts w:ascii="宋体" w:hAnsi="宋体"/>
      <w:kern w:val="0"/>
      <w:szCs w:val="28"/>
      <w:lang w:eastAsia="en-US"/>
    </w:rPr>
  </w:style>
  <w:style w:type="paragraph" w:customStyle="1" w:styleId="81">
    <w:name w:val="Char Char Char Char Char Char Char"/>
    <w:basedOn w:val="1"/>
    <w:autoRedefine/>
    <w:qFormat/>
    <w:uiPriority w:val="0"/>
    <w:rPr>
      <w:sz w:val="21"/>
      <w:szCs w:val="20"/>
    </w:rPr>
  </w:style>
  <w:style w:type="paragraph" w:customStyle="1" w:styleId="82">
    <w:name w:val="我的正文"/>
    <w:basedOn w:val="1"/>
    <w:autoRedefine/>
    <w:qFormat/>
    <w:uiPriority w:val="0"/>
    <w:pPr>
      <w:ind w:firstLine="560" w:firstLineChars="200"/>
    </w:pPr>
  </w:style>
  <w:style w:type="paragraph" w:customStyle="1" w:styleId="83">
    <w:name w:val="表格正文"/>
    <w:basedOn w:val="1"/>
    <w:autoRedefine/>
    <w:qFormat/>
    <w:uiPriority w:val="0"/>
    <w:pPr>
      <w:spacing w:line="360" w:lineRule="exact"/>
      <w:jc w:val="center"/>
    </w:pPr>
    <w:rPr>
      <w:sz w:val="21"/>
      <w:szCs w:val="20"/>
    </w:rPr>
  </w:style>
  <w:style w:type="paragraph" w:customStyle="1" w:styleId="84">
    <w:name w:val="Char Char Char Char Char Char Char1"/>
    <w:basedOn w:val="1"/>
    <w:autoRedefine/>
    <w:qFormat/>
    <w:uiPriority w:val="0"/>
    <w:rPr>
      <w:sz w:val="21"/>
      <w:szCs w:val="21"/>
    </w:rPr>
  </w:style>
  <w:style w:type="paragraph" w:customStyle="1" w:styleId="85">
    <w:name w:val="xl37"/>
    <w:basedOn w:val="1"/>
    <w:autoRedefine/>
    <w:qFormat/>
    <w:uiPriority w:val="0"/>
    <w:pPr>
      <w:widowControl/>
      <w:spacing w:before="100" w:beforeAutospacing="1" w:after="100" w:afterAutospacing="1"/>
      <w:jc w:val="center"/>
    </w:pPr>
    <w:rPr>
      <w:rFonts w:eastAsia="Arial Unicode MS"/>
      <w:kern w:val="0"/>
      <w:sz w:val="24"/>
    </w:rPr>
  </w:style>
  <w:style w:type="paragraph" w:customStyle="1" w:styleId="86">
    <w:name w:val="样式2"/>
    <w:basedOn w:val="17"/>
    <w:next w:val="17"/>
    <w:autoRedefine/>
    <w:qFormat/>
    <w:uiPriority w:val="0"/>
    <w:pPr>
      <w:pBdr>
        <w:bottom w:val="single" w:color="auto" w:sz="4" w:space="1"/>
      </w:pBdr>
    </w:pPr>
  </w:style>
  <w:style w:type="paragraph" w:customStyle="1" w:styleId="87">
    <w:name w:val="字元 字元"/>
    <w:basedOn w:val="1"/>
    <w:autoRedefine/>
    <w:qFormat/>
    <w:uiPriority w:val="0"/>
    <w:rPr>
      <w:sz w:val="21"/>
    </w:rPr>
  </w:style>
  <w:style w:type="paragraph" w:customStyle="1" w:styleId="88">
    <w:name w:val="正文11"/>
    <w:basedOn w:val="1"/>
    <w:next w:val="1"/>
    <w:autoRedefine/>
    <w:qFormat/>
    <w:uiPriority w:val="0"/>
    <w:rPr>
      <w:sz w:val="21"/>
    </w:rPr>
  </w:style>
  <w:style w:type="paragraph" w:customStyle="1" w:styleId="89">
    <w:name w:val="字元 字元1"/>
    <w:basedOn w:val="1"/>
    <w:autoRedefine/>
    <w:qFormat/>
    <w:uiPriority w:val="0"/>
    <w:rPr>
      <w:sz w:val="21"/>
    </w:rPr>
  </w:style>
  <w:style w:type="paragraph" w:customStyle="1" w:styleId="90">
    <w:name w:val="xl2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91">
    <w:name w:val="样式3"/>
    <w:basedOn w:val="18"/>
    <w:autoRedefine/>
    <w:qFormat/>
    <w:uiPriority w:val="0"/>
    <w:pPr>
      <w:pBdr>
        <w:bottom w:val="single" w:color="auto" w:sz="4" w:space="1"/>
      </w:pBdr>
      <w:jc w:val="both"/>
    </w:pPr>
  </w:style>
  <w:style w:type="paragraph" w:customStyle="1" w:styleId="92">
    <w:name w:val="样式1"/>
    <w:basedOn w:val="17"/>
    <w:autoRedefine/>
    <w:qFormat/>
    <w:uiPriority w:val="0"/>
    <w:pPr>
      <w:pBdr>
        <w:bottom w:val="single" w:color="auto" w:sz="4" w:space="1"/>
      </w:pBdr>
      <w:jc w:val="right"/>
    </w:pPr>
  </w:style>
  <w:style w:type="paragraph" w:customStyle="1" w:styleId="93">
    <w:name w:val="style3"/>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94">
    <w:name w:val="正文 + 宋体"/>
    <w:basedOn w:val="1"/>
    <w:autoRedefine/>
    <w:qFormat/>
    <w:uiPriority w:val="0"/>
    <w:pPr>
      <w:autoSpaceDE w:val="0"/>
      <w:autoSpaceDN w:val="0"/>
      <w:adjustRightInd w:val="0"/>
      <w:snapToGrid w:val="0"/>
      <w:spacing w:line="360" w:lineRule="auto"/>
      <w:jc w:val="center"/>
    </w:pPr>
    <w:rPr>
      <w:rFonts w:ascii="宋体" w:cs="宋体"/>
      <w:b/>
      <w:color w:val="000000"/>
      <w:kern w:val="0"/>
      <w:sz w:val="30"/>
      <w:szCs w:val="30"/>
    </w:rPr>
  </w:style>
  <w:style w:type="paragraph" w:styleId="95">
    <w:name w:val="List Paragraph"/>
    <w:basedOn w:val="1"/>
    <w:autoRedefine/>
    <w:qFormat/>
    <w:uiPriority w:val="0"/>
    <w:pPr>
      <w:ind w:firstLine="420" w:firstLineChars="200"/>
    </w:pPr>
    <w:rPr>
      <w:rFonts w:ascii="Calibri" w:hAnsi="Calibri"/>
      <w:sz w:val="21"/>
      <w:szCs w:val="22"/>
    </w:rPr>
  </w:style>
  <w:style w:type="paragraph" w:customStyle="1" w:styleId="96">
    <w:name w:val="默认段落字体 Para Char Char Char Char"/>
    <w:basedOn w:val="1"/>
    <w:autoRedefine/>
    <w:qFormat/>
    <w:uiPriority w:val="0"/>
    <w:rPr>
      <w:sz w:val="21"/>
    </w:rPr>
  </w:style>
  <w:style w:type="paragraph" w:customStyle="1" w:styleId="97">
    <w:name w:val="Char1"/>
    <w:basedOn w:val="1"/>
    <w:autoRedefine/>
    <w:qFormat/>
    <w:uiPriority w:val="0"/>
    <w:pPr>
      <w:tabs>
        <w:tab w:val="left" w:pos="937"/>
      </w:tabs>
      <w:ind w:left="1"/>
    </w:pPr>
    <w:rPr>
      <w:rFonts w:ascii="Arial" w:hAnsi="Arial" w:cs="Arial"/>
      <w:b/>
      <w:bCs/>
      <w:sz w:val="32"/>
      <w:szCs w:val="32"/>
    </w:rPr>
  </w:style>
  <w:style w:type="paragraph" w:customStyle="1" w:styleId="98">
    <w:name w:val="Char Char Char1 Char Char Char Char Char Char Char Char Char Char Char Char Char Char Char Char Char Char Char"/>
    <w:basedOn w:val="1"/>
    <w:autoRedefine/>
    <w:qFormat/>
    <w:uiPriority w:val="0"/>
    <w:pPr>
      <w:spacing w:line="360" w:lineRule="auto"/>
      <w:ind w:firstLine="200" w:firstLineChars="200"/>
    </w:pPr>
    <w:rPr>
      <w:rFonts w:ascii="宋体" w:hAnsi="宋体" w:cs="宋体"/>
      <w:sz w:val="24"/>
    </w:rPr>
  </w:style>
  <w:style w:type="paragraph" w:customStyle="1" w:styleId="99">
    <w:name w:val="Char Char1 Char Char Char Char Char Char Char Char Char Char Char Char Char Char Char Char Char Char Char Char1 Char"/>
    <w:basedOn w:val="1"/>
    <w:autoRedefine/>
    <w:qFormat/>
    <w:uiPriority w:val="0"/>
    <w:pPr>
      <w:spacing w:line="360" w:lineRule="auto"/>
      <w:ind w:firstLine="200" w:firstLineChars="200"/>
    </w:pPr>
    <w:rPr>
      <w:rFonts w:ascii="宋体" w:hAnsi="宋体" w:cs="宋体"/>
      <w:sz w:val="24"/>
    </w:rPr>
  </w:style>
  <w:style w:type="paragraph" w:customStyle="1" w:styleId="100">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01">
    <w:name w:val="表格文字"/>
    <w:basedOn w:val="1"/>
    <w:autoRedefine/>
    <w:qFormat/>
    <w:uiPriority w:val="0"/>
    <w:pPr>
      <w:jc w:val="center"/>
    </w:pPr>
    <w:rPr>
      <w:rFonts w:ascii="仿宋_GB2312" w:hAnsi="Arial Black" w:eastAsia="仿宋_GB2312"/>
      <w:kern w:val="44"/>
      <w:sz w:val="24"/>
    </w:rPr>
  </w:style>
  <w:style w:type="paragraph" w:customStyle="1" w:styleId="102">
    <w:name w:val="默认段落字体 Para Char Char Char Char Char Char Char"/>
    <w:basedOn w:val="1"/>
    <w:autoRedefine/>
    <w:qFormat/>
    <w:uiPriority w:val="0"/>
    <w:rPr>
      <w:rFonts w:ascii="Tahoma" w:hAnsi="Tahoma"/>
      <w:sz w:val="24"/>
      <w:szCs w:val="20"/>
    </w:rPr>
  </w:style>
  <w:style w:type="paragraph" w:customStyle="1" w:styleId="103">
    <w:name w:val="Char Char Char Char Char Char Char Char Char Char Char Char Char Char Char Char Char Char Char Char Char1 Char Char Char Char Char Char Char Char Char Char Char Char Char"/>
    <w:basedOn w:val="1"/>
    <w:autoRedefine/>
    <w:qFormat/>
    <w:uiPriority w:val="0"/>
    <w:pPr>
      <w:adjustRightInd w:val="0"/>
      <w:snapToGrid w:val="0"/>
      <w:spacing w:line="360" w:lineRule="auto"/>
      <w:ind w:firstLine="200" w:firstLineChars="200"/>
    </w:pPr>
    <w:rPr>
      <w:rFonts w:ascii="宋体" w:hAnsi="宋体" w:cs="宋体"/>
      <w:sz w:val="24"/>
      <w:szCs w:val="26"/>
    </w:rPr>
  </w:style>
  <w:style w:type="character" w:customStyle="1" w:styleId="104">
    <w:name w:val="正文文本缩进 Char"/>
    <w:basedOn w:val="32"/>
    <w:link w:val="11"/>
    <w:autoRedefine/>
    <w:qFormat/>
    <w:uiPriority w:val="0"/>
    <w:rPr>
      <w:kern w:val="2"/>
      <w:sz w:val="28"/>
      <w:szCs w:val="24"/>
    </w:rPr>
  </w:style>
  <w:style w:type="character" w:customStyle="1" w:styleId="105">
    <w:name w:val="正文首行缩进 2 Char"/>
    <w:basedOn w:val="104"/>
    <w:link w:val="26"/>
    <w:autoRedefine/>
    <w:qFormat/>
    <w:uiPriority w:val="0"/>
  </w:style>
  <w:style w:type="character" w:customStyle="1" w:styleId="106">
    <w:name w:val="f12_0000_1"/>
    <w:basedOn w:val="32"/>
    <w:autoRedefine/>
    <w:qFormat/>
    <w:uiPriority w:val="0"/>
  </w:style>
  <w:style w:type="character" w:customStyle="1" w:styleId="107">
    <w:name w:val="op_dict_text2"/>
    <w:basedOn w:val="32"/>
    <w:autoRedefine/>
    <w:qFormat/>
    <w:uiPriority w:val="0"/>
  </w:style>
  <w:style w:type="character" w:customStyle="1" w:styleId="108">
    <w:name w:val="op_dict_text22"/>
    <w:basedOn w:val="32"/>
    <w:autoRedefine/>
    <w:qFormat/>
    <w:uiPriority w:val="0"/>
  </w:style>
  <w:style w:type="paragraph" w:customStyle="1" w:styleId="109">
    <w:name w:val="表头"/>
    <w:autoRedefine/>
    <w:qFormat/>
    <w:uiPriority w:val="0"/>
    <w:pPr>
      <w:jc w:val="center"/>
    </w:pPr>
    <w:rPr>
      <w:rFonts w:ascii="Times New Roman" w:hAnsi="Times New Roman" w:eastAsia="宋体" w:cs="Times New Roman"/>
      <w:b/>
      <w:sz w:val="21"/>
      <w:lang w:val="en-US" w:eastAsia="zh-CN" w:bidi="ar-SA"/>
    </w:rPr>
  </w:style>
  <w:style w:type="paragraph" w:customStyle="1" w:styleId="110">
    <w:name w:val="Char Char Char"/>
    <w:basedOn w:val="1"/>
    <w:autoRedefine/>
    <w:qFormat/>
    <w:uiPriority w:val="0"/>
    <w:rPr>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43</Pages>
  <Words>4158</Words>
  <Characters>23707</Characters>
  <Lines>197</Lines>
  <Paragraphs>55</Paragraphs>
  <TotalTime>7</TotalTime>
  <ScaleCrop>false</ScaleCrop>
  <LinksUpToDate>false</LinksUpToDate>
  <CharactersWithSpaces>27810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2019-07-06T00:42:00Z</dcterms:created>
  <dc:creator>ABC</dc:creator>
  <cp:lastModifiedBy>❣阳 ❁҉҉҉҉҉҉҉҉</cp:lastModifiedBy>
  <cp:lastPrinted>2011-07-07T09:03:00Z</cp:lastPrinted>
  <dcterms:modified xsi:type="dcterms:W3CDTF">2024-03-19T06:24:21Z</dcterms:modified>
  <dc:title>建设项目环境影响报告表</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E029D55FEC7B4561B0390AEAE4E37B0E_13</vt:lpwstr>
  </property>
</Properties>
</file>