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hAnsi="仿宋_GB2312" w:eastAsia="仿宋_GB2312" w:cs="仿宋_GB2312"/>
          <w:color w:val="FF0000"/>
          <w:sz w:val="36"/>
          <w:szCs w:val="36"/>
        </w:rPr>
      </w:pPr>
      <w:bookmarkStart w:id="0" w:name="_Hlk57883707"/>
    </w:p>
    <w:p>
      <w:pPr>
        <w:jc w:val="center"/>
        <w:rPr>
          <w:rFonts w:ascii="仿宋_GB2312" w:hAnsi="仿宋_GB2312" w:eastAsia="仿宋_GB2312" w:cs="仿宋_GB2312"/>
          <w:color w:val="FF0000"/>
          <w:sz w:val="36"/>
          <w:szCs w:val="36"/>
        </w:rPr>
      </w:pPr>
    </w:p>
    <w:p>
      <w:pPr>
        <w:jc w:val="center"/>
        <w:rPr>
          <w:rFonts w:ascii="仿宋_GB2312" w:hAnsi="仿宋_GB2312" w:eastAsia="仿宋_GB2312" w:cs="仿宋_GB2312"/>
          <w:color w:val="FF0000"/>
          <w:sz w:val="36"/>
          <w:szCs w:val="36"/>
        </w:rPr>
      </w:pPr>
    </w:p>
    <w:p>
      <w:pPr>
        <w:jc w:val="center"/>
        <w:rPr>
          <w:rFonts w:ascii="仿宋_GB2312" w:hAnsi="仿宋_GB2312" w:eastAsia="仿宋_GB2312" w:cs="仿宋_GB2312"/>
          <w:color w:val="FF0000"/>
          <w:sz w:val="36"/>
          <w:szCs w:val="36"/>
        </w:rPr>
      </w:pPr>
    </w:p>
    <w:bookmarkEnd w:id="0"/>
    <w:p>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（生态影响类）</w:t>
      </w:r>
    </w:p>
    <w:p>
      <w:pPr>
        <w:jc w:val="center"/>
        <w:rPr>
          <w:rFonts w:ascii="华文仿宋" w:hAnsi="华文仿宋" w:eastAsia="华文仿宋" w:cs="华文仿宋"/>
          <w:color w:val="000000" w:themeColor="text1"/>
          <w:kern w:val="44"/>
          <w:sz w:val="44"/>
          <w:szCs w:val="44"/>
          <w14:textFill>
            <w14:solidFill>
              <w14:schemeClr w14:val="tx1"/>
            </w14:solidFill>
          </w14:textFill>
        </w:rPr>
      </w:pPr>
      <w:bookmarkStart w:id="1" w:name="_Hlk57883728"/>
    </w:p>
    <w:p>
      <w:pPr>
        <w:jc w:val="center"/>
        <w:rPr>
          <w:rFonts w:eastAsia="仿宋"/>
          <w:color w:val="000000" w:themeColor="text1"/>
          <w:sz w:val="44"/>
          <w:szCs w:val="44"/>
          <w14:textFill>
            <w14:solidFill>
              <w14:schemeClr w14:val="tx1"/>
            </w14:solidFill>
          </w14:textFill>
        </w:rPr>
      </w:pPr>
    </w:p>
    <w:p>
      <w:pPr>
        <w:jc w:val="center"/>
        <w:rPr>
          <w:rFonts w:eastAsia="仿宋"/>
          <w:color w:val="000000" w:themeColor="text1"/>
          <w:sz w:val="44"/>
          <w:szCs w:val="44"/>
          <w14:textFill>
            <w14:solidFill>
              <w14:schemeClr w14:val="tx1"/>
            </w14:solidFill>
          </w14:textFill>
        </w:rPr>
      </w:pPr>
    </w:p>
    <w:p>
      <w:pPr>
        <w:jc w:val="center"/>
        <w:rPr>
          <w:rFonts w:eastAsia="仿宋"/>
          <w:color w:val="000000" w:themeColor="text1"/>
          <w:sz w:val="44"/>
          <w:szCs w:val="44"/>
          <w14:textFill>
            <w14:solidFill>
              <w14:schemeClr w14:val="tx1"/>
            </w14:solidFill>
          </w14:textFill>
        </w:rPr>
      </w:pPr>
    </w:p>
    <w:p>
      <w:pPr>
        <w:jc w:val="center"/>
        <w:rPr>
          <w:rFonts w:eastAsia="仿宋"/>
          <w:color w:val="000000" w:themeColor="text1"/>
          <w:sz w:val="44"/>
          <w:szCs w:val="44"/>
          <w14:textFill>
            <w14:solidFill>
              <w14:schemeClr w14:val="tx1"/>
            </w14:solidFill>
          </w14:textFill>
        </w:rPr>
      </w:pPr>
    </w:p>
    <w:p>
      <w:pPr>
        <w:pStyle w:val="9"/>
        <w:jc w:val="center"/>
        <w:rPr>
          <w:rFonts w:eastAsia="仿宋"/>
          <w:color w:val="000000" w:themeColor="text1"/>
          <w:sz w:val="44"/>
          <w:szCs w:val="44"/>
          <w14:textFill>
            <w14:solidFill>
              <w14:schemeClr w14:val="tx1"/>
            </w14:solidFill>
          </w14:textFill>
        </w:rPr>
      </w:pPr>
    </w:p>
    <w:p>
      <w:pPr>
        <w:pStyle w:val="9"/>
        <w:jc w:val="center"/>
        <w:rPr>
          <w:rFonts w:eastAsia="仿宋"/>
          <w:color w:val="000000" w:themeColor="text1"/>
          <w:sz w:val="44"/>
          <w:szCs w:val="44"/>
          <w14:textFill>
            <w14:solidFill>
              <w14:schemeClr w14:val="tx1"/>
            </w14:solidFill>
          </w14:textFill>
        </w:rPr>
      </w:pPr>
    </w:p>
    <w:p>
      <w:pPr>
        <w:pStyle w:val="9"/>
        <w:jc w:val="center"/>
        <w:rPr>
          <w:rFonts w:eastAsia="仿宋"/>
          <w:color w:val="000000" w:themeColor="text1"/>
          <w:sz w:val="44"/>
          <w:szCs w:val="44"/>
          <w14:textFill>
            <w14:solidFill>
              <w14:schemeClr w14:val="tx1"/>
            </w14:solidFill>
          </w14:textFill>
        </w:rPr>
      </w:pPr>
    </w:p>
    <w:p>
      <w:pPr>
        <w:pStyle w:val="9"/>
        <w:jc w:val="center"/>
        <w:rPr>
          <w:rFonts w:eastAsia="仿宋"/>
          <w:color w:val="000000" w:themeColor="text1"/>
          <w:sz w:val="44"/>
          <w:szCs w:val="44"/>
          <w14:textFill>
            <w14:solidFill>
              <w14:schemeClr w14:val="tx1"/>
            </w14:solidFill>
          </w14:textFill>
        </w:rPr>
      </w:pPr>
    </w:p>
    <w:bookmarkEnd w:id="1"/>
    <w:p>
      <w:pPr>
        <w:adjustRightInd w:val="0"/>
        <w:snapToGrid w:val="0"/>
        <w:spacing w:line="288" w:lineRule="auto"/>
        <w:ind w:left="2518" w:leftChars="342" w:hanging="1800" w:hangingChars="500"/>
        <w:rPr>
          <w:rFonts w:hint="eastAsia" w:ascii="仿宋_GB2312" w:eastAsia="仿宋_GB2312"/>
          <w:color w:val="000000" w:themeColor="text1"/>
          <w:sz w:val="36"/>
          <w:szCs w:val="36"/>
          <w:u w:val="single"/>
          <w:lang w:eastAsia="zh-CN"/>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single"/>
          <w:lang w:val="en-US" w:eastAsia="zh-CN"/>
          <w14:textFill>
            <w14:solidFill>
              <w14:schemeClr w14:val="tx1"/>
            </w14:solidFill>
          </w14:textFill>
        </w:rPr>
        <w:t xml:space="preserve"> </w:t>
      </w:r>
      <w:r>
        <w:rPr>
          <w:rFonts w:hint="eastAsia" w:ascii="仿宋_GB2312" w:eastAsia="仿宋_GB2312"/>
          <w:color w:val="000000" w:themeColor="text1"/>
          <w:sz w:val="36"/>
          <w:szCs w:val="36"/>
          <w:u w:val="single"/>
          <w:lang w:eastAsia="zh-CN"/>
          <w14:textFill>
            <w14:solidFill>
              <w14:schemeClr w14:val="tx1"/>
            </w14:solidFill>
          </w14:textFill>
        </w:rPr>
        <w:t>潏河流域上游水土保持及河道水生态</w:t>
      </w:r>
      <w:r>
        <w:rPr>
          <w:rFonts w:hint="eastAsia" w:ascii="仿宋_GB2312" w:eastAsia="仿宋_GB2312"/>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ind w:left="2514" w:leftChars="1197" w:firstLine="0" w:firstLineChars="0"/>
        <w:rPr>
          <w:rFonts w:hint="default" w:ascii="仿宋_GB2312" w:eastAsia="仿宋_GB2312"/>
          <w:color w:val="000000" w:themeColor="text1"/>
          <w:sz w:val="36"/>
          <w:szCs w:val="36"/>
          <w:u w:val="single"/>
          <w:lang w:val="en-US" w:eastAsia="zh-CN"/>
          <w14:textFill>
            <w14:solidFill>
              <w14:schemeClr w14:val="tx1"/>
            </w14:solidFill>
          </w14:textFill>
        </w:rPr>
      </w:pPr>
      <w:r>
        <w:rPr>
          <w:rFonts w:hint="eastAsia" w:ascii="仿宋_GB2312" w:eastAsia="仿宋_GB2312"/>
          <w:color w:val="000000" w:themeColor="text1"/>
          <w:sz w:val="36"/>
          <w:szCs w:val="36"/>
          <w:u w:val="single"/>
          <w:lang w:val="en-US" w:eastAsia="zh-CN"/>
          <w14:textFill>
            <w14:solidFill>
              <w14:schemeClr w14:val="tx1"/>
            </w14:solidFill>
          </w14:textFill>
        </w:rPr>
        <w:t xml:space="preserve">           </w:t>
      </w:r>
      <w:r>
        <w:rPr>
          <w:rFonts w:hint="eastAsia" w:ascii="仿宋_GB2312" w:eastAsia="仿宋_GB2312"/>
          <w:color w:val="000000" w:themeColor="text1"/>
          <w:sz w:val="36"/>
          <w:szCs w:val="36"/>
          <w:u w:val="single"/>
          <w:lang w:eastAsia="zh-CN"/>
          <w14:textFill>
            <w14:solidFill>
              <w14:schemeClr w14:val="tx1"/>
            </w14:solidFill>
          </w14:textFill>
        </w:rPr>
        <w:t>保护修复工程</w:t>
      </w:r>
      <w:r>
        <w:rPr>
          <w:rFonts w:hint="eastAsia" w:ascii="仿宋_GB2312" w:eastAsia="仿宋_GB2312"/>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ind w:firstLine="720" w:firstLineChars="200"/>
        <w:rPr>
          <w:rFonts w:hint="default" w:ascii="仿宋_GB2312" w:eastAsia="仿宋_GB2312"/>
          <w:color w:val="000000" w:themeColor="text1"/>
          <w:sz w:val="36"/>
          <w:szCs w:val="36"/>
          <w:u w:val="single"/>
          <w:lang w:val="en-US" w:eastAsia="zh-CN"/>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z w:val="36"/>
          <w:szCs w:val="36"/>
          <w:u w:val="single"/>
          <w:lang w:val="en-US" w:eastAsia="zh-CN"/>
          <w14:textFill>
            <w14:solidFill>
              <w14:schemeClr w14:val="tx1"/>
            </w14:solidFill>
          </w14:textFill>
        </w:rPr>
        <w:t xml:space="preserve">   西安城投建设有限公司   </w:t>
      </w:r>
    </w:p>
    <w:p>
      <w:pPr>
        <w:adjustRightInd w:val="0"/>
        <w:snapToGrid w:val="0"/>
        <w:spacing w:line="288" w:lineRule="auto"/>
        <w:ind w:firstLine="720" w:firstLineChars="200"/>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2023年</w:t>
      </w:r>
      <w:r>
        <w:rPr>
          <w:rFonts w:hint="eastAsia" w:ascii="仿宋_GB2312" w:eastAsia="仿宋_GB2312"/>
          <w:color w:val="000000" w:themeColor="text1"/>
          <w:sz w:val="36"/>
          <w:szCs w:val="36"/>
          <w:u w:val="single"/>
          <w:lang w:val="en-US" w:eastAsia="zh-CN"/>
          <w14:textFill>
            <w14:solidFill>
              <w14:schemeClr w14:val="tx1"/>
            </w14:solidFill>
          </w14:textFill>
        </w:rPr>
        <w:t>12</w:t>
      </w:r>
      <w:r>
        <w:rPr>
          <w:rFonts w:hint="eastAsia" w:ascii="仿宋_GB2312" w:eastAsia="仿宋_GB2312"/>
          <w:color w:val="000000" w:themeColor="text1"/>
          <w:sz w:val="36"/>
          <w:szCs w:val="36"/>
          <w:u w:val="single"/>
          <w14:textFill>
            <w14:solidFill>
              <w14:schemeClr w14:val="tx1"/>
            </w14:solidFill>
          </w14:textFill>
        </w:rPr>
        <w:t>月</w:t>
      </w:r>
      <w:r>
        <w:rPr>
          <w:rFonts w:ascii="仿宋_GB2312"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jc w:val="center"/>
        <w:rPr>
          <w:rFonts w:ascii="仿宋_GB2312" w:eastAsia="仿宋_GB2312"/>
          <w:color w:val="000000" w:themeColor="text1"/>
          <w:sz w:val="36"/>
          <w:szCs w:val="36"/>
          <w:u w:val="single"/>
          <w14:textFill>
            <w14:solidFill>
              <w14:schemeClr w14:val="tx1"/>
            </w14:solidFill>
          </w14:textFill>
        </w:rPr>
      </w:pPr>
    </w:p>
    <w:p>
      <w:pPr>
        <w:adjustRightInd w:val="0"/>
        <w:snapToGrid w:val="0"/>
        <w:spacing w:line="288" w:lineRule="auto"/>
        <w:jc w:val="center"/>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jc w:val="center"/>
        <w:rPr>
          <w:rFonts w:ascii="楷体_GB2312" w:eastAsia="楷体_GB2312"/>
          <w:color w:val="FF0000"/>
          <w:sz w:val="36"/>
          <w:szCs w:val="36"/>
        </w:rPr>
      </w:pPr>
      <w:r>
        <w:rPr>
          <w:rFonts w:hint="eastAsia" w:ascii="楷体_GB2312"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rPr>
          <w:rFonts w:ascii="仿宋_GB2312" w:eastAsia="仿宋_GB2312"/>
          <w:color w:val="FF0000"/>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24"/>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7"/>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4"/>
        <w:gridCol w:w="2705"/>
        <w:gridCol w:w="2218"/>
        <w:gridCol w:w="10"/>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475" w:type="dxa"/>
            <w:gridSpan w:val="4"/>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潏河流域上游水土保持及河道水生态保护修复工程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475" w:type="dxa"/>
            <w:gridSpan w:val="4"/>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2203-610100-04-05-321562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联系人</w:t>
            </w:r>
          </w:p>
        </w:tc>
        <w:tc>
          <w:tcPr>
            <w:tcW w:w="2705" w:type="dxa"/>
            <w:vAlign w:val="center"/>
          </w:tcPr>
          <w:p>
            <w:pPr>
              <w:adjustRightInd w:val="0"/>
              <w:snapToGrid w:val="0"/>
              <w:jc w:val="center"/>
              <w:rPr>
                <w:color w:val="000000" w:themeColor="text1"/>
                <w:sz w:val="24"/>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白羽东</w:t>
            </w:r>
          </w:p>
        </w:tc>
        <w:tc>
          <w:tcPr>
            <w:tcW w:w="2228" w:type="dxa"/>
            <w:gridSpan w:val="2"/>
            <w:vAlign w:val="center"/>
          </w:tcPr>
          <w:p>
            <w:pPr>
              <w:adjustRightInd w:val="0"/>
              <w:snapToGrid w:val="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联系方式</w:t>
            </w:r>
          </w:p>
        </w:tc>
        <w:tc>
          <w:tcPr>
            <w:tcW w:w="2542" w:type="dxa"/>
            <w:vAlign w:val="center"/>
          </w:tcPr>
          <w:p>
            <w:pPr>
              <w:adjustRightInd w:val="0"/>
              <w:snapToGrid w:val="0"/>
              <w:jc w:val="center"/>
              <w:rPr>
                <w:rFonts w:hint="default"/>
                <w:color w:val="000000" w:themeColor="text1"/>
                <w:sz w:val="24"/>
                <w:lang w:val="en-US"/>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475" w:type="dxa"/>
            <w:gridSpan w:val="4"/>
            <w:vAlign w:val="center"/>
          </w:tcPr>
          <w:p>
            <w:pPr>
              <w:adjustRightInd w:val="0"/>
              <w:snapToGrid w:val="0"/>
              <w:jc w:val="center"/>
              <w:rPr>
                <w:color w:val="000000" w:themeColor="text1"/>
                <w:sz w:val="24"/>
                <w:u w:val="single"/>
                <w14:textFill>
                  <w14:solidFill>
                    <w14:schemeClr w14:val="tx1"/>
                  </w14:solidFill>
                </w14:textFill>
              </w:rPr>
            </w:pPr>
            <w:r>
              <w:rPr>
                <w:color w:val="000000" w:themeColor="text1"/>
                <w:sz w:val="24"/>
                <w:u w:val="single"/>
                <w14:textFill>
                  <w14:solidFill>
                    <w14:schemeClr w14:val="tx1"/>
                  </w14:solidFill>
                </w14:textFill>
              </w:rPr>
              <w:t>陕西</w:t>
            </w:r>
            <w:r>
              <w:rPr>
                <w:color w:val="000000" w:themeColor="text1"/>
                <w:sz w:val="24"/>
                <w14:textFill>
                  <w14:solidFill>
                    <w14:schemeClr w14:val="tx1"/>
                  </w14:solidFill>
                </w14:textFill>
              </w:rPr>
              <w:t>省</w:t>
            </w:r>
            <w:r>
              <w:rPr>
                <w:rFonts w:hint="eastAsia"/>
                <w:color w:val="000000" w:themeColor="text1"/>
                <w:sz w:val="24"/>
                <w:u w:val="single"/>
                <w:lang w:eastAsia="zh-CN"/>
                <w14:textFill>
                  <w14:solidFill>
                    <w14:schemeClr w14:val="tx1"/>
                  </w14:solidFill>
                </w14:textFill>
              </w:rPr>
              <w:t>西安</w:t>
            </w:r>
            <w:r>
              <w:rPr>
                <w:rFonts w:hint="eastAsia"/>
                <w:color w:val="000000" w:themeColor="text1"/>
                <w:sz w:val="24"/>
                <w14:textFill>
                  <w14:solidFill>
                    <w14:schemeClr w14:val="tx1"/>
                  </w14:solidFill>
                </w14:textFill>
              </w:rPr>
              <w:t>市</w:t>
            </w:r>
            <w:r>
              <w:rPr>
                <w:rFonts w:hint="eastAsia"/>
                <w:color w:val="000000" w:themeColor="text1"/>
                <w:sz w:val="24"/>
                <w:u w:val="single"/>
                <w:lang w:eastAsia="zh-CN"/>
                <w14:textFill>
                  <w14:solidFill>
                    <w14:schemeClr w14:val="tx1"/>
                  </w14:solidFill>
                </w14:textFill>
              </w:rPr>
              <w:t>长安</w:t>
            </w:r>
            <w:r>
              <w:rPr>
                <w:rFonts w:hint="eastAsia"/>
                <w:color w:val="000000" w:themeColor="text1"/>
                <w:sz w:val="24"/>
                <w:u w:val="none"/>
                <w:lang w:eastAsia="zh-CN"/>
                <w14:textFill>
                  <w14:solidFill>
                    <w14:schemeClr w14:val="tx1"/>
                  </w14:solidFill>
                </w14:textFill>
              </w:rPr>
              <w:t>区</w:t>
            </w:r>
            <w:r>
              <w:rPr>
                <w:rFonts w:hint="eastAsia"/>
                <w:color w:val="000000" w:themeColor="text1"/>
                <w:sz w:val="24"/>
                <w:u w:val="single"/>
                <w:lang w:eastAsia="zh-CN"/>
                <w14:textFill>
                  <w14:solidFill>
                    <w14:schemeClr w14:val="tx1"/>
                  </w14:solidFill>
                </w14:textFill>
              </w:rPr>
              <w:t>潏河流域上游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67" w:hRule="atLeast"/>
        </w:trPr>
        <w:tc>
          <w:tcPr>
            <w:tcW w:w="1564" w:type="dxa"/>
            <w:tcMar>
              <w:top w:w="16" w:type="dxa"/>
              <w:left w:w="16" w:type="dxa"/>
              <w:right w:w="16" w:type="dxa"/>
            </w:tcMar>
            <w:vAlign w:val="center"/>
          </w:tcPr>
          <w:p>
            <w:pPr>
              <w:adjustRightInd w:val="0"/>
              <w:snapToGrid w:val="0"/>
              <w:jc w:val="center"/>
              <w:rPr>
                <w:color w:val="FF0000"/>
                <w:sz w:val="24"/>
              </w:rPr>
            </w:pPr>
            <w:r>
              <w:rPr>
                <w:color w:val="auto"/>
                <w:sz w:val="24"/>
              </w:rPr>
              <w:t>地理坐标</w:t>
            </w:r>
          </w:p>
        </w:tc>
        <w:tc>
          <w:tcPr>
            <w:tcW w:w="7475" w:type="dxa"/>
            <w:gridSpan w:val="4"/>
            <w:vAlign w:val="center"/>
          </w:tcPr>
          <w:p>
            <w:pPr>
              <w:adjustRightInd w:val="0"/>
              <w:snapToGrid w:val="0"/>
              <w:jc w:val="center"/>
              <w:rPr>
                <w:color w:val="auto"/>
                <w:sz w:val="24"/>
              </w:rPr>
            </w:pPr>
            <w:r>
              <w:rPr>
                <w:rFonts w:hint="eastAsia"/>
                <w:b/>
                <w:bCs/>
                <w:color w:val="auto"/>
                <w:sz w:val="24"/>
              </w:rPr>
              <w:t xml:space="preserve">表1-1   </w:t>
            </w:r>
            <w:r>
              <w:rPr>
                <w:rFonts w:hint="eastAsia"/>
                <w:b/>
                <w:bCs/>
                <w:color w:val="auto"/>
                <w:sz w:val="24"/>
                <w:lang w:eastAsia="zh-CN"/>
              </w:rPr>
              <w:t>项目</w:t>
            </w:r>
            <w:r>
              <w:rPr>
                <w:rFonts w:hint="eastAsia"/>
                <w:b/>
                <w:bCs/>
                <w:color w:val="auto"/>
                <w:sz w:val="24"/>
              </w:rPr>
              <w:t>地理坐标</w:t>
            </w:r>
          </w:p>
          <w:tbl>
            <w:tblPr>
              <w:tblStyle w:val="28"/>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192"/>
              <w:gridCol w:w="1371"/>
              <w:gridCol w:w="1072"/>
              <w:gridCol w:w="25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tcBorders>
                    <w:tl2br w:val="nil"/>
                    <w:tr2bl w:val="nil"/>
                  </w:tcBorders>
                  <w:vAlign w:val="center"/>
                </w:tcPr>
                <w:p>
                  <w:pPr>
                    <w:adjustRightInd w:val="0"/>
                    <w:snapToGrid w:val="0"/>
                    <w:jc w:val="center"/>
                    <w:rPr>
                      <w:b/>
                      <w:bCs/>
                      <w:color w:val="auto"/>
                      <w:szCs w:val="21"/>
                    </w:rPr>
                  </w:pPr>
                  <w:r>
                    <w:rPr>
                      <w:b/>
                      <w:bCs/>
                      <w:color w:val="auto"/>
                      <w:szCs w:val="21"/>
                    </w:rPr>
                    <w:t>工程名称</w:t>
                  </w:r>
                </w:p>
              </w:tc>
              <w:tc>
                <w:tcPr>
                  <w:tcW w:w="807" w:type="pct"/>
                  <w:tcBorders>
                    <w:tl2br w:val="nil"/>
                    <w:tr2bl w:val="nil"/>
                  </w:tcBorders>
                  <w:vAlign w:val="center"/>
                </w:tcPr>
                <w:p>
                  <w:pPr>
                    <w:adjustRightInd w:val="0"/>
                    <w:snapToGrid w:val="0"/>
                    <w:jc w:val="center"/>
                    <w:rPr>
                      <w:rFonts w:hint="eastAsia" w:eastAsia="宋体"/>
                      <w:b/>
                      <w:bCs/>
                      <w:color w:val="auto"/>
                      <w:szCs w:val="21"/>
                      <w:lang w:eastAsia="zh-CN"/>
                    </w:rPr>
                  </w:pPr>
                  <w:r>
                    <w:rPr>
                      <w:rFonts w:hint="eastAsia"/>
                      <w:b/>
                      <w:bCs/>
                      <w:color w:val="auto"/>
                      <w:szCs w:val="21"/>
                      <w:lang w:eastAsia="zh-CN"/>
                    </w:rPr>
                    <w:t>涉及河道</w:t>
                  </w:r>
                </w:p>
              </w:tc>
              <w:tc>
                <w:tcPr>
                  <w:tcW w:w="3369" w:type="pct"/>
                  <w:gridSpan w:val="3"/>
                  <w:tcBorders>
                    <w:tl2br w:val="nil"/>
                    <w:tr2bl w:val="nil"/>
                  </w:tcBorders>
                  <w:vAlign w:val="center"/>
                </w:tcPr>
                <w:p>
                  <w:pPr>
                    <w:adjustRightInd w:val="0"/>
                    <w:snapToGrid w:val="0"/>
                    <w:jc w:val="center"/>
                    <w:rPr>
                      <w:b/>
                      <w:bCs/>
                      <w:color w:val="auto"/>
                      <w:szCs w:val="21"/>
                    </w:rPr>
                  </w:pPr>
                  <w:r>
                    <w:rPr>
                      <w:rFonts w:hint="eastAsia"/>
                      <w:b/>
                      <w:bCs/>
                      <w:color w:val="auto"/>
                      <w:szCs w:val="21"/>
                      <w:lang w:eastAsia="zh-CN"/>
                    </w:rPr>
                    <w:t>中心坐标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vMerge w:val="restart"/>
                  <w:tcBorders>
                    <w:tl2br w:val="nil"/>
                    <w:tr2bl w:val="nil"/>
                  </w:tcBorders>
                  <w:vAlign w:val="center"/>
                </w:tcPr>
                <w:p>
                  <w:pPr>
                    <w:adjustRightInd w:val="0"/>
                    <w:snapToGrid w:val="0"/>
                    <w:jc w:val="center"/>
                    <w:rPr>
                      <w:rFonts w:hint="eastAsia" w:eastAsia="宋体"/>
                      <w:b/>
                      <w:bCs/>
                      <w:color w:val="auto"/>
                      <w:szCs w:val="21"/>
                      <w:lang w:eastAsia="zh-CN"/>
                    </w:rPr>
                  </w:pPr>
                  <w:r>
                    <w:rPr>
                      <w:rFonts w:hint="eastAsia"/>
                      <w:b w:val="0"/>
                      <w:bCs w:val="0"/>
                      <w:color w:val="auto"/>
                      <w:szCs w:val="21"/>
                    </w:rPr>
                    <w:t>水土流失治理</w:t>
                  </w:r>
                  <w:r>
                    <w:rPr>
                      <w:rFonts w:hint="eastAsia"/>
                      <w:b w:val="0"/>
                      <w:bCs w:val="0"/>
                      <w:color w:val="auto"/>
                      <w:szCs w:val="21"/>
                      <w:lang w:eastAsia="zh-CN"/>
                    </w:rPr>
                    <w:t>工程</w:t>
                  </w:r>
                </w:p>
              </w:tc>
              <w:tc>
                <w:tcPr>
                  <w:tcW w:w="807" w:type="pct"/>
                  <w:vMerge w:val="restart"/>
                  <w:tcBorders>
                    <w:tl2br w:val="nil"/>
                    <w:tr2bl w:val="nil"/>
                  </w:tcBorders>
                  <w:vAlign w:val="center"/>
                </w:tcPr>
                <w:p>
                  <w:pPr>
                    <w:adjustRightInd w:val="0"/>
                    <w:snapToGrid w:val="0"/>
                    <w:jc w:val="center"/>
                    <w:rPr>
                      <w:rFonts w:hint="eastAsia" w:eastAsia="宋体"/>
                      <w:b w:val="0"/>
                      <w:bCs w:val="0"/>
                      <w:color w:val="auto"/>
                      <w:szCs w:val="21"/>
                      <w:lang w:eastAsia="zh-CN"/>
                    </w:rPr>
                  </w:pPr>
                  <w:r>
                    <w:rPr>
                      <w:rFonts w:hint="eastAsia"/>
                      <w:b w:val="0"/>
                      <w:bCs w:val="0"/>
                      <w:color w:val="auto"/>
                      <w:szCs w:val="21"/>
                      <w:lang w:eastAsia="zh-CN"/>
                    </w:rPr>
                    <w:t>大峪河</w:t>
                  </w:r>
                </w:p>
              </w:tc>
              <w:tc>
                <w:tcPr>
                  <w:tcW w:w="928" w:type="pct"/>
                  <w:tcBorders>
                    <w:tl2br w:val="nil"/>
                    <w:tr2bl w:val="nil"/>
                  </w:tcBorders>
                  <w:vAlign w:val="center"/>
                </w:tcPr>
                <w:p>
                  <w:pPr>
                    <w:adjustRightInd w:val="0"/>
                    <w:snapToGrid w:val="0"/>
                    <w:jc w:val="center"/>
                    <w:rPr>
                      <w:rFonts w:hint="default" w:eastAsia="宋体"/>
                      <w:b/>
                      <w:bCs/>
                      <w:color w:val="000000" w:themeColor="text1"/>
                      <w:szCs w:val="21"/>
                      <w:lang w:val="en-US"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地块</w:t>
                  </w:r>
                  <w:r>
                    <w:rPr>
                      <w:rFonts w:hint="eastAsia"/>
                      <w:b w:val="0"/>
                      <w:bCs w:val="0"/>
                      <w:color w:val="000000" w:themeColor="text1"/>
                      <w:szCs w:val="21"/>
                      <w:lang w:val="en-US" w:eastAsia="zh-CN"/>
                      <w14:textFill>
                        <w14:solidFill>
                          <w14:schemeClr w14:val="tx1"/>
                        </w14:solidFill>
                      </w14:textFill>
                    </w:rPr>
                    <w:t>1</w:t>
                  </w:r>
                </w:p>
              </w:tc>
              <w:tc>
                <w:tcPr>
                  <w:tcW w:w="2441" w:type="pct"/>
                  <w:gridSpan w:val="2"/>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7</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16.871</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 xml:space="preserve">    33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57</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16.797</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vMerge w:val="continue"/>
                  <w:tcBorders>
                    <w:tl2br w:val="nil"/>
                    <w:tr2bl w:val="nil"/>
                  </w:tcBorders>
                  <w:vAlign w:val="center"/>
                </w:tcPr>
                <w:p>
                  <w:pPr>
                    <w:adjustRightInd w:val="0"/>
                    <w:snapToGrid w:val="0"/>
                    <w:jc w:val="center"/>
                    <w:rPr>
                      <w:rFonts w:hint="eastAsia"/>
                      <w:b w:val="0"/>
                      <w:bCs w:val="0"/>
                      <w:color w:val="auto"/>
                      <w:szCs w:val="21"/>
                    </w:rPr>
                  </w:pPr>
                </w:p>
              </w:tc>
              <w:tc>
                <w:tcPr>
                  <w:tcW w:w="807" w:type="pct"/>
                  <w:vMerge w:val="continue"/>
                  <w:tcBorders>
                    <w:tl2br w:val="nil"/>
                    <w:tr2bl w:val="nil"/>
                  </w:tcBorders>
                  <w:vAlign w:val="center"/>
                </w:tcPr>
                <w:p>
                  <w:pPr>
                    <w:adjustRightInd w:val="0"/>
                    <w:snapToGrid w:val="0"/>
                    <w:jc w:val="center"/>
                    <w:rPr>
                      <w:rFonts w:hint="eastAsia"/>
                      <w:b w:val="0"/>
                      <w:bCs w:val="0"/>
                      <w:color w:val="auto"/>
                      <w:szCs w:val="21"/>
                      <w:lang w:eastAsia="zh-CN"/>
                    </w:rPr>
                  </w:pPr>
                </w:p>
              </w:tc>
              <w:tc>
                <w:tcPr>
                  <w:tcW w:w="928" w:type="pct"/>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地块</w:t>
                  </w:r>
                  <w:r>
                    <w:rPr>
                      <w:rFonts w:hint="eastAsia"/>
                      <w:b w:val="0"/>
                      <w:bCs w:val="0"/>
                      <w:color w:val="000000" w:themeColor="text1"/>
                      <w:szCs w:val="21"/>
                      <w:lang w:val="en-US" w:eastAsia="zh-CN"/>
                      <w14:textFill>
                        <w14:solidFill>
                          <w14:schemeClr w14:val="tx1"/>
                        </w14:solidFill>
                      </w14:textFill>
                    </w:rPr>
                    <w:t>2</w:t>
                  </w:r>
                </w:p>
              </w:tc>
              <w:tc>
                <w:tcPr>
                  <w:tcW w:w="2441" w:type="pct"/>
                  <w:gridSpan w:val="2"/>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7</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4.994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 xml:space="preserve">     33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56</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56.828</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vMerge w:val="continue"/>
                  <w:tcBorders>
                    <w:tl2br w:val="nil"/>
                    <w:tr2bl w:val="nil"/>
                  </w:tcBorders>
                  <w:vAlign w:val="center"/>
                </w:tcPr>
                <w:p>
                  <w:pPr>
                    <w:adjustRightInd w:val="0"/>
                    <w:snapToGrid w:val="0"/>
                    <w:jc w:val="center"/>
                    <w:rPr>
                      <w:rFonts w:hint="eastAsia"/>
                      <w:b w:val="0"/>
                      <w:bCs w:val="0"/>
                      <w:color w:val="auto"/>
                      <w:szCs w:val="21"/>
                    </w:rPr>
                  </w:pPr>
                </w:p>
              </w:tc>
              <w:tc>
                <w:tcPr>
                  <w:tcW w:w="807" w:type="pct"/>
                  <w:vMerge w:val="restart"/>
                  <w:tcBorders>
                    <w:tl2br w:val="nil"/>
                    <w:tr2bl w:val="nil"/>
                  </w:tcBorders>
                  <w:vAlign w:val="center"/>
                </w:tcPr>
                <w:p>
                  <w:pPr>
                    <w:adjustRightInd w:val="0"/>
                    <w:snapToGrid w:val="0"/>
                    <w:jc w:val="center"/>
                    <w:rPr>
                      <w:rFonts w:hint="eastAsia"/>
                      <w:b w:val="0"/>
                      <w:bCs w:val="0"/>
                      <w:color w:val="auto"/>
                      <w:szCs w:val="21"/>
                      <w:lang w:eastAsia="zh-CN"/>
                    </w:rPr>
                  </w:pPr>
                  <w:r>
                    <w:rPr>
                      <w:rFonts w:hint="eastAsia"/>
                      <w:b w:val="0"/>
                      <w:bCs w:val="0"/>
                      <w:color w:val="auto"/>
                      <w:szCs w:val="21"/>
                      <w:lang w:eastAsia="zh-CN"/>
                    </w:rPr>
                    <w:t>小峪河</w:t>
                  </w:r>
                </w:p>
              </w:tc>
              <w:tc>
                <w:tcPr>
                  <w:tcW w:w="928" w:type="pct"/>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地块</w:t>
                  </w:r>
                  <w:r>
                    <w:rPr>
                      <w:rFonts w:hint="eastAsia"/>
                      <w:b w:val="0"/>
                      <w:bCs w:val="0"/>
                      <w:color w:val="000000" w:themeColor="text1"/>
                      <w:szCs w:val="21"/>
                      <w:lang w:val="en-US" w:eastAsia="zh-CN"/>
                      <w14:textFill>
                        <w14:solidFill>
                          <w14:schemeClr w14:val="tx1"/>
                        </w14:solidFill>
                      </w14:textFill>
                    </w:rPr>
                    <w:t>3</w:t>
                  </w:r>
                </w:p>
              </w:tc>
              <w:tc>
                <w:tcPr>
                  <w:tcW w:w="2441" w:type="pct"/>
                  <w:gridSpan w:val="2"/>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15.532</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 xml:space="preserve">    33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55.792</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vMerge w:val="continue"/>
                  <w:tcBorders>
                    <w:tl2br w:val="nil"/>
                    <w:tr2bl w:val="nil"/>
                  </w:tcBorders>
                  <w:vAlign w:val="center"/>
                </w:tcPr>
                <w:p>
                  <w:pPr>
                    <w:adjustRightInd w:val="0"/>
                    <w:snapToGrid w:val="0"/>
                    <w:jc w:val="center"/>
                    <w:rPr>
                      <w:rFonts w:hint="eastAsia"/>
                      <w:b w:val="0"/>
                      <w:bCs w:val="0"/>
                      <w:color w:val="auto"/>
                      <w:szCs w:val="21"/>
                    </w:rPr>
                  </w:pPr>
                </w:p>
              </w:tc>
              <w:tc>
                <w:tcPr>
                  <w:tcW w:w="807" w:type="pct"/>
                  <w:vMerge w:val="continue"/>
                  <w:tcBorders>
                    <w:tl2br w:val="nil"/>
                    <w:tr2bl w:val="nil"/>
                  </w:tcBorders>
                  <w:vAlign w:val="center"/>
                </w:tcPr>
                <w:p>
                  <w:pPr>
                    <w:adjustRightInd w:val="0"/>
                    <w:snapToGrid w:val="0"/>
                    <w:jc w:val="center"/>
                    <w:rPr>
                      <w:rFonts w:hint="eastAsia"/>
                      <w:b w:val="0"/>
                      <w:bCs w:val="0"/>
                      <w:color w:val="auto"/>
                      <w:szCs w:val="21"/>
                      <w:lang w:eastAsia="zh-CN"/>
                    </w:rPr>
                  </w:pPr>
                </w:p>
              </w:tc>
              <w:tc>
                <w:tcPr>
                  <w:tcW w:w="928" w:type="pct"/>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地块</w:t>
                  </w:r>
                  <w:r>
                    <w:rPr>
                      <w:rFonts w:hint="eastAsia"/>
                      <w:b w:val="0"/>
                      <w:bCs w:val="0"/>
                      <w:color w:val="000000" w:themeColor="text1"/>
                      <w:szCs w:val="21"/>
                      <w:lang w:val="en-US" w:eastAsia="zh-CN"/>
                      <w14:textFill>
                        <w14:solidFill>
                          <w14:schemeClr w14:val="tx1"/>
                        </w14:solidFill>
                      </w14:textFill>
                    </w:rPr>
                    <w:t>4</w:t>
                  </w:r>
                </w:p>
              </w:tc>
              <w:tc>
                <w:tcPr>
                  <w:tcW w:w="2441" w:type="pct"/>
                  <w:gridSpan w:val="2"/>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16.343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 xml:space="preserve">    33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33.351</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vMerge w:val="continue"/>
                  <w:tcBorders>
                    <w:tl2br w:val="nil"/>
                    <w:tr2bl w:val="nil"/>
                  </w:tcBorders>
                  <w:vAlign w:val="center"/>
                </w:tcPr>
                <w:p>
                  <w:pPr>
                    <w:adjustRightInd w:val="0"/>
                    <w:snapToGrid w:val="0"/>
                    <w:jc w:val="center"/>
                    <w:rPr>
                      <w:rFonts w:hint="eastAsia"/>
                      <w:b w:val="0"/>
                      <w:bCs w:val="0"/>
                      <w:color w:val="auto"/>
                      <w:szCs w:val="21"/>
                    </w:rPr>
                  </w:pPr>
                </w:p>
              </w:tc>
              <w:tc>
                <w:tcPr>
                  <w:tcW w:w="807" w:type="pct"/>
                  <w:vMerge w:val="continue"/>
                  <w:tcBorders>
                    <w:tl2br w:val="nil"/>
                    <w:tr2bl w:val="nil"/>
                  </w:tcBorders>
                  <w:vAlign w:val="center"/>
                </w:tcPr>
                <w:p>
                  <w:pPr>
                    <w:adjustRightInd w:val="0"/>
                    <w:snapToGrid w:val="0"/>
                    <w:jc w:val="center"/>
                    <w:rPr>
                      <w:rFonts w:hint="eastAsia"/>
                      <w:b w:val="0"/>
                      <w:bCs w:val="0"/>
                      <w:color w:val="auto"/>
                      <w:szCs w:val="21"/>
                      <w:lang w:eastAsia="zh-CN"/>
                    </w:rPr>
                  </w:pPr>
                </w:p>
              </w:tc>
              <w:tc>
                <w:tcPr>
                  <w:tcW w:w="928" w:type="pct"/>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地块</w:t>
                  </w:r>
                  <w:r>
                    <w:rPr>
                      <w:rFonts w:hint="eastAsia"/>
                      <w:b w:val="0"/>
                      <w:bCs w:val="0"/>
                      <w:color w:val="000000" w:themeColor="text1"/>
                      <w:szCs w:val="21"/>
                      <w:lang w:val="en-US" w:eastAsia="zh-CN"/>
                      <w14:textFill>
                        <w14:solidFill>
                          <w14:schemeClr w14:val="tx1"/>
                        </w14:solidFill>
                      </w14:textFill>
                    </w:rPr>
                    <w:t>5</w:t>
                  </w:r>
                </w:p>
              </w:tc>
              <w:tc>
                <w:tcPr>
                  <w:tcW w:w="2441" w:type="pct"/>
                  <w:gridSpan w:val="2"/>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9.043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 xml:space="preserve">     33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15.005</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vMerge w:val="continue"/>
                  <w:tcBorders>
                    <w:tl2br w:val="nil"/>
                    <w:tr2bl w:val="nil"/>
                  </w:tcBorders>
                  <w:vAlign w:val="center"/>
                </w:tcPr>
                <w:p>
                  <w:pPr>
                    <w:adjustRightInd w:val="0"/>
                    <w:snapToGrid w:val="0"/>
                    <w:jc w:val="center"/>
                    <w:rPr>
                      <w:rFonts w:hint="eastAsia"/>
                      <w:b w:val="0"/>
                      <w:bCs w:val="0"/>
                      <w:color w:val="auto"/>
                      <w:szCs w:val="21"/>
                    </w:rPr>
                  </w:pPr>
                </w:p>
              </w:tc>
              <w:tc>
                <w:tcPr>
                  <w:tcW w:w="807" w:type="pct"/>
                  <w:vMerge w:val="continue"/>
                  <w:tcBorders>
                    <w:tl2br w:val="nil"/>
                    <w:tr2bl w:val="nil"/>
                  </w:tcBorders>
                  <w:vAlign w:val="center"/>
                </w:tcPr>
                <w:p>
                  <w:pPr>
                    <w:adjustRightInd w:val="0"/>
                    <w:snapToGrid w:val="0"/>
                    <w:jc w:val="center"/>
                    <w:rPr>
                      <w:rFonts w:hint="eastAsia"/>
                      <w:b w:val="0"/>
                      <w:bCs w:val="0"/>
                      <w:color w:val="auto"/>
                      <w:szCs w:val="21"/>
                      <w:lang w:eastAsia="zh-CN"/>
                    </w:rPr>
                  </w:pPr>
                </w:p>
              </w:tc>
              <w:tc>
                <w:tcPr>
                  <w:tcW w:w="928" w:type="pct"/>
                  <w:tcBorders>
                    <w:tl2br w:val="nil"/>
                    <w:tr2bl w:val="nil"/>
                  </w:tcBorders>
                  <w:vAlign w:val="center"/>
                </w:tcPr>
                <w:p>
                  <w:pPr>
                    <w:adjustRightInd w:val="0"/>
                    <w:snapToGrid w:val="0"/>
                    <w:jc w:val="center"/>
                    <w:rPr>
                      <w:rFonts w:hint="default"/>
                      <w:b/>
                      <w:bCs/>
                      <w:color w:val="000000" w:themeColor="text1"/>
                      <w:szCs w:val="21"/>
                      <w:lang w:val="en-US"/>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地块</w:t>
                  </w:r>
                  <w:r>
                    <w:rPr>
                      <w:rFonts w:hint="eastAsia"/>
                      <w:b w:val="0"/>
                      <w:bCs w:val="0"/>
                      <w:color w:val="000000" w:themeColor="text1"/>
                      <w:szCs w:val="21"/>
                      <w:lang w:val="en-US" w:eastAsia="zh-CN"/>
                      <w14:textFill>
                        <w14:solidFill>
                          <w14:schemeClr w14:val="tx1"/>
                        </w14:solidFill>
                      </w14:textFill>
                    </w:rPr>
                    <w:t>6</w:t>
                  </w:r>
                </w:p>
              </w:tc>
              <w:tc>
                <w:tcPr>
                  <w:tcW w:w="2441" w:type="pct"/>
                  <w:gridSpan w:val="2"/>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8.677</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 xml:space="preserve">     33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58</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55.152</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vMerge w:val="continue"/>
                  <w:tcBorders>
                    <w:tl2br w:val="nil"/>
                    <w:tr2bl w:val="nil"/>
                  </w:tcBorders>
                  <w:vAlign w:val="center"/>
                </w:tcPr>
                <w:p>
                  <w:pPr>
                    <w:adjustRightInd w:val="0"/>
                    <w:snapToGrid w:val="0"/>
                    <w:jc w:val="center"/>
                    <w:rPr>
                      <w:rFonts w:hint="eastAsia"/>
                      <w:b w:val="0"/>
                      <w:bCs w:val="0"/>
                      <w:color w:val="auto"/>
                      <w:szCs w:val="21"/>
                    </w:rPr>
                  </w:pPr>
                </w:p>
              </w:tc>
              <w:tc>
                <w:tcPr>
                  <w:tcW w:w="807" w:type="pct"/>
                  <w:vMerge w:val="continue"/>
                  <w:tcBorders>
                    <w:tl2br w:val="nil"/>
                    <w:tr2bl w:val="nil"/>
                  </w:tcBorders>
                  <w:vAlign w:val="center"/>
                </w:tcPr>
                <w:p>
                  <w:pPr>
                    <w:adjustRightInd w:val="0"/>
                    <w:snapToGrid w:val="0"/>
                    <w:jc w:val="center"/>
                    <w:rPr>
                      <w:rFonts w:hint="eastAsia"/>
                      <w:b w:val="0"/>
                      <w:bCs w:val="0"/>
                      <w:color w:val="auto"/>
                      <w:szCs w:val="21"/>
                      <w:lang w:eastAsia="zh-CN"/>
                    </w:rPr>
                  </w:pPr>
                </w:p>
              </w:tc>
              <w:tc>
                <w:tcPr>
                  <w:tcW w:w="928" w:type="pct"/>
                  <w:tcBorders>
                    <w:tl2br w:val="nil"/>
                    <w:tr2bl w:val="nil"/>
                  </w:tcBorders>
                  <w:vAlign w:val="center"/>
                </w:tcPr>
                <w:p>
                  <w:pPr>
                    <w:adjustRightInd w:val="0"/>
                    <w:snapToGrid w:val="0"/>
                    <w:jc w:val="center"/>
                    <w:rPr>
                      <w:rFonts w:hint="default"/>
                      <w:b/>
                      <w:bCs/>
                      <w:color w:val="000000" w:themeColor="text1"/>
                      <w:szCs w:val="21"/>
                      <w:lang w:val="en-US"/>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地块</w:t>
                  </w:r>
                  <w:r>
                    <w:rPr>
                      <w:rFonts w:hint="eastAsia"/>
                      <w:b w:val="0"/>
                      <w:bCs w:val="0"/>
                      <w:color w:val="000000" w:themeColor="text1"/>
                      <w:szCs w:val="21"/>
                      <w:lang w:val="en-US" w:eastAsia="zh-CN"/>
                      <w14:textFill>
                        <w14:solidFill>
                          <w14:schemeClr w14:val="tx1"/>
                        </w14:solidFill>
                      </w14:textFill>
                    </w:rPr>
                    <w:t>7</w:t>
                  </w:r>
                </w:p>
              </w:tc>
              <w:tc>
                <w:tcPr>
                  <w:tcW w:w="2441" w:type="pct"/>
                  <w:gridSpan w:val="2"/>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54.386</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 xml:space="preserve">    33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58</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49.784</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tcBorders>
                    <w:tl2br w:val="nil"/>
                    <w:tr2bl w:val="nil"/>
                  </w:tcBorders>
                  <w:vAlign w:val="center"/>
                </w:tcPr>
                <w:p>
                  <w:pPr>
                    <w:adjustRightInd w:val="0"/>
                    <w:snapToGrid w:val="0"/>
                    <w:jc w:val="center"/>
                    <w:rPr>
                      <w:rFonts w:ascii="Times New Roman" w:hAnsi="Times New Roman" w:eastAsia="宋体" w:cs="Times New Roman"/>
                      <w:b/>
                      <w:bCs/>
                      <w:color w:val="auto"/>
                      <w:kern w:val="2"/>
                      <w:sz w:val="21"/>
                      <w:szCs w:val="21"/>
                      <w:lang w:val="en-US" w:eastAsia="zh-CN" w:bidi="ar-SA"/>
                    </w:rPr>
                  </w:pPr>
                  <w:r>
                    <w:rPr>
                      <w:b/>
                      <w:bCs/>
                      <w:color w:val="auto"/>
                      <w:szCs w:val="21"/>
                    </w:rPr>
                    <w:t>工程名称</w:t>
                  </w:r>
                </w:p>
              </w:tc>
              <w:tc>
                <w:tcPr>
                  <w:tcW w:w="807" w:type="pct"/>
                  <w:tcBorders>
                    <w:tl2br w:val="nil"/>
                    <w:tr2bl w:val="nil"/>
                  </w:tcBorders>
                  <w:vAlign w:val="center"/>
                </w:tcPr>
                <w:p>
                  <w:pPr>
                    <w:adjustRightInd w:val="0"/>
                    <w:snapToGrid w:val="0"/>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Cs w:val="21"/>
                      <w:lang w:eastAsia="zh-CN"/>
                    </w:rPr>
                    <w:t>涉及河道</w:t>
                  </w:r>
                </w:p>
              </w:tc>
              <w:tc>
                <w:tcPr>
                  <w:tcW w:w="1654" w:type="pct"/>
                  <w:gridSpan w:val="2"/>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起点坐标</w:t>
                  </w:r>
                </w:p>
              </w:tc>
              <w:tc>
                <w:tcPr>
                  <w:tcW w:w="1715" w:type="pct"/>
                  <w:tcBorders>
                    <w:tl2br w:val="nil"/>
                    <w:tr2bl w:val="nil"/>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终点坐标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23" w:type="pct"/>
                  <w:vMerge w:val="restart"/>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szCs w:val="21"/>
                      <w:lang w:eastAsia="zh-CN"/>
                    </w:rPr>
                    <w:t>河道岸堤修复工程</w:t>
                  </w:r>
                </w:p>
              </w:tc>
              <w:tc>
                <w:tcPr>
                  <w:tcW w:w="807" w:type="pct"/>
                  <w:tcBorders>
                    <w:tl2br w:val="nil"/>
                    <w:tr2bl w:val="nil"/>
                  </w:tcBorders>
                  <w:vAlign w:val="center"/>
                </w:tcPr>
                <w:p>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lang w:eastAsia="zh-CN"/>
                    </w:rPr>
                    <w:t>大峪河</w:t>
                  </w:r>
                </w:p>
              </w:tc>
              <w:tc>
                <w:tcPr>
                  <w:tcW w:w="1654"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7</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21.838</w:t>
                  </w:r>
                  <w:r>
                    <w:rPr>
                      <w:color w:val="000000" w:themeColor="text1"/>
                      <w:szCs w:val="21"/>
                      <w14:textFill>
                        <w14:solidFill>
                          <w14:schemeClr w14:val="tx1"/>
                        </w14:solidFill>
                      </w14:textFill>
                    </w:rPr>
                    <w:t>″</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55</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45.739</w:t>
                  </w:r>
                  <w:r>
                    <w:rPr>
                      <w:color w:val="000000" w:themeColor="text1"/>
                      <w:szCs w:val="21"/>
                      <w14:textFill>
                        <w14:solidFill>
                          <w14:schemeClr w14:val="tx1"/>
                        </w14:solidFill>
                      </w14:textFill>
                    </w:rPr>
                    <w:t>″</w:t>
                  </w:r>
                </w:p>
              </w:tc>
              <w:tc>
                <w:tcPr>
                  <w:tcW w:w="1715"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32.937</w:t>
                  </w:r>
                  <w:r>
                    <w:rPr>
                      <w:color w:val="000000" w:themeColor="text1"/>
                      <w:szCs w:val="21"/>
                      <w14:textFill>
                        <w14:solidFill>
                          <w14:schemeClr w14:val="tx1"/>
                        </w14:solidFill>
                      </w14:textFill>
                    </w:rPr>
                    <w:t>″</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45.545</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vMerge w:val="continue"/>
                  <w:tcBorders>
                    <w:tl2br w:val="nil"/>
                    <w:tr2bl w:val="nil"/>
                  </w:tcBorders>
                  <w:vAlign w:val="center"/>
                </w:tcPr>
                <w:p>
                  <w:pPr>
                    <w:adjustRightInd w:val="0"/>
                    <w:snapToGrid w:val="0"/>
                    <w:jc w:val="center"/>
                    <w:rPr>
                      <w:rFonts w:hint="eastAsia" w:eastAsia="宋体"/>
                      <w:color w:val="auto"/>
                      <w:szCs w:val="21"/>
                      <w:lang w:eastAsia="zh-CN"/>
                    </w:rPr>
                  </w:pPr>
                </w:p>
              </w:tc>
              <w:tc>
                <w:tcPr>
                  <w:tcW w:w="807" w:type="pct"/>
                  <w:tcBorders>
                    <w:tl2br w:val="nil"/>
                    <w:tr2bl w:val="nil"/>
                  </w:tcBorders>
                  <w:vAlign w:val="center"/>
                </w:tcPr>
                <w:p>
                  <w:pPr>
                    <w:adjustRightInd w:val="0"/>
                    <w:snapToGrid w:val="0"/>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Cs w:val="21"/>
                      <w:lang w:eastAsia="zh-CN"/>
                    </w:rPr>
                    <w:t>小峪河</w:t>
                  </w:r>
                </w:p>
              </w:tc>
              <w:tc>
                <w:tcPr>
                  <w:tcW w:w="1654"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36.314</w:t>
                  </w:r>
                  <w:r>
                    <w:rPr>
                      <w:color w:val="000000" w:themeColor="text1"/>
                      <w:szCs w:val="21"/>
                      <w14:textFill>
                        <w14:solidFill>
                          <w14:schemeClr w14:val="tx1"/>
                        </w14:solidFill>
                      </w14:textFill>
                    </w:rPr>
                    <w:t>″</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57</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54.917</w:t>
                  </w:r>
                  <w:r>
                    <w:rPr>
                      <w:color w:val="000000" w:themeColor="text1"/>
                      <w:szCs w:val="21"/>
                      <w14:textFill>
                        <w14:solidFill>
                          <w14:schemeClr w14:val="tx1"/>
                        </w14:solidFill>
                      </w14:textFill>
                    </w:rPr>
                    <w:t>″</w:t>
                  </w:r>
                </w:p>
              </w:tc>
              <w:tc>
                <w:tcPr>
                  <w:tcW w:w="1715"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4.260</w:t>
                  </w:r>
                  <w:r>
                    <w:rPr>
                      <w:color w:val="000000" w:themeColor="text1"/>
                      <w:szCs w:val="21"/>
                      <w14:textFill>
                        <w14:solidFill>
                          <w14:schemeClr w14:val="tx1"/>
                        </w14:solidFill>
                      </w14:textFill>
                    </w:rPr>
                    <w:t>″</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59</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58.243</w:t>
                  </w:r>
                  <w:r>
                    <w:rPr>
                      <w:color w:val="000000" w:themeColor="text1"/>
                      <w:szCs w:val="21"/>
                      <w14:textFill>
                        <w14:solidFill>
                          <w14:schemeClr w14:val="tx1"/>
                        </w14:solidFill>
                      </w14:textFill>
                    </w:rPr>
                    <w:t>″</w:t>
                  </w:r>
                </w:p>
              </w:tc>
            </w:tr>
          </w:tbl>
          <w:p>
            <w:pPr>
              <w:adjustRightInd w:val="0"/>
              <w:snapToGrid w:val="0"/>
              <w:jc w:val="left"/>
              <w:rPr>
                <w:color w:val="FF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6"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705" w:type="dxa"/>
            <w:vAlign w:val="center"/>
          </w:tcPr>
          <w:p>
            <w:pPr>
              <w:adjustRightInd w:val="0"/>
              <w:snapToGrid w:val="0"/>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五十一、水利—127.防洪除涝工程—其他（小型沟渠的护坡除外；城镇排涝河流水闸、排涝泵站除外）</w:t>
            </w:r>
          </w:p>
        </w:tc>
        <w:tc>
          <w:tcPr>
            <w:tcW w:w="2218" w:type="dxa"/>
            <w:vAlign w:val="center"/>
          </w:tcPr>
          <w:p>
            <w:pPr>
              <w:adjustRightInd w:val="0"/>
              <w:snapToGrid w:val="0"/>
              <w:jc w:val="center"/>
              <w:rPr>
                <w:color w:val="auto"/>
                <w:sz w:val="24"/>
              </w:rPr>
            </w:pPr>
            <w:r>
              <w:rPr>
                <w:color w:val="auto"/>
                <w:sz w:val="24"/>
              </w:rPr>
              <w:t>用地（用海）面积（m</w:t>
            </w:r>
            <w:r>
              <w:rPr>
                <w:color w:val="auto"/>
                <w:sz w:val="24"/>
                <w:vertAlign w:val="superscript"/>
              </w:rPr>
              <w:t>2</w:t>
            </w:r>
            <w:r>
              <w:rPr>
                <w:color w:val="auto"/>
                <w:sz w:val="24"/>
              </w:rPr>
              <w:t>）/长度（km）</w:t>
            </w:r>
          </w:p>
        </w:tc>
        <w:tc>
          <w:tcPr>
            <w:tcW w:w="2552" w:type="dxa"/>
            <w:gridSpan w:val="2"/>
            <w:vAlign w:val="center"/>
          </w:tcPr>
          <w:p>
            <w:pPr>
              <w:adjustRightInd w:val="0"/>
              <w:snapToGrid w:val="0"/>
              <w:ind w:firstLine="24" w:firstLineChars="10"/>
              <w:rPr>
                <w:color w:val="auto"/>
                <w:sz w:val="24"/>
              </w:rPr>
            </w:pPr>
            <w:r>
              <w:rPr>
                <w:rFonts w:hint="eastAsia"/>
                <w:color w:val="auto"/>
                <w:sz w:val="24"/>
                <w:lang w:eastAsia="zh-CN"/>
              </w:rPr>
              <w:t>生态修复</w:t>
            </w:r>
            <w:r>
              <w:rPr>
                <w:rFonts w:hint="eastAsia"/>
                <w:color w:val="auto"/>
                <w:sz w:val="24"/>
              </w:rPr>
              <w:t>面积3</w:t>
            </w:r>
            <w:r>
              <w:rPr>
                <w:rFonts w:hint="eastAsia"/>
                <w:color w:val="auto"/>
                <w:sz w:val="24"/>
                <w:lang w:val="en-US" w:eastAsia="zh-CN"/>
              </w:rPr>
              <w:t>000</w:t>
            </w:r>
            <w:r>
              <w:rPr>
                <w:rFonts w:hint="eastAsia"/>
                <w:color w:val="auto"/>
                <w:sz w:val="24"/>
              </w:rPr>
              <w:t>00</w:t>
            </w:r>
            <w:r>
              <w:rPr>
                <w:color w:val="auto"/>
                <w:sz w:val="24"/>
              </w:rPr>
              <w:t>m</w:t>
            </w:r>
            <w:r>
              <w:rPr>
                <w:color w:val="auto"/>
                <w:sz w:val="24"/>
                <w:vertAlign w:val="superscript"/>
              </w:rPr>
              <w:t>2</w:t>
            </w:r>
          </w:p>
          <w:p>
            <w:pPr>
              <w:adjustRightInd w:val="0"/>
              <w:snapToGrid w:val="0"/>
              <w:jc w:val="both"/>
              <w:rPr>
                <w:color w:val="auto"/>
                <w:sz w:val="24"/>
              </w:rPr>
            </w:pPr>
            <w:r>
              <w:rPr>
                <w:rFonts w:hint="eastAsia"/>
                <w:color w:val="auto"/>
                <w:sz w:val="24"/>
              </w:rPr>
              <w:t>河道</w:t>
            </w:r>
            <w:r>
              <w:rPr>
                <w:rFonts w:hint="eastAsia"/>
                <w:color w:val="auto"/>
                <w:sz w:val="24"/>
                <w:lang w:eastAsia="zh-CN"/>
              </w:rPr>
              <w:t>生态</w:t>
            </w:r>
            <w:r>
              <w:rPr>
                <w:rFonts w:hint="eastAsia"/>
                <w:color w:val="auto"/>
                <w:sz w:val="24"/>
              </w:rPr>
              <w:t>修复长度15.61km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705" w:type="dxa"/>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221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2552" w:type="dxa"/>
            <w:gridSpan w:val="2"/>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首次申报项目</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超五年重新审核项目</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（核准/备案）部门（选填）</w:t>
            </w:r>
          </w:p>
        </w:tc>
        <w:tc>
          <w:tcPr>
            <w:tcW w:w="2705" w:type="dxa"/>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西安市发展和改革委员会</w:t>
            </w:r>
          </w:p>
        </w:tc>
        <w:tc>
          <w:tcPr>
            <w:tcW w:w="221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2552" w:type="dxa"/>
            <w:gridSpan w:val="2"/>
            <w:vAlign w:val="center"/>
          </w:tcPr>
          <w:p>
            <w:pPr>
              <w:adjustRightInd w:val="0"/>
              <w:snapToGrid w:val="0"/>
              <w:jc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市发改审批〔2023〕159号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6"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705"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1174.12</w:t>
            </w:r>
          </w:p>
        </w:tc>
        <w:tc>
          <w:tcPr>
            <w:tcW w:w="2218"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2552" w:type="dxa"/>
            <w:gridSpan w:val="2"/>
            <w:vAlign w:val="center"/>
          </w:tcPr>
          <w:p>
            <w:pPr>
              <w:adjustRightInd w:val="0"/>
              <w:snapToGrid w:val="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1174.12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705"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100</w:t>
            </w:r>
          </w:p>
        </w:tc>
        <w:tc>
          <w:tcPr>
            <w:tcW w:w="2218"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2552" w:type="dxa"/>
            <w:gridSpan w:val="2"/>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7475" w:type="dxa"/>
            <w:gridSpan w:val="4"/>
            <w:vAlign w:val="center"/>
          </w:tcPr>
          <w:p>
            <w:pPr>
              <w:adjustRightInd w:val="0"/>
              <w:snapToGrid w:val="0"/>
              <w:ind w:firstLine="105"/>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pPr>
              <w:adjustRightInd w:val="0"/>
              <w:snapToGrid w:val="0"/>
              <w:ind w:firstLine="9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475" w:type="dxa"/>
            <w:gridSpan w:val="4"/>
            <w:tcMar>
              <w:top w:w="16" w:type="dxa"/>
              <w:left w:w="16" w:type="dxa"/>
              <w:right w:w="16" w:type="dxa"/>
            </w:tcMar>
            <w:vAlign w:val="center"/>
          </w:tcPr>
          <w:p>
            <w:pPr>
              <w:pStyle w:val="56"/>
              <w:spacing w:line="380" w:lineRule="atLeast"/>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156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475" w:type="dxa"/>
            <w:gridSpan w:val="4"/>
            <w:tcMar>
              <w:top w:w="16" w:type="dxa"/>
              <w:left w:w="16" w:type="dxa"/>
              <w:right w:w="16" w:type="dxa"/>
            </w:tcMar>
            <w:vAlign w:val="center"/>
          </w:tcPr>
          <w:p>
            <w:pPr>
              <w:pStyle w:val="8"/>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2" w:hRule="atLeast"/>
        </w:trPr>
        <w:tc>
          <w:tcPr>
            <w:tcW w:w="1564" w:type="dxa"/>
            <w:tcMar>
              <w:top w:w="16" w:type="dxa"/>
              <w:left w:w="16" w:type="dxa"/>
              <w:right w:w="16" w:type="dxa"/>
            </w:tcMar>
            <w:vAlign w:val="center"/>
          </w:tcPr>
          <w:p>
            <w:pPr>
              <w:autoSpaceDE w:val="0"/>
              <w:autoSpaceDN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7475" w:type="dxa"/>
            <w:gridSpan w:val="4"/>
            <w:tcMar>
              <w:top w:w="16" w:type="dxa"/>
              <w:left w:w="16" w:type="dxa"/>
              <w:right w:w="16" w:type="dxa"/>
            </w:tcMar>
            <w:vAlign w:val="center"/>
          </w:tcPr>
          <w:p>
            <w:pPr>
              <w:pStyle w:val="8"/>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03" w:hRule="atLeast"/>
        </w:trPr>
        <w:tc>
          <w:tcPr>
            <w:tcW w:w="156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w:t>
            </w:r>
            <w:r>
              <w:rPr>
                <w:color w:val="000000" w:themeColor="text1"/>
                <w:sz w:val="24"/>
                <w14:textFill>
                  <w14:solidFill>
                    <w14:schemeClr w14:val="tx1"/>
                  </w14:solidFill>
                </w14:textFill>
              </w:rPr>
              <w:t>规划环境影响评价</w:t>
            </w:r>
            <w:r>
              <w:rPr>
                <w:color w:val="000000" w:themeColor="text1"/>
                <w:kern w:val="0"/>
                <w:sz w:val="24"/>
                <w14:textFill>
                  <w14:solidFill>
                    <w14:schemeClr w14:val="tx1"/>
                  </w14:solidFill>
                </w14:textFill>
              </w:rPr>
              <w:t>符合性分析</w:t>
            </w:r>
          </w:p>
        </w:tc>
        <w:tc>
          <w:tcPr>
            <w:tcW w:w="7475" w:type="dxa"/>
            <w:gridSpan w:val="4"/>
            <w:tcMar>
              <w:top w:w="16" w:type="dxa"/>
              <w:left w:w="16" w:type="dxa"/>
              <w:right w:w="16" w:type="dxa"/>
            </w:tcMar>
            <w:vAlign w:val="center"/>
          </w:tcPr>
          <w:p>
            <w:pPr>
              <w:pStyle w:val="56"/>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564" w:type="dxa"/>
            <w:tcMar>
              <w:top w:w="16" w:type="dxa"/>
              <w:left w:w="16" w:type="dxa"/>
              <w:right w:w="16" w:type="dxa"/>
            </w:tcMar>
            <w:vAlign w:val="center"/>
          </w:tcPr>
          <w:p>
            <w:pPr>
              <w:autoSpaceDE w:val="0"/>
              <w:autoSpaceDN w:val="0"/>
              <w:adjustRightInd w:val="0"/>
              <w:snapToGrid w:val="0"/>
              <w:jc w:val="center"/>
              <w:rPr>
                <w:rFonts w:ascii="宋体" w:hAnsi="宋体" w:cs="宋体"/>
                <w:color w:val="FF0000"/>
                <w:kern w:val="0"/>
                <w:szCs w:val="21"/>
              </w:rPr>
            </w:pPr>
            <w:bookmarkStart w:id="2" w:name="_Hlk56690880"/>
            <w:r>
              <w:rPr>
                <w:rFonts w:hint="eastAsia"/>
                <w:color w:val="000000" w:themeColor="text1"/>
                <w:kern w:val="0"/>
                <w:sz w:val="24"/>
                <w14:textFill>
                  <w14:solidFill>
                    <w14:schemeClr w14:val="tx1"/>
                  </w14:solidFill>
                </w14:textFill>
              </w:rPr>
              <w:t>其他符合性分析</w:t>
            </w:r>
            <w:bookmarkEnd w:id="2"/>
          </w:p>
        </w:tc>
        <w:tc>
          <w:tcPr>
            <w:tcW w:w="7475" w:type="dxa"/>
            <w:gridSpan w:val="4"/>
            <w:tcMar>
              <w:top w:w="16" w:type="dxa"/>
              <w:left w:w="16" w:type="dxa"/>
              <w:right w:w="16" w:type="dxa"/>
            </w:tcMar>
          </w:tcPr>
          <w:p>
            <w:pPr>
              <w:pStyle w:val="22"/>
              <w:ind w:firstLine="48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1、产业政策符合性分析</w:t>
            </w:r>
          </w:p>
          <w:p>
            <w:pPr>
              <w:pStyle w:val="22"/>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本项目为防洪除涝工程，</w:t>
            </w:r>
            <w:r>
              <w:rPr>
                <w:rFonts w:hint="eastAsia"/>
                <w:color w:val="000000" w:themeColor="text1"/>
                <w:lang w:eastAsia="zh-CN"/>
                <w14:textFill>
                  <w14:solidFill>
                    <w14:schemeClr w14:val="tx1"/>
                  </w14:solidFill>
                </w14:textFill>
              </w:rPr>
              <w:t>不</w:t>
            </w:r>
            <w:r>
              <w:rPr>
                <w:rFonts w:hint="eastAsia"/>
                <w:color w:val="000000" w:themeColor="text1"/>
                <w14:textFill>
                  <w14:solidFill>
                    <w14:schemeClr w14:val="tx1"/>
                  </w14:solidFill>
                </w14:textFill>
              </w:rPr>
              <w:t>属于《产业结构调整指导目录（2021年修订本）</w:t>
            </w:r>
            <w:r>
              <w:rPr>
                <w:rFonts w:hint="eastAsia"/>
                <w:color w:val="auto"/>
                <w:highlight w:val="none"/>
              </w:rPr>
              <w:t>》中</w:t>
            </w:r>
            <w:r>
              <w:rPr>
                <w:rFonts w:hint="eastAsia"/>
                <w:color w:val="auto"/>
                <w:highlight w:val="none"/>
                <w:lang w:eastAsia="zh-CN"/>
              </w:rPr>
              <w:t>限制类、淘汰类</w:t>
            </w:r>
            <w:r>
              <w:rPr>
                <w:rFonts w:hint="eastAsia"/>
                <w:color w:val="auto"/>
              </w:rPr>
              <w:t>；本</w:t>
            </w:r>
            <w:r>
              <w:rPr>
                <w:rFonts w:hint="eastAsia"/>
                <w:color w:val="000000" w:themeColor="text1"/>
                <w14:textFill>
                  <w14:solidFill>
                    <w14:schemeClr w14:val="tx1"/>
                  </w14:solidFill>
                </w14:textFill>
              </w:rPr>
              <w:t>项目亦不属于《市场准入负面清单（2022年版）》中禁止准入类及许可准入类事项，符合国家产业政策；</w:t>
            </w:r>
            <w:r>
              <w:rPr>
                <w:rFonts w:hint="eastAsia"/>
                <w:color w:val="000000" w:themeColor="text1"/>
                <w:lang w:eastAsia="zh-CN"/>
                <w14:textFill>
                  <w14:solidFill>
                    <w14:schemeClr w14:val="tx1"/>
                  </w14:solidFill>
                </w14:textFill>
              </w:rPr>
              <w:t>对照</w:t>
            </w:r>
            <w:r>
              <w:rPr>
                <w:rFonts w:hint="eastAsia"/>
                <w:color w:val="000000" w:themeColor="text1"/>
                <w14:textFill>
                  <w14:solidFill>
                    <w14:schemeClr w14:val="tx1"/>
                  </w14:solidFill>
                </w14:textFill>
              </w:rPr>
              <w:t>《陕西省秦岭重点保护区、一般保护区产业准入清单》（陕发改秦岭</w:t>
            </w:r>
            <w:r>
              <w:rPr>
                <w:rFonts w:hint="eastAsia" w:ascii="宋体" w:hAnsi="宋体" w:eastAsia="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2023</w:t>
            </w:r>
            <w:r>
              <w:rPr>
                <w:rFonts w:hint="eastAsia" w:ascii="宋体" w:hAnsi="宋体" w:eastAsia="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632号）</w:t>
            </w:r>
            <w:r>
              <w:rPr>
                <w:rFonts w:hint="eastAsia"/>
                <w:color w:val="000000" w:themeColor="text1"/>
                <w:lang w:eastAsia="zh-CN"/>
                <w14:textFill>
                  <w14:solidFill>
                    <w14:schemeClr w14:val="tx1"/>
                  </w14:solidFill>
                </w14:textFill>
              </w:rPr>
              <w:t>，属于秦岭重点保护区产业允许目录项目；</w:t>
            </w:r>
            <w:r>
              <w:rPr>
                <w:rFonts w:hint="eastAsia"/>
                <w:color w:val="000000" w:themeColor="text1"/>
                <w14:textFill>
                  <w14:solidFill>
                    <w14:schemeClr w14:val="tx1"/>
                  </w14:solidFill>
                </w14:textFill>
              </w:rPr>
              <w:t>同时本工程</w:t>
            </w:r>
            <w:r>
              <w:rPr>
                <w:rFonts w:hint="eastAsia"/>
                <w:color w:val="000000" w:themeColor="text1"/>
                <w:lang w:val="zh-CN"/>
                <w14:textFill>
                  <w14:solidFill>
                    <w14:schemeClr w14:val="tx1"/>
                  </w14:solidFill>
                </w14:textFill>
              </w:rPr>
              <w:t>不在《陕西省限制投资类指导目录》（陕发改产业〔20</w:t>
            </w:r>
            <w:r>
              <w:rPr>
                <w:rFonts w:hint="eastAsia"/>
                <w:color w:val="000000" w:themeColor="text1"/>
                <w14:textFill>
                  <w14:solidFill>
                    <w14:schemeClr w14:val="tx1"/>
                  </w14:solidFill>
                </w14:textFill>
              </w:rPr>
              <w:t>07</w:t>
            </w:r>
            <w:r>
              <w:rPr>
                <w:rFonts w:hint="eastAsia"/>
                <w:color w:val="000000" w:themeColor="text1"/>
                <w:lang w:val="zh-CN"/>
                <w14:textFill>
                  <w14:solidFill>
                    <w14:schemeClr w14:val="tx1"/>
                  </w14:solidFill>
                </w14:textFill>
              </w:rPr>
              <w:t>〕97号）之列，</w:t>
            </w:r>
            <w:r>
              <w:rPr>
                <w:rFonts w:hint="eastAsia"/>
                <w:color w:val="000000" w:themeColor="text1"/>
                <w14:textFill>
                  <w14:solidFill>
                    <w14:schemeClr w14:val="tx1"/>
                  </w14:solidFill>
                </w14:textFill>
              </w:rPr>
              <w:t>因此，工程建设符合国家及陕西省现行相关产业政策。</w:t>
            </w:r>
          </w:p>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综上，本项目符合相关产业政策。</w:t>
            </w:r>
          </w:p>
          <w:p>
            <w:pPr>
              <w:pStyle w:val="22"/>
              <w:keepNext w:val="0"/>
              <w:keepLines w:val="0"/>
              <w:pageBreakBefore w:val="0"/>
              <w:widowControl w:val="0"/>
              <w:kinsoku/>
              <w:wordWrap/>
              <w:overflowPunct/>
              <w:topLinePunct w:val="0"/>
              <w:autoSpaceDE/>
              <w:autoSpaceDN/>
              <w:bidi w:val="0"/>
              <w:adjustRightInd w:val="0"/>
              <w:snapToGrid w:val="0"/>
              <w:ind w:left="0" w:firstLine="482" w:firstLineChars="200"/>
              <w:textAlignment w:val="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、“三线一单”</w:t>
            </w:r>
            <w:r>
              <w:rPr>
                <w:rFonts w:hint="eastAsia"/>
                <w:b/>
                <w:bCs/>
                <w:color w:val="000000" w:themeColor="text1"/>
                <w:lang w:eastAsia="zh-CN"/>
                <w14:textFill>
                  <w14:solidFill>
                    <w14:schemeClr w14:val="tx1"/>
                  </w14:solidFill>
                </w14:textFill>
              </w:rPr>
              <w:t>及其他政策</w:t>
            </w:r>
            <w:r>
              <w:rPr>
                <w:rFonts w:hint="eastAsia"/>
                <w:b/>
                <w:bCs/>
                <w:color w:val="000000" w:themeColor="text1"/>
                <w14:textFill>
                  <w14:solidFill>
                    <w14:schemeClr w14:val="tx1"/>
                  </w14:solidFill>
                </w14:textFill>
              </w:rPr>
              <w:t>符合性分析</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对照《陕西省“三线一单”生态环境分区管控应用技术指南：环境影响评价（试行）》（陕环办发〔2022〕76号）</w:t>
            </w:r>
            <w:r>
              <w:rPr>
                <w:rFonts w:hint="eastAsia"/>
                <w:color w:val="000000" w:themeColor="text1"/>
                <w:sz w:val="24"/>
                <w:lang w:eastAsia="zh-CN"/>
                <w14:textFill>
                  <w14:solidFill>
                    <w14:schemeClr w14:val="tx1"/>
                  </w14:solidFill>
                </w14:textFill>
              </w:rPr>
              <w:t>、《西安市人民政府关于印发“三线一单”生态环境分区管控方案的通知》（市政发〔2021〕22号）、</w:t>
            </w:r>
            <w:r>
              <w:rPr>
                <w:rFonts w:hint="eastAsia"/>
                <w:color w:val="auto"/>
                <w:sz w:val="24"/>
                <w:lang w:eastAsia="zh-CN"/>
              </w:rPr>
              <w:t>《潏河流域上游水土保持及河道水生态保护修复工程“三线一单”比对结果》（见附件</w:t>
            </w:r>
            <w:r>
              <w:rPr>
                <w:rFonts w:hint="eastAsia"/>
                <w:color w:val="auto"/>
                <w:sz w:val="24"/>
                <w:lang w:val="en-US" w:eastAsia="zh-CN"/>
              </w:rPr>
              <w:t>4</w:t>
            </w:r>
            <w:r>
              <w:rPr>
                <w:rFonts w:hint="eastAsia"/>
                <w:color w:val="auto"/>
                <w:sz w:val="24"/>
                <w:lang w:eastAsia="zh-CN"/>
              </w:rPr>
              <w:t>）</w:t>
            </w:r>
            <w:r>
              <w:rPr>
                <w:rFonts w:hint="eastAsia"/>
                <w:color w:val="auto"/>
                <w:sz w:val="24"/>
              </w:rPr>
              <w:t>，</w:t>
            </w:r>
            <w:r>
              <w:rPr>
                <w:rFonts w:hint="eastAsia"/>
                <w:color w:val="auto"/>
                <w:sz w:val="24"/>
                <w:lang w:eastAsia="zh-CN"/>
              </w:rPr>
              <w:t>本项目影响范围涉及</w:t>
            </w:r>
            <w:r>
              <w:rPr>
                <w:rFonts w:hint="eastAsia"/>
                <w:color w:val="000000" w:themeColor="text1"/>
                <w:sz w:val="24"/>
                <w:lang w:eastAsia="zh-CN"/>
                <w14:textFill>
                  <w14:solidFill>
                    <w14:schemeClr w14:val="tx1"/>
                  </w14:solidFill>
                </w14:textFill>
              </w:rPr>
              <w:t>优先管控单元为：陕西太兴山省级森林自然公园、长安区生物多样性维护、一级公益林、周至县秦岭重点保护区、沣河五台街道控制子单元。本项目涉及重点管控单元为：长安区重点管控单元单元8。</w:t>
            </w:r>
          </w:p>
          <w:p>
            <w:pPr>
              <w:spacing w:line="360" w:lineRule="auto"/>
              <w:ind w:firstLine="480" w:firstLineChars="200"/>
              <w:rPr>
                <w:rFonts w:hint="eastAsia"/>
                <w:color w:val="auto"/>
                <w:sz w:val="24"/>
              </w:rPr>
            </w:pPr>
            <w:r>
              <w:rPr>
                <w:rFonts w:hint="eastAsia"/>
                <w:color w:val="000000" w:themeColor="text1"/>
                <w:sz w:val="24"/>
                <w14:textFill>
                  <w14:solidFill>
                    <w14:schemeClr w14:val="tx1"/>
                  </w14:solidFill>
                </w14:textFill>
              </w:rPr>
              <w:t>一图：本项目与环境管控单元空间冲突分析</w:t>
            </w:r>
            <w:r>
              <w:rPr>
                <w:rFonts w:hint="eastAsia"/>
                <w:color w:val="auto"/>
                <w:sz w:val="24"/>
              </w:rPr>
              <w:t>见附件</w:t>
            </w:r>
            <w:r>
              <w:rPr>
                <w:rFonts w:hint="eastAsia"/>
                <w:color w:val="auto"/>
                <w:sz w:val="24"/>
                <w:lang w:val="en-US" w:eastAsia="zh-CN"/>
              </w:rPr>
              <w:t>4</w:t>
            </w:r>
            <w:r>
              <w:rPr>
                <w:rFonts w:hint="eastAsia"/>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color w:val="000000" w:themeColor="text1"/>
                <w:sz w:val="24"/>
                <w:lang w:val="en-US" w:eastAsia="zh-CN"/>
                <w14:textFill>
                  <w14:solidFill>
                    <w14:schemeClr w14:val="tx1"/>
                  </w14:solidFill>
                </w14:textFill>
              </w:rPr>
            </w:pPr>
            <w:r>
              <w:drawing>
                <wp:inline distT="0" distB="0" distL="114300" distR="114300">
                  <wp:extent cx="4685030" cy="3901440"/>
                  <wp:effectExtent l="0" t="0" r="1270" b="381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4685030" cy="39014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000000" w:themeColor="text1"/>
                <w:sz w:val="24"/>
                <w14:textFill>
                  <w14:solidFill>
                    <w14:schemeClr w14:val="tx1"/>
                  </w14:solidFill>
                </w14:textFill>
              </w:rPr>
            </w:pPr>
            <w:r>
              <w:rPr>
                <w:b/>
                <w:color w:val="000000" w:themeColor="text1"/>
                <w:sz w:val="24"/>
                <w:lang w:val="zh-CN"/>
                <w14:textFill>
                  <w14:solidFill>
                    <w14:schemeClr w14:val="tx1"/>
                  </w14:solidFill>
                </w14:textFill>
              </w:rPr>
              <w:t>图</w:t>
            </w:r>
            <w:r>
              <w:rPr>
                <w:rFonts w:hint="eastAsia"/>
                <w:b/>
                <w:color w:val="000000" w:themeColor="text1"/>
                <w:sz w:val="24"/>
                <w:lang w:val="en-US" w:eastAsia="zh-CN"/>
                <w14:textFill>
                  <w14:solidFill>
                    <w14:schemeClr w14:val="tx1"/>
                  </w14:solidFill>
                </w14:textFill>
              </w:rPr>
              <w:t>1</w:t>
            </w:r>
            <w:r>
              <w:rPr>
                <w:rFonts w:hint="eastAsia"/>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1</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本项目与“三线一单”分区管控位置关系</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一表：本项目</w:t>
            </w:r>
            <w:r>
              <w:rPr>
                <w:rFonts w:hint="eastAsia"/>
                <w:color w:val="000000" w:themeColor="text1"/>
                <w:sz w:val="24"/>
                <w:lang w:eastAsia="zh-CN"/>
                <w14:textFill>
                  <w14:solidFill>
                    <w14:schemeClr w14:val="tx1"/>
                  </w14:solidFill>
                </w14:textFill>
              </w:rPr>
              <w:t>与</w:t>
            </w:r>
            <w:r>
              <w:rPr>
                <w:rFonts w:hint="eastAsia"/>
                <w:color w:val="000000" w:themeColor="text1"/>
                <w:sz w:val="24"/>
                <w14:textFill>
                  <w14:solidFill>
                    <w14:schemeClr w14:val="tx1"/>
                  </w14:solidFill>
                </w14:textFill>
              </w:rPr>
              <w:t>西安市生态环境要素分区管控准入要求</w:t>
            </w:r>
            <w:r>
              <w:rPr>
                <w:rFonts w:hint="eastAsia"/>
                <w:color w:val="000000" w:themeColor="text1"/>
                <w:sz w:val="24"/>
                <w:lang w:eastAsia="zh-CN"/>
                <w14:textFill>
                  <w14:solidFill>
                    <w14:schemeClr w14:val="tx1"/>
                  </w14:solidFill>
                </w14:textFill>
              </w:rPr>
              <w:t>对照</w:t>
            </w:r>
            <w:r>
              <w:rPr>
                <w:rFonts w:hint="eastAsia"/>
                <w:color w:val="000000" w:themeColor="text1"/>
                <w:sz w:val="24"/>
                <w14:textFill>
                  <w14:solidFill>
                    <w14:schemeClr w14:val="tx1"/>
                  </w14:solidFill>
                </w14:textFill>
              </w:rPr>
              <w:t>分析见表</w:t>
            </w:r>
            <w:r>
              <w:rPr>
                <w:rFonts w:hint="eastAsia"/>
                <w:color w:val="000000" w:themeColor="text1"/>
                <w:sz w:val="24"/>
                <w:lang w:val="en-US" w:eastAsia="zh-CN"/>
                <w14:textFill>
                  <w14:solidFill>
                    <w14:schemeClr w14:val="tx1"/>
                  </w14:solidFill>
                </w14:textFill>
              </w:rPr>
              <w:t>1-2</w:t>
            </w:r>
            <w:r>
              <w:rPr>
                <w:rFonts w:hint="eastAsia"/>
                <w:color w:val="000000" w:themeColor="text1"/>
                <w:sz w:val="24"/>
                <w14:textFill>
                  <w14:solidFill>
                    <w14:schemeClr w14:val="tx1"/>
                  </w14:solidFill>
                </w14:textFill>
              </w:rPr>
              <w:t>。</w:t>
            </w:r>
          </w:p>
          <w:p>
            <w:pPr>
              <w:spacing w:line="360" w:lineRule="auto"/>
              <w:ind w:firstLine="480" w:firstLineChars="200"/>
              <w:rPr>
                <w:color w:val="FF0000"/>
              </w:rPr>
            </w:pPr>
            <w:r>
              <w:rPr>
                <w:rFonts w:hint="eastAsia"/>
                <w:color w:val="000000" w:themeColor="text1"/>
                <w:sz w:val="24"/>
                <w14:textFill>
                  <w14:solidFill>
                    <w14:schemeClr w14:val="tx1"/>
                  </w14:solidFill>
                </w14:textFill>
              </w:rPr>
              <w:t>一说明：项目建设满足</w:t>
            </w:r>
            <w:r>
              <w:rPr>
                <w:rFonts w:hint="eastAsia"/>
                <w:color w:val="000000" w:themeColor="text1"/>
                <w:sz w:val="24"/>
                <w:lang w:eastAsia="zh-CN"/>
                <w14:textFill>
                  <w14:solidFill>
                    <w14:schemeClr w14:val="tx1"/>
                  </w14:solidFill>
                </w14:textFill>
              </w:rPr>
              <w:t>优先保护单元及</w:t>
            </w:r>
            <w:r>
              <w:rPr>
                <w:rFonts w:hint="eastAsia"/>
                <w:color w:val="000000" w:themeColor="text1"/>
                <w:sz w:val="24"/>
                <w14:textFill>
                  <w14:solidFill>
                    <w14:schemeClr w14:val="tx1"/>
                  </w14:solidFill>
                </w14:textFill>
              </w:rPr>
              <w:t>重点管控单元空间布局约束、污染物排放管控</w:t>
            </w:r>
            <w:r>
              <w:rPr>
                <w:rFonts w:hint="eastAsia"/>
                <w:color w:val="000000" w:themeColor="text1"/>
                <w:sz w:val="24"/>
                <w:lang w:eastAsia="zh-CN"/>
                <w14:textFill>
                  <w14:solidFill>
                    <w14:schemeClr w14:val="tx1"/>
                  </w14:solidFill>
                </w14:textFill>
              </w:rPr>
              <w:t>、环境风险防控、资源开发效率</w:t>
            </w:r>
            <w:r>
              <w:rPr>
                <w:rFonts w:hint="eastAsia"/>
                <w:color w:val="000000" w:themeColor="text1"/>
                <w:sz w:val="24"/>
                <w14:textFill>
                  <w14:solidFill>
                    <w14:schemeClr w14:val="tx1"/>
                  </w14:solidFill>
                </w14:textFill>
              </w:rPr>
              <w:t>要求，符合</w:t>
            </w:r>
            <w:r>
              <w:rPr>
                <w:rFonts w:hint="eastAsia"/>
                <w:color w:val="000000" w:themeColor="text1"/>
                <w:sz w:val="24"/>
                <w:lang w:eastAsia="zh-CN"/>
                <w14:textFill>
                  <w14:solidFill>
                    <w14:schemeClr w14:val="tx1"/>
                  </w14:solidFill>
                </w14:textFill>
              </w:rPr>
              <w:t>《西安市人民政府关于印发“三线一单”生态环境分区管控方案的通知》（市政发〔2021〕22号）相关管控要求</w:t>
            </w:r>
            <w:r>
              <w:rPr>
                <w:rFonts w:hint="eastAsia"/>
                <w:color w:val="000000" w:themeColor="text1"/>
                <w:sz w:val="24"/>
                <w14:textFill>
                  <w14:solidFill>
                    <w14:schemeClr w14:val="tx1"/>
                  </w14:solidFill>
                </w14:textFill>
              </w:rPr>
              <w:t>。</w:t>
            </w:r>
          </w:p>
        </w:tc>
      </w:tr>
    </w:tbl>
    <w:p>
      <w:pPr>
        <w:spacing w:line="360" w:lineRule="auto"/>
        <w:outlineLvl w:val="0"/>
        <w:rPr>
          <w:rFonts w:eastAsia="黑体"/>
          <w:color w:val="FF000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7"/>
        <w:tblW w:w="13594"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86"/>
        <w:gridCol w:w="128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786" w:type="dxa"/>
            <w:tcMar>
              <w:top w:w="16" w:type="dxa"/>
              <w:left w:w="16" w:type="dxa"/>
              <w:right w:w="16" w:type="dxa"/>
            </w:tcMar>
            <w:vAlign w:val="center"/>
          </w:tcPr>
          <w:p>
            <w:pPr>
              <w:autoSpaceDE w:val="0"/>
              <w:autoSpaceDN w:val="0"/>
              <w:adjustRightInd w:val="0"/>
              <w:snapToGrid w:val="0"/>
              <w:jc w:val="center"/>
              <w:rPr>
                <w:rFonts w:ascii="宋体" w:hAnsi="宋体" w:cs="宋体"/>
                <w:color w:val="FF0000"/>
                <w:kern w:val="0"/>
                <w:szCs w:val="21"/>
              </w:rPr>
            </w:pPr>
            <w:r>
              <w:rPr>
                <w:rFonts w:hint="eastAsia"/>
                <w:color w:val="000000" w:themeColor="text1"/>
                <w:kern w:val="0"/>
                <w:sz w:val="24"/>
                <w14:textFill>
                  <w14:solidFill>
                    <w14:schemeClr w14:val="tx1"/>
                  </w14:solidFill>
                </w14:textFill>
              </w:rPr>
              <w:t>其他符合性分析</w:t>
            </w:r>
          </w:p>
        </w:tc>
        <w:tc>
          <w:tcPr>
            <w:tcW w:w="12808" w:type="dxa"/>
            <w:tcMar>
              <w:top w:w="16" w:type="dxa"/>
              <w:left w:w="16" w:type="dxa"/>
              <w:right w:w="16" w:type="dxa"/>
            </w:tcMa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t>表1</w:t>
            </w:r>
            <w:r>
              <w:rPr>
                <w:rFonts w:hint="eastAsia"/>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 潏河流域上游水土保持及河道水生态保护修复工程范围涉及的生态环境管控单元分析</w:t>
            </w:r>
            <w:r>
              <w:rPr>
                <w:rFonts w:hint="eastAsia"/>
                <w:b/>
                <w:color w:val="000000" w:themeColor="text1"/>
                <w:sz w:val="24"/>
                <w:lang w:eastAsia="zh-CN"/>
                <w14:textFill>
                  <w14:solidFill>
                    <w14:schemeClr w14:val="tx1"/>
                  </w14:solidFill>
                </w14:textFill>
              </w:rPr>
              <w:t>及其他政策符合性</w:t>
            </w:r>
          </w:p>
          <w:tbl>
            <w:tblPr>
              <w:tblStyle w:val="28"/>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9"/>
              <w:gridCol w:w="840"/>
              <w:gridCol w:w="744"/>
              <w:gridCol w:w="6900"/>
              <w:gridCol w:w="2948"/>
              <w:gridCol w:w="6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tcBorders>
                    <w:tl2br w:val="nil"/>
                    <w:tr2bl w:val="nil"/>
                  </w:tcBorders>
                  <w:vAlign w:val="center"/>
                </w:tcPr>
                <w:p>
                  <w:pPr>
                    <w:widowControl/>
                    <w:jc w:val="center"/>
                    <w:rPr>
                      <w:rFonts w:hint="default" w:eastAsia="宋体"/>
                      <w:b/>
                      <w:bCs/>
                      <w:color w:val="000000" w:themeColor="text1"/>
                      <w:kern w:val="0"/>
                      <w:szCs w:val="21"/>
                      <w:lang w:val="en-US" w:eastAsia="zh-CN" w:bidi="ar"/>
                      <w14:textFill>
                        <w14:solidFill>
                          <w14:schemeClr w14:val="tx1"/>
                        </w14:solidFill>
                      </w14:textFill>
                    </w:rPr>
                  </w:pPr>
                  <w:r>
                    <w:rPr>
                      <w:rFonts w:hint="eastAsia"/>
                      <w:b/>
                      <w:bCs/>
                      <w:color w:val="000000" w:themeColor="text1"/>
                      <w:kern w:val="0"/>
                      <w:szCs w:val="21"/>
                      <w:lang w:val="en-US" w:eastAsia="zh-CN" w:bidi="ar"/>
                      <w14:textFill>
                        <w14:solidFill>
                          <w14:schemeClr w14:val="tx1"/>
                        </w14:solidFill>
                      </w14:textFill>
                    </w:rPr>
                    <w:t>管控单元名称</w:t>
                  </w:r>
                </w:p>
              </w:tc>
              <w:tc>
                <w:tcPr>
                  <w:tcW w:w="1584" w:type="dxa"/>
                  <w:gridSpan w:val="2"/>
                  <w:tcBorders>
                    <w:tl2br w:val="nil"/>
                    <w:tr2bl w:val="nil"/>
                  </w:tcBorders>
                  <w:vAlign w:val="center"/>
                </w:tcPr>
                <w:p>
                  <w:pPr>
                    <w:widowControl/>
                    <w:jc w:val="center"/>
                    <w:rPr>
                      <w:rFonts w:hint="eastAsia"/>
                      <w:b/>
                      <w:bCs/>
                      <w:color w:val="000000" w:themeColor="text1"/>
                      <w:kern w:val="0"/>
                      <w:szCs w:val="21"/>
                      <w:lang w:val="en-US" w:eastAsia="zh-CN" w:bidi="ar"/>
                      <w14:textFill>
                        <w14:solidFill>
                          <w14:schemeClr w14:val="tx1"/>
                        </w14:solidFill>
                      </w14:textFill>
                    </w:rPr>
                  </w:pPr>
                  <w:r>
                    <w:rPr>
                      <w:rFonts w:hint="eastAsia"/>
                      <w:b/>
                      <w:bCs/>
                      <w:color w:val="000000" w:themeColor="text1"/>
                      <w:kern w:val="0"/>
                      <w:szCs w:val="21"/>
                      <w:lang w:val="en-US" w:eastAsia="zh-CN" w:bidi="ar"/>
                      <w14:textFill>
                        <w14:solidFill>
                          <w14:schemeClr w14:val="tx1"/>
                        </w14:solidFill>
                      </w14:textFill>
                    </w:rPr>
                    <w:t>管控</w:t>
                  </w:r>
                </w:p>
                <w:p>
                  <w:pPr>
                    <w:widowControl/>
                    <w:jc w:val="center"/>
                    <w:rPr>
                      <w:rFonts w:hint="default" w:eastAsia="宋体"/>
                      <w:b/>
                      <w:bCs/>
                      <w:color w:val="000000" w:themeColor="text1"/>
                      <w:kern w:val="0"/>
                      <w:szCs w:val="21"/>
                      <w:lang w:val="en-US" w:eastAsia="zh-CN" w:bidi="ar"/>
                      <w14:textFill>
                        <w14:solidFill>
                          <w14:schemeClr w14:val="tx1"/>
                        </w14:solidFill>
                      </w14:textFill>
                    </w:rPr>
                  </w:pPr>
                  <w:r>
                    <w:rPr>
                      <w:rFonts w:hint="eastAsia"/>
                      <w:b/>
                      <w:bCs/>
                      <w:color w:val="000000" w:themeColor="text1"/>
                      <w:kern w:val="0"/>
                      <w:szCs w:val="21"/>
                      <w:lang w:val="en-US" w:eastAsia="zh-CN" w:bidi="ar"/>
                      <w14:textFill>
                        <w14:solidFill>
                          <w14:schemeClr w14:val="tx1"/>
                        </w14:solidFill>
                      </w14:textFill>
                    </w:rPr>
                    <w:t>纬度</w:t>
                  </w:r>
                </w:p>
              </w:tc>
              <w:tc>
                <w:tcPr>
                  <w:tcW w:w="6900" w:type="dxa"/>
                  <w:tcBorders>
                    <w:tl2br w:val="nil"/>
                    <w:tr2bl w:val="nil"/>
                  </w:tcBorders>
                  <w:vAlign w:val="center"/>
                </w:tcPr>
                <w:p>
                  <w:pPr>
                    <w:widowControl/>
                    <w:jc w:val="center"/>
                    <w:rPr>
                      <w:rFonts w:hint="default" w:eastAsia="宋体"/>
                      <w:b/>
                      <w:bCs/>
                      <w:color w:val="000000" w:themeColor="text1"/>
                      <w:kern w:val="0"/>
                      <w:szCs w:val="21"/>
                      <w:lang w:val="en-US" w:eastAsia="zh-CN" w:bidi="ar"/>
                      <w14:textFill>
                        <w14:solidFill>
                          <w14:schemeClr w14:val="tx1"/>
                        </w14:solidFill>
                      </w14:textFill>
                    </w:rPr>
                  </w:pPr>
                  <w:r>
                    <w:rPr>
                      <w:rFonts w:hint="eastAsia"/>
                      <w:b/>
                      <w:bCs/>
                      <w:color w:val="000000" w:themeColor="text1"/>
                      <w:kern w:val="0"/>
                      <w:szCs w:val="21"/>
                      <w:lang w:val="en-US" w:eastAsia="zh-CN" w:bidi="ar"/>
                      <w14:textFill>
                        <w14:solidFill>
                          <w14:schemeClr w14:val="tx1"/>
                        </w14:solidFill>
                      </w14:textFill>
                    </w:rPr>
                    <w:t>管控要求</w:t>
                  </w:r>
                </w:p>
              </w:tc>
              <w:tc>
                <w:tcPr>
                  <w:tcW w:w="2948" w:type="dxa"/>
                  <w:tcBorders>
                    <w:tl2br w:val="nil"/>
                    <w:tr2bl w:val="nil"/>
                  </w:tcBorders>
                  <w:vAlign w:val="center"/>
                </w:tcPr>
                <w:p>
                  <w:pPr>
                    <w:widowControl/>
                    <w:jc w:val="center"/>
                    <w:rPr>
                      <w:rFonts w:hint="default" w:eastAsia="宋体"/>
                      <w:b/>
                      <w:bCs/>
                      <w:color w:val="000000" w:themeColor="text1"/>
                      <w:kern w:val="0"/>
                      <w:szCs w:val="21"/>
                      <w:lang w:val="en-US" w:eastAsia="zh-CN" w:bidi="ar"/>
                      <w14:textFill>
                        <w14:solidFill>
                          <w14:schemeClr w14:val="tx1"/>
                        </w14:solidFill>
                      </w14:textFill>
                    </w:rPr>
                  </w:pPr>
                  <w:r>
                    <w:rPr>
                      <w:rFonts w:hint="eastAsia"/>
                      <w:b/>
                      <w:bCs/>
                      <w:color w:val="000000" w:themeColor="text1"/>
                      <w:kern w:val="0"/>
                      <w:szCs w:val="21"/>
                      <w:lang w:val="en-US" w:eastAsia="zh-CN" w:bidi="ar"/>
                      <w14:textFill>
                        <w14:solidFill>
                          <w14:schemeClr w14:val="tx1"/>
                        </w14:solidFill>
                      </w14:textFill>
                    </w:rPr>
                    <w:t>本项目情况</w:t>
                  </w:r>
                </w:p>
              </w:tc>
              <w:tc>
                <w:tcPr>
                  <w:tcW w:w="635" w:type="dxa"/>
                  <w:tcBorders>
                    <w:tl2br w:val="nil"/>
                    <w:tr2bl w:val="nil"/>
                  </w:tcBorders>
                  <w:vAlign w:val="center"/>
                </w:tcPr>
                <w:p>
                  <w:pPr>
                    <w:widowControl/>
                    <w:jc w:val="center"/>
                    <w:rPr>
                      <w:rFonts w:hint="default" w:eastAsia="宋体"/>
                      <w:b/>
                      <w:bCs/>
                      <w:color w:val="000000" w:themeColor="text1"/>
                      <w:kern w:val="0"/>
                      <w:szCs w:val="21"/>
                      <w:lang w:val="en-US" w:eastAsia="zh-CN" w:bidi="ar"/>
                      <w14:textFill>
                        <w14:solidFill>
                          <w14:schemeClr w14:val="tx1"/>
                        </w14:solidFill>
                      </w14:textFill>
                    </w:rPr>
                  </w:pPr>
                  <w:r>
                    <w:rPr>
                      <w:rFonts w:hint="eastAsia"/>
                      <w:b/>
                      <w:bCs/>
                      <w:color w:val="000000" w:themeColor="text1"/>
                      <w:kern w:val="0"/>
                      <w:szCs w:val="21"/>
                      <w:lang w:val="en-US" w:eastAsia="zh-CN" w:bidi="ar"/>
                      <w14:textFill>
                        <w14:solidFill>
                          <w14:schemeClr w14:val="tx1"/>
                        </w14:solidFill>
                      </w14:textFill>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2.生态保护红线</w:t>
                  </w:r>
                </w:p>
              </w:tc>
              <w:tc>
                <w:tcPr>
                  <w:tcW w:w="84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2.1总体要求</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空间布局约束</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原则上按禁止开发区的要求进行管理。生态保护红线内，自然保护地核心保护区原则上禁止人为活动，其他区域严格禁止开发性、生产性建设活动，在符合现行法律法规前提下，除国家重大战略项目外，仅允许对生态功能不造成破坏的有限人为活动：</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1.零星的原住民在不扩大现有建设用地和耕地规模前提下，修缮生产生活设施，保留生活必需的少量种植、放牧、捕捞、养殖。</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2.因国家重大能源资源安全需要开展的战略性能源资源勘查，公益性自然资源调查和地质勘查活动。</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3.自然资源、生态环境监测和执法包括水文水资源监测及涉水违法事件的查处等，灾害防治和应急抢险活动。</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4.经依法批准进行的非破坏性科学研究观测、标本采集。</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5.经依法批准的考古调查发掘和文物保护活动。</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6.不破坏生态功能的适度参观旅游和相关的必要公共设施建设。</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7.必须且无法避让、符合县级以上国土空间规划的线性基础设施建设、防洪和供水设施建设与运行维护。</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8.重要生态修复工程。</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本项目为水土保持及河道水生态修复工程，属于允许的人为活动</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84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2.3生物多样性维护生态保护红线区</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空间布局约束</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.禁止对野生动植物进行滥捕、乱采、乱猎，禁止引进外来物种。</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2.保护自然生态系统与重要物种栖息地，限制或禁止各种损害栖息地的经济社会活动和生产方式，如无序采矿、毁林开荒、湿地和草地开垦、道路建设等，防止生态建设导致栖息环境的改变。</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 加强对外来物种入侵的控制。</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本项目为水土保持及河道水生态修复工程，不属于限制和禁止类活动。</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3.一般生态空间</w:t>
                  </w:r>
                </w:p>
              </w:tc>
              <w:tc>
                <w:tcPr>
                  <w:tcW w:w="84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总体</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要求</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空间布局约束</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1.划入一般生态空间的各类法定自然保护地，空间布局约束要求按各类法定自然保护地现行法律法规执行。</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2.原则上按限制开发区域的要求进行管理；严格控制新增建设占用生态保护红线外的生态空间。</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本项目为水土保持及河道水生态修复工程，不属于限制项目</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4.各类保护地</w:t>
                  </w:r>
                </w:p>
              </w:tc>
              <w:tc>
                <w:tcPr>
                  <w:tcW w:w="84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4.4</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国家</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公益林</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空间布局约束</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1.对国家级公益林实行“总量控制、区域稳定、动态管理、增减平衡”的管理机制。</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2.国家级公益林的调出，以不影响整体生态功能、保持集中连片为原则，一经调出，不得再次申请补进。</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3.一级国家级公益林原则上不得开展生产经营活动，严禁打枝、采脂、割漆、剥树皮、掘根等行为。</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4.二级国家级公益林在不影响整体森林生态系统功能发挥的前提下，可以合理利用其林地资源，适度开展林下种植养殖和森林游憩等非木质资源开发与利用，科学发展林下经济。</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本项目为水土保持及河道水生态修复工程，其中河道提防护岸工程不涉及国家一级公益林，</w:t>
                  </w:r>
                  <w:r>
                    <w:rPr>
                      <w:rFonts w:hint="eastAsia" w:cs="Times New Roman"/>
                      <w:color w:val="000000" w:themeColor="text1"/>
                      <w:kern w:val="0"/>
                      <w:szCs w:val="21"/>
                      <w:lang w:val="en-US" w:eastAsia="zh-CN" w:bidi="ar"/>
                      <w14:textFill>
                        <w14:solidFill>
                          <w14:schemeClr w14:val="tx1"/>
                        </w14:solidFill>
                      </w14:textFill>
                    </w:rPr>
                    <w:t>仅大峪河</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水土流失治理工程</w:t>
                  </w:r>
                  <w:r>
                    <w:rPr>
                      <w:rFonts w:hint="eastAsia" w:cs="Times New Roman"/>
                      <w:color w:val="000000" w:themeColor="text1"/>
                      <w:kern w:val="0"/>
                      <w:szCs w:val="21"/>
                      <w:lang w:val="en-US" w:eastAsia="zh-CN" w:bidi="ar"/>
                      <w14:textFill>
                        <w14:solidFill>
                          <w14:schemeClr w14:val="tx1"/>
                        </w14:solidFill>
                      </w14:textFill>
                    </w:rPr>
                    <w:t>影响</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区域涉及国家一级公益林，水土流失治理工程不属于公益林内禁止行为</w:t>
                  </w:r>
                  <w:r>
                    <w:rPr>
                      <w:rFonts w:hint="eastAsia" w:cs="Times New Roman"/>
                      <w:color w:val="000000" w:themeColor="text1"/>
                      <w:kern w:val="0"/>
                      <w:szCs w:val="21"/>
                      <w:lang w:val="en-US" w:eastAsia="zh-CN" w:bidi="ar"/>
                      <w14:textFill>
                        <w14:solidFill>
                          <w14:schemeClr w14:val="tx1"/>
                        </w14:solidFill>
                      </w14:textFill>
                    </w:rPr>
                    <w:t>。</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84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4.7</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森林</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公园</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空间布局约束</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按照《森林公园管理办法》《国家级森林公园管理办法》《国家林业局关于进一步加强国家级森林公园管理的通知》《陕西省森林公园条例》《陕西省森林公园管理办法》进行管控。</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禁止类：</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1.森林公园的设施和景点建设，必须按照总体规划设计进行。在珍贵景物、重要景点和核心景区，除必要的保护和附属设施外，不得建设宾馆、招待所、疗养院和其他工程设施。</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2.禁止在森林公园毁林开垦和毁林采石、采砂、采土、采砂、放牧及其他毁林行为。</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在国家级森林公园内禁止从事下列活动：擅自采折、采挖花草、树木、药材等植物；非法猎捕、杀害野生动物；刻划、污损树木、岩石和文物古迹及葬坟；损毁或者擅自移动园内设施；未经处理直接排放生活污水和超标准的废水、废气，乱倒垃圾、废渣、废物及其他污染物；在非指定的吸烟区吸烟和在非指定区域野外用火、焚烧香蜡纸烛、燃放烟花爆竹；擅自摆摊设点、兜售物品；擅自围、填、堵、截自然水系；法律、法规、规章禁止的其他活动。</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在森林公园内不得从事下列活动：建设损害森林风景资源、妨碍游览、污染环境的工程设施，设立各类开发区，修建别墅；在森林公园生态保护区和游览区内修建宾馆、疗养院以及与森林风景资源保护无关的其他建筑物；擅自修建人造景观或者景点；其他损害森林风景资源的建设活动。禁止填堵自然水系；禁止在禁火区、森林防火戒严期用火；新建、改建坟墓；采挖花草树根、攀折树枝、乱扔垃圾；在树木、建筑物、设施上刻画，损坏、移动园内设施、游览标志和标识；法律、法规禁止的其他行为。</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限制类：</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1.采伐森林公园的林木，必须遵守有关林业法规、经营方案和技术规程的规定。</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占用、征收、征用或者转让森林公园经营范围内的林地，必须征得森林公园经营管理机构同意，并按《中华人民共和国森林法》及其实施细则等有关规定，办理占用、征收、征用或者转让手续，按法定审批权限报人民政府批准，交纳有关费用。依规定占用、征用或者转让国有林地的，必须经省级林业主管部门审核同意。</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3.严格控制建设项目使用国家级森林公园林地，但是因保护森林及其他风景资源、建设森林防火设施和林业生态文化示范基地、保障游客安全等直接为林业生产服务的工程设施除外。</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森林公园内的建设项目应当符合总体规划的要求并依法办理审批手续。建设项目选址、规模、建筑材料、风格和色彩等应当与周边景观环境相协调，配套建设的污水、废弃物处理设施和防火设施应当同时设计、同时施工、同时使用。</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5.建设单位、施工单位在森林公园内进行工程项目建设以及搭建临时设施的，应当采取措施，避免对周围景物、景点、水体、地形地貌、林草植被造成破坏，竣工后及时清理现场，恢复原状。</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6.在森林公园周边进行勘查、开采矿产资源等活动，可能损害森林公园风景资源的，有关行政主管部门批准前，应当征求省林业行政主管部门的意见，并采取相应的保护措施。</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本项目为水土保持及河道水生态修复工程，不属于禁止类和限制类活动</w:t>
                  </w:r>
                  <w:r>
                    <w:rPr>
                      <w:rFonts w:hint="eastAsia" w:cs="Times New Roman"/>
                      <w:color w:val="000000" w:themeColor="text1"/>
                      <w:kern w:val="0"/>
                      <w:szCs w:val="21"/>
                      <w:lang w:val="en-US" w:eastAsia="zh-CN" w:bidi="ar"/>
                      <w14:textFill>
                        <w14:solidFill>
                          <w14:schemeClr w14:val="tx1"/>
                        </w14:solidFill>
                      </w14:textFill>
                    </w:rPr>
                    <w:t>。</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84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4.13秦岭重点保护区</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空间布局约束</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按照《陕西省秦岭生态环境保护条例》《陕西省秦岭重点保护区、一般保护区产业准入清单（试行）》《陕西省秦岭生态环境保护总体规划》《西安市秦岭生态环境保护规划》等相关要求进行管理。</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除《陕西省秦岭生态环境保护条例》另有规定外，不得进行与其保护功能不相符的开发建设活动；实施能源、交通、水利、国防等重大基础设施建设和战略性矿产资源勘查项目，应当依法进行环境影响评价，报省人民政府审定，保证秦岭生态功能不降低。在秦岭范围内的生产、生活和建设活动应当符合秦岭生态环境保护规划，依法采取相应生态环境保护措施，保证秦岭生态功能不降低。</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2.按照国家和本省规定，依法依规淘汰落后产能，鼓励发展绿色循环经济。</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不得新建水电站，已建成或者在建的水电站，由省水行政主管部门会同省级有关行政主管部门制定评估整治标准及处置方案，由县级以上人民政府依法组织限期整治或者退出、拆除，恢复生态。禁止房地产开发。不得新建、扩建、异地重建宗教活动场所。</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4.禁止勘探、开发矿产资源和开山采石，禁止在秦岭主梁以北的秦岭范围内开山采石。已取得矿业权的企业和现有采石企业，由县级以上人民政府依法组织限期退出。</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5.重点保护区施行《产业准入清单》的“允许目录”，禁止允许目录之外产业、项目进入。</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6.秦岭范围内国家公园、自然保护区、自然公园、生态保护红线、饮用水水源保护区、天然林、不可移动文物等特定地理区域、空间的管控措施，依照相关法律、法规和规定、规划执行。</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7.法律、行政法规对重点保护区的产业、项目有相关规定的，从其相关规定。县级以上人民政府对“产业准入清单”中的产业、项目，有更严格准入规定的，从其规定。</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8.在秦岭调度水资源，建设水电站、水库等水工程，应当符合省秦岭生态环境保护总体规划、秦岭水资源保护利用专项规划。建设和运营涉河蓄水、拦水工程设施，应当保证生态基流量，采取修建过鱼设施等措施，消除或者减少对水生野生动物的不利影响。</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sz w:val="21"/>
                      <w:szCs w:val="21"/>
                      <w:lang w:eastAsia="zh-CN"/>
                    </w:rPr>
                    <w:t>本项目为水土保持及河道水生态修复工程，不会造成秦岭生态功能降低。</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水环境优先保护区</w:t>
                  </w:r>
                </w:p>
              </w:tc>
              <w:tc>
                <w:tcPr>
                  <w:tcW w:w="840"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空间约束要求</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1.开展县级及以上集中式饮用水水源规范化建设，禁止在饮用水水源一级保护区区域内新建、改建、扩建与保护对象无关的建设项目，依法清理饮用水水源保护区内违法建筑和排污口。</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2.单一水源供水的区县应完成备用水源或应急水源建设，加强农村饮用水水源保护和水质检测。</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3.江河源头水质执行《地表水环境质量标准》（GB3838-2002）的I类标准。对河流源头及现状水质达到或优于Ⅲ类的重点江河湖库制定实施生态环境保护方案及中长期保护规划。</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4.加强河湖库水生态保护，禁止侵占自然湿地等水源涵养空间，已侵占的要限期予以恢复。强化水源涵养林建设与保护，开展湿地保护与修复，加大退耕还林、还草力度。加强滨河（湖）带生态建设，在河道两侧建设植被缓冲带和隔离带。加大水生野生动植物类自然保护区和水产种质资源保护区保护力度，开展珍稀濒危水生生物和重要水产种质资源的就地和迁地保护，提高水生生物多样性。</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本项目为水土保持及河道水生态修复工程，强化了水源涵养林建设与保护。</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7.</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重点管控区</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840"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7.2水环境农业污染重点管控区</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空间布局约束</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1.加强农业面源污染综合防治。对畜禽养殖场（小区）密集，粪污资源化利用水平较低的区域，鼓励采用‘种养结合’模式；地下水易受污染地区要优先种植需肥需药量低、环境效益突出的农作物。</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2.按照分散与集中相结合的原则，优先实施农村生活污水设施及管网建设。</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持续加强城乡结合部村庄、乡镇污水收集管网、污水集中处理设施、垃圾清运、处理设施建设工作，不断提高农村污水和生活垃圾处理率。强化农村服务业污水和垃圾治理力度；全面开展农村黑臭水体摸排整治工作。</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本项目为水土保持及河道水生态修复工程，施工废水、车辆冲洗废水经沉淀处理后回用。施工人员生活依托周边村民现有的污水设施。废水均不外排。</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840"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污染物排放管控</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1.到2025年，持续开展化肥农药减量化行动，化肥、农药使用量实现零增长，主要农作物测土配方施肥技术覆盖率达到90%以上，病虫害绿色防控覆盖率达到35%以上，专业化统防统治覆盖率40%以上。</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2.到2025年，农村新型社区基本实现污水全收集全处理。</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本项目不涉及农药化肥使用</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。施工人员生活依托周边村民现有的污水设施。废水均不外排。</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840"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7.5</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大气环境布局敏感重点管控区</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空间约束要求</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1.大气污染防治重点区域严禁新增钢铁、水泥熟料、平板玻璃、炼化产能。</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2.推动重污染企业搬迁入园或依法关闭。</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本项目</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为水土保持及河道水生态修复工程</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，不属于重污染行业。</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840"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污染物排放管控</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1.区域内保留企业采用先进生产工艺、严格落实污染治理设施，污染物执行超低排放或特别排放限值。</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2.鼓励将老旧车辆和非道路移动机械替换为清洁能源车辆；推进新能源或清洁能源汽车使用。</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3.进行散煤替代，加快铺设天然气管网和集中供暖管网。</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本项目施工期柴油载重车符合国六排放标准。</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840"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7.6</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大气</w:t>
                  </w:r>
                </w:p>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环境弱扩散区</w:t>
                  </w: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空间约束要求</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1.大气污染防治重点区域严禁新增钢铁、水泥熟料、平板玻璃、炼化产能。</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2.推动重污染企业搬迁入园或依法关闭。</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本项目</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为水土保持及河道水生态修复工程</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，不属于重污染行业。</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840"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p>
              </w:tc>
              <w:tc>
                <w:tcPr>
                  <w:tcW w:w="74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污染物排放管控</w:t>
                  </w:r>
                </w:p>
              </w:tc>
              <w:tc>
                <w:tcPr>
                  <w:tcW w:w="6900"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1.污染物执行超低排放或特别排放限值。</w:t>
                  </w:r>
                </w:p>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2.进行散煤替代，加快铺设天然气管网和集中供暖管网。</w:t>
                  </w:r>
                </w:p>
              </w:tc>
              <w:tc>
                <w:tcPr>
                  <w:tcW w:w="2948" w:type="dxa"/>
                  <w:tcBorders>
                    <w:tl2br w:val="nil"/>
                    <w:tr2bl w:val="nil"/>
                  </w:tcBorders>
                  <w:vAlign w:val="center"/>
                </w:tcPr>
                <w:p>
                  <w:pPr>
                    <w:widowControl/>
                    <w:jc w:val="left"/>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本项目</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为水土保持及河道水生态修复工程</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，不涉及</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天然气管网和集中供暖管网</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铺设。</w:t>
                  </w:r>
                </w:p>
              </w:tc>
              <w:tc>
                <w:tcPr>
                  <w:tcW w:w="63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tcBorders>
                    <w:tl2br w:val="nil"/>
                    <w:tr2bl w:val="nil"/>
                  </w:tcBorders>
                  <w:vAlign w:val="center"/>
                </w:tcPr>
                <w:p>
                  <w:pPr>
                    <w:jc w:val="center"/>
                    <w:rPr>
                      <w:rFonts w:hint="eastAsia"/>
                      <w:color w:val="000000" w:themeColor="text1"/>
                      <w:kern w:val="0"/>
                      <w:szCs w:val="21"/>
                      <w:lang w:bidi="ar"/>
                      <w14:textFill>
                        <w14:solidFill>
                          <w14:schemeClr w14:val="tx1"/>
                        </w14:solidFill>
                      </w14:textFill>
                    </w:rPr>
                  </w:pPr>
                  <w:r>
                    <w:rPr>
                      <w:b/>
                      <w:bCs w:val="0"/>
                      <w:color w:val="000000" w:themeColor="text1"/>
                      <w:szCs w:val="21"/>
                      <w14:textFill>
                        <w14:solidFill>
                          <w14:schemeClr w14:val="tx1"/>
                        </w14:solidFill>
                      </w14:textFill>
                    </w:rPr>
                    <w:t>相关政策</w:t>
                  </w:r>
                </w:p>
              </w:tc>
              <w:tc>
                <w:tcPr>
                  <w:tcW w:w="6900" w:type="dxa"/>
                  <w:tcBorders>
                    <w:tl2br w:val="nil"/>
                    <w:tr2bl w:val="nil"/>
                  </w:tcBorders>
                  <w:vAlign w:val="center"/>
                </w:tcPr>
                <w:p>
                  <w:pPr>
                    <w:jc w:val="center"/>
                    <w:rPr>
                      <w:rFonts w:hint="eastAsia"/>
                      <w:color w:val="000000" w:themeColor="text1"/>
                      <w:kern w:val="0"/>
                      <w:szCs w:val="21"/>
                      <w:lang w:eastAsia="zh-CN" w:bidi="ar"/>
                      <w14:textFill>
                        <w14:solidFill>
                          <w14:schemeClr w14:val="tx1"/>
                        </w14:solidFill>
                      </w14:textFill>
                    </w:rPr>
                  </w:pPr>
                  <w:r>
                    <w:rPr>
                      <w:b/>
                      <w:bCs w:val="0"/>
                      <w:color w:val="000000" w:themeColor="text1"/>
                      <w:szCs w:val="21"/>
                      <w14:textFill>
                        <w14:solidFill>
                          <w14:schemeClr w14:val="tx1"/>
                        </w14:solidFill>
                      </w14:textFill>
                    </w:rPr>
                    <w:t>政策要求</w:t>
                  </w:r>
                </w:p>
              </w:tc>
              <w:tc>
                <w:tcPr>
                  <w:tcW w:w="2948" w:type="dxa"/>
                  <w:tcBorders>
                    <w:tl2br w:val="nil"/>
                    <w:tr2bl w:val="nil"/>
                  </w:tcBorders>
                  <w:vAlign w:val="center"/>
                </w:tcPr>
                <w:p>
                  <w:pPr>
                    <w:jc w:val="center"/>
                    <w:rPr>
                      <w:rFonts w:hint="eastAsia"/>
                      <w:color w:val="000000" w:themeColor="text1"/>
                      <w:kern w:val="0"/>
                      <w:szCs w:val="21"/>
                      <w:lang w:eastAsia="zh-CN" w:bidi="ar"/>
                      <w14:textFill>
                        <w14:solidFill>
                          <w14:schemeClr w14:val="tx1"/>
                        </w14:solidFill>
                      </w14:textFill>
                    </w:rPr>
                  </w:pPr>
                  <w:r>
                    <w:rPr>
                      <w:b/>
                      <w:bCs w:val="0"/>
                      <w:color w:val="000000" w:themeColor="text1"/>
                      <w:szCs w:val="21"/>
                      <w14:textFill>
                        <w14:solidFill>
                          <w14:schemeClr w14:val="tx1"/>
                        </w14:solidFill>
                      </w14:textFill>
                    </w:rPr>
                    <w:t>本工程情况</w:t>
                  </w:r>
                </w:p>
              </w:tc>
              <w:tc>
                <w:tcPr>
                  <w:tcW w:w="635" w:type="dxa"/>
                  <w:tcBorders>
                    <w:tl2br w:val="nil"/>
                    <w:tr2bl w:val="nil"/>
                  </w:tcBorders>
                  <w:vAlign w:val="center"/>
                </w:tcPr>
                <w:p>
                  <w:pPr>
                    <w:jc w:val="center"/>
                    <w:rPr>
                      <w:rFonts w:hint="eastAsia"/>
                      <w:color w:val="000000" w:themeColor="text1"/>
                      <w:kern w:val="0"/>
                      <w:szCs w:val="21"/>
                      <w:lang w:val="en-US" w:eastAsia="zh-CN" w:bidi="ar"/>
                      <w14:textFill>
                        <w14:solidFill>
                          <w14:schemeClr w14:val="tx1"/>
                        </w14:solidFill>
                      </w14:textFill>
                    </w:rPr>
                  </w:pPr>
                  <w:r>
                    <w:rPr>
                      <w:b/>
                      <w:bCs w:val="0"/>
                      <w:color w:val="000000" w:themeColor="text1"/>
                      <w:szCs w:val="21"/>
                      <w14:textFill>
                        <w14:solidFill>
                          <w14:schemeClr w14:val="tx1"/>
                        </w14:solidFill>
                      </w14:textFill>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restart"/>
                  <w:tcBorders>
                    <w:tl2br w:val="nil"/>
                    <w:tr2bl w:val="nil"/>
                  </w:tcBorders>
                  <w:vAlign w:val="center"/>
                </w:tcPr>
                <w:p>
                  <w:pPr>
                    <w:jc w:val="center"/>
                    <w:rPr>
                      <w:b/>
                      <w:bCs w:val="0"/>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陕西省大气污染防治条例（2019）</w:t>
                  </w:r>
                </w:p>
              </w:tc>
              <w:tc>
                <w:tcPr>
                  <w:tcW w:w="6900" w:type="dxa"/>
                  <w:tcBorders>
                    <w:tl2br w:val="nil"/>
                    <w:tr2bl w:val="nil"/>
                  </w:tcBorders>
                  <w:vAlign w:val="center"/>
                </w:tcPr>
                <w:p>
                  <w:pPr>
                    <w:widowControl/>
                    <w:rPr>
                      <w:b/>
                      <w:bCs w:val="0"/>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第五十六条 从事房屋建筑、道路、市政基础设施、矿产资源开发、河道整治及建筑拆除等施工工程、物料运输和堆放及其他产生扬尘污染的活动，必须采取防治措施。</w:t>
                  </w:r>
                </w:p>
              </w:tc>
              <w:tc>
                <w:tcPr>
                  <w:tcW w:w="2948" w:type="dxa"/>
                  <w:vMerge w:val="restart"/>
                  <w:tcBorders>
                    <w:tl2br w:val="nil"/>
                    <w:tr2bl w:val="nil"/>
                  </w:tcBorders>
                  <w:vAlign w:val="center"/>
                </w:tcPr>
                <w:p>
                  <w:pPr>
                    <w:autoSpaceDE w:val="0"/>
                    <w:autoSpaceDN w:val="0"/>
                    <w:rPr>
                      <w:b/>
                      <w:bCs w:val="0"/>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施工过程严格执行</w:t>
                  </w:r>
                  <w:r>
                    <w:rPr>
                      <w:rFonts w:hint="eastAsia" w:ascii="宋体" w:hAnsi="宋体" w:cs="宋体"/>
                      <w:color w:val="000000" w:themeColor="text1"/>
                      <w:szCs w:val="21"/>
                      <w14:textFill>
                        <w14:solidFill>
                          <w14:schemeClr w14:val="tx1"/>
                        </w14:solidFill>
                      </w14:textFill>
                    </w:rPr>
                    <w:t>“六个百分之百”</w:t>
                  </w:r>
                  <w:r>
                    <w:rPr>
                      <w:color w:val="000000" w:themeColor="text1"/>
                      <w:szCs w:val="21"/>
                      <w14:textFill>
                        <w14:solidFill>
                          <w14:schemeClr w14:val="tx1"/>
                        </w14:solidFill>
                      </w14:textFill>
                    </w:rPr>
                    <w:t>，渣土车运输过程保持密闭，实施围挡封闭化施工。</w:t>
                  </w:r>
                </w:p>
              </w:tc>
              <w:tc>
                <w:tcPr>
                  <w:tcW w:w="635" w:type="dxa"/>
                  <w:vMerge w:val="restart"/>
                  <w:tcBorders>
                    <w:tl2br w:val="nil"/>
                    <w:tr2bl w:val="nil"/>
                  </w:tcBorders>
                  <w:vAlign w:val="center"/>
                </w:tcPr>
                <w:p>
                  <w:pPr>
                    <w:jc w:val="center"/>
                    <w:rPr>
                      <w:b/>
                      <w:bCs w:val="0"/>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continue"/>
                  <w:tcBorders>
                    <w:tl2br w:val="nil"/>
                    <w:tr2bl w:val="nil"/>
                  </w:tcBorders>
                  <w:vAlign w:val="center"/>
                </w:tcPr>
                <w:p>
                  <w:pPr>
                    <w:jc w:val="center"/>
                    <w:rPr>
                      <w:b/>
                      <w:bCs w:val="0"/>
                      <w:color w:val="000000" w:themeColor="text1"/>
                      <w:szCs w:val="21"/>
                      <w14:textFill>
                        <w14:solidFill>
                          <w14:schemeClr w14:val="tx1"/>
                        </w14:solidFill>
                      </w14:textFill>
                    </w:rPr>
                  </w:pPr>
                </w:p>
              </w:tc>
              <w:tc>
                <w:tcPr>
                  <w:tcW w:w="6900" w:type="dxa"/>
                  <w:tcBorders>
                    <w:tl2br w:val="nil"/>
                    <w:tr2bl w:val="nil"/>
                  </w:tcBorders>
                  <w:vAlign w:val="center"/>
                </w:tcPr>
                <w:p>
                  <w:pPr>
                    <w:widowControl/>
                    <w:rPr>
                      <w:b/>
                      <w:bCs w:val="0"/>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施工工地内堆放水泥、灰土、砂石等易产生扬尘污染物料和建筑垃圾、工程渣土，应当遮盖或者在库房内存放</w:t>
                  </w:r>
                  <w:r>
                    <w:rPr>
                      <w:rFonts w:hint="eastAsia"/>
                      <w:color w:val="000000" w:themeColor="text1"/>
                      <w:kern w:val="0"/>
                      <w:szCs w:val="21"/>
                      <w:lang w:bidi="ar"/>
                      <w14:textFill>
                        <w14:solidFill>
                          <w14:schemeClr w14:val="tx1"/>
                        </w14:solidFill>
                      </w14:textFill>
                    </w:rPr>
                    <w:t>。</w:t>
                  </w:r>
                </w:p>
              </w:tc>
              <w:tc>
                <w:tcPr>
                  <w:tcW w:w="2948" w:type="dxa"/>
                  <w:vMerge w:val="continue"/>
                  <w:tcBorders>
                    <w:tl2br w:val="nil"/>
                    <w:tr2bl w:val="nil"/>
                  </w:tcBorders>
                  <w:vAlign w:val="center"/>
                </w:tcPr>
                <w:p>
                  <w:pPr>
                    <w:autoSpaceDE w:val="0"/>
                    <w:autoSpaceDN w:val="0"/>
                    <w:jc w:val="center"/>
                    <w:rPr>
                      <w:b/>
                      <w:bCs w:val="0"/>
                      <w:color w:val="000000" w:themeColor="text1"/>
                      <w:szCs w:val="21"/>
                      <w14:textFill>
                        <w14:solidFill>
                          <w14:schemeClr w14:val="tx1"/>
                        </w14:solidFill>
                      </w14:textFill>
                    </w:rPr>
                  </w:pPr>
                </w:p>
              </w:tc>
              <w:tc>
                <w:tcPr>
                  <w:tcW w:w="635" w:type="dxa"/>
                  <w:vMerge w:val="continue"/>
                  <w:tcBorders>
                    <w:tl2br w:val="nil"/>
                    <w:tr2bl w:val="nil"/>
                  </w:tcBorders>
                  <w:vAlign w:val="center"/>
                </w:tcPr>
                <w:p>
                  <w:pPr>
                    <w:jc w:val="center"/>
                    <w:rPr>
                      <w:b/>
                      <w:bCs w:val="0"/>
                      <w:color w:val="000000" w:themeColor="text1"/>
                      <w:szCs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restart"/>
                  <w:tcBorders>
                    <w:tl2br w:val="nil"/>
                    <w:tr2bl w:val="nil"/>
                  </w:tcBorders>
                  <w:vAlign w:val="center"/>
                </w:tcPr>
                <w:p>
                  <w:pPr>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《水利建设项目（河湖整治与防洪除涝工程）环境影响评价文件审批原则（试行）》</w:t>
                  </w:r>
                </w:p>
              </w:tc>
              <w:tc>
                <w:tcPr>
                  <w:tcW w:w="6900" w:type="dxa"/>
                  <w:tcBorders>
                    <w:tl2br w:val="nil"/>
                    <w:tr2bl w:val="nil"/>
                  </w:tcBorders>
                  <w:vAlign w:val="center"/>
                </w:tcPr>
                <w:p>
                  <w:pPr>
                    <w:autoSpaceDE w:val="0"/>
                    <w:autoSpaceDN w:val="0"/>
                    <w:adjustRightInd w:val="0"/>
                    <w:snapToGrid w:val="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第三条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2948"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bCs/>
                      <w:color w:val="000000" w:themeColor="text1"/>
                      <w:sz w:val="21"/>
                      <w:szCs w:val="21"/>
                      <w:lang w:eastAsia="zh-CN"/>
                      <w14:textFill>
                        <w14:solidFill>
                          <w14:schemeClr w14:val="tx1"/>
                        </w14:solidFill>
                      </w14:textFill>
                    </w:rPr>
                    <w:t>本工程选址不涉及风景名胜区等环境敏感区。</w:t>
                  </w:r>
                  <w:r>
                    <w:rPr>
                      <w:rFonts w:hint="eastAsia" w:ascii="Times New Roman" w:hAnsi="Times New Roman"/>
                      <w:bCs/>
                      <w:color w:val="000000" w:themeColor="text1"/>
                      <w:sz w:val="21"/>
                      <w:szCs w:val="21"/>
                      <w:lang w:eastAsia="zh-CN"/>
                      <w14:textFill>
                        <w14:solidFill>
                          <w14:schemeClr w14:val="tx1"/>
                        </w14:solidFill>
                      </w14:textFill>
                    </w:rPr>
                    <w:t>施工区不涉及饮用水水源保护区。</w:t>
                  </w:r>
                </w:p>
              </w:tc>
              <w:tc>
                <w:tcPr>
                  <w:tcW w:w="635"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continue"/>
                  <w:tcBorders>
                    <w:tl2br w:val="nil"/>
                    <w:tr2bl w:val="nil"/>
                  </w:tcBorders>
                  <w:vAlign w:val="center"/>
                </w:tcPr>
                <w:p>
                  <w:pPr>
                    <w:jc w:val="center"/>
                    <w:rPr>
                      <w:rFonts w:hint="eastAsia" w:cs="Times New Roman"/>
                      <w:color w:val="000000" w:themeColor="text1"/>
                      <w:lang w:eastAsia="zh-CN"/>
                      <w14:textFill>
                        <w14:solidFill>
                          <w14:schemeClr w14:val="tx1"/>
                        </w14:solidFill>
                      </w14:textFill>
                    </w:rPr>
                  </w:pPr>
                </w:p>
              </w:tc>
              <w:tc>
                <w:tcPr>
                  <w:tcW w:w="6900" w:type="dxa"/>
                  <w:tcBorders>
                    <w:tl2br w:val="nil"/>
                    <w:tr2bl w:val="nil"/>
                  </w:tcBorders>
                  <w:vAlign w:val="center"/>
                </w:tcPr>
                <w:p>
                  <w:pPr>
                    <w:autoSpaceDE w:val="0"/>
                    <w:autoSpaceDN w:val="0"/>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第七条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p>
                  <w:pPr>
                    <w:autoSpaceDE w:val="0"/>
                    <w:autoSpaceDN w:val="0"/>
                    <w:adjustRightInd w:val="0"/>
                    <w:snapToGrid w:val="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在采取上述措施后，施工期的不利环境影响能够得到缓解和控制，不会对周围环境和敏感保护目标造成重大不利影响。</w:t>
                  </w:r>
                </w:p>
              </w:tc>
              <w:tc>
                <w:tcPr>
                  <w:tcW w:w="2948" w:type="dxa"/>
                  <w:tcBorders>
                    <w:tl2br w:val="nil"/>
                    <w:tr2bl w:val="nil"/>
                  </w:tcBorders>
                  <w:vAlign w:val="center"/>
                </w:tcPr>
                <w:p>
                  <w:pPr>
                    <w:pStyle w:val="66"/>
                    <w:adjustRightInd w:val="0"/>
                    <w:snapToGrid w:val="0"/>
                    <w:spacing w:after="0" w:line="240" w:lineRule="auto"/>
                    <w:jc w:val="both"/>
                    <w:rPr>
                      <w:rFonts w:ascii="Times New Roman" w:hAnsi="Times New Roman"/>
                      <w:bCs/>
                      <w:color w:val="000000" w:themeColor="text1"/>
                      <w:sz w:val="21"/>
                      <w:szCs w:val="21"/>
                      <w:lang w:eastAsia="zh-CN"/>
                      <w14:textFill>
                        <w14:solidFill>
                          <w14:schemeClr w14:val="tx1"/>
                        </w14:solidFill>
                      </w14:textFill>
                    </w:rPr>
                  </w:pPr>
                  <w:r>
                    <w:rPr>
                      <w:rFonts w:ascii="Times New Roman" w:hAnsi="Times New Roman"/>
                      <w:bCs/>
                      <w:color w:val="000000" w:themeColor="text1"/>
                      <w:sz w:val="21"/>
                      <w:szCs w:val="21"/>
                      <w:lang w:eastAsia="zh-CN"/>
                      <w14:textFill>
                        <w14:solidFill>
                          <w14:schemeClr w14:val="tx1"/>
                        </w14:solidFill>
                      </w14:textFill>
                    </w:rPr>
                    <w:t>本工程对施工期各类废（污）水、扬尘、废气、噪声、固体废物等均提出了防治或处置措施。</w:t>
                  </w:r>
                </w:p>
                <w:p>
                  <w:pPr>
                    <w:pStyle w:val="66"/>
                    <w:adjustRightInd w:val="0"/>
                    <w:snapToGrid w:val="0"/>
                    <w:spacing w:after="0" w:line="240" w:lineRule="auto"/>
                    <w:jc w:val="both"/>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项目施工区不涉及饮用水水源保护区。</w:t>
                  </w:r>
                  <w:r>
                    <w:rPr>
                      <w:rFonts w:ascii="Times New Roman" w:hAnsi="Times New Roman"/>
                      <w:bCs/>
                      <w:color w:val="000000" w:themeColor="text1"/>
                      <w:sz w:val="21"/>
                      <w:szCs w:val="21"/>
                      <w:lang w:eastAsia="zh-CN"/>
                      <w14:textFill>
                        <w14:solidFill>
                          <w14:schemeClr w14:val="tx1"/>
                        </w14:solidFill>
                      </w14:textFill>
                    </w:rPr>
                    <w:t>不涉及对鱼类等水生生物及其重要生境造成不利影响。</w:t>
                  </w:r>
                </w:p>
              </w:tc>
              <w:tc>
                <w:tcPr>
                  <w:tcW w:w="635"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tcBorders>
                    <w:tl2br w:val="nil"/>
                    <w:tr2bl w:val="nil"/>
                  </w:tcBorders>
                  <w:vAlign w:val="center"/>
                </w:tcPr>
                <w:p>
                  <w:pPr>
                    <w:pStyle w:val="66"/>
                    <w:adjustRightInd w:val="0"/>
                    <w:snapToGrid w:val="0"/>
                    <w:spacing w:after="0"/>
                    <w:jc w:val="center"/>
                    <w:rPr>
                      <w:rFonts w:hint="eastAsia" w:ascii="Times New Roman" w:hAnsi="Times New Roman" w:eastAsia="宋体" w:cs="Times New Roman"/>
                      <w:sz w:val="21"/>
                      <w:szCs w:val="21"/>
                      <w:lang w:val="en-US" w:eastAsia="zh-CN" w:bidi="ar-SA"/>
                    </w:rPr>
                  </w:pPr>
                  <w:r>
                    <w:rPr>
                      <w:rFonts w:ascii="Times New Roman" w:hAnsi="Times New Roman"/>
                      <w:sz w:val="21"/>
                      <w:szCs w:val="21"/>
                      <w:lang w:eastAsia="zh-CN"/>
                    </w:rPr>
                    <w:t>《陕西省生态环境厅关于加强部分涉水生态类项目环境影响评价管理工作的通知》（陕环发</w:t>
                  </w:r>
                  <w:r>
                    <w:rPr>
                      <w:rFonts w:hint="eastAsia" w:ascii="宋体" w:hAnsi="宋体" w:eastAsia="宋体" w:cs="宋体"/>
                      <w:sz w:val="21"/>
                      <w:szCs w:val="21"/>
                      <w:lang w:eastAsia="zh-CN"/>
                    </w:rPr>
                    <w:t>〔</w:t>
                  </w:r>
                  <w:r>
                    <w:rPr>
                      <w:rFonts w:ascii="Times New Roman" w:hAnsi="Times New Roman"/>
                      <w:sz w:val="21"/>
                      <w:szCs w:val="21"/>
                      <w:lang w:eastAsia="zh-CN"/>
                    </w:rPr>
                    <w:t>2019</w:t>
                  </w:r>
                  <w:r>
                    <w:rPr>
                      <w:rFonts w:hint="eastAsia" w:ascii="宋体" w:hAnsi="宋体" w:eastAsia="宋体" w:cs="宋体"/>
                      <w:sz w:val="21"/>
                      <w:szCs w:val="21"/>
                      <w:lang w:eastAsia="zh-CN"/>
                    </w:rPr>
                    <w:t>〕</w:t>
                  </w:r>
                  <w:r>
                    <w:rPr>
                      <w:rFonts w:ascii="Times New Roman" w:hAnsi="Times New Roman"/>
                      <w:sz w:val="21"/>
                      <w:szCs w:val="21"/>
                      <w:lang w:eastAsia="zh-CN"/>
                    </w:rPr>
                    <w:t>15号）</w:t>
                  </w:r>
                </w:p>
              </w:tc>
              <w:tc>
                <w:tcPr>
                  <w:tcW w:w="6900" w:type="dxa"/>
                  <w:tcBorders>
                    <w:tl2br w:val="nil"/>
                    <w:tr2bl w:val="nil"/>
                  </w:tcBorders>
                  <w:vAlign w:val="center"/>
                </w:tcPr>
                <w:p>
                  <w:pPr>
                    <w:autoSpaceDE w:val="0"/>
                    <w:autoSpaceDN w:val="0"/>
                    <w:adjustRightInd w:val="0"/>
                    <w:snapToGrid w:val="0"/>
                    <w:rPr>
                      <w:rFonts w:ascii="Times New Roman" w:hAnsi="Times New Roman" w:eastAsia="宋体" w:cs="Times New Roman"/>
                      <w:bCs/>
                      <w:kern w:val="2"/>
                      <w:sz w:val="21"/>
                      <w:szCs w:val="21"/>
                      <w:lang w:val="en-US" w:eastAsia="zh-CN" w:bidi="ar-SA"/>
                    </w:rPr>
                  </w:pPr>
                  <w:r>
                    <w:rPr>
                      <w:szCs w:val="21"/>
                    </w:rPr>
                    <w:t>二、明确环境准入，严格环评审批工作（二）河湖整治与防洪除涝工程类项目，应满足流域综合治理规划、防洪规划、生态环境保护等相关规划及规划环评要求，不得巧立名目，在河道综合治理建设项目环评文件中搭车与治理无关的其他建设内容。确需建设滨河公园、湿地公园等的，应单独办理环评手续，以水环境保护为重点，全面分析论证项目建设的必要性和环境可行性，不得随意采取改变河道形态、建设橡胶坝等形式打造城市景观。</w:t>
                  </w:r>
                </w:p>
              </w:tc>
              <w:tc>
                <w:tcPr>
                  <w:tcW w:w="2948"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sz w:val="21"/>
                      <w:szCs w:val="21"/>
                      <w:lang w:val="en-US" w:eastAsia="zh-CN" w:bidi="ar-SA"/>
                    </w:rPr>
                  </w:pPr>
                  <w:r>
                    <w:rPr>
                      <w:rFonts w:hint="eastAsia" w:ascii="Times New Roman" w:hAnsi="Times New Roman"/>
                      <w:sz w:val="21"/>
                      <w:szCs w:val="21"/>
                      <w:lang w:eastAsia="zh-CN"/>
                    </w:rPr>
                    <w:t>本项目为水土保持及河道水生态修复工程，属于防洪除涝工程，不涉及滨河公园、湿地公园等</w:t>
                  </w:r>
                  <w:r>
                    <w:rPr>
                      <w:rFonts w:ascii="Times New Roman" w:hAnsi="Times New Roman"/>
                      <w:sz w:val="21"/>
                      <w:szCs w:val="21"/>
                      <w:lang w:eastAsia="zh-CN"/>
                    </w:rPr>
                    <w:t>。</w:t>
                  </w:r>
                </w:p>
              </w:tc>
              <w:tc>
                <w:tcPr>
                  <w:tcW w:w="635"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sz w:val="21"/>
                      <w:szCs w:val="21"/>
                      <w:lang w:val="en-US" w:eastAsia="zh-CN" w:bidi="ar-SA"/>
                    </w:rPr>
                  </w:pPr>
                  <w:r>
                    <w:rPr>
                      <w:rFonts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restart"/>
                  <w:tcBorders>
                    <w:tl2br w:val="nil"/>
                    <w:tr2bl w:val="nil"/>
                  </w:tcBorders>
                  <w:vAlign w:val="center"/>
                </w:tcPr>
                <w:p>
                  <w:pPr>
                    <w:pStyle w:val="66"/>
                    <w:adjustRightInd w:val="0"/>
                    <w:snapToGrid w:val="0"/>
                    <w:spacing w:after="0"/>
                    <w:jc w:val="center"/>
                    <w:rPr>
                      <w:rFonts w:hint="eastAsia" w:ascii="Times New Roman" w:hAnsi="Times New Roman" w:eastAsia="宋体" w:cs="Times New Roman"/>
                      <w:sz w:val="21"/>
                      <w:szCs w:val="21"/>
                      <w:lang w:val="en-US" w:eastAsia="zh-CN" w:bidi="ar-SA"/>
                    </w:rPr>
                  </w:pPr>
                  <w:r>
                    <w:rPr>
                      <w:rFonts w:hint="eastAsia" w:ascii="Times New Roman" w:hAnsi="Times New Roman"/>
                      <w:sz w:val="21"/>
                      <w:szCs w:val="21"/>
                      <w:lang w:eastAsia="zh-CN"/>
                    </w:rPr>
                    <w:t>《陕西省河道管理条例》</w:t>
                  </w:r>
                </w:p>
              </w:tc>
              <w:tc>
                <w:tcPr>
                  <w:tcW w:w="6900" w:type="dxa"/>
                  <w:tcBorders>
                    <w:tl2br w:val="nil"/>
                    <w:tr2bl w:val="nil"/>
                  </w:tcBorders>
                  <w:vAlign w:val="center"/>
                </w:tcPr>
                <w:p>
                  <w:pPr>
                    <w:pStyle w:val="68"/>
                    <w:adjustRightInd w:val="0"/>
                    <w:snapToGrid w:val="0"/>
                    <w:spacing w:line="240" w:lineRule="auto"/>
                    <w:ind w:left="0" w:leftChars="0" w:firstLine="0" w:firstLineChars="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第二十一条 在河道管理范围内禁止下列为：</w:t>
                  </w:r>
                </w:p>
                <w:p>
                  <w:pPr>
                    <w:pStyle w:val="68"/>
                    <w:adjustRightInd w:val="0"/>
                    <w:snapToGrid w:val="0"/>
                    <w:spacing w:line="240" w:lineRule="auto"/>
                    <w:ind w:left="0" w:leftChars="0" w:firstLine="0" w:firstLineChars="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（一）</w:t>
                  </w: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修建违章丁坝、顺坝、围堤、生产堤、高路、高渠、房屋；</w:t>
                  </w:r>
                </w:p>
                <w:p>
                  <w:pPr>
                    <w:pStyle w:val="68"/>
                    <w:adjustRightInd w:val="0"/>
                    <w:snapToGrid w:val="0"/>
                    <w:spacing w:line="240" w:lineRule="auto"/>
                    <w:ind w:left="0" w:leftChars="0" w:firstLine="0" w:firstLineChars="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（二）</w:t>
                  </w: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存放物料，倾倒垃圾、矿渣、煤灰、废弃土石料和其他废弃物；</w:t>
                  </w:r>
                </w:p>
                <w:p>
                  <w:pPr>
                    <w:autoSpaceDE w:val="0"/>
                    <w:autoSpaceDN w:val="0"/>
                    <w:adjustRightInd w:val="0"/>
                    <w:snapToGrid w:val="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（三）</w:t>
                  </w: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围河造田、种植阻水林木和高秆作物。</w:t>
                  </w:r>
                </w:p>
              </w:tc>
              <w:tc>
                <w:tcPr>
                  <w:tcW w:w="2948"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sz w:val="21"/>
                      <w:szCs w:val="21"/>
                      <w:lang w:val="en-US" w:eastAsia="zh-CN" w:bidi="ar-SA"/>
                    </w:rPr>
                  </w:pPr>
                  <w:r>
                    <w:rPr>
                      <w:rFonts w:hint="eastAsia" w:ascii="Times New Roman" w:hAnsi="Times New Roman"/>
                      <w:sz w:val="21"/>
                      <w:szCs w:val="21"/>
                      <w:lang w:eastAsia="zh-CN"/>
                    </w:rPr>
                    <w:t>本项目为水土保持及河道水生态修复工程</w:t>
                  </w:r>
                  <w:r>
                    <w:rPr>
                      <w:rFonts w:hint="eastAsia" w:ascii="Times New Roman" w:hAnsi="Times New Roman"/>
                      <w:bCs/>
                      <w:sz w:val="21"/>
                      <w:szCs w:val="21"/>
                      <w:lang w:eastAsia="zh-CN"/>
                    </w:rPr>
                    <w:t>，</w:t>
                  </w:r>
                  <w:r>
                    <w:rPr>
                      <w:rFonts w:ascii="Times New Roman" w:hAnsi="Times New Roman"/>
                      <w:bCs/>
                      <w:sz w:val="21"/>
                      <w:szCs w:val="21"/>
                      <w:lang w:eastAsia="zh-CN"/>
                    </w:rPr>
                    <w:t>属于</w:t>
                  </w:r>
                  <w:r>
                    <w:rPr>
                      <w:rFonts w:hint="eastAsia" w:ascii="Times New Roman" w:hAnsi="Times New Roman"/>
                      <w:sz w:val="21"/>
                      <w:szCs w:val="21"/>
                      <w:lang w:eastAsia="zh-CN"/>
                    </w:rPr>
                    <w:t>防</w:t>
                  </w:r>
                  <w:r>
                    <w:rPr>
                      <w:rFonts w:hint="eastAsia" w:ascii="Times New Roman" w:hAnsi="Times New Roman"/>
                      <w:bCs/>
                      <w:sz w:val="21"/>
                      <w:szCs w:val="21"/>
                      <w:lang w:eastAsia="zh-CN"/>
                    </w:rPr>
                    <w:t>洪除涝工程</w:t>
                  </w:r>
                  <w:r>
                    <w:rPr>
                      <w:rFonts w:ascii="Times New Roman" w:hAnsi="Times New Roman"/>
                      <w:bCs/>
                      <w:sz w:val="21"/>
                      <w:szCs w:val="21"/>
                      <w:lang w:eastAsia="zh-CN"/>
                    </w:rPr>
                    <w:t>，不属于条例中禁止的行为。</w:t>
                  </w:r>
                </w:p>
              </w:tc>
              <w:tc>
                <w:tcPr>
                  <w:tcW w:w="635"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sz w:val="21"/>
                      <w:szCs w:val="21"/>
                      <w:lang w:val="en-US" w:eastAsia="zh-CN" w:bidi="ar-SA"/>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continue"/>
                  <w:tcBorders>
                    <w:tl2br w:val="nil"/>
                    <w:tr2bl w:val="nil"/>
                  </w:tcBorders>
                  <w:vAlign w:val="center"/>
                </w:tcPr>
                <w:p>
                  <w:pPr>
                    <w:jc w:val="center"/>
                    <w:rPr>
                      <w:rFonts w:hint="eastAsia" w:cs="Times New Roman"/>
                      <w:color w:val="FF0000"/>
                      <w:lang w:eastAsia="zh-CN"/>
                    </w:rPr>
                  </w:pPr>
                </w:p>
              </w:tc>
              <w:tc>
                <w:tcPr>
                  <w:tcW w:w="6900" w:type="dxa"/>
                  <w:tcBorders>
                    <w:tl2br w:val="nil"/>
                    <w:tr2bl w:val="nil"/>
                  </w:tcBorders>
                  <w:vAlign w:val="center"/>
                </w:tcPr>
                <w:p>
                  <w:pPr>
                    <w:autoSpaceDE w:val="0"/>
                    <w:autoSpaceDN w:val="0"/>
                    <w:adjustRightInd w:val="0"/>
                    <w:snapToGrid w:val="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第二十三条 在河道管理范围内采运砂、石、土料以及淘金等，必须报经水行政主管部门批准，按照指定范围和要求作业，并按规定向水行政主管部门缴纳管理费。</w:t>
                  </w:r>
                </w:p>
              </w:tc>
              <w:tc>
                <w:tcPr>
                  <w:tcW w:w="2948"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sz w:val="21"/>
                      <w:szCs w:val="21"/>
                      <w:lang w:val="en-US" w:eastAsia="zh-CN" w:bidi="ar-SA"/>
                    </w:rPr>
                  </w:pPr>
                  <w:r>
                    <w:rPr>
                      <w:rFonts w:ascii="Times New Roman" w:hAnsi="Times New Roman"/>
                      <w:bCs/>
                      <w:sz w:val="21"/>
                      <w:szCs w:val="21"/>
                      <w:lang w:eastAsia="zh-CN"/>
                    </w:rPr>
                    <w:t>本项目不涉及在河道管理范围内采运砂、石、土料以及淘金等行为。</w:t>
                  </w:r>
                </w:p>
              </w:tc>
              <w:tc>
                <w:tcPr>
                  <w:tcW w:w="635"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sz w:val="21"/>
                      <w:szCs w:val="21"/>
                      <w:lang w:val="en-US" w:eastAsia="zh-CN" w:bidi="ar-SA"/>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restart"/>
                  <w:tcBorders>
                    <w:tl2br w:val="nil"/>
                    <w:tr2bl w:val="nil"/>
                  </w:tcBorders>
                  <w:vAlign w:val="center"/>
                </w:tcPr>
                <w:p>
                  <w:pPr>
                    <w:pStyle w:val="66"/>
                    <w:adjustRightInd w:val="0"/>
                    <w:snapToGrid w:val="0"/>
                    <w:spacing w:after="0"/>
                    <w:jc w:val="center"/>
                    <w:rPr>
                      <w:rFonts w:hint="eastAsia" w:ascii="Times New Roman" w:hAnsi="Times New Roman" w:eastAsia="宋体" w:cs="Times New Roman"/>
                      <w:bCs/>
                      <w:sz w:val="21"/>
                      <w:szCs w:val="21"/>
                      <w:lang w:val="en-US" w:eastAsia="zh-CN" w:bidi="ar-SA"/>
                    </w:rPr>
                  </w:pPr>
                  <w:r>
                    <w:rPr>
                      <w:rFonts w:hint="eastAsia" w:ascii="Times New Roman" w:hAnsi="Times New Roman"/>
                      <w:bCs/>
                      <w:sz w:val="21"/>
                      <w:szCs w:val="21"/>
                      <w:lang w:eastAsia="zh-CN"/>
                    </w:rPr>
                    <w:t>《西安市秦岭生态环境保护条例》</w:t>
                  </w:r>
                </w:p>
              </w:tc>
              <w:tc>
                <w:tcPr>
                  <w:tcW w:w="6900" w:type="dxa"/>
                  <w:tcBorders>
                    <w:tl2br w:val="nil"/>
                    <w:tr2bl w:val="nil"/>
                  </w:tcBorders>
                  <w:vAlign w:val="center"/>
                </w:tcPr>
                <w:p>
                  <w:pPr>
                    <w:autoSpaceDE w:val="0"/>
                    <w:autoSpaceDN w:val="0"/>
                    <w:adjustRightInd w:val="0"/>
                    <w:snapToGrid w:val="0"/>
                    <w:rPr>
                      <w:bCs/>
                      <w:szCs w:val="21"/>
                    </w:rPr>
                  </w:pPr>
                  <w:r>
                    <w:rPr>
                      <w:bCs/>
                      <w:szCs w:val="21"/>
                    </w:rPr>
                    <w:t>第三十三条秦岭范围下列区域，除国土空间规划确定的城镇开发边界范围外，应当划为核心保护区：</w:t>
                  </w:r>
                </w:p>
                <w:p>
                  <w:pPr>
                    <w:autoSpaceDE w:val="0"/>
                    <w:autoSpaceDN w:val="0"/>
                    <w:adjustRightInd w:val="0"/>
                    <w:snapToGrid w:val="0"/>
                    <w:rPr>
                      <w:bCs/>
                      <w:szCs w:val="21"/>
                    </w:rPr>
                  </w:pPr>
                  <w:r>
                    <w:rPr>
                      <w:bCs/>
                      <w:szCs w:val="21"/>
                    </w:rPr>
                    <w:t>（一）海拔2000米以上区域，秦岭山系主梁两侧各1000米以内、主要支脉两侧各500米以内的区域；</w:t>
                  </w:r>
                </w:p>
                <w:p>
                  <w:pPr>
                    <w:autoSpaceDE w:val="0"/>
                    <w:autoSpaceDN w:val="0"/>
                    <w:adjustRightInd w:val="0"/>
                    <w:snapToGrid w:val="0"/>
                    <w:rPr>
                      <w:bCs/>
                      <w:szCs w:val="21"/>
                    </w:rPr>
                  </w:pPr>
                  <w:r>
                    <w:rPr>
                      <w:bCs/>
                      <w:szCs w:val="21"/>
                    </w:rPr>
                    <w:t>（二）国家公园、自然保护区的核心保护区，世界遗产；</w:t>
                  </w:r>
                </w:p>
                <w:p>
                  <w:pPr>
                    <w:autoSpaceDE w:val="0"/>
                    <w:autoSpaceDN w:val="0"/>
                    <w:adjustRightInd w:val="0"/>
                    <w:snapToGrid w:val="0"/>
                    <w:rPr>
                      <w:bCs/>
                      <w:szCs w:val="21"/>
                    </w:rPr>
                  </w:pPr>
                  <w:r>
                    <w:rPr>
                      <w:bCs/>
                      <w:szCs w:val="21"/>
                    </w:rPr>
                    <w:t>（三）饮用水水源一级保护区；</w:t>
                  </w:r>
                </w:p>
                <w:p>
                  <w:pPr>
                    <w:autoSpaceDE w:val="0"/>
                    <w:autoSpaceDN w:val="0"/>
                    <w:adjustRightInd w:val="0"/>
                    <w:snapToGrid w:val="0"/>
                    <w:rPr>
                      <w:bCs/>
                      <w:szCs w:val="21"/>
                    </w:rPr>
                  </w:pPr>
                  <w:r>
                    <w:rPr>
                      <w:bCs/>
                      <w:szCs w:val="21"/>
                    </w:rPr>
                    <w:t>（四）自然保护区一般控制区中珍稀濒危野生动物栖息地与其他重要生态功能区集中连片，需要整体性、系统性保护的区域。</w:t>
                  </w:r>
                </w:p>
                <w:p>
                  <w:pPr>
                    <w:autoSpaceDE w:val="0"/>
                    <w:autoSpaceDN w:val="0"/>
                    <w:adjustRightInd w:val="0"/>
                    <w:snapToGrid w:val="0"/>
                    <w:rPr>
                      <w:rFonts w:hint="eastAsia" w:ascii="Times New Roman" w:hAnsi="Times New Roman" w:eastAsia="宋体" w:cs="Times New Roman"/>
                      <w:bCs/>
                      <w:kern w:val="2"/>
                      <w:sz w:val="21"/>
                      <w:szCs w:val="21"/>
                      <w:lang w:val="en-US" w:eastAsia="zh-CN" w:bidi="ar-SA"/>
                    </w:rPr>
                  </w:pPr>
                  <w:r>
                    <w:rPr>
                      <w:bCs/>
                      <w:szCs w:val="21"/>
                    </w:rPr>
                    <w:t>第三十七条核心保护区内，实施生态功能全方位保护，严格控制人为因素对自然生态和自然文化遗产原真性、完整性的干扰和影响。</w:t>
                  </w:r>
                </w:p>
              </w:tc>
              <w:tc>
                <w:tcPr>
                  <w:tcW w:w="2948"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项目所在海拔高度低于</w:t>
                  </w:r>
                  <w:r>
                    <w:rPr>
                      <w:rFonts w:hint="eastAsia" w:ascii="Times New Roman" w:hAnsi="Times New Roman"/>
                      <w:bCs/>
                      <w:color w:val="000000" w:themeColor="text1"/>
                      <w:sz w:val="21"/>
                      <w:szCs w:val="21"/>
                      <w:lang w:val="en-US" w:eastAsia="zh-CN"/>
                      <w14:textFill>
                        <w14:solidFill>
                          <w14:schemeClr w14:val="tx1"/>
                        </w14:solidFill>
                      </w14:textFill>
                    </w:rPr>
                    <w:t>1500</w:t>
                  </w:r>
                  <w:r>
                    <w:rPr>
                      <w:rFonts w:hint="eastAsia" w:ascii="Times New Roman" w:hAnsi="Times New Roman"/>
                      <w:bCs/>
                      <w:color w:val="000000" w:themeColor="text1"/>
                      <w:sz w:val="21"/>
                      <w:szCs w:val="21"/>
                      <w:lang w:eastAsia="zh-CN"/>
                      <w14:textFill>
                        <w14:solidFill>
                          <w14:schemeClr w14:val="tx1"/>
                        </w14:solidFill>
                      </w14:textFill>
                    </w:rPr>
                    <w:t>m，不属于</w:t>
                  </w:r>
                  <w:r>
                    <w:rPr>
                      <w:bCs/>
                      <w:color w:val="000000" w:themeColor="text1"/>
                      <w:szCs w:val="21"/>
                      <w:lang w:eastAsia="zh-CN"/>
                      <w14:textFill>
                        <w14:solidFill>
                          <w14:schemeClr w14:val="tx1"/>
                        </w14:solidFill>
                      </w14:textFill>
                    </w:rPr>
                    <w:t>国家公园、自然保护区的核心保护区</w:t>
                  </w:r>
                  <w:r>
                    <w:rPr>
                      <w:rFonts w:hint="eastAsia"/>
                      <w:bCs/>
                      <w:color w:val="000000" w:themeColor="text1"/>
                      <w:szCs w:val="21"/>
                      <w:lang w:eastAsia="zh-CN"/>
                      <w14:textFill>
                        <w14:solidFill>
                          <w14:schemeClr w14:val="tx1"/>
                        </w14:solidFill>
                      </w14:textFill>
                    </w:rPr>
                    <w:t>、</w:t>
                  </w:r>
                  <w:r>
                    <w:rPr>
                      <w:bCs/>
                      <w:color w:val="000000" w:themeColor="text1"/>
                      <w:szCs w:val="21"/>
                      <w:lang w:eastAsia="zh-CN"/>
                      <w14:textFill>
                        <w14:solidFill>
                          <w14:schemeClr w14:val="tx1"/>
                        </w14:solidFill>
                      </w14:textFill>
                    </w:rPr>
                    <w:t>世界遗产</w:t>
                  </w:r>
                  <w:r>
                    <w:rPr>
                      <w:rFonts w:hint="eastAsia"/>
                      <w:bCs/>
                      <w:color w:val="000000" w:themeColor="text1"/>
                      <w:szCs w:val="21"/>
                      <w:lang w:eastAsia="zh-CN"/>
                      <w14:textFill>
                        <w14:solidFill>
                          <w14:schemeClr w14:val="tx1"/>
                        </w14:solidFill>
                      </w14:textFill>
                    </w:rPr>
                    <w:t>、</w:t>
                  </w:r>
                  <w:r>
                    <w:rPr>
                      <w:bCs/>
                      <w:color w:val="000000" w:themeColor="text1"/>
                      <w:szCs w:val="21"/>
                      <w:lang w:eastAsia="zh-CN"/>
                      <w14:textFill>
                        <w14:solidFill>
                          <w14:schemeClr w14:val="tx1"/>
                        </w14:solidFill>
                      </w14:textFill>
                    </w:rPr>
                    <w:t>饮用水水源一级保护区</w:t>
                  </w:r>
                  <w:r>
                    <w:rPr>
                      <w:rFonts w:hint="eastAsia" w:ascii="Times New Roman" w:hAnsi="Times New Roman"/>
                      <w:bCs/>
                      <w:color w:val="000000" w:themeColor="text1"/>
                      <w:kern w:val="2"/>
                      <w:sz w:val="21"/>
                      <w:szCs w:val="21"/>
                      <w:lang w:eastAsia="zh-CN"/>
                      <w14:textFill>
                        <w14:solidFill>
                          <w14:schemeClr w14:val="tx1"/>
                        </w14:solidFill>
                      </w14:textFill>
                    </w:rPr>
                    <w:t>，项目所在区域不属于秦岭范围核心区域，且本项目</w:t>
                  </w:r>
                  <w:r>
                    <w:rPr>
                      <w:rFonts w:hint="eastAsia" w:ascii="Times New Roman" w:hAnsi="Times New Roman"/>
                      <w:bCs/>
                      <w:color w:val="000000" w:themeColor="text1"/>
                      <w:sz w:val="21"/>
                      <w:szCs w:val="21"/>
                      <w:lang w:eastAsia="zh-CN"/>
                      <w14:textFill>
                        <w14:solidFill>
                          <w14:schemeClr w14:val="tx1"/>
                        </w14:solidFill>
                      </w14:textFill>
                    </w:rPr>
                    <w:t>主要建设内容为河道提防护岸工程和水土流失治理工程，</w:t>
                  </w:r>
                </w:p>
              </w:tc>
              <w:tc>
                <w:tcPr>
                  <w:tcW w:w="635" w:type="dxa"/>
                  <w:tcBorders>
                    <w:tl2br w:val="nil"/>
                    <w:tr2bl w:val="nil"/>
                  </w:tcBorders>
                  <w:vAlign w:val="center"/>
                </w:tcPr>
                <w:p>
                  <w:pPr>
                    <w:jc w:val="center"/>
                    <w:rPr>
                      <w:rFonts w:hint="eastAsia"/>
                      <w:color w:val="FF0000"/>
                      <w:szCs w:val="21"/>
                      <w:lang w:val="en-US"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continue"/>
                  <w:tcBorders>
                    <w:tl2br w:val="nil"/>
                    <w:tr2bl w:val="nil"/>
                  </w:tcBorders>
                  <w:vAlign w:val="center"/>
                </w:tcPr>
                <w:p>
                  <w:pPr>
                    <w:jc w:val="center"/>
                    <w:rPr>
                      <w:rFonts w:hint="eastAsia" w:cs="Times New Roman"/>
                      <w:color w:val="FF0000"/>
                      <w:lang w:eastAsia="zh-CN"/>
                    </w:rPr>
                  </w:pPr>
                </w:p>
              </w:tc>
              <w:tc>
                <w:tcPr>
                  <w:tcW w:w="6900" w:type="dxa"/>
                  <w:tcBorders>
                    <w:tl2br w:val="nil"/>
                    <w:tr2bl w:val="nil"/>
                  </w:tcBorders>
                  <w:vAlign w:val="center"/>
                </w:tcPr>
                <w:p>
                  <w:pPr>
                    <w:autoSpaceDE w:val="0"/>
                    <w:autoSpaceDN w:val="0"/>
                    <w:adjustRightInd w:val="0"/>
                    <w:snapToGrid w:val="0"/>
                    <w:rPr>
                      <w:bCs/>
                      <w:szCs w:val="21"/>
                    </w:rPr>
                  </w:pPr>
                  <w:r>
                    <w:rPr>
                      <w:bCs/>
                      <w:szCs w:val="21"/>
                    </w:rPr>
                    <w:t>第三十四条秦岭范围下列区域，除核心保护区、国土空间规划确定的城镇开发边界范围外，应当划为重点保护区：</w:t>
                  </w:r>
                </w:p>
                <w:p>
                  <w:pPr>
                    <w:autoSpaceDE w:val="0"/>
                    <w:autoSpaceDN w:val="0"/>
                    <w:adjustRightInd w:val="0"/>
                    <w:snapToGrid w:val="0"/>
                    <w:rPr>
                      <w:bCs/>
                      <w:szCs w:val="21"/>
                    </w:rPr>
                  </w:pPr>
                  <w:r>
                    <w:rPr>
                      <w:bCs/>
                      <w:szCs w:val="21"/>
                    </w:rPr>
                    <w:t>（一）海拔1500米至2000米之间的区域；</w:t>
                  </w:r>
                </w:p>
                <w:p>
                  <w:pPr>
                    <w:autoSpaceDE w:val="0"/>
                    <w:autoSpaceDN w:val="0"/>
                    <w:adjustRightInd w:val="0"/>
                    <w:snapToGrid w:val="0"/>
                    <w:rPr>
                      <w:bCs/>
                      <w:szCs w:val="21"/>
                    </w:rPr>
                  </w:pPr>
                  <w:r>
                    <w:rPr>
                      <w:bCs/>
                      <w:szCs w:val="21"/>
                    </w:rPr>
                    <w:t>（二）国家公园、自然保护区的一般控制区，饮用水水源二级保护区；</w:t>
                  </w:r>
                </w:p>
                <w:p>
                  <w:pPr>
                    <w:autoSpaceDE w:val="0"/>
                    <w:autoSpaceDN w:val="0"/>
                    <w:adjustRightInd w:val="0"/>
                    <w:snapToGrid w:val="0"/>
                    <w:rPr>
                      <w:bCs/>
                      <w:szCs w:val="21"/>
                    </w:rPr>
                  </w:pPr>
                  <w:r>
                    <w:rPr>
                      <w:bCs/>
                      <w:szCs w:val="21"/>
                    </w:rPr>
                    <w:t>（三）国家级和省级风景名胜区、地质公园、森林公园、湿地公园等自然公园的重要功能区，植物园、水利风景区；</w:t>
                  </w:r>
                </w:p>
                <w:p>
                  <w:pPr>
                    <w:autoSpaceDE w:val="0"/>
                    <w:autoSpaceDN w:val="0"/>
                    <w:adjustRightInd w:val="0"/>
                    <w:snapToGrid w:val="0"/>
                    <w:rPr>
                      <w:bCs/>
                      <w:szCs w:val="21"/>
                    </w:rPr>
                  </w:pPr>
                  <w:r>
                    <w:rPr>
                      <w:bCs/>
                      <w:szCs w:val="21"/>
                    </w:rPr>
                    <w:t>（四）水产种质资源保护区、野生植物原生境保护区（点）、野生动物重要栖息地，国有天然林分布区，重要湿地，重要的大中型水库、天然湖泊；</w:t>
                  </w:r>
                </w:p>
                <w:p>
                  <w:pPr>
                    <w:autoSpaceDE w:val="0"/>
                    <w:autoSpaceDN w:val="0"/>
                    <w:adjustRightInd w:val="0"/>
                    <w:snapToGrid w:val="0"/>
                    <w:rPr>
                      <w:bCs/>
                      <w:szCs w:val="21"/>
                    </w:rPr>
                  </w:pPr>
                  <w:r>
                    <w:rPr>
                      <w:bCs/>
                      <w:szCs w:val="21"/>
                    </w:rPr>
                    <w:t>（五）全国重点文物保护单位、省级文物保护单位。</w:t>
                  </w:r>
                </w:p>
                <w:p>
                  <w:pPr>
                    <w:autoSpaceDE w:val="0"/>
                    <w:autoSpaceDN w:val="0"/>
                    <w:adjustRightInd w:val="0"/>
                    <w:snapToGrid w:val="0"/>
                    <w:rPr>
                      <w:rFonts w:hint="eastAsia" w:ascii="Times New Roman" w:hAnsi="Times New Roman" w:eastAsia="宋体" w:cs="Times New Roman"/>
                      <w:bCs/>
                      <w:kern w:val="2"/>
                      <w:sz w:val="21"/>
                      <w:szCs w:val="21"/>
                      <w:lang w:val="en-US" w:eastAsia="zh-CN" w:bidi="ar-SA"/>
                    </w:rPr>
                  </w:pPr>
                  <w:r>
                    <w:rPr>
                      <w:rFonts w:hint="eastAsia"/>
                      <w:bCs/>
                      <w:szCs w:val="21"/>
                    </w:rPr>
                    <w:t>第三十八条重点保护区内， 应当以植被、水源地和生物多样性保护为主，恢复植被、退耕还林还草。</w:t>
                  </w:r>
                </w:p>
              </w:tc>
              <w:tc>
                <w:tcPr>
                  <w:tcW w:w="2948"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项目所在海拔高度低于</w:t>
                  </w:r>
                  <w:r>
                    <w:rPr>
                      <w:rFonts w:hint="eastAsia" w:ascii="Times New Roman" w:hAnsi="Times New Roman"/>
                      <w:bCs/>
                      <w:color w:val="000000" w:themeColor="text1"/>
                      <w:sz w:val="21"/>
                      <w:szCs w:val="21"/>
                      <w:lang w:val="en-US" w:eastAsia="zh-CN"/>
                      <w14:textFill>
                        <w14:solidFill>
                          <w14:schemeClr w14:val="tx1"/>
                        </w14:solidFill>
                      </w14:textFill>
                    </w:rPr>
                    <w:t>1500</w:t>
                  </w:r>
                  <w:r>
                    <w:rPr>
                      <w:rFonts w:hint="eastAsia" w:ascii="Times New Roman" w:hAnsi="Times New Roman"/>
                      <w:bCs/>
                      <w:color w:val="000000" w:themeColor="text1"/>
                      <w:sz w:val="21"/>
                      <w:szCs w:val="21"/>
                      <w:lang w:eastAsia="zh-CN"/>
                      <w14:textFill>
                        <w14:solidFill>
                          <w14:schemeClr w14:val="tx1"/>
                        </w14:solidFill>
                      </w14:textFill>
                    </w:rPr>
                    <w:t>m，涉及陕西太兴山省级森林自然公园、周至县秦岭重点保护区等。</w:t>
                  </w:r>
                  <w:r>
                    <w:rPr>
                      <w:rFonts w:hint="eastAsia" w:ascii="Times New Roman" w:hAnsi="Times New Roman"/>
                      <w:bCs/>
                      <w:color w:val="000000" w:themeColor="text1"/>
                      <w:kern w:val="2"/>
                      <w:sz w:val="21"/>
                      <w:szCs w:val="21"/>
                      <w:lang w:eastAsia="zh-CN"/>
                      <w14:textFill>
                        <w14:solidFill>
                          <w14:schemeClr w14:val="tx1"/>
                        </w14:solidFill>
                      </w14:textFill>
                    </w:rPr>
                    <w:t>本项目</w:t>
                  </w:r>
                  <w:r>
                    <w:rPr>
                      <w:rFonts w:hint="eastAsia" w:ascii="Times New Roman" w:hAnsi="Times New Roman"/>
                      <w:bCs/>
                      <w:color w:val="000000" w:themeColor="text1"/>
                      <w:sz w:val="21"/>
                      <w:szCs w:val="21"/>
                      <w:lang w:eastAsia="zh-CN"/>
                      <w14:textFill>
                        <w14:solidFill>
                          <w14:schemeClr w14:val="tx1"/>
                        </w14:solidFill>
                      </w14:textFill>
                    </w:rPr>
                    <w:t>主要建设内容为河道岸堤修复工程和水土流失治理工程，符合条例中</w:t>
                  </w:r>
                  <w:r>
                    <w:rPr>
                      <w:rFonts w:hint="eastAsia"/>
                      <w:bCs/>
                      <w:color w:val="000000" w:themeColor="text1"/>
                      <w:szCs w:val="21"/>
                      <w:lang w:eastAsia="zh-CN"/>
                      <w14:textFill>
                        <w14:solidFill>
                          <w14:schemeClr w14:val="tx1"/>
                        </w14:solidFill>
                      </w14:textFill>
                    </w:rPr>
                    <w:t>重点保护区保护要求</w:t>
                  </w:r>
                  <w:r>
                    <w:rPr>
                      <w:rFonts w:hint="eastAsia" w:ascii="Times New Roman" w:hAnsi="Times New Roman"/>
                      <w:bCs/>
                      <w:color w:val="000000" w:themeColor="text1"/>
                      <w:sz w:val="21"/>
                      <w:szCs w:val="21"/>
                      <w:lang w:eastAsia="zh-CN"/>
                      <w14:textFill>
                        <w14:solidFill>
                          <w14:schemeClr w14:val="tx1"/>
                        </w14:solidFill>
                      </w14:textFill>
                    </w:rPr>
                    <w:t>。</w:t>
                  </w:r>
                </w:p>
              </w:tc>
              <w:tc>
                <w:tcPr>
                  <w:tcW w:w="635" w:type="dxa"/>
                  <w:tcBorders>
                    <w:tl2br w:val="nil"/>
                    <w:tr2bl w:val="nil"/>
                  </w:tcBorders>
                  <w:vAlign w:val="center"/>
                </w:tcPr>
                <w:p>
                  <w:pPr>
                    <w:jc w:val="center"/>
                    <w:rPr>
                      <w:rFonts w:hint="eastAsia"/>
                      <w:color w:val="FF0000"/>
                      <w:szCs w:val="21"/>
                      <w:lang w:val="en-US"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continue"/>
                  <w:tcBorders>
                    <w:tl2br w:val="nil"/>
                    <w:tr2bl w:val="nil"/>
                  </w:tcBorders>
                  <w:vAlign w:val="center"/>
                </w:tcPr>
                <w:p>
                  <w:pPr>
                    <w:jc w:val="center"/>
                    <w:rPr>
                      <w:rFonts w:hint="eastAsia" w:cs="Times New Roman"/>
                      <w:color w:val="FF0000"/>
                      <w:lang w:eastAsia="zh-CN"/>
                    </w:rPr>
                  </w:pPr>
                </w:p>
              </w:tc>
              <w:tc>
                <w:tcPr>
                  <w:tcW w:w="6900" w:type="dxa"/>
                  <w:tcBorders>
                    <w:tl2br w:val="nil"/>
                    <w:tr2bl w:val="nil"/>
                  </w:tcBorders>
                  <w:vAlign w:val="center"/>
                </w:tcPr>
                <w:p>
                  <w:pPr>
                    <w:autoSpaceDE w:val="0"/>
                    <w:autoSpaceDN w:val="0"/>
                    <w:adjustRightInd w:val="0"/>
                    <w:snapToGrid w:val="0"/>
                    <w:rPr>
                      <w:rFonts w:hint="eastAsia" w:ascii="Times New Roman" w:hAnsi="Times New Roman" w:eastAsia="宋体" w:cs="Times New Roman"/>
                      <w:bCs/>
                      <w:kern w:val="2"/>
                      <w:sz w:val="21"/>
                      <w:szCs w:val="21"/>
                      <w:lang w:val="en-US" w:eastAsia="zh-CN" w:bidi="ar-SA"/>
                    </w:rPr>
                  </w:pPr>
                  <w:r>
                    <w:rPr>
                      <w:rFonts w:hint="eastAsia"/>
                      <w:bCs/>
                      <w:szCs w:val="21"/>
                    </w:rPr>
                    <w:t>第三十六条秦岭范围内，禁止下列活动：</w:t>
                  </w:r>
                  <w:r>
                    <w:rPr>
                      <w:rFonts w:hint="eastAsia"/>
                      <w:bCs/>
                      <w:szCs w:val="21"/>
                      <w:lang w:eastAsia="zh-CN"/>
                    </w:rPr>
                    <w:t>（</w:t>
                  </w:r>
                  <w:r>
                    <w:rPr>
                      <w:rFonts w:hint="eastAsia"/>
                      <w:bCs/>
                      <w:szCs w:val="21"/>
                    </w:rPr>
                    <w:t>一</w:t>
                  </w:r>
                  <w:r>
                    <w:rPr>
                      <w:rFonts w:hint="eastAsia"/>
                      <w:bCs/>
                      <w:szCs w:val="21"/>
                      <w:lang w:eastAsia="zh-CN"/>
                    </w:rPr>
                    <w:t>）</w:t>
                  </w:r>
                  <w:r>
                    <w:rPr>
                      <w:rFonts w:hint="eastAsia"/>
                      <w:bCs/>
                      <w:szCs w:val="21"/>
                    </w:rPr>
                    <w:t>房地产开发；</w:t>
                  </w:r>
                  <w:r>
                    <w:rPr>
                      <w:rFonts w:hint="eastAsia"/>
                      <w:bCs/>
                      <w:szCs w:val="21"/>
                      <w:lang w:eastAsia="zh-CN"/>
                    </w:rPr>
                    <w:t>（</w:t>
                  </w:r>
                  <w:r>
                    <w:rPr>
                      <w:rFonts w:hint="eastAsia"/>
                      <w:bCs/>
                      <w:szCs w:val="21"/>
                    </w:rPr>
                    <w:t>二</w:t>
                  </w:r>
                  <w:r>
                    <w:rPr>
                      <w:rFonts w:hint="eastAsia"/>
                      <w:bCs/>
                      <w:szCs w:val="21"/>
                      <w:lang w:eastAsia="zh-CN"/>
                    </w:rPr>
                    <w:t>）</w:t>
                  </w:r>
                  <w:r>
                    <w:rPr>
                      <w:rFonts w:hint="eastAsia"/>
                      <w:bCs/>
                      <w:szCs w:val="21"/>
                    </w:rPr>
                    <w:t>开山采石；</w:t>
                  </w:r>
                  <w:r>
                    <w:rPr>
                      <w:rFonts w:hint="eastAsia"/>
                      <w:bCs/>
                      <w:szCs w:val="21"/>
                      <w:lang w:eastAsia="zh-CN"/>
                    </w:rPr>
                    <w:t>（</w:t>
                  </w:r>
                  <w:r>
                    <w:rPr>
                      <w:rFonts w:hint="eastAsia"/>
                      <w:bCs/>
                      <w:szCs w:val="21"/>
                    </w:rPr>
                    <w:t>三</w:t>
                  </w:r>
                  <w:r>
                    <w:rPr>
                      <w:rFonts w:hint="eastAsia"/>
                      <w:bCs/>
                      <w:szCs w:val="21"/>
                      <w:lang w:eastAsia="zh-CN"/>
                    </w:rPr>
                    <w:t>）</w:t>
                  </w:r>
                  <w:r>
                    <w:rPr>
                      <w:rFonts w:hint="eastAsia"/>
                      <w:bCs/>
                      <w:szCs w:val="21"/>
                    </w:rPr>
                    <w:t>新建宗教活动场所；</w:t>
                  </w:r>
                  <w:r>
                    <w:rPr>
                      <w:rFonts w:hint="eastAsia"/>
                      <w:bCs/>
                      <w:szCs w:val="21"/>
                      <w:lang w:eastAsia="zh-CN"/>
                    </w:rPr>
                    <w:t>（</w:t>
                  </w:r>
                  <w:r>
                    <w:rPr>
                      <w:rFonts w:hint="eastAsia"/>
                      <w:bCs/>
                      <w:szCs w:val="21"/>
                    </w:rPr>
                    <w:t>四</w:t>
                  </w:r>
                  <w:r>
                    <w:rPr>
                      <w:rFonts w:hint="eastAsia"/>
                      <w:bCs/>
                      <w:szCs w:val="21"/>
                      <w:lang w:eastAsia="zh-CN"/>
                    </w:rPr>
                    <w:t>）</w:t>
                  </w:r>
                  <w:r>
                    <w:rPr>
                      <w:rFonts w:hint="eastAsia"/>
                      <w:bCs/>
                      <w:szCs w:val="21"/>
                    </w:rPr>
                    <w:t>新建、扩建经营性公墓；</w:t>
                  </w:r>
                  <w:r>
                    <w:rPr>
                      <w:rFonts w:hint="eastAsia"/>
                      <w:bCs/>
                      <w:szCs w:val="21"/>
                      <w:lang w:eastAsia="zh-CN"/>
                    </w:rPr>
                    <w:t>（</w:t>
                  </w:r>
                  <w:r>
                    <w:rPr>
                      <w:rFonts w:hint="eastAsia"/>
                      <w:bCs/>
                      <w:szCs w:val="21"/>
                    </w:rPr>
                    <w:t>五</w:t>
                  </w:r>
                  <w:r>
                    <w:rPr>
                      <w:rFonts w:hint="eastAsia"/>
                      <w:bCs/>
                      <w:szCs w:val="21"/>
                      <w:lang w:eastAsia="zh-CN"/>
                    </w:rPr>
                    <w:t>）</w:t>
                  </w:r>
                  <w:r>
                    <w:rPr>
                      <w:rFonts w:hint="eastAsia"/>
                      <w:bCs/>
                      <w:szCs w:val="21"/>
                    </w:rPr>
                    <w:t>新建高尔夫球场；</w:t>
                  </w:r>
                  <w:r>
                    <w:rPr>
                      <w:rFonts w:hint="eastAsia"/>
                      <w:bCs/>
                      <w:szCs w:val="21"/>
                      <w:lang w:eastAsia="zh-CN"/>
                    </w:rPr>
                    <w:t>（</w:t>
                  </w:r>
                  <w:r>
                    <w:rPr>
                      <w:rFonts w:hint="eastAsia"/>
                      <w:bCs/>
                      <w:szCs w:val="21"/>
                    </w:rPr>
                    <w:t>六</w:t>
                  </w:r>
                  <w:r>
                    <w:rPr>
                      <w:rFonts w:hint="eastAsia"/>
                      <w:bCs/>
                      <w:szCs w:val="21"/>
                      <w:lang w:eastAsia="zh-CN"/>
                    </w:rPr>
                    <w:t>）</w:t>
                  </w:r>
                  <w:r>
                    <w:rPr>
                      <w:rFonts w:hint="eastAsia"/>
                      <w:bCs/>
                      <w:szCs w:val="21"/>
                    </w:rPr>
                    <w:t>法律、法规禁止的其他活动。秦岭山体坡底以上区域，除实施能源、交通、水利、国防等重大基础设施建设和战略性矿产资源勘查项目外，还禁止下列活动：</w:t>
                  </w:r>
                  <w:r>
                    <w:rPr>
                      <w:rFonts w:hint="eastAsia"/>
                      <w:bCs/>
                      <w:szCs w:val="21"/>
                      <w:lang w:eastAsia="zh-CN"/>
                    </w:rPr>
                    <w:t>（</w:t>
                  </w:r>
                  <w:r>
                    <w:rPr>
                      <w:rFonts w:hint="eastAsia"/>
                      <w:bCs/>
                      <w:szCs w:val="21"/>
                    </w:rPr>
                    <w:t>一</w:t>
                  </w:r>
                  <w:r>
                    <w:rPr>
                      <w:rFonts w:hint="eastAsia"/>
                      <w:bCs/>
                      <w:szCs w:val="21"/>
                      <w:lang w:eastAsia="zh-CN"/>
                    </w:rPr>
                    <w:t>）</w:t>
                  </w:r>
                  <w:r>
                    <w:rPr>
                      <w:rFonts w:hint="eastAsia"/>
                      <w:bCs/>
                      <w:szCs w:val="21"/>
                    </w:rPr>
                    <w:t>勘查、开采矿产资源；</w:t>
                  </w:r>
                  <w:r>
                    <w:rPr>
                      <w:rFonts w:hint="eastAsia"/>
                      <w:bCs/>
                      <w:szCs w:val="21"/>
                      <w:lang w:eastAsia="zh-CN"/>
                    </w:rPr>
                    <w:t>（</w:t>
                  </w:r>
                  <w:r>
                    <w:rPr>
                      <w:rFonts w:hint="eastAsia"/>
                      <w:bCs/>
                      <w:szCs w:val="21"/>
                    </w:rPr>
                    <w:t>二</w:t>
                  </w:r>
                  <w:r>
                    <w:rPr>
                      <w:rFonts w:hint="eastAsia"/>
                      <w:bCs/>
                      <w:szCs w:val="21"/>
                      <w:lang w:eastAsia="zh-CN"/>
                    </w:rPr>
                    <w:t>）</w:t>
                  </w:r>
                  <w:r>
                    <w:rPr>
                      <w:rFonts w:hint="eastAsia"/>
                      <w:bCs/>
                      <w:szCs w:val="21"/>
                    </w:rPr>
                    <w:t>扩建、异地重建宗教活动场所；</w:t>
                  </w:r>
                  <w:r>
                    <w:rPr>
                      <w:rFonts w:hint="eastAsia"/>
                      <w:bCs/>
                      <w:szCs w:val="21"/>
                      <w:lang w:eastAsia="zh-CN"/>
                    </w:rPr>
                    <w:t>（</w:t>
                  </w:r>
                  <w:r>
                    <w:rPr>
                      <w:rFonts w:hint="eastAsia"/>
                      <w:bCs/>
                      <w:szCs w:val="21"/>
                    </w:rPr>
                    <w:t>三</w:t>
                  </w:r>
                  <w:r>
                    <w:rPr>
                      <w:rFonts w:hint="eastAsia"/>
                      <w:bCs/>
                      <w:szCs w:val="21"/>
                      <w:lang w:eastAsia="zh-CN"/>
                    </w:rPr>
                    <w:t>）</w:t>
                  </w:r>
                  <w:r>
                    <w:rPr>
                      <w:rFonts w:hint="eastAsia"/>
                      <w:bCs/>
                      <w:szCs w:val="21"/>
                    </w:rPr>
                    <w:t>新建水电站；</w:t>
                  </w:r>
                  <w:r>
                    <w:rPr>
                      <w:rFonts w:hint="eastAsia"/>
                      <w:bCs/>
                      <w:szCs w:val="21"/>
                      <w:lang w:eastAsia="zh-CN"/>
                    </w:rPr>
                    <w:t>（</w:t>
                  </w:r>
                  <w:r>
                    <w:rPr>
                      <w:rFonts w:hint="eastAsia"/>
                      <w:bCs/>
                      <w:szCs w:val="21"/>
                    </w:rPr>
                    <w:t>四</w:t>
                  </w:r>
                  <w:r>
                    <w:rPr>
                      <w:rFonts w:hint="eastAsia"/>
                      <w:bCs/>
                      <w:szCs w:val="21"/>
                      <w:lang w:eastAsia="zh-CN"/>
                    </w:rPr>
                    <w:t>）</w:t>
                  </w:r>
                  <w:r>
                    <w:rPr>
                      <w:rFonts w:hint="eastAsia"/>
                      <w:bCs/>
                      <w:szCs w:val="21"/>
                    </w:rPr>
                    <w:t>新建宾馆、招待所、培训中心、疗养院、度假山庄；</w:t>
                  </w:r>
                  <w:r>
                    <w:rPr>
                      <w:rFonts w:hint="eastAsia"/>
                      <w:bCs/>
                      <w:szCs w:val="21"/>
                      <w:lang w:eastAsia="zh-CN"/>
                    </w:rPr>
                    <w:t>（</w:t>
                  </w:r>
                  <w:r>
                    <w:rPr>
                      <w:rFonts w:hint="eastAsia"/>
                      <w:bCs/>
                      <w:szCs w:val="21"/>
                    </w:rPr>
                    <w:t>五</w:t>
                  </w:r>
                  <w:r>
                    <w:rPr>
                      <w:rFonts w:hint="eastAsia"/>
                      <w:bCs/>
                      <w:szCs w:val="21"/>
                      <w:lang w:eastAsia="zh-CN"/>
                    </w:rPr>
                    <w:t>）</w:t>
                  </w:r>
                  <w:r>
                    <w:rPr>
                      <w:rFonts w:hint="eastAsia"/>
                      <w:bCs/>
                      <w:szCs w:val="21"/>
                    </w:rPr>
                    <w:t>削山造地、挖地造湖。</w:t>
                  </w:r>
                </w:p>
              </w:tc>
              <w:tc>
                <w:tcPr>
                  <w:tcW w:w="2948" w:type="dxa"/>
                  <w:tcBorders>
                    <w:tl2br w:val="nil"/>
                    <w:tr2bl w:val="nil"/>
                  </w:tcBorders>
                  <w:vAlign w:val="center"/>
                </w:tcPr>
                <w:p>
                  <w:pPr>
                    <w:pStyle w:val="66"/>
                    <w:adjustRightInd w:val="0"/>
                    <w:snapToGrid w:val="0"/>
                    <w:spacing w:after="0" w:line="240" w:lineRule="auto"/>
                    <w:jc w:val="both"/>
                    <w:rPr>
                      <w:rFonts w:hint="eastAsia" w:ascii="Calibri" w:hAnsi="Calibri" w:eastAsia="宋体" w:cs="Times New Roman"/>
                      <w:bCs/>
                      <w:sz w:val="22"/>
                      <w:szCs w:val="21"/>
                      <w:lang w:val="en-US" w:eastAsia="zh-CN" w:bidi="ar-SA"/>
                    </w:rPr>
                  </w:pPr>
                  <w:r>
                    <w:rPr>
                      <w:rFonts w:hint="eastAsia"/>
                      <w:bCs/>
                      <w:szCs w:val="21"/>
                      <w:lang w:eastAsia="zh-CN"/>
                    </w:rPr>
                    <w:t>本项目的建设内容不属于禁止活动范围。</w:t>
                  </w:r>
                </w:p>
              </w:tc>
              <w:tc>
                <w:tcPr>
                  <w:tcW w:w="635" w:type="dxa"/>
                  <w:tcBorders>
                    <w:tl2br w:val="nil"/>
                    <w:tr2bl w:val="nil"/>
                  </w:tcBorders>
                  <w:vAlign w:val="center"/>
                </w:tcPr>
                <w:p>
                  <w:pPr>
                    <w:jc w:val="center"/>
                    <w:rPr>
                      <w:rFonts w:hint="eastAsia"/>
                      <w:color w:val="FF0000"/>
                      <w:szCs w:val="21"/>
                      <w:lang w:val="en-US"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continue"/>
                  <w:tcBorders>
                    <w:tl2br w:val="nil"/>
                    <w:tr2bl w:val="nil"/>
                  </w:tcBorders>
                  <w:vAlign w:val="center"/>
                </w:tcPr>
                <w:p>
                  <w:pPr>
                    <w:jc w:val="center"/>
                    <w:rPr>
                      <w:rFonts w:hint="eastAsia" w:cs="Times New Roman"/>
                      <w:color w:val="FF0000"/>
                      <w:lang w:eastAsia="zh-CN"/>
                    </w:rPr>
                  </w:pPr>
                </w:p>
              </w:tc>
              <w:tc>
                <w:tcPr>
                  <w:tcW w:w="6900" w:type="dxa"/>
                  <w:tcBorders>
                    <w:tl2br w:val="nil"/>
                    <w:tr2bl w:val="nil"/>
                  </w:tcBorders>
                  <w:vAlign w:val="center"/>
                </w:tcPr>
                <w:p>
                  <w:pPr>
                    <w:autoSpaceDE w:val="0"/>
                    <w:autoSpaceDN w:val="0"/>
                    <w:adjustRightInd w:val="0"/>
                    <w:snapToGrid w:val="0"/>
                    <w:rPr>
                      <w:rFonts w:hint="eastAsia" w:ascii="Times New Roman" w:hAnsi="Times New Roman" w:eastAsia="宋体" w:cs="Times New Roman"/>
                      <w:bCs/>
                      <w:kern w:val="2"/>
                      <w:sz w:val="21"/>
                      <w:szCs w:val="21"/>
                      <w:lang w:val="en-US" w:eastAsia="zh-CN" w:bidi="ar-SA"/>
                    </w:rPr>
                  </w:pPr>
                  <w:r>
                    <w:rPr>
                      <w:rFonts w:hint="eastAsia"/>
                      <w:bCs/>
                      <w:szCs w:val="21"/>
                    </w:rPr>
                    <w:t>第三十九条一般保护区内，应当以提高绿化面积，发展生态农业、生态旅游为主，可以发展区域环境资源可承载的产业和进行必要的村镇建设。</w:t>
                  </w:r>
                </w:p>
              </w:tc>
              <w:tc>
                <w:tcPr>
                  <w:tcW w:w="2948"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sz w:val="21"/>
                      <w:szCs w:val="21"/>
                      <w:lang w:val="en-US" w:eastAsia="zh-CN" w:bidi="ar-SA"/>
                    </w:rPr>
                  </w:pPr>
                  <w:r>
                    <w:rPr>
                      <w:rFonts w:hint="eastAsia" w:ascii="Times New Roman" w:hAnsi="Times New Roman"/>
                      <w:bCs/>
                      <w:sz w:val="21"/>
                      <w:szCs w:val="21"/>
                      <w:lang w:eastAsia="zh-CN"/>
                    </w:rPr>
                    <w:t>本项目主要建设内容为河道岸堤修复工程和水土流失治理工程，符合条例要求。</w:t>
                  </w:r>
                </w:p>
              </w:tc>
              <w:tc>
                <w:tcPr>
                  <w:tcW w:w="635" w:type="dxa"/>
                  <w:tcBorders>
                    <w:tl2br w:val="nil"/>
                    <w:tr2bl w:val="nil"/>
                  </w:tcBorders>
                  <w:vAlign w:val="center"/>
                </w:tcPr>
                <w:p>
                  <w:pPr>
                    <w:jc w:val="center"/>
                    <w:rPr>
                      <w:rFonts w:hint="eastAsia"/>
                      <w:color w:val="FF0000"/>
                      <w:szCs w:val="21"/>
                      <w:lang w:val="en-US"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continue"/>
                  <w:tcBorders>
                    <w:tl2br w:val="nil"/>
                    <w:tr2bl w:val="nil"/>
                  </w:tcBorders>
                  <w:vAlign w:val="center"/>
                </w:tcPr>
                <w:p>
                  <w:pPr>
                    <w:jc w:val="center"/>
                    <w:rPr>
                      <w:rFonts w:hint="eastAsia" w:cs="Times New Roman"/>
                      <w:color w:val="FF0000"/>
                      <w:lang w:eastAsia="zh-CN"/>
                    </w:rPr>
                  </w:pPr>
                </w:p>
              </w:tc>
              <w:tc>
                <w:tcPr>
                  <w:tcW w:w="6900" w:type="dxa"/>
                  <w:tcBorders>
                    <w:tl2br w:val="nil"/>
                    <w:tr2bl w:val="nil"/>
                  </w:tcBorders>
                  <w:vAlign w:val="center"/>
                </w:tcPr>
                <w:p>
                  <w:pPr>
                    <w:autoSpaceDE w:val="0"/>
                    <w:autoSpaceDN w:val="0"/>
                    <w:adjustRightInd w:val="0"/>
                    <w:snapToGrid w:val="0"/>
                    <w:rPr>
                      <w:rFonts w:hint="eastAsia" w:ascii="Times New Roman" w:hAnsi="Times New Roman" w:eastAsia="宋体" w:cs="Times New Roman"/>
                      <w:bCs/>
                      <w:kern w:val="2"/>
                      <w:sz w:val="21"/>
                      <w:szCs w:val="21"/>
                      <w:lang w:val="en-US" w:eastAsia="zh-CN" w:bidi="ar-SA"/>
                    </w:rPr>
                  </w:pPr>
                  <w:r>
                    <w:rPr>
                      <w:rFonts w:hint="eastAsia"/>
                      <w:bCs/>
                      <w:szCs w:val="21"/>
                    </w:rPr>
                    <w:t>第四十七条严格保护饮用水水源安全。饮用水水源保护区内，禁止设置排污口，已有的排污口应当限期拆除。</w:t>
                  </w:r>
                </w:p>
              </w:tc>
              <w:tc>
                <w:tcPr>
                  <w:tcW w:w="2948"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sz w:val="21"/>
                      <w:szCs w:val="21"/>
                      <w:lang w:val="en-US" w:eastAsia="zh-CN" w:bidi="ar-SA"/>
                    </w:rPr>
                  </w:pPr>
                  <w:r>
                    <w:rPr>
                      <w:rFonts w:hint="eastAsia"/>
                      <w:bCs/>
                      <w:szCs w:val="21"/>
                      <w:lang w:eastAsia="zh-CN"/>
                    </w:rPr>
                    <w:t>本项目不涉及</w:t>
                  </w:r>
                  <w:r>
                    <w:rPr>
                      <w:rFonts w:hint="eastAsia"/>
                      <w:bCs/>
                      <w:szCs w:val="21"/>
                    </w:rPr>
                    <w:t>饮用水水源保护区</w:t>
                  </w:r>
                  <w:r>
                    <w:rPr>
                      <w:rFonts w:hint="eastAsia"/>
                      <w:bCs/>
                      <w:szCs w:val="21"/>
                      <w:lang w:eastAsia="zh-CN"/>
                    </w:rPr>
                    <w:t>，运行过程中不产生污染物，不新增排污口。</w:t>
                  </w:r>
                </w:p>
              </w:tc>
              <w:tc>
                <w:tcPr>
                  <w:tcW w:w="635" w:type="dxa"/>
                  <w:tcBorders>
                    <w:tl2br w:val="nil"/>
                    <w:tr2bl w:val="nil"/>
                  </w:tcBorders>
                  <w:vAlign w:val="center"/>
                </w:tcPr>
                <w:p>
                  <w:pPr>
                    <w:jc w:val="center"/>
                    <w:rPr>
                      <w:rFonts w:hint="eastAsia"/>
                      <w:color w:val="FF0000"/>
                      <w:szCs w:val="21"/>
                      <w:lang w:val="en-US"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tcBorders>
                    <w:tl2br w:val="nil"/>
                    <w:tr2bl w:val="nil"/>
                  </w:tcBorders>
                  <w:vAlign w:val="center"/>
                </w:tcPr>
                <w:p>
                  <w:pPr>
                    <w:pStyle w:val="66"/>
                    <w:adjustRightInd w:val="0"/>
                    <w:snapToGrid w:val="0"/>
                    <w:spacing w:after="0"/>
                    <w:jc w:val="center"/>
                    <w:rPr>
                      <w:rFonts w:hint="eastAsia" w:ascii="Times New Roman" w:hAnsi="Times New Roman" w:eastAsia="宋体" w:cs="Times New Roman"/>
                      <w:sz w:val="21"/>
                      <w:szCs w:val="21"/>
                      <w:lang w:val="en-US" w:eastAsia="zh-CN" w:bidi="ar-SA"/>
                    </w:rPr>
                  </w:pPr>
                  <w:r>
                    <w:rPr>
                      <w:rFonts w:hint="eastAsia" w:ascii="Times New Roman" w:hAnsi="Times New Roman"/>
                      <w:sz w:val="21"/>
                      <w:szCs w:val="21"/>
                      <w:lang w:eastAsia="zh-CN"/>
                    </w:rPr>
                    <w:t>《陕西省秦岭生态环境保护总体规划》</w:t>
                  </w:r>
                </w:p>
              </w:tc>
              <w:tc>
                <w:tcPr>
                  <w:tcW w:w="6900" w:type="dxa"/>
                  <w:tcBorders>
                    <w:tl2br w:val="nil"/>
                    <w:tr2bl w:val="nil"/>
                  </w:tcBorders>
                  <w:vAlign w:val="center"/>
                </w:tcPr>
                <w:p>
                  <w:pPr>
                    <w:autoSpaceDE w:val="0"/>
                    <w:autoSpaceDN w:val="0"/>
                    <w:adjustRightInd w:val="0"/>
                    <w:snapToGrid w:val="0"/>
                    <w:rPr>
                      <w:rFonts w:ascii="Times New Roman" w:hAnsi="Times New Roman" w:eastAsia="宋体" w:cs="Times New Roman"/>
                      <w:kern w:val="2"/>
                      <w:sz w:val="21"/>
                      <w:szCs w:val="21"/>
                      <w:lang w:val="en-US" w:eastAsia="zh-CN" w:bidi="ar-SA"/>
                    </w:rPr>
                  </w:pPr>
                  <w:r>
                    <w:rPr>
                      <w:rFonts w:hint="eastAsia"/>
                      <w:sz w:val="23"/>
                      <w:szCs w:val="23"/>
                    </w:rPr>
                    <w:t>为深入贯彻习近平总书记重要讲话和重要指示批示精神，全面落实党中央、国务院决策部署，认真落实省委《关于全面加强秦岭生态环境保护工作的决定》，根据省十三届人大常委会第十三次会议修订通过的《陕西省秦岭生态环境保护条例》（以下简称《条例》），修编《陕西省秦岭生态环境保护总体规划》（以下简称《总体规划》）。规划范围涉及西安、宝鸡、渭南、汉中、安康、商洛</w:t>
                  </w:r>
                  <w:r>
                    <w:rPr>
                      <w:sz w:val="23"/>
                      <w:szCs w:val="23"/>
                    </w:rPr>
                    <w:t>6</w:t>
                  </w:r>
                  <w:r>
                    <w:rPr>
                      <w:rFonts w:hint="eastAsia"/>
                      <w:sz w:val="23"/>
                      <w:szCs w:val="23"/>
                    </w:rPr>
                    <w:t>市</w:t>
                  </w:r>
                  <w:r>
                    <w:rPr>
                      <w:sz w:val="23"/>
                      <w:szCs w:val="23"/>
                    </w:rPr>
                    <w:t>39</w:t>
                  </w:r>
                  <w:r>
                    <w:rPr>
                      <w:rFonts w:hint="eastAsia"/>
                      <w:sz w:val="23"/>
                      <w:szCs w:val="23"/>
                    </w:rPr>
                    <w:t>个县（市、区），总面积</w:t>
                  </w:r>
                  <w:r>
                    <w:rPr>
                      <w:sz w:val="23"/>
                      <w:szCs w:val="23"/>
                    </w:rPr>
                    <w:t>5.82</w:t>
                  </w:r>
                  <w:r>
                    <w:rPr>
                      <w:rFonts w:hint="eastAsia"/>
                      <w:sz w:val="23"/>
                      <w:szCs w:val="23"/>
                    </w:rPr>
                    <w:t>万平方公里，</w:t>
                  </w:r>
                  <w:r>
                    <w:rPr>
                      <w:sz w:val="23"/>
                      <w:szCs w:val="23"/>
                    </w:rPr>
                    <w:t>2019</w:t>
                  </w:r>
                  <w:r>
                    <w:rPr>
                      <w:rFonts w:hint="eastAsia"/>
                      <w:sz w:val="23"/>
                      <w:szCs w:val="23"/>
                    </w:rPr>
                    <w:t>年末常住人口</w:t>
                  </w:r>
                  <w:r>
                    <w:rPr>
                      <w:sz w:val="23"/>
                      <w:szCs w:val="23"/>
                    </w:rPr>
                    <w:t>489</w:t>
                  </w:r>
                  <w:r>
                    <w:rPr>
                      <w:rFonts w:hint="eastAsia"/>
                      <w:sz w:val="23"/>
                      <w:szCs w:val="23"/>
                    </w:rPr>
                    <w:t>万。《总体规划》是指导陕西省秦岭生态环境保护的纲领性文件，是省级相关行政主管部门编制秦岭生态环境保护专项规划、设区市编制本行政区域秦岭生态环境保护规划，制定相关实施方案和政策措施、推进生态环境保护和修复的重要依据。规划期至</w:t>
                  </w:r>
                  <w:r>
                    <w:rPr>
                      <w:sz w:val="23"/>
                      <w:szCs w:val="23"/>
                    </w:rPr>
                    <w:t>2025</w:t>
                  </w:r>
                  <w:r>
                    <w:rPr>
                      <w:rFonts w:hint="eastAsia"/>
                      <w:sz w:val="23"/>
                      <w:szCs w:val="23"/>
                    </w:rPr>
                    <w:t>年，展望至</w:t>
                  </w:r>
                  <w:r>
                    <w:rPr>
                      <w:sz w:val="23"/>
                      <w:szCs w:val="23"/>
                    </w:rPr>
                    <w:t>2035</w:t>
                  </w:r>
                  <w:r>
                    <w:rPr>
                      <w:rFonts w:hint="eastAsia"/>
                      <w:sz w:val="23"/>
                      <w:szCs w:val="23"/>
                    </w:rPr>
                    <w:t>年。</w:t>
                  </w:r>
                </w:p>
              </w:tc>
              <w:tc>
                <w:tcPr>
                  <w:tcW w:w="2948" w:type="dxa"/>
                  <w:tcBorders>
                    <w:tl2br w:val="nil"/>
                    <w:tr2bl w:val="nil"/>
                  </w:tcBorders>
                  <w:vAlign w:val="center"/>
                </w:tcPr>
                <w:p>
                  <w:pPr>
                    <w:pStyle w:val="66"/>
                    <w:adjustRightInd w:val="0"/>
                    <w:snapToGrid w:val="0"/>
                    <w:spacing w:after="0" w:line="240" w:lineRule="auto"/>
                    <w:jc w:val="both"/>
                    <w:rPr>
                      <w:rFonts w:ascii="Times New Roman" w:hAnsi="Times New Roman"/>
                      <w:sz w:val="21"/>
                      <w:szCs w:val="21"/>
                      <w:lang w:eastAsia="zh-CN"/>
                    </w:rPr>
                  </w:pPr>
                  <w:r>
                    <w:rPr>
                      <w:rFonts w:hint="eastAsia" w:ascii="Times New Roman" w:hAnsi="Times New Roman"/>
                      <w:sz w:val="21"/>
                      <w:szCs w:val="21"/>
                      <w:lang w:eastAsia="zh-CN"/>
                    </w:rPr>
                    <w:t>本项目位于秦岭生态环境保护规划分区中的重点保护区，在秦岭生态环境保护中有着重要的生态区位角色。</w:t>
                  </w:r>
                </w:p>
                <w:p>
                  <w:pPr>
                    <w:pStyle w:val="66"/>
                    <w:adjustRightInd w:val="0"/>
                    <w:snapToGrid w:val="0"/>
                    <w:spacing w:after="0" w:line="240" w:lineRule="auto"/>
                    <w:jc w:val="both"/>
                    <w:rPr>
                      <w:rFonts w:hint="eastAsia" w:ascii="Times New Roman" w:hAnsi="Times New Roman" w:eastAsia="宋体" w:cs="Times New Roman"/>
                      <w:sz w:val="21"/>
                      <w:szCs w:val="21"/>
                      <w:lang w:val="en-US" w:eastAsia="zh-CN" w:bidi="ar-SA"/>
                    </w:rPr>
                  </w:pPr>
                  <w:r>
                    <w:rPr>
                      <w:rFonts w:hint="eastAsia" w:ascii="Times New Roman" w:hAnsi="Times New Roman"/>
                      <w:sz w:val="21"/>
                      <w:szCs w:val="21"/>
                      <w:lang w:eastAsia="zh-CN"/>
                    </w:rPr>
                    <w:t>本项目包含的水土流失治理工程是《陕西省秦岭生态环境保护总体规划》重点任务</w:t>
                  </w:r>
                  <w:r>
                    <w:rPr>
                      <w:rFonts w:ascii="宋体" w:hAnsi="宋体"/>
                      <w:sz w:val="21"/>
                      <w:szCs w:val="21"/>
                      <w:lang w:eastAsia="zh-CN"/>
                    </w:rPr>
                    <w:t>“</w:t>
                  </w:r>
                  <w:r>
                    <w:rPr>
                      <w:rFonts w:hint="eastAsia" w:ascii="宋体" w:hAnsi="宋体"/>
                      <w:sz w:val="21"/>
                      <w:szCs w:val="21"/>
                      <w:lang w:eastAsia="zh-CN"/>
                    </w:rPr>
                    <w:t>推进秦岭北麓峪口水土保持综合治理</w:t>
                  </w:r>
                  <w:r>
                    <w:rPr>
                      <w:rFonts w:ascii="宋体" w:hAnsi="宋体"/>
                      <w:sz w:val="21"/>
                      <w:szCs w:val="21"/>
                      <w:lang w:eastAsia="zh-CN"/>
                    </w:rPr>
                    <w:t>”</w:t>
                  </w:r>
                  <w:r>
                    <w:rPr>
                      <w:rFonts w:hint="eastAsia" w:ascii="Times New Roman" w:hAnsi="Times New Roman"/>
                      <w:sz w:val="21"/>
                      <w:szCs w:val="21"/>
                      <w:lang w:eastAsia="zh-CN"/>
                    </w:rPr>
                    <w:t>落实的具体举措。</w:t>
                  </w:r>
                </w:p>
              </w:tc>
              <w:tc>
                <w:tcPr>
                  <w:tcW w:w="635" w:type="dxa"/>
                  <w:tcBorders>
                    <w:tl2br w:val="nil"/>
                    <w:tr2bl w:val="nil"/>
                  </w:tcBorders>
                  <w:vAlign w:val="center"/>
                </w:tcPr>
                <w:p>
                  <w:pPr>
                    <w:jc w:val="center"/>
                    <w:rPr>
                      <w:rFonts w:hint="eastAsia"/>
                      <w:color w:val="FF0000"/>
                      <w:szCs w:val="21"/>
                      <w:lang w:val="en-US"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tcBorders>
                    <w:tl2br w:val="nil"/>
                    <w:tr2bl w:val="nil"/>
                  </w:tcBorders>
                  <w:vAlign w:val="center"/>
                </w:tcPr>
                <w:p>
                  <w:pPr>
                    <w:pStyle w:val="66"/>
                    <w:adjustRightInd w:val="0"/>
                    <w:snapToGrid w:val="0"/>
                    <w:spacing w:after="0"/>
                    <w:jc w:val="center"/>
                    <w:rPr>
                      <w:rFonts w:hint="eastAsia" w:ascii="Times New Roman" w:hAnsi="Times New Roman" w:eastAsia="宋体" w:cs="Times New Roman"/>
                      <w:sz w:val="21"/>
                      <w:szCs w:val="21"/>
                      <w:lang w:val="en-US" w:eastAsia="zh-CN" w:bidi="ar-SA"/>
                    </w:rPr>
                  </w:pPr>
                  <w:r>
                    <w:rPr>
                      <w:rFonts w:hint="eastAsia" w:ascii="Times New Roman" w:hAnsi="Times New Roman"/>
                      <w:sz w:val="21"/>
                      <w:szCs w:val="21"/>
                      <w:lang w:eastAsia="zh-CN"/>
                    </w:rPr>
                    <w:t>《西安市秦岭生态环境保护规划》</w:t>
                  </w:r>
                </w:p>
              </w:tc>
              <w:tc>
                <w:tcPr>
                  <w:tcW w:w="6900" w:type="dxa"/>
                  <w:tcBorders>
                    <w:tl2br w:val="nil"/>
                    <w:tr2bl w:val="nil"/>
                  </w:tcBorders>
                  <w:vAlign w:val="center"/>
                </w:tcPr>
                <w:p>
                  <w:pPr>
                    <w:autoSpaceDE w:val="0"/>
                    <w:autoSpaceDN w:val="0"/>
                    <w:adjustRightInd w:val="0"/>
                    <w:snapToGrid w:val="0"/>
                    <w:rPr>
                      <w:rFonts w:ascii="Times New Roman" w:hAnsi="Times New Roman" w:eastAsia="宋体" w:cs="Times New Roman"/>
                      <w:kern w:val="2"/>
                      <w:sz w:val="21"/>
                      <w:szCs w:val="21"/>
                      <w:lang w:val="en-US" w:eastAsia="zh-CN" w:bidi="ar-SA"/>
                    </w:rPr>
                  </w:pPr>
                  <w:r>
                    <w:rPr>
                      <w:rFonts w:hint="eastAsia"/>
                      <w:szCs w:val="21"/>
                    </w:rPr>
                    <w:t>规划提出</w:t>
                  </w:r>
                  <w:r>
                    <w:rPr>
                      <w:rFonts w:ascii="宋体" w:hAnsi="宋体"/>
                      <w:szCs w:val="21"/>
                    </w:rPr>
                    <w:t>“</w:t>
                  </w:r>
                  <w:r>
                    <w:rPr>
                      <w:rFonts w:hint="eastAsia"/>
                      <w:szCs w:val="21"/>
                    </w:rPr>
                    <w:t>坚持山水林田湖草系统治理，遵循自然生态原理，实施植被保护、生物多样性保护重大工程，着力提升生态系统质量和稳定性，促进秦岭生态系统良性有序循环，加快构建坚实稳固、支撑有力的国家生态安全屏障，充分发挥秦岭调节气候、保持水土、涵养水源、维护生物多样性等诸多功能，探索全国重要生态功能区建设的有效路径</w:t>
                  </w:r>
                  <w:r>
                    <w:rPr>
                      <w:rFonts w:ascii="宋体" w:hAnsi="宋体"/>
                      <w:szCs w:val="21"/>
                    </w:rPr>
                    <w:t>”</w:t>
                  </w:r>
                  <w:r>
                    <w:rPr>
                      <w:rFonts w:hint="eastAsia"/>
                      <w:szCs w:val="21"/>
                    </w:rPr>
                    <w:t>。</w:t>
                  </w:r>
                </w:p>
              </w:tc>
              <w:tc>
                <w:tcPr>
                  <w:tcW w:w="2948" w:type="dxa"/>
                  <w:tcBorders>
                    <w:tl2br w:val="nil"/>
                    <w:tr2bl w:val="nil"/>
                  </w:tcBorders>
                  <w:vAlign w:val="center"/>
                </w:tcPr>
                <w:p>
                  <w:pPr>
                    <w:pStyle w:val="66"/>
                    <w:adjustRightInd w:val="0"/>
                    <w:snapToGrid w:val="0"/>
                    <w:spacing w:after="0" w:line="240" w:lineRule="auto"/>
                    <w:ind w:firstLine="420" w:firstLineChars="200"/>
                    <w:jc w:val="both"/>
                    <w:rPr>
                      <w:rFonts w:hint="eastAsia" w:ascii="Times New Roman" w:hAnsi="Times New Roman" w:eastAsia="宋体" w:cs="Times New Roman"/>
                      <w:sz w:val="21"/>
                      <w:szCs w:val="21"/>
                      <w:lang w:val="en-US" w:eastAsia="zh-CN" w:bidi="ar-SA"/>
                    </w:rPr>
                  </w:pPr>
                  <w:r>
                    <w:rPr>
                      <w:rFonts w:hint="eastAsia" w:ascii="Times New Roman" w:hAnsi="Times New Roman"/>
                      <w:sz w:val="21"/>
                      <w:szCs w:val="21"/>
                      <w:lang w:eastAsia="zh-CN"/>
                    </w:rPr>
                    <w:t>本项目</w:t>
                  </w:r>
                  <w:r>
                    <w:rPr>
                      <w:rFonts w:hint="eastAsia" w:ascii="Times New Roman" w:hAnsi="Times New Roman"/>
                      <w:bCs/>
                      <w:sz w:val="21"/>
                      <w:szCs w:val="21"/>
                      <w:lang w:eastAsia="zh-CN"/>
                    </w:rPr>
                    <w:t>主要建设内容为河道岸堤修复工程和水土流失治理工程，</w:t>
                  </w:r>
                  <w:r>
                    <w:rPr>
                      <w:rFonts w:hint="eastAsia" w:ascii="Times New Roman" w:hAnsi="Times New Roman"/>
                      <w:sz w:val="21"/>
                      <w:szCs w:val="21"/>
                      <w:lang w:eastAsia="zh-CN"/>
                    </w:rPr>
                    <w:t>是促进秦岭生态系统良性有序循环的重要途径。</w:t>
                  </w:r>
                </w:p>
              </w:tc>
              <w:tc>
                <w:tcPr>
                  <w:tcW w:w="635" w:type="dxa"/>
                  <w:tcBorders>
                    <w:tl2br w:val="nil"/>
                    <w:tr2bl w:val="nil"/>
                  </w:tcBorders>
                  <w:vAlign w:val="center"/>
                </w:tcPr>
                <w:p>
                  <w:pPr>
                    <w:jc w:val="center"/>
                    <w:rPr>
                      <w:rFonts w:hint="eastAsia"/>
                      <w:color w:val="FF0000"/>
                      <w:szCs w:val="21"/>
                      <w:lang w:val="en-US"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tcBorders>
                    <w:tl2br w:val="nil"/>
                    <w:tr2bl w:val="nil"/>
                  </w:tcBorders>
                  <w:vAlign w:val="center"/>
                </w:tcPr>
                <w:p>
                  <w:pPr>
                    <w:pStyle w:val="66"/>
                    <w:adjustRightInd w:val="0"/>
                    <w:snapToGrid w:val="0"/>
                    <w:spacing w:after="0"/>
                    <w:jc w:val="center"/>
                    <w:rPr>
                      <w:rFonts w:hint="eastAsia" w:ascii="Times New Roman" w:hAnsi="Times New Roman"/>
                      <w:sz w:val="21"/>
                      <w:szCs w:val="21"/>
                      <w:lang w:eastAsia="zh-CN"/>
                    </w:rPr>
                  </w:pPr>
                  <w:r>
                    <w:rPr>
                      <w:rFonts w:hint="eastAsia" w:ascii="Times New Roman" w:hAnsi="Times New Roman"/>
                      <w:sz w:val="21"/>
                      <w:szCs w:val="21"/>
                      <w:lang w:eastAsia="zh-CN"/>
                    </w:rPr>
                    <w:t>《西安市长安区”十四五“生态文明建设和环境保护规划（2021-2025）》</w:t>
                  </w:r>
                </w:p>
              </w:tc>
              <w:tc>
                <w:tcPr>
                  <w:tcW w:w="6900" w:type="dxa"/>
                  <w:tcBorders>
                    <w:tl2br w:val="nil"/>
                    <w:tr2bl w:val="nil"/>
                  </w:tcBorders>
                  <w:vAlign w:val="center"/>
                </w:tcPr>
                <w:p>
                  <w:pPr>
                    <w:autoSpaceDE w:val="0"/>
                    <w:autoSpaceDN w:val="0"/>
                    <w:adjustRightInd w:val="0"/>
                    <w:snapToGrid w:val="0"/>
                    <w:rPr>
                      <w:rFonts w:hint="eastAsia"/>
                      <w:szCs w:val="21"/>
                    </w:rPr>
                  </w:pPr>
                  <w:r>
                    <w:rPr>
                      <w:rFonts w:hint="eastAsia"/>
                      <w:szCs w:val="21"/>
                    </w:rPr>
                    <w:t>加快生态环境修复治理。以保护和恢复森林植被为核心，实施天然林、原生植被保护工程，开展退化林修复，不断提升水源涵养能力和生态系统稳定性。强化森林资源管理，完成全区野生珍稀植物种植资源和古树名木调查，编制长安区珍稀野生植物保护利用方案。加强珍稀濒危物种栖息地保护和恢复，积极推进生态廊道建设，扩大野生动植物生存空间，丰富野生珍稀植物种群强化森林防火、有害生物防治体系建设，保护存量森林资源。建立林产品质量检验实验室，加快湿地保护系统工程建设，整合优化自然保护地体系，维护秦岭生态平衡。</w:t>
                  </w:r>
                </w:p>
              </w:tc>
              <w:tc>
                <w:tcPr>
                  <w:tcW w:w="2948" w:type="dxa"/>
                  <w:tcBorders>
                    <w:tl2br w:val="nil"/>
                    <w:tr2bl w:val="nil"/>
                  </w:tcBorders>
                  <w:vAlign w:val="center"/>
                </w:tcPr>
                <w:p>
                  <w:pPr>
                    <w:pStyle w:val="66"/>
                    <w:adjustRightInd w:val="0"/>
                    <w:snapToGrid w:val="0"/>
                    <w:spacing w:after="0" w:line="240" w:lineRule="auto"/>
                    <w:ind w:firstLine="440" w:firstLineChars="200"/>
                    <w:jc w:val="both"/>
                    <w:rPr>
                      <w:rFonts w:hint="eastAsia" w:ascii="Times New Roman" w:hAnsi="Times New Roman"/>
                      <w:sz w:val="21"/>
                      <w:szCs w:val="21"/>
                      <w:lang w:eastAsia="zh-CN"/>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本项目为水土保持及河道水生态修复工程</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，施工过程采取合理措施后对生态环境影响较小，施工结束后大队生态环境有补强作用</w:t>
                  </w:r>
                </w:p>
              </w:tc>
              <w:tc>
                <w:tcPr>
                  <w:tcW w:w="635" w:type="dxa"/>
                  <w:tcBorders>
                    <w:tl2br w:val="nil"/>
                    <w:tr2bl w:val="nil"/>
                  </w:tcBorders>
                  <w:vAlign w:val="center"/>
                </w:tcPr>
                <w:p>
                  <w:pPr>
                    <w:jc w:val="center"/>
                    <w:rPr>
                      <w:rFonts w:hint="eastAsia" w:ascii="Times New Roman" w:hAnsi="Times New Roman"/>
                      <w:sz w:val="21"/>
                      <w:szCs w:val="21"/>
                      <w:lang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tcBorders>
                    <w:tl2br w:val="nil"/>
                    <w:tr2bl w:val="nil"/>
                  </w:tcBorders>
                  <w:vAlign w:val="center"/>
                </w:tcPr>
                <w:p>
                  <w:pPr>
                    <w:pStyle w:val="66"/>
                    <w:adjustRightInd w:val="0"/>
                    <w:snapToGrid w:val="0"/>
                    <w:spacing w:after="0"/>
                    <w:jc w:val="center"/>
                    <w:rPr>
                      <w:rFonts w:hint="eastAsia" w:ascii="Times New Roman" w:hAnsi="Times New Roman"/>
                      <w:sz w:val="21"/>
                      <w:szCs w:val="21"/>
                      <w:lang w:eastAsia="zh-CN"/>
                    </w:rPr>
                  </w:pPr>
                  <w:r>
                    <w:rPr>
                      <w:rFonts w:hint="eastAsia" w:ascii="Times New Roman" w:hAnsi="Times New Roman"/>
                      <w:sz w:val="21"/>
                      <w:szCs w:val="21"/>
                      <w:lang w:eastAsia="zh-CN"/>
                    </w:rPr>
                    <w:t>《关于印发陕西省大气污染物治理专项行动方案（2023-2027）的通知》（陕发〔2023〕4号）</w:t>
                  </w:r>
                </w:p>
              </w:tc>
              <w:tc>
                <w:tcPr>
                  <w:tcW w:w="69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eastAsia" w:ascii="Times New Roman" w:hAnsi="Times New Roman" w:eastAsia="宋体" w:cs="Times New Roman"/>
                      <w:bCs/>
                      <w:smallCaps w:val="0"/>
                      <w:color w:val="000000"/>
                      <w:kern w:val="2"/>
                      <w:sz w:val="21"/>
                      <w:szCs w:val="21"/>
                      <w:lang w:val="en-US" w:eastAsia="zh-CN" w:bidi="ar-SA"/>
                    </w:rPr>
                  </w:pPr>
                  <w:r>
                    <w:rPr>
                      <w:rFonts w:hint="eastAsia" w:ascii="Times New Roman" w:hAnsi="Times New Roman" w:eastAsia="宋体"/>
                      <w:bCs/>
                      <w:smallCaps w:val="0"/>
                      <w:color w:val="000000"/>
                      <w:sz w:val="21"/>
                      <w:szCs w:val="21"/>
                    </w:rPr>
                    <w:t>关中地区以降低 PM。指标为导向建立动态管控机制，施工场地严格执行“六个百分百”，施工工地扬尘排放超过《施工场界扬尘排放限值(DB61/1078-2017)》的立即停工整改</w:t>
                  </w:r>
                  <w:r>
                    <w:rPr>
                      <w:rFonts w:hint="eastAsia" w:ascii="Times New Roman" w:hAnsi="Times New Roman" w:eastAsia="宋体"/>
                      <w:bCs/>
                      <w:smallCaps w:val="0"/>
                      <w:color w:val="000000"/>
                      <w:sz w:val="21"/>
                      <w:szCs w:val="21"/>
                      <w:lang w:eastAsia="zh-CN"/>
                    </w:rPr>
                    <w:t>。</w:t>
                  </w:r>
                </w:p>
              </w:tc>
              <w:tc>
                <w:tcPr>
                  <w:tcW w:w="29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eastAsia" w:ascii="Times New Roman" w:hAnsi="Times New Roman" w:eastAsia="宋体" w:cs="Times New Roman"/>
                      <w:bCs/>
                      <w:smallCaps w:val="0"/>
                      <w:color w:val="000000"/>
                      <w:kern w:val="2"/>
                      <w:sz w:val="21"/>
                      <w:szCs w:val="21"/>
                      <w:lang w:val="en-US" w:eastAsia="zh-CN" w:bidi="ar-SA"/>
                    </w:rPr>
                  </w:pPr>
                  <w:r>
                    <w:rPr>
                      <w:rFonts w:hint="eastAsia" w:ascii="Times New Roman" w:hAnsi="Times New Roman"/>
                      <w:sz w:val="21"/>
                      <w:szCs w:val="21"/>
                      <w:lang w:eastAsia="zh-CN"/>
                    </w:rPr>
                    <w:t>项目施工期严格执行</w:t>
                  </w:r>
                  <w:r>
                    <w:rPr>
                      <w:rFonts w:hint="eastAsia"/>
                      <w:szCs w:val="21"/>
                    </w:rPr>
                    <w:t>“六个百分百”“七个到位”</w:t>
                  </w:r>
                  <w:r>
                    <w:rPr>
                      <w:rFonts w:hint="eastAsia"/>
                      <w:szCs w:val="21"/>
                      <w:lang w:eastAsia="zh-CN"/>
                    </w:rPr>
                    <w:t>，</w:t>
                  </w:r>
                  <w:r>
                    <w:rPr>
                      <w:color w:val="000000" w:themeColor="text1"/>
                      <w:szCs w:val="21"/>
                      <w14:textFill>
                        <w14:solidFill>
                          <w14:schemeClr w14:val="tx1"/>
                        </w14:solidFill>
                      </w14:textFill>
                    </w:rPr>
                    <w:t>渣土车运输过程保持密闭，实施围挡封闭化施工。</w:t>
                  </w:r>
                </w:p>
              </w:tc>
              <w:tc>
                <w:tcPr>
                  <w:tcW w:w="635" w:type="dxa"/>
                  <w:tcBorders>
                    <w:tl2br w:val="nil"/>
                    <w:tr2bl w:val="nil"/>
                  </w:tcBorders>
                  <w:vAlign w:val="center"/>
                </w:tcPr>
                <w:p>
                  <w:pPr>
                    <w:jc w:val="center"/>
                    <w:rPr>
                      <w:rFonts w:hint="eastAsia" w:ascii="Times New Roman" w:hAnsi="Times New Roman"/>
                      <w:sz w:val="21"/>
                      <w:szCs w:val="21"/>
                      <w:lang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restart"/>
                  <w:tcBorders>
                    <w:tl2br w:val="nil"/>
                    <w:tr2bl w:val="nil"/>
                  </w:tcBorders>
                  <w:vAlign w:val="center"/>
                </w:tcPr>
                <w:p>
                  <w:pPr>
                    <w:pStyle w:val="66"/>
                    <w:adjustRightInd w:val="0"/>
                    <w:snapToGrid w:val="0"/>
                    <w:spacing w:after="0"/>
                    <w:jc w:val="center"/>
                    <w:rPr>
                      <w:rFonts w:hint="eastAsia" w:ascii="Times New Roman" w:hAnsi="Times New Roman"/>
                      <w:sz w:val="21"/>
                      <w:szCs w:val="21"/>
                      <w:lang w:eastAsia="zh-CN"/>
                    </w:rPr>
                  </w:pPr>
                  <w:r>
                    <w:rPr>
                      <w:rFonts w:hint="eastAsia" w:ascii="Times New Roman" w:hAnsi="Times New Roman"/>
                      <w:sz w:val="21"/>
                      <w:szCs w:val="21"/>
                      <w:lang w:eastAsia="zh-CN"/>
                    </w:rPr>
                    <w:t>《西安市大气污染治理专项行动方案（2023-2027年）》</w:t>
                  </w:r>
                </w:p>
              </w:tc>
              <w:tc>
                <w:tcPr>
                  <w:tcW w:w="69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eastAsia" w:ascii="Times New Roman" w:hAnsi="Times New Roman" w:eastAsia="宋体" w:cs="Times New Roman"/>
                      <w:bCs/>
                      <w:smallCaps w:val="0"/>
                      <w:color w:val="000000"/>
                      <w:kern w:val="2"/>
                      <w:sz w:val="21"/>
                      <w:szCs w:val="21"/>
                      <w:lang w:val="en-US" w:eastAsia="zh-CN" w:bidi="ar-SA"/>
                    </w:rPr>
                  </w:pPr>
                  <w:r>
                    <w:rPr>
                      <w:rFonts w:hint="eastAsia" w:ascii="Times New Roman" w:hAnsi="Times New Roman" w:eastAsia="宋体"/>
                      <w:bCs/>
                      <w:smallCaps w:val="0"/>
                      <w:color w:val="000000"/>
                      <w:sz w:val="21"/>
                      <w:szCs w:val="21"/>
                    </w:rPr>
                    <w:t>强化源头管控。严格落实国家和我省产业规划、产业政策、“三线一单”、规划环评等要求，深入开展我市区域空间生态环境评价工作，积极推行区域、规划环境影响评价。</w:t>
                  </w:r>
                </w:p>
              </w:tc>
              <w:tc>
                <w:tcPr>
                  <w:tcW w:w="294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eastAsia" w:ascii="Times New Roman" w:hAnsi="Times New Roman" w:eastAsia="宋体" w:cs="Times New Roman"/>
                      <w:bCs/>
                      <w:smallCaps w:val="0"/>
                      <w:color w:val="000000"/>
                      <w:kern w:val="2"/>
                      <w:sz w:val="21"/>
                      <w:szCs w:val="21"/>
                      <w:lang w:val="en-US" w:eastAsia="zh-CN" w:bidi="ar-SA"/>
                    </w:rPr>
                  </w:pPr>
                  <w:r>
                    <w:rPr>
                      <w:rFonts w:hint="eastAsia" w:ascii="Times New Roman" w:hAnsi="Times New Roman" w:eastAsia="宋体"/>
                      <w:bCs/>
                      <w:smallCaps w:val="0"/>
                      <w:color w:val="000000"/>
                      <w:sz w:val="21"/>
                      <w:szCs w:val="21"/>
                    </w:rPr>
                    <w:t>本项目落实国家和我省的产业政策、“三线一单”等要求，开展项目所在区域的空间生态环境相关内容。</w:t>
                  </w:r>
                </w:p>
              </w:tc>
              <w:tc>
                <w:tcPr>
                  <w:tcW w:w="635" w:type="dxa"/>
                  <w:tcBorders>
                    <w:tl2br w:val="nil"/>
                    <w:tr2bl w:val="nil"/>
                  </w:tcBorders>
                  <w:vAlign w:val="center"/>
                </w:tcPr>
                <w:p>
                  <w:pPr>
                    <w:jc w:val="center"/>
                    <w:rPr>
                      <w:rFonts w:hint="eastAsia" w:ascii="Times New Roman" w:hAnsi="Times New Roman"/>
                      <w:sz w:val="21"/>
                      <w:szCs w:val="21"/>
                      <w:lang w:eastAsia="zh-CN"/>
                    </w:rPr>
                  </w:pPr>
                  <w:r>
                    <w:rPr>
                      <w:rFonts w:hint="eastAsia" w:ascii="Times New Roman" w:hAnsi="Times New Roman"/>
                      <w:sz w:val="21"/>
                      <w:szCs w:val="21"/>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3" w:type="dxa"/>
                  <w:gridSpan w:val="3"/>
                  <w:vMerge w:val="continue"/>
                  <w:tcBorders>
                    <w:tl2br w:val="nil"/>
                    <w:tr2bl w:val="nil"/>
                  </w:tcBorders>
                  <w:vAlign w:val="center"/>
                </w:tcPr>
                <w:p>
                  <w:pPr>
                    <w:pStyle w:val="66"/>
                    <w:adjustRightInd w:val="0"/>
                    <w:snapToGrid w:val="0"/>
                    <w:spacing w:after="0"/>
                    <w:jc w:val="center"/>
                    <w:rPr>
                      <w:rFonts w:hint="eastAsia" w:ascii="Times New Roman" w:hAnsi="Times New Roman"/>
                      <w:sz w:val="21"/>
                      <w:szCs w:val="21"/>
                      <w:lang w:eastAsia="zh-CN"/>
                    </w:rPr>
                  </w:pPr>
                </w:p>
              </w:tc>
              <w:tc>
                <w:tcPr>
                  <w:tcW w:w="6900" w:type="dxa"/>
                  <w:tcBorders>
                    <w:tl2br w:val="nil"/>
                    <w:tr2bl w:val="nil"/>
                  </w:tcBorders>
                  <w:vAlign w:val="center"/>
                </w:tcPr>
                <w:p>
                  <w:pPr>
                    <w:autoSpaceDE w:val="0"/>
                    <w:autoSpaceDN w:val="0"/>
                    <w:adjustRightInd w:val="0"/>
                    <w:snapToGrid w:val="0"/>
                    <w:rPr>
                      <w:rFonts w:hint="eastAsia" w:eastAsia="宋体"/>
                      <w:szCs w:val="21"/>
                      <w:lang w:eastAsia="zh-CN"/>
                    </w:rPr>
                  </w:pPr>
                  <w:r>
                    <w:rPr>
                      <w:rFonts w:hint="eastAsia"/>
                      <w:szCs w:val="21"/>
                    </w:rPr>
                    <w:t>以降低PM。指标为导向建立动态管控机制，施工场地严格执行“六个百分百”“七个到位”，施工工地扬尘排放超过《施工扬尘排放限值》 (DB61/1078-2017)的立即停工整改</w:t>
                  </w:r>
                  <w:r>
                    <w:rPr>
                      <w:rFonts w:hint="eastAsia"/>
                      <w:szCs w:val="21"/>
                      <w:lang w:eastAsia="zh-CN"/>
                    </w:rPr>
                    <w:t>。</w:t>
                  </w:r>
                </w:p>
              </w:tc>
              <w:tc>
                <w:tcPr>
                  <w:tcW w:w="2948" w:type="dxa"/>
                  <w:tcBorders>
                    <w:tl2br w:val="nil"/>
                    <w:tr2bl w:val="nil"/>
                  </w:tcBorders>
                  <w:vAlign w:val="center"/>
                </w:tcPr>
                <w:p>
                  <w:pPr>
                    <w:pStyle w:val="66"/>
                    <w:adjustRightInd w:val="0"/>
                    <w:snapToGrid w:val="0"/>
                    <w:spacing w:after="0" w:line="240" w:lineRule="auto"/>
                    <w:ind w:firstLine="420" w:firstLineChars="200"/>
                    <w:jc w:val="both"/>
                    <w:rPr>
                      <w:rFonts w:hint="eastAsia" w:ascii="Times New Roman" w:hAnsi="Times New Roman" w:eastAsia="宋体"/>
                      <w:sz w:val="21"/>
                      <w:szCs w:val="21"/>
                      <w:lang w:eastAsia="zh-CN"/>
                    </w:rPr>
                  </w:pPr>
                  <w:r>
                    <w:rPr>
                      <w:rFonts w:hint="eastAsia" w:ascii="Times New Roman" w:hAnsi="Times New Roman"/>
                      <w:sz w:val="21"/>
                      <w:szCs w:val="21"/>
                      <w:lang w:eastAsia="zh-CN"/>
                    </w:rPr>
                    <w:t>项目施工期严格执行</w:t>
                  </w:r>
                  <w:r>
                    <w:rPr>
                      <w:rFonts w:hint="eastAsia"/>
                      <w:szCs w:val="21"/>
                    </w:rPr>
                    <w:t>“六个百分百”“七个到位”</w:t>
                  </w:r>
                  <w:r>
                    <w:rPr>
                      <w:rFonts w:hint="eastAsia"/>
                      <w:szCs w:val="21"/>
                      <w:lang w:eastAsia="zh-CN"/>
                    </w:rPr>
                    <w:t>，</w:t>
                  </w:r>
                  <w:r>
                    <w:rPr>
                      <w:color w:val="000000" w:themeColor="text1"/>
                      <w:szCs w:val="21"/>
                      <w14:textFill>
                        <w14:solidFill>
                          <w14:schemeClr w14:val="tx1"/>
                        </w14:solidFill>
                      </w14:textFill>
                    </w:rPr>
                    <w:t>渣土车运输过程保持密闭，实施围挡封闭化施工。</w:t>
                  </w:r>
                </w:p>
              </w:tc>
              <w:tc>
                <w:tcPr>
                  <w:tcW w:w="635" w:type="dxa"/>
                  <w:tcBorders>
                    <w:tl2br w:val="nil"/>
                    <w:tr2bl w:val="nil"/>
                  </w:tcBorders>
                  <w:vAlign w:val="center"/>
                </w:tcPr>
                <w:p>
                  <w:pPr>
                    <w:jc w:val="center"/>
                    <w:rPr>
                      <w:rFonts w:hint="eastAsia" w:ascii="Times New Roman" w:hAnsi="Times New Roman"/>
                      <w:sz w:val="21"/>
                      <w:szCs w:val="21"/>
                      <w:lang w:eastAsia="zh-CN"/>
                    </w:rPr>
                  </w:pPr>
                  <w:r>
                    <w:rPr>
                      <w:rFonts w:hint="eastAsia" w:ascii="Times New Roman" w:hAnsi="Times New Roman"/>
                      <w:sz w:val="21"/>
                      <w:szCs w:val="21"/>
                      <w:lang w:eastAsia="zh-CN"/>
                    </w:rPr>
                    <w:t>符合</w:t>
                  </w:r>
                </w:p>
              </w:tc>
            </w:tr>
          </w:tbl>
          <w:p>
            <w:pPr>
              <w:pStyle w:val="22"/>
              <w:ind w:left="0" w:leftChars="0" w:firstLine="0" w:firstLineChars="0"/>
              <w:rPr>
                <w:color w:val="FF0000"/>
              </w:rPr>
            </w:pPr>
          </w:p>
        </w:tc>
      </w:tr>
    </w:tbl>
    <w:p>
      <w:pPr>
        <w:pStyle w:val="8"/>
        <w:rPr>
          <w:color w:val="FF0000"/>
        </w:rPr>
      </w:pPr>
    </w:p>
    <w:p>
      <w:pPr>
        <w:pStyle w:val="8"/>
        <w:rPr>
          <w:color w:val="FF000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51"/>
        <w:rPr>
          <w:color w:val="000000" w:themeColor="text1"/>
          <w14:textFill>
            <w14:solidFill>
              <w14:schemeClr w14:val="tx1"/>
            </w14:solidFill>
          </w14:textFill>
        </w:rPr>
      </w:pPr>
      <w:r>
        <w:rPr>
          <w:rFonts w:hint="eastAsia"/>
          <w:color w:val="000000" w:themeColor="text1"/>
          <w14:textFill>
            <w14:solidFill>
              <w14:schemeClr w14:val="tx1"/>
            </w14:solidFill>
          </w14:textFill>
        </w:rPr>
        <w:t>二、建设内容</w:t>
      </w:r>
    </w:p>
    <w:tbl>
      <w:tblPr>
        <w:tblStyle w:val="27"/>
        <w:tblW w:w="91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0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508" w:type="dxa"/>
            <w:vAlign w:val="center"/>
          </w:tcPr>
          <w:p>
            <w:pPr>
              <w:pStyle w:val="22"/>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地理位置</w:t>
            </w:r>
          </w:p>
        </w:tc>
        <w:tc>
          <w:tcPr>
            <w:tcW w:w="8677" w:type="dxa"/>
            <w:vAlign w:val="center"/>
          </w:tcPr>
          <w:p>
            <w:pPr>
              <w:pStyle w:val="22"/>
              <w:numPr>
                <w:ilvl w:val="0"/>
                <w:numId w:val="0"/>
              </w:num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本项目位于陕西省西安市长安区潏河流域上游</w:t>
            </w:r>
            <w:r>
              <w:rPr>
                <w:rFonts w:hint="eastAsia"/>
                <w:color w:val="000000" w:themeColor="text1"/>
                <w14:textFill>
                  <w14:solidFill>
                    <w14:schemeClr w14:val="tx1"/>
                  </w14:solidFill>
                </w14:textFill>
              </w:rPr>
              <w:t>。具体地理位置见附图1。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508" w:type="dxa"/>
            <w:vAlign w:val="center"/>
          </w:tcPr>
          <w:p>
            <w:pPr>
              <w:pStyle w:val="22"/>
              <w:ind w:firstLine="0" w:firstLineChars="0"/>
              <w:jc w:val="center"/>
              <w:rPr>
                <w:color w:val="FF0000"/>
              </w:rPr>
            </w:pPr>
            <w:r>
              <w:rPr>
                <w:rFonts w:hint="eastAsia"/>
                <w:color w:val="000000" w:themeColor="text1"/>
                <w14:textFill>
                  <w14:solidFill>
                    <w14:schemeClr w14:val="tx1"/>
                  </w14:solidFill>
                </w14:textFill>
              </w:rPr>
              <w:t>项目组成及规模</w:t>
            </w:r>
          </w:p>
        </w:tc>
        <w:tc>
          <w:tcPr>
            <w:tcW w:w="8677" w:type="dxa"/>
          </w:tcPr>
          <w:p>
            <w:pPr>
              <w:pStyle w:val="23"/>
              <w:ind w:firstLine="482" w:firstLineChars="20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、项目</w:t>
            </w:r>
            <w:r>
              <w:rPr>
                <w:rFonts w:hint="eastAsia"/>
                <w:color w:val="000000" w:themeColor="text1"/>
                <w:lang w:eastAsia="zh-CN"/>
                <w14:textFill>
                  <w14:solidFill>
                    <w14:schemeClr w14:val="tx1"/>
                  </w14:solidFill>
                </w14:textFill>
              </w:rPr>
              <w:t>由来</w:t>
            </w:r>
          </w:p>
          <w:p>
            <w:pPr>
              <w:pStyle w:val="2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项目为贯彻落实党中央、国务院决策部署和习近平总书记的重要讲话</w:t>
            </w:r>
            <w:bookmarkStart w:id="4" w:name="_GoBack"/>
            <w:bookmarkEnd w:id="4"/>
            <w:r>
              <w:rPr>
                <w:rFonts w:hint="eastAsia"/>
                <w:color w:val="000000" w:themeColor="text1"/>
                <w:lang w:eastAsia="zh-CN"/>
                <w14:textFill>
                  <w14:solidFill>
                    <w14:schemeClr w14:val="tx1"/>
                  </w14:solidFill>
                </w14:textFill>
              </w:rPr>
              <w:t>和重要指示批示精神，西安市人民政府编制了《陕西秦岭北麓主体山水林田湖草沙一体化项目实施方案》（简称《方案》），大力实施山水林田湖草沙一体化治理，坚决防止生态恶化，保护秦岭生态安全屏障和中央水塔，修复生态环境，让祖脉秦岭永葆生机，为秦岭生态治理保护做出应有的贡献。《实施方案》中明确，将秦岭北麓主体划分为“一屏、一带、一山、六水”4个修复分区，规划建设地下水补给、生物多样性保护、水源涵养提升、土地整治与地质环境治理、水土流失治理、流域生态环境综合整治以及智慧化管控体系7大类工程，分类布署35个子项目。子项目由子工程项目组成，子工程项目明确了具体绩效目标。</w:t>
            </w:r>
          </w:p>
          <w:p>
            <w:pPr>
              <w:pStyle w:val="22"/>
              <w:keepNext w:val="0"/>
              <w:keepLines w:val="0"/>
              <w:pageBreakBefore w:val="0"/>
              <w:widowControl w:val="0"/>
              <w:kinsoku/>
              <w:wordWrap/>
              <w:overflowPunct/>
              <w:topLinePunct w:val="0"/>
              <w:autoSpaceDE/>
              <w:autoSpaceDN/>
              <w:bidi w:val="0"/>
              <w:adjustRightInd w:val="0"/>
              <w:snapToGrid w:val="0"/>
              <w:textAlignment w:val="auto"/>
              <w:rPr>
                <w:rFonts w:hint="eastAsia"/>
                <w:b/>
                <w:bCs/>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落实《全国重要生态系统保护和修复重大工程总体规划（2021-2035年）》，综合考虑项目区自然生态系统的完整性和连通性，聚焦秦岭北麓生物多样性维护、水源涵养和水土保持功能的提升，以全面提升秦岭北麓主体的自然生态系统稳定性和服务功能，着力解决重点生态问题为目标，以资源环境承载能力和国土空间开发适宜性评价为基础，综合考虑区域内山（矿）、水、林、田、湖、草、湿、峪等生态要素。按照“一屏、一带、一山、六水”生态修复总布局，细化为10个生态修复与治理单元，根据各单元的保护对象和主要生态问题，科学布局了实施地下水生态补给修复、生物多样性保护、水源涵养功能提升、农田整治与地质环境治理、水土流失综合治理、流域生态环境综合整治以及智慧化管控体系建设工程等7大类重点工程。</w:t>
            </w:r>
            <w:r>
              <w:rPr>
                <w:rFonts w:hint="eastAsia"/>
                <w:b/>
                <w:bCs/>
                <w:color w:val="000000" w:themeColor="text1"/>
                <w:lang w:eastAsia="zh-CN"/>
                <w14:textFill>
                  <w14:solidFill>
                    <w14:schemeClr w14:val="tx1"/>
                  </w14:solidFill>
                </w14:textFill>
              </w:rPr>
              <w:t>潏河流域上游水土保持与河道水生态保护修复项目是《陕西秦岭北麓主体山水林田湖草沙一体化保护和修复工程项目》中的“潏河流域水土保持与生境修复单元”中子项目“潏河流域上游生态环境综合整治项目”的工程之一。</w:t>
            </w:r>
          </w:p>
          <w:p>
            <w:pPr>
              <w:pStyle w:val="22"/>
              <w:keepNext w:val="0"/>
              <w:keepLines w:val="0"/>
              <w:pageBreakBefore w:val="0"/>
              <w:widowControl w:val="0"/>
              <w:kinsoku/>
              <w:wordWrap/>
              <w:overflowPunct/>
              <w:topLinePunct w:val="0"/>
              <w:autoSpaceDE/>
              <w:autoSpaceDN/>
              <w:bidi w:val="0"/>
              <w:adjustRightInd w:val="0"/>
              <w:snapToGrid w:val="0"/>
              <w:textAlignment w:val="auto"/>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陕西秦岭北麓主体山水林田湖草沙一体化保护和修复工程项目的主要实施内容及预期目标：聚焦秦岭北麓生物多样性维护、水源涵养和水土保持功能提升等3个重点问题，实施生物多样性保护、流域生态环境综合治理、地下水生态补给修复、农田整治与地质环境治理、水源涵养功能提升、水土流失综合治理和智慧化管控体系建设7大类重点工程，35个子项目，涉及生态修复总面积79642.02公顷，工程内容包括完成湿地修复面积66051.20公顷、河道生态修复长度763.46km、水土流失治理面积6026.50公顷、新增林地面积1852.88公顷、林地提质改造面积10628.22公顷、土地综合整治面积20243.55公顷、生态复绿578.15公顷、重要物种栖息地修复面积6.67公顷、珍惜濒危植物保护面积229.36公顷。设置检测点数量269个，达到“98”成效，即主要河流生态流量达标率≥90%，野生动物重要栖息地面积保护率≥80%。</w:t>
            </w:r>
          </w:p>
          <w:p>
            <w:pPr>
              <w:pStyle w:val="22"/>
              <w:keepNext w:val="0"/>
              <w:keepLines w:val="0"/>
              <w:pageBreakBefore w:val="0"/>
              <w:widowControl w:val="0"/>
              <w:kinsoku/>
              <w:wordWrap/>
              <w:overflowPunct/>
              <w:topLinePunct w:val="0"/>
              <w:autoSpaceDE/>
              <w:autoSpaceDN/>
              <w:bidi w:val="0"/>
              <w:adjustRightInd w:val="0"/>
              <w:snapToGrid w:val="0"/>
              <w:textAlignment w:val="auto"/>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工程实施后，通过各项水土保持治理措施的合理布设，形成了立体的水土保持综合防治体系，使水土流失得到有效控制，水土资源得到合理利用，蓄水、能力增强，保护土地不遭受破坏。潏河生态环境趋向良性转化，在河道冲毁、滑坡发生沟道，建设生态护岸，实现河道稳定，满足生态需水，提升河道面源污染的处理能力和水质净化，进一步改善生态环境。各项措施完成并充分发挥效益后，将进一步改善生态环境，减轻洪涝、崩塌等自然灾害，对保护农田、交通、村镇，为群众构建安居乐业的生产生活环境，维护社会安定有重要的作用。</w:t>
            </w:r>
          </w:p>
          <w:p>
            <w:pPr>
              <w:pStyle w:val="22"/>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r>
              <w:rPr>
                <w:rFonts w:hint="eastAsia"/>
                <w:b w:val="0"/>
                <w:bCs w:val="0"/>
                <w:color w:val="000000" w:themeColor="text1"/>
                <w:lang w:eastAsia="zh-CN"/>
                <w14:textFill>
                  <w14:solidFill>
                    <w14:schemeClr w14:val="tx1"/>
                  </w14:solidFill>
                </w14:textFill>
              </w:rPr>
              <w:t>本项目主要建设内容为河道岸堤修复工程和水土流失治理工程。根据《建设项目环境影响评价分类管理名录（2021年）》，水土流失治理工程不需要进行环境影响评价，但河道岸堤修复工程属于“五十一、水利”中“127防洪除涝工程—其他（小型沟渠的护坡除外；城镇排涝河流水闸、排涝泵站除外）”，需编写环境影响报告表。因此，本项目编制环境影响报告表。</w:t>
            </w:r>
          </w:p>
          <w:p>
            <w:pPr>
              <w:pStyle w:val="23"/>
              <w:ind w:firstLine="482"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、项目基本概况</w:t>
            </w:r>
          </w:p>
          <w:p>
            <w:pPr>
              <w:pStyle w:val="22"/>
              <w:ind w:left="719" w:leftChars="228" w:hanging="240" w:hangingChars="10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（1）项目名称：</w:t>
            </w:r>
            <w:r>
              <w:rPr>
                <w:rFonts w:hint="eastAsia"/>
                <w:color w:val="000000" w:themeColor="text1"/>
                <w:lang w:eastAsia="zh-CN"/>
                <w14:textFill>
                  <w14:solidFill>
                    <w14:schemeClr w14:val="tx1"/>
                  </w14:solidFill>
                </w14:textFill>
              </w:rPr>
              <w:t>潏河流域上游水土保持及河道水生态保护修复工程</w:t>
            </w:r>
          </w:p>
          <w:p>
            <w:pPr>
              <w:pStyle w:val="2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（2）建设地点：陕西省西安市长安区潏河流域上游</w:t>
            </w:r>
          </w:p>
          <w:p>
            <w:pPr>
              <w:pStyle w:val="22"/>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（3）建设单位：</w:t>
            </w:r>
            <w:r>
              <w:rPr>
                <w:rFonts w:hint="eastAsia"/>
                <w:color w:val="000000" w:themeColor="text1"/>
                <w:lang w:eastAsia="zh-CN"/>
                <w14:textFill>
                  <w14:solidFill>
                    <w14:schemeClr w14:val="tx1"/>
                  </w14:solidFill>
                </w14:textFill>
              </w:rPr>
              <w:t>西安城投建设有限公司</w:t>
            </w:r>
          </w:p>
          <w:p>
            <w:pPr>
              <w:pStyle w:val="22"/>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（4）建设性质：新建</w:t>
            </w:r>
          </w:p>
          <w:p>
            <w:pPr>
              <w:pStyle w:val="2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）建设内容：通过生态综合整治项目，完成生态保护修复总面积指标30</w:t>
            </w:r>
            <w:r>
              <w:rPr>
                <w:rFonts w:hint="eastAsia"/>
                <w:color w:val="000000" w:themeColor="text1"/>
                <w:lang w:val="en-US" w:eastAsia="zh-CN"/>
                <w14:textFill>
                  <w14:solidFill>
                    <w14:schemeClr w14:val="tx1"/>
                  </w14:solidFill>
                </w14:textFill>
              </w:rPr>
              <w:t>0000m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14:textFill>
                  <w14:solidFill>
                    <w14:schemeClr w14:val="tx1"/>
                  </w14:solidFill>
                </w14:textFill>
              </w:rPr>
              <w:t>（其中水土流失治理面积30</w:t>
            </w:r>
            <w:r>
              <w:rPr>
                <w:rFonts w:hint="eastAsia"/>
                <w:color w:val="000000" w:themeColor="text1"/>
                <w:lang w:val="en-US" w:eastAsia="zh-CN"/>
                <w14:textFill>
                  <w14:solidFill>
                    <w14:schemeClr w14:val="tx1"/>
                  </w14:solidFill>
                </w14:textFill>
              </w:rPr>
              <w:t>0000m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14:textFill>
                  <w14:solidFill>
                    <w14:schemeClr w14:val="tx1"/>
                  </w14:solidFill>
                </w14:textFill>
              </w:rPr>
              <w:t>），河道岸堤修复长度指标15.61km。</w:t>
            </w:r>
          </w:p>
          <w:p>
            <w:pPr>
              <w:pStyle w:val="2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）项目投资：工程投资</w:t>
            </w:r>
            <w:r>
              <w:rPr>
                <w:rFonts w:hint="eastAsia"/>
                <w:color w:val="000000" w:themeColor="text1"/>
                <w:lang w:eastAsia="zh-CN"/>
                <w14:textFill>
                  <w14:solidFill>
                    <w14:schemeClr w14:val="tx1"/>
                  </w14:solidFill>
                </w14:textFill>
              </w:rPr>
              <w:t>1174.12</w:t>
            </w:r>
            <w:r>
              <w:rPr>
                <w:rFonts w:hint="eastAsia"/>
                <w:color w:val="000000" w:themeColor="text1"/>
                <w14:textFill>
                  <w14:solidFill>
                    <w14:schemeClr w14:val="tx1"/>
                  </w14:solidFill>
                </w14:textFill>
              </w:rPr>
              <w:t>万元</w:t>
            </w:r>
          </w:p>
          <w:p>
            <w:pPr>
              <w:pStyle w:val="23"/>
              <w:ind w:firstLine="482"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、项目建设内容</w:t>
            </w:r>
          </w:p>
          <w:p>
            <w:pPr>
              <w:pStyle w:val="22"/>
              <w:ind w:firstLine="480"/>
              <w:rPr>
                <w:rFonts w:hint="eastAsia"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水土流失治理工程</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完成水土流失治理面积30hm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，项目大峪河段水土流失治理地块2块，小峪河段水土流失治理地块5块。</w:t>
            </w:r>
            <w:r>
              <w:rPr>
                <w:rFonts w:hint="eastAsia" w:cs="Times New Roman"/>
                <w:color w:val="000000" w:themeColor="text1"/>
                <w14:textFill>
                  <w14:solidFill>
                    <w14:schemeClr w14:val="tx1"/>
                  </w14:solidFill>
                </w14:textFill>
              </w:rPr>
              <w:t>建设内容为种植水保林</w:t>
            </w:r>
            <w:r>
              <w:rPr>
                <w:rFonts w:hint="eastAsia" w:cs="Times New Roman"/>
                <w:color w:val="000000" w:themeColor="text1"/>
                <w:lang w:eastAsia="zh-CN"/>
                <w14:textFill>
                  <w14:solidFill>
                    <w14:schemeClr w14:val="tx1"/>
                  </w14:solidFill>
                </w14:textFill>
              </w:rPr>
              <w:t>，种植油松25048株，栓皮栎25048株</w:t>
            </w:r>
            <w:r>
              <w:rPr>
                <w:rFonts w:hint="eastAsia" w:cs="Times New Roman"/>
                <w:color w:val="000000" w:themeColor="text1"/>
                <w14:textFill>
                  <w14:solidFill>
                    <w14:schemeClr w14:val="tx1"/>
                  </w14:solidFill>
                </w14:textFill>
              </w:rPr>
              <w:t>。</w:t>
            </w:r>
          </w:p>
          <w:p>
            <w:pPr>
              <w:pStyle w:val="22"/>
              <w:ind w:firstLine="480"/>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河道</w:t>
            </w:r>
            <w:r>
              <w:rPr>
                <w:rFonts w:hint="eastAsia" w:cs="Times New Roman"/>
                <w:color w:val="000000" w:themeColor="text1"/>
                <w14:textFill>
                  <w14:solidFill>
                    <w14:schemeClr w14:val="tx1"/>
                  </w14:solidFill>
                </w14:textFill>
              </w:rPr>
              <w:t>岸堤</w:t>
            </w:r>
            <w:r>
              <w:rPr>
                <w:rFonts w:hint="eastAsia" w:cs="Times New Roman"/>
                <w:color w:val="000000" w:themeColor="text1"/>
                <w:lang w:eastAsia="zh-CN"/>
                <w14:textFill>
                  <w14:solidFill>
                    <w14:schemeClr w14:val="tx1"/>
                  </w14:solidFill>
                </w14:textFill>
              </w:rPr>
              <w:t>修复工程：</w:t>
            </w:r>
            <w:r>
              <w:rPr>
                <w:rFonts w:hint="eastAsia" w:cs="Times New Roman"/>
                <w:color w:val="000000" w:themeColor="text1"/>
                <w14:textFill>
                  <w14:solidFill>
                    <w14:schemeClr w14:val="tx1"/>
                  </w14:solidFill>
                </w14:textFill>
              </w:rPr>
              <w:t>完成河道岸堤修复15.61km。主要建设内容为浆砌石挡墙护岸工程</w:t>
            </w:r>
            <w:r>
              <w:rPr>
                <w:rFonts w:hint="eastAsia" w:cs="Times New Roman"/>
                <w:color w:val="000000" w:themeColor="text1"/>
                <w:lang w:eastAsia="zh-CN"/>
                <w14:textFill>
                  <w14:solidFill>
                    <w14:schemeClr w14:val="tx1"/>
                  </w14:solidFill>
                </w14:textFill>
              </w:rPr>
              <w:t>1.513</w:t>
            </w:r>
            <w:r>
              <w:rPr>
                <w:rFonts w:hint="eastAsia" w:cs="Times New Roman"/>
                <w:color w:val="000000" w:themeColor="text1"/>
                <w14:textFill>
                  <w14:solidFill>
                    <w14:schemeClr w14:val="tx1"/>
                  </w14:solidFill>
                </w14:textFill>
              </w:rPr>
              <w:t>km（大峪河0.969km，小峪河0.544km），格宾石笼挡墙工程0.452km（大峪河0.238km，小峪河0.214km），防护林带1.738km，其余段位自然恢复，长度为11.907km</w:t>
            </w:r>
            <w:r>
              <w:rPr>
                <w:rFonts w:hint="eastAsia" w:cs="Times New Roman"/>
                <w:color w:val="000000" w:themeColor="text1"/>
                <w:lang w:eastAsia="zh-CN"/>
                <w14:textFill>
                  <w14:solidFill>
                    <w14:schemeClr w14:val="tx1"/>
                  </w14:solidFill>
                </w14:textFill>
              </w:rPr>
              <w:t>。</w:t>
            </w:r>
          </w:p>
          <w:p>
            <w:pPr>
              <w:pStyle w:val="22"/>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本项目工程组成见表</w:t>
            </w:r>
            <w:r>
              <w:rPr>
                <w:rFonts w:hint="eastAsia" w:cs="Times New Roman"/>
                <w:color w:val="000000" w:themeColor="text1"/>
                <w:lang w:val="en-US" w:eastAsia="zh-CN"/>
                <w14:textFill>
                  <w14:solidFill>
                    <w14:schemeClr w14:val="tx1"/>
                  </w14:solidFill>
                </w14:textFill>
              </w:rPr>
              <w:t>2</w:t>
            </w:r>
            <w:r>
              <w:rPr>
                <w:rFonts w:cs="Times New Roman"/>
                <w:color w:val="000000" w:themeColor="text1"/>
                <w14:textFill>
                  <w14:solidFill>
                    <w14:schemeClr w14:val="tx1"/>
                  </w14:solidFill>
                </w14:textFill>
              </w:rPr>
              <w:t>-1。</w:t>
            </w:r>
          </w:p>
          <w:p>
            <w:pPr>
              <w:pStyle w:val="54"/>
              <w:ind w:firstLine="422"/>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 xml:space="preserve">-1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项目组成一览表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03"/>
              <w:gridCol w:w="793"/>
              <w:gridCol w:w="295"/>
              <w:gridCol w:w="949"/>
              <w:gridCol w:w="6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类别</w:t>
                  </w:r>
                </w:p>
              </w:tc>
              <w:tc>
                <w:tcPr>
                  <w:tcW w:w="4600" w:type="pct"/>
                  <w:gridSpan w:val="4"/>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主要建设内容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restar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主体工程</w:t>
                  </w:r>
                </w:p>
              </w:tc>
              <w:tc>
                <w:tcPr>
                  <w:tcW w:w="450" w:type="pct"/>
                  <w:vMerge w:val="restar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河道岸堤修复工程</w:t>
                  </w:r>
                </w:p>
              </w:tc>
              <w:tc>
                <w:tcPr>
                  <w:tcW w:w="705" w:type="pct"/>
                  <w:gridSpan w:val="2"/>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河道堤防</w:t>
                  </w:r>
                </w:p>
              </w:tc>
              <w:tc>
                <w:tcPr>
                  <w:tcW w:w="3445" w:type="pct"/>
                  <w:noWrap w:val="0"/>
                  <w:vAlign w:val="center"/>
                </w:tcPr>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位于潏河流域上游支流大峪河、小峪河，总长度</w:t>
                  </w:r>
                  <w:r>
                    <w:rPr>
                      <w:rFonts w:hint="eastAsia" w:ascii="Times New Roman" w:hAnsi="Times New Roman"/>
                      <w:color w:val="000000" w:themeColor="text1"/>
                      <w:sz w:val="21"/>
                      <w:szCs w:val="21"/>
                      <w:lang w:val="en-US" w:eastAsia="zh-CN"/>
                      <w14:textFill>
                        <w14:solidFill>
                          <w14:schemeClr w14:val="tx1"/>
                        </w14:solidFill>
                      </w14:textFill>
                    </w:rPr>
                    <w:t>15.61km。</w:t>
                  </w:r>
                  <w:r>
                    <w:rPr>
                      <w:rFonts w:hint="eastAsia" w:ascii="Times New Roman" w:hAnsi="Times New Roman"/>
                      <w:color w:val="000000" w:themeColor="text1"/>
                      <w:sz w:val="21"/>
                      <w:szCs w:val="21"/>
                      <w:lang w:eastAsia="zh-CN"/>
                      <w14:textFill>
                        <w14:solidFill>
                          <w14:schemeClr w14:val="tx1"/>
                        </w14:solidFill>
                      </w14:textFill>
                    </w:rPr>
                    <w:t>护岸工程总长度约</w:t>
                  </w:r>
                  <w:r>
                    <w:rPr>
                      <w:rFonts w:hint="eastAsia" w:ascii="Times New Roman" w:hAnsi="Times New Roman"/>
                      <w:color w:val="000000" w:themeColor="text1"/>
                      <w:sz w:val="21"/>
                      <w:szCs w:val="21"/>
                      <w:lang w:val="en-US" w:eastAsia="zh-CN"/>
                      <w14:textFill>
                        <w14:solidFill>
                          <w14:schemeClr w14:val="tx1"/>
                        </w14:solidFill>
                      </w14:textFill>
                    </w:rPr>
                    <w:t>1.965</w:t>
                  </w:r>
                  <w:r>
                    <w:rPr>
                      <w:rFonts w:hint="eastAsia" w:ascii="Times New Roman" w:hAnsi="Times New Roman"/>
                      <w:color w:val="000000" w:themeColor="text1"/>
                      <w:sz w:val="21"/>
                      <w:szCs w:val="21"/>
                      <w:lang w:eastAsia="zh-CN"/>
                      <w14:textFill>
                        <w14:solidFill>
                          <w14:schemeClr w14:val="tx1"/>
                        </w14:solidFill>
                      </w14:textFill>
                    </w:rPr>
                    <w:t>km，包括浆砌石挡墙和格宾石笼挡墙。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450" w:type="pct"/>
                  <w:vMerge w:val="continue"/>
                  <w:noWrap w:val="0"/>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eastAsia="zh-CN"/>
                      <w14:textFill>
                        <w14:solidFill>
                          <w14:schemeClr w14:val="tx1"/>
                        </w14:solidFill>
                      </w14:textFill>
                    </w:rPr>
                  </w:pPr>
                </w:p>
              </w:tc>
              <w:tc>
                <w:tcPr>
                  <w:tcW w:w="705" w:type="pct"/>
                  <w:gridSpan w:val="2"/>
                  <w:noWrap w:val="0"/>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防护林带</w:t>
                  </w:r>
                </w:p>
              </w:tc>
              <w:tc>
                <w:tcPr>
                  <w:tcW w:w="3445" w:type="pct"/>
                  <w:noWrap w:val="0"/>
                  <w:vAlign w:val="center"/>
                </w:tcPr>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防护林带总长度约</w:t>
                  </w:r>
                  <w:r>
                    <w:rPr>
                      <w:rFonts w:hint="eastAsia" w:ascii="Times New Roman" w:hAnsi="Times New Roman"/>
                      <w:color w:val="000000" w:themeColor="text1"/>
                      <w:sz w:val="21"/>
                      <w:szCs w:val="21"/>
                      <w:lang w:val="en-US" w:eastAsia="zh-CN"/>
                      <w14:textFill>
                        <w14:solidFill>
                          <w14:schemeClr w14:val="tx1"/>
                        </w14:solidFill>
                      </w14:textFill>
                    </w:rPr>
                    <w:t>1.738km，主要种植柳树290株，杨树290株。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450" w:type="pct"/>
                  <w:vMerge w:val="continue"/>
                  <w:noWrap w:val="0"/>
                  <w:vAlign w:val="center"/>
                </w:tcPr>
                <w:p>
                  <w:pPr>
                    <w:autoSpaceDE w:val="0"/>
                    <w:autoSpaceDN w:val="0"/>
                    <w:adjustRightInd w:val="0"/>
                    <w:snapToGrid w:val="0"/>
                    <w:jc w:val="center"/>
                    <w:rPr>
                      <w:rFonts w:hint="eastAsia"/>
                      <w:color w:val="000000" w:themeColor="text1"/>
                      <w:szCs w:val="21"/>
                      <w14:textFill>
                        <w14:solidFill>
                          <w14:schemeClr w14:val="tx1"/>
                        </w14:solidFill>
                      </w14:textFill>
                    </w:rPr>
                  </w:pPr>
                </w:p>
              </w:tc>
              <w:tc>
                <w:tcPr>
                  <w:tcW w:w="705" w:type="pct"/>
                  <w:gridSpan w:val="2"/>
                  <w:noWrap w:val="0"/>
                  <w:vAlign w:val="center"/>
                </w:tcPr>
                <w:p>
                  <w:pPr>
                    <w:autoSpaceDE w:val="0"/>
                    <w:autoSpaceDN w:val="0"/>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自然恢复</w:t>
                  </w:r>
                </w:p>
              </w:tc>
              <w:tc>
                <w:tcPr>
                  <w:tcW w:w="3445" w:type="pct"/>
                  <w:noWrap w:val="0"/>
                  <w:vAlign w:val="center"/>
                </w:tcPr>
                <w:p>
                  <w:pPr>
                    <w:adjustRightInd w:val="0"/>
                    <w:snapToGrid w:val="0"/>
                    <w:jc w:val="left"/>
                    <w:rPr>
                      <w:rFonts w:hint="eastAsia"/>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自然恢复，长度为11.907km。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450" w:type="pct"/>
                  <w:noWrap w:val="0"/>
                  <w:vAlign w:val="center"/>
                </w:tcPr>
                <w:p>
                  <w:pPr>
                    <w:autoSpaceDE w:val="0"/>
                    <w:autoSpaceDN w:val="0"/>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水土流失治理工程</w:t>
                  </w:r>
                </w:p>
              </w:tc>
              <w:tc>
                <w:tcPr>
                  <w:tcW w:w="705" w:type="pct"/>
                  <w:gridSpan w:val="2"/>
                  <w:noWrap w:val="0"/>
                  <w:vAlign w:val="center"/>
                </w:tcPr>
                <w:p>
                  <w:pPr>
                    <w:autoSpaceDE w:val="0"/>
                    <w:autoSpaceDN w:val="0"/>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种植水保林</w:t>
                  </w:r>
                </w:p>
              </w:tc>
              <w:tc>
                <w:tcPr>
                  <w:tcW w:w="3445" w:type="pct"/>
                  <w:noWrap w:val="0"/>
                  <w:vAlign w:val="center"/>
                </w:tcPr>
                <w:p>
                  <w:pPr>
                    <w:adjustRightInd w:val="0"/>
                    <w:snapToGrid w:val="0"/>
                    <w:jc w:val="left"/>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水土流失治理面积30hm</w:t>
                  </w:r>
                  <w:r>
                    <w:rPr>
                      <w:rFonts w:hint="eastAsia"/>
                      <w:color w:val="000000" w:themeColor="text1"/>
                      <w:szCs w:val="21"/>
                      <w:vertAlign w:val="superscript"/>
                      <w:lang w:val="en-US" w:eastAsia="zh-CN"/>
                      <w14:textFill>
                        <w14:solidFill>
                          <w14:schemeClr w14:val="tx1"/>
                        </w14:solidFill>
                      </w14:textFill>
                    </w:rPr>
                    <w:t>2</w:t>
                  </w:r>
                  <w:r>
                    <w:rPr>
                      <w:rFonts w:hint="eastAsia"/>
                      <w:color w:val="000000" w:themeColor="text1"/>
                      <w:szCs w:val="21"/>
                      <w:lang w:eastAsia="zh-CN"/>
                      <w14:textFill>
                        <w14:solidFill>
                          <w14:schemeClr w14:val="tx1"/>
                        </w14:solidFill>
                      </w14:textFill>
                    </w:rPr>
                    <w:t>，主要种植油松25048</w:t>
                  </w:r>
                  <w:r>
                    <w:rPr>
                      <w:rFonts w:hint="eastAsia" w:ascii="Times New Roman" w:hAnsi="Times New Roman"/>
                      <w:color w:val="000000" w:themeColor="text1"/>
                      <w:sz w:val="21"/>
                      <w:szCs w:val="21"/>
                      <w:lang w:val="en-US" w:eastAsia="zh-CN"/>
                      <w14:textFill>
                        <w14:solidFill>
                          <w14:schemeClr w14:val="tx1"/>
                        </w14:solidFill>
                      </w14:textFill>
                    </w:rPr>
                    <w:t>株</w:t>
                  </w:r>
                  <w:r>
                    <w:rPr>
                      <w:rFonts w:hint="eastAsia"/>
                      <w:color w:val="000000" w:themeColor="text1"/>
                      <w:szCs w:val="21"/>
                      <w:lang w:eastAsia="zh-CN"/>
                      <w14:textFill>
                        <w14:solidFill>
                          <w14:schemeClr w14:val="tx1"/>
                        </w14:solidFill>
                      </w14:textFill>
                    </w:rPr>
                    <w:t>，栓皮栎25048</w:t>
                  </w:r>
                  <w:r>
                    <w:rPr>
                      <w:rFonts w:hint="eastAsia" w:ascii="Times New Roman" w:hAnsi="Times New Roman"/>
                      <w:color w:val="000000" w:themeColor="text1"/>
                      <w:sz w:val="21"/>
                      <w:szCs w:val="21"/>
                      <w:lang w:val="en-US" w:eastAsia="zh-CN"/>
                      <w14:textFill>
                        <w14:solidFill>
                          <w14:schemeClr w14:val="tx1"/>
                        </w14:solidFill>
                      </w14:textFill>
                    </w:rPr>
                    <w:t>株</w:t>
                  </w:r>
                  <w:r>
                    <w:rPr>
                      <w:rFonts w:hint="eastAsia"/>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restar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辅助工程</w:t>
                  </w: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施工便道</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hint="eastAsia"/>
                      <w:color w:val="000000" w:themeColor="text1"/>
                      <w:sz w:val="23"/>
                      <w:szCs w:val="23"/>
                      <w:lang w:eastAsia="zh-CN"/>
                      <w14:textFill>
                        <w14:solidFill>
                          <w14:schemeClr w14:val="tx1"/>
                        </w14:solidFill>
                      </w14:textFill>
                    </w:rPr>
                    <w:t>本工程需修建一定长度的临时道路。场内道路需要进行临时规划，修建临时连接段与已有道路相连，主要为开挖回填运输、机修场地等使用。沿左右岸防洪堤轴线各布置临时施工连接道路，对道路布置原则为满足重车通行宽度及坡度要求，最大坡度控制在</w:t>
                  </w:r>
                  <w:r>
                    <w:rPr>
                      <w:rFonts w:ascii="Times New Roman"/>
                      <w:color w:val="000000" w:themeColor="text1"/>
                      <w:sz w:val="23"/>
                      <w:szCs w:val="23"/>
                      <w:lang w:eastAsia="zh-CN"/>
                      <w14:textFill>
                        <w14:solidFill>
                          <w14:schemeClr w14:val="tx1"/>
                        </w14:solidFill>
                      </w14:textFill>
                    </w:rPr>
                    <w:t>10%</w:t>
                  </w:r>
                  <w:r>
                    <w:rPr>
                      <w:rFonts w:hint="eastAsia"/>
                      <w:color w:val="000000" w:themeColor="text1"/>
                      <w:sz w:val="23"/>
                      <w:szCs w:val="23"/>
                      <w:lang w:eastAsia="zh-CN"/>
                      <w14:textFill>
                        <w14:solidFill>
                          <w14:schemeClr w14:val="tx1"/>
                        </w14:solidFill>
                      </w14:textFill>
                    </w:rPr>
                    <w:t>以内，泥结石路面，路面宽</w:t>
                  </w:r>
                  <w:r>
                    <w:rPr>
                      <w:rFonts w:hint="eastAsia" w:ascii="Times New Roman"/>
                      <w:color w:val="000000" w:themeColor="text1"/>
                      <w:sz w:val="23"/>
                      <w:szCs w:val="23"/>
                      <w:lang w:val="en-US" w:eastAsia="zh-CN"/>
                      <w14:textFill>
                        <w14:solidFill>
                          <w14:schemeClr w14:val="tx1"/>
                        </w14:solidFill>
                      </w14:textFill>
                    </w:rPr>
                    <w:t>3.5</w:t>
                  </w:r>
                  <w:r>
                    <w:rPr>
                      <w:rFonts w:ascii="Times New Roman"/>
                      <w:color w:val="000000" w:themeColor="text1"/>
                      <w:sz w:val="23"/>
                      <w:szCs w:val="23"/>
                      <w:lang w:eastAsia="zh-CN"/>
                      <w14:textFill>
                        <w14:solidFill>
                          <w14:schemeClr w14:val="tx1"/>
                        </w14:solidFill>
                      </w14:textFill>
                    </w:rPr>
                    <w:t>m</w:t>
                  </w:r>
                  <w:r>
                    <w:rPr>
                      <w:rFonts w:ascii="Times New Roman" w:hAnsi="Times New Roman"/>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弃渣场</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本项目实施过程土石方平衡，不产生弃渣，不设弃渣场。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施工营地</w:t>
                  </w:r>
                </w:p>
              </w:tc>
              <w:tc>
                <w:tcPr>
                  <w:tcW w:w="3445" w:type="pct"/>
                  <w:noWrap w:val="0"/>
                  <w:vAlign w:val="center"/>
                </w:tcPr>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设置</w:t>
                  </w:r>
                  <w:r>
                    <w:rPr>
                      <w:rFonts w:ascii="Times New Roman" w:hAnsi="Times New Roman"/>
                      <w:color w:val="000000" w:themeColor="text1"/>
                      <w:sz w:val="21"/>
                      <w:szCs w:val="21"/>
                      <w:lang w:eastAsia="zh-CN"/>
                      <w14:textFill>
                        <w14:solidFill>
                          <w14:schemeClr w14:val="tx1"/>
                        </w14:solidFill>
                      </w14:textFill>
                    </w:rPr>
                    <w:t>1</w:t>
                  </w:r>
                  <w:r>
                    <w:rPr>
                      <w:rFonts w:hint="eastAsia" w:ascii="Times New Roman" w:hAnsi="Times New Roman"/>
                      <w:color w:val="000000" w:themeColor="text1"/>
                      <w:sz w:val="21"/>
                      <w:szCs w:val="21"/>
                      <w:lang w:eastAsia="zh-CN"/>
                      <w14:textFill>
                        <w14:solidFill>
                          <w14:schemeClr w14:val="tx1"/>
                        </w14:solidFill>
                      </w14:textFill>
                    </w:rPr>
                    <w:t>个项目指挥部和</w:t>
                  </w:r>
                  <w:r>
                    <w:rPr>
                      <w:rFonts w:hint="eastAsia" w:ascii="Times New Roman" w:hAnsi="Times New Roman"/>
                      <w:color w:val="000000" w:themeColor="text1"/>
                      <w:sz w:val="21"/>
                      <w:szCs w:val="21"/>
                      <w:lang w:val="en-US" w:eastAsia="zh-CN"/>
                      <w14:textFill>
                        <w14:solidFill>
                          <w14:schemeClr w14:val="tx1"/>
                        </w14:solidFill>
                      </w14:textFill>
                    </w:rPr>
                    <w:t>4</w:t>
                  </w:r>
                  <w:r>
                    <w:rPr>
                      <w:rFonts w:hint="eastAsia" w:ascii="Times New Roman" w:hAnsi="Times New Roman"/>
                      <w:color w:val="000000" w:themeColor="text1"/>
                      <w:sz w:val="21"/>
                      <w:szCs w:val="21"/>
                      <w:lang w:eastAsia="zh-CN"/>
                      <w14:textFill>
                        <w14:solidFill>
                          <w14:schemeClr w14:val="tx1"/>
                        </w14:solidFill>
                      </w14:textFill>
                    </w:rPr>
                    <w:t>个主要的工区营地，项目指挥部及营地皆租用民房建筑。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1155" w:type="pct"/>
                  <w:gridSpan w:val="3"/>
                  <w:noWrap w:val="0"/>
                  <w:vAlign w:val="center"/>
                </w:tcPr>
                <w:p>
                  <w:pPr>
                    <w:autoSpaceDE w:val="0"/>
                    <w:autoSpaceDN w:val="0"/>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施工场地</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采用商品混凝土，施工现场不布置砼拌和系统；</w:t>
                  </w:r>
                </w:p>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施工机械的修理可利用乡镇附近已有的修配厂，施工现场仅考虑机械零配件的更换。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1155" w:type="pct"/>
                  <w:gridSpan w:val="3"/>
                  <w:noWrap w:val="0"/>
                  <w:vAlign w:val="center"/>
                </w:tcPr>
                <w:p>
                  <w:pPr>
                    <w:autoSpaceDE w:val="0"/>
                    <w:autoSpaceDN w:val="0"/>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施工导流</w:t>
                  </w:r>
                </w:p>
              </w:tc>
              <w:tc>
                <w:tcPr>
                  <w:tcW w:w="3445" w:type="pct"/>
                  <w:noWrap w:val="0"/>
                  <w:vAlign w:val="center"/>
                </w:tcPr>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施工导流标准为3年一遇施工洪水。采用的导流建筑物为土石围堰，顶宽1m，两侧坡比为1：1，高1m。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restar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公用工程</w:t>
                  </w: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施工期生活用水依托附近</w:t>
                  </w:r>
                  <w:r>
                    <w:rPr>
                      <w:rFonts w:hint="eastAsia" w:ascii="Times New Roman" w:hAnsi="Times New Roman"/>
                      <w:color w:val="000000" w:themeColor="text1"/>
                      <w:sz w:val="21"/>
                      <w:szCs w:val="21"/>
                      <w:lang w:eastAsia="zh-CN"/>
                      <w14:textFill>
                        <w14:solidFill>
                          <w14:schemeClr w14:val="tx1"/>
                        </w14:solidFill>
                      </w14:textFill>
                    </w:rPr>
                    <w:t>村民</w:t>
                  </w:r>
                  <w:r>
                    <w:rPr>
                      <w:rFonts w:ascii="Times New Roman" w:hAnsi="Times New Roman"/>
                      <w:color w:val="000000" w:themeColor="text1"/>
                      <w:sz w:val="21"/>
                      <w:szCs w:val="21"/>
                      <w:lang w:eastAsia="zh-CN"/>
                      <w14:textFill>
                        <w14:solidFill>
                          <w14:schemeClr w14:val="tx1"/>
                        </w14:solidFill>
                      </w14:textFill>
                    </w:rPr>
                    <w:t>用水，生产用水就近取</w:t>
                  </w:r>
                  <w:r>
                    <w:rPr>
                      <w:rFonts w:hint="eastAsia" w:ascii="Times New Roman" w:hAnsi="Times New Roman"/>
                      <w:color w:val="000000" w:themeColor="text1"/>
                      <w:sz w:val="21"/>
                      <w:szCs w:val="21"/>
                      <w:lang w:eastAsia="zh-CN"/>
                      <w14:textFill>
                        <w14:solidFill>
                          <w14:schemeClr w14:val="tx1"/>
                        </w14:solidFill>
                      </w14:textFill>
                    </w:rPr>
                    <w:t>大峪河、小峪河河</w:t>
                  </w:r>
                  <w:r>
                    <w:rPr>
                      <w:rFonts w:ascii="Times New Roman" w:hAnsi="Times New Roman"/>
                      <w:color w:val="000000" w:themeColor="text1"/>
                      <w:sz w:val="21"/>
                      <w:szCs w:val="21"/>
                      <w:lang w:eastAsia="zh-CN"/>
                      <w14:textFill>
                        <w14:solidFill>
                          <w14:schemeClr w14:val="tx1"/>
                        </w14:solidFill>
                      </w14:textFill>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施工人员生活污水：</w:t>
                  </w:r>
                  <w:r>
                    <w:rPr>
                      <w:rFonts w:hint="eastAsia" w:ascii="Times New Roman" w:hAnsi="Times New Roman"/>
                      <w:color w:val="000000" w:themeColor="text1"/>
                      <w:sz w:val="21"/>
                      <w:szCs w:val="21"/>
                      <w:lang w:eastAsia="zh-CN"/>
                      <w14:textFill>
                        <w14:solidFill>
                          <w14:schemeClr w14:val="tx1"/>
                        </w14:solidFill>
                      </w14:textFill>
                    </w:rPr>
                    <w:t>依托周边村民现有的污水设施</w:t>
                  </w:r>
                  <w:r>
                    <w:rPr>
                      <w:rFonts w:ascii="Times New Roman" w:hAnsi="Times New Roman"/>
                      <w:color w:val="000000" w:themeColor="text1"/>
                      <w:sz w:val="21"/>
                      <w:szCs w:val="21"/>
                      <w:lang w:eastAsia="zh-CN"/>
                      <w14:textFill>
                        <w14:solidFill>
                          <w14:schemeClr w14:val="tx1"/>
                        </w14:solidFill>
                      </w14:textFill>
                    </w:rPr>
                    <w:t>。</w:t>
                  </w:r>
                </w:p>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施工废水：设沉淀池，经沉淀池沉淀处理后回用</w:t>
                  </w:r>
                  <w:r>
                    <w:rPr>
                      <w:rFonts w:hint="eastAsia" w:ascii="Times New Roman" w:hAnsi="Times New Roman"/>
                      <w:color w:val="000000" w:themeColor="text1"/>
                      <w:sz w:val="21"/>
                      <w:szCs w:val="21"/>
                      <w:lang w:eastAsia="zh-CN"/>
                      <w14:textFill>
                        <w14:solidFill>
                          <w14:schemeClr w14:val="tx1"/>
                        </w14:solidFill>
                      </w14:textFill>
                    </w:rPr>
                    <w:t>，</w:t>
                  </w:r>
                  <w:r>
                    <w:rPr>
                      <w:rFonts w:ascii="Times New Roman" w:hAnsi="Times New Roman"/>
                      <w:color w:val="000000" w:themeColor="text1"/>
                      <w:sz w:val="21"/>
                      <w:szCs w:val="21"/>
                      <w:lang w:eastAsia="zh-CN"/>
                      <w14:textFill>
                        <w14:solidFill>
                          <w14:schemeClr w14:val="tx1"/>
                        </w14:solidFill>
                      </w14:textFill>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施工期用电从就近村庄引进。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restar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环保工程</w:t>
                  </w: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施工人员生活污水：</w:t>
                  </w:r>
                  <w:r>
                    <w:rPr>
                      <w:rFonts w:hint="eastAsia" w:ascii="Times New Roman" w:hAnsi="Times New Roman"/>
                      <w:color w:val="000000" w:themeColor="text1"/>
                      <w:sz w:val="21"/>
                      <w:szCs w:val="21"/>
                      <w:lang w:eastAsia="zh-CN"/>
                      <w14:textFill>
                        <w14:solidFill>
                          <w14:schemeClr w14:val="tx1"/>
                        </w14:solidFill>
                      </w14:textFill>
                    </w:rPr>
                    <w:t>依托周边村民现有的污水设施</w:t>
                  </w:r>
                  <w:r>
                    <w:rPr>
                      <w:rFonts w:ascii="Times New Roman" w:hAnsi="Times New Roman"/>
                      <w:color w:val="000000" w:themeColor="text1"/>
                      <w:sz w:val="21"/>
                      <w:szCs w:val="21"/>
                      <w:lang w:eastAsia="zh-CN"/>
                      <w14:textFill>
                        <w14:solidFill>
                          <w14:schemeClr w14:val="tx1"/>
                        </w14:solidFill>
                      </w14:textFill>
                    </w:rPr>
                    <w:t>。</w:t>
                  </w:r>
                </w:p>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施工废水：设沉淀池经沉淀池沉淀处理后回用</w:t>
                  </w:r>
                  <w:r>
                    <w:rPr>
                      <w:rFonts w:hint="eastAsia" w:ascii="Times New Roman" w:hAnsi="Times New Roman"/>
                      <w:color w:val="000000" w:themeColor="text1"/>
                      <w:sz w:val="21"/>
                      <w:szCs w:val="21"/>
                      <w:lang w:eastAsia="zh-CN"/>
                      <w14:textFill>
                        <w14:solidFill>
                          <w14:schemeClr w14:val="tx1"/>
                        </w14:solidFill>
                      </w14:textFill>
                    </w:rPr>
                    <w:t>，</w:t>
                  </w:r>
                  <w:r>
                    <w:rPr>
                      <w:rFonts w:ascii="Times New Roman" w:hAnsi="Times New Roman"/>
                      <w:color w:val="000000" w:themeColor="text1"/>
                      <w:sz w:val="21"/>
                      <w:szCs w:val="21"/>
                      <w:lang w:eastAsia="zh-CN"/>
                      <w14:textFill>
                        <w14:solidFill>
                          <w14:schemeClr w14:val="tx1"/>
                        </w14:solidFill>
                      </w14:textFill>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施工场地扬尘：建筑材料堆</w:t>
                  </w:r>
                  <w:r>
                    <w:rPr>
                      <w:rFonts w:hint="eastAsia" w:ascii="Times New Roman" w:hAnsi="Times New Roman"/>
                      <w:color w:val="000000" w:themeColor="text1"/>
                      <w:sz w:val="21"/>
                      <w:szCs w:val="21"/>
                      <w:lang w:eastAsia="zh-CN"/>
                      <w14:textFill>
                        <w14:solidFill>
                          <w14:schemeClr w14:val="tx1"/>
                        </w14:solidFill>
                      </w14:textFill>
                    </w:rPr>
                    <w:t>放</w:t>
                  </w:r>
                  <w:r>
                    <w:rPr>
                      <w:rFonts w:ascii="Times New Roman" w:hAnsi="Times New Roman"/>
                      <w:color w:val="000000" w:themeColor="text1"/>
                      <w:sz w:val="21"/>
                      <w:szCs w:val="21"/>
                      <w:lang w:eastAsia="zh-CN"/>
                      <w14:textFill>
                        <w14:solidFill>
                          <w14:schemeClr w14:val="tx1"/>
                        </w14:solidFill>
                      </w14:textFill>
                    </w:rPr>
                    <w:t>全部覆盖防尘网，洒水抑尘。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施工设备定期检修，维护；选用低噪声设备。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1155" w:type="pct"/>
                  <w:gridSpan w:val="3"/>
                  <w:noWrap w:val="0"/>
                  <w:vAlign w:val="center"/>
                </w:tcPr>
                <w:p>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3445"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bCs/>
                      <w:color w:val="000000" w:themeColor="text1"/>
                      <w:sz w:val="21"/>
                      <w:szCs w:val="21"/>
                      <w:lang w:eastAsia="zh-CN"/>
                      <w14:textFill>
                        <w14:solidFill>
                          <w14:schemeClr w14:val="tx1"/>
                        </w14:solidFill>
                      </w14:textFill>
                    </w:rPr>
                    <w:t>生活垃圾：</w:t>
                  </w:r>
                  <w:r>
                    <w:rPr>
                      <w:rFonts w:hint="eastAsia" w:ascii="Times New Roman" w:hAnsi="Times New Roman"/>
                      <w:color w:val="000000" w:themeColor="text1"/>
                      <w:sz w:val="21"/>
                      <w:szCs w:val="21"/>
                      <w:lang w:eastAsia="zh-CN"/>
                      <w14:textFill>
                        <w14:solidFill>
                          <w14:schemeClr w14:val="tx1"/>
                        </w14:solidFill>
                      </w14:textFill>
                    </w:rPr>
                    <w:t>依托周边村民现有的生活垃圾处理设施</w:t>
                  </w:r>
                  <w:r>
                    <w:rPr>
                      <w:rFonts w:ascii="Times New Roman" w:hAnsi="Times New Roman"/>
                      <w:color w:val="000000" w:themeColor="text1"/>
                      <w:sz w:val="21"/>
                      <w:szCs w:val="21"/>
                      <w:lang w:eastAsia="zh-CN"/>
                      <w14:textFill>
                        <w14:solidFill>
                          <w14:schemeClr w14:val="tx1"/>
                        </w14:solidFill>
                      </w14:textFill>
                    </w:rPr>
                    <w:t>。</w:t>
                  </w:r>
                </w:p>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color w:val="000000" w:themeColor="text1"/>
                      <w:szCs w:val="21"/>
                      <w:lang w:eastAsia="zh-CN"/>
                      <w14:textFill>
                        <w14:solidFill>
                          <w14:schemeClr w14:val="tx1"/>
                        </w14:solidFill>
                      </w14:textFill>
                    </w:rPr>
                    <w:t>本项目实施过程</w:t>
                  </w:r>
                  <w:r>
                    <w:rPr>
                      <w:rFonts w:hint="eastAsia"/>
                      <w:color w:val="000000" w:themeColor="text1"/>
                      <w:szCs w:val="21"/>
                      <w:lang w:eastAsia="zh-CN"/>
                      <w14:textFill>
                        <w14:solidFill>
                          <w14:schemeClr w14:val="tx1"/>
                        </w14:solidFill>
                      </w14:textFill>
                    </w:rPr>
                    <w:t>土石方平衡，不产生弃渣</w:t>
                  </w:r>
                  <w:r>
                    <w:rPr>
                      <w:rFonts w:hint="eastAsia" w:ascii="Times New Roman" w:hAnsi="Times New Roman"/>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17" w:type="pct"/>
                  <w:gridSpan w:val="2"/>
                  <w:vMerge w:val="restart"/>
                  <w:noWrap w:val="0"/>
                  <w:vAlign w:val="center"/>
                </w:tcPr>
                <w:p>
                  <w:pPr>
                    <w:autoSpaceDE w:val="0"/>
                    <w:autoSpaceDN w:val="0"/>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生态环境</w:t>
                  </w:r>
                </w:p>
              </w:tc>
              <w:tc>
                <w:tcPr>
                  <w:tcW w:w="537" w:type="pct"/>
                  <w:noWrap w:val="0"/>
                  <w:vAlign w:val="center"/>
                </w:tcPr>
                <w:p>
                  <w:pPr>
                    <w:autoSpaceDE w:val="0"/>
                    <w:autoSpaceDN w:val="0"/>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施工</w:t>
                  </w:r>
                </w:p>
                <w:p>
                  <w:pPr>
                    <w:autoSpaceDE w:val="0"/>
                    <w:autoSpaceDN w:val="0"/>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占地</w:t>
                  </w:r>
                </w:p>
              </w:tc>
              <w:tc>
                <w:tcPr>
                  <w:tcW w:w="3445" w:type="pct"/>
                  <w:noWrap w:val="0"/>
                  <w:vAlign w:val="center"/>
                </w:tcPr>
                <w:p>
                  <w:pPr>
                    <w:pStyle w:val="66"/>
                    <w:adjustRightInd w:val="0"/>
                    <w:snapToGrid w:val="0"/>
                    <w:spacing w:after="0" w:line="240" w:lineRule="auto"/>
                    <w:jc w:val="left"/>
                    <w:rPr>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施工临时道路应充分利用现有道路或工程范围内用地，工程范围外尽量不开设或少开设施工道路。临时施工道路的开挖应按照不同的地质条件，设置不同的开挖边坡，以保证边坡的安全稳定，路基坡底已设排水沟，以利于排水。在施工完毕后对所有临时施工道路区域进行清理，拆除地上建筑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17" w:type="pct"/>
                  <w:gridSpan w:val="2"/>
                  <w:vMerge w:val="continue"/>
                  <w:noWrap w:val="0"/>
                  <w:vAlign w:val="center"/>
                </w:tcPr>
                <w:p>
                  <w:pPr>
                    <w:autoSpaceDE w:val="0"/>
                    <w:autoSpaceDN w:val="0"/>
                    <w:adjustRightInd w:val="0"/>
                    <w:snapToGrid w:val="0"/>
                    <w:jc w:val="center"/>
                    <w:rPr>
                      <w:rFonts w:hint="eastAsia"/>
                      <w:color w:val="000000" w:themeColor="text1"/>
                      <w:szCs w:val="21"/>
                      <w:lang w:eastAsia="zh-CN"/>
                      <w14:textFill>
                        <w14:solidFill>
                          <w14:schemeClr w14:val="tx1"/>
                        </w14:solidFill>
                      </w14:textFill>
                    </w:rPr>
                  </w:pPr>
                </w:p>
              </w:tc>
              <w:tc>
                <w:tcPr>
                  <w:tcW w:w="537" w:type="pct"/>
                  <w:noWrap w:val="0"/>
                  <w:vAlign w:val="center"/>
                </w:tcPr>
                <w:p>
                  <w:pPr>
                    <w:autoSpaceDE w:val="0"/>
                    <w:autoSpaceDN w:val="0"/>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植被</w:t>
                  </w:r>
                </w:p>
              </w:tc>
              <w:tc>
                <w:tcPr>
                  <w:tcW w:w="3445" w:type="pct"/>
                  <w:noWrap w:val="0"/>
                  <w:vAlign w:val="center"/>
                </w:tcPr>
                <w:p>
                  <w:pPr>
                    <w:pStyle w:val="66"/>
                    <w:adjustRightInd w:val="0"/>
                    <w:snapToGrid w:val="0"/>
                    <w:spacing w:after="0" w:line="240" w:lineRule="auto"/>
                    <w:jc w:val="left"/>
                    <w:rPr>
                      <w:rFonts w:hint="eastAsia"/>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①</w:t>
                  </w:r>
                  <w:r>
                    <w:rPr>
                      <w:rFonts w:hint="eastAsia"/>
                      <w:color w:val="000000" w:themeColor="text1"/>
                      <w:szCs w:val="21"/>
                      <w:lang w:eastAsia="zh-CN"/>
                      <w14:textFill>
                        <w14:solidFill>
                          <w14:schemeClr w14:val="tx1"/>
                        </w14:solidFill>
                      </w14:textFill>
                    </w:rPr>
                    <w:t>施工期严格控制施工作业带，避免超挖破坏周围植被，严格保护临时用地内植被，减少植被损坏，保护区域生态环境功能。</w:t>
                  </w:r>
                </w:p>
                <w:p>
                  <w:pPr>
                    <w:pStyle w:val="66"/>
                    <w:adjustRightInd w:val="0"/>
                    <w:snapToGrid w:val="0"/>
                    <w:spacing w:after="0" w:line="240" w:lineRule="auto"/>
                    <w:jc w:val="left"/>
                    <w:rPr>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②</w:t>
                  </w:r>
                  <w:r>
                    <w:rPr>
                      <w:rFonts w:hint="eastAsia"/>
                      <w:color w:val="000000" w:themeColor="text1"/>
                      <w:szCs w:val="21"/>
                      <w:lang w:eastAsia="zh-CN"/>
                      <w14:textFill>
                        <w14:solidFill>
                          <w14:schemeClr w14:val="tx1"/>
                        </w14:solidFill>
                      </w14:textFill>
                    </w:rPr>
                    <w:t>加强绿化植物的管理维护，建立专门的绿化管理机构，采取浇灌抚育管护等措施，确保绿化物种的成活以及绿化效果。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17" w:type="pct"/>
                  <w:gridSpan w:val="2"/>
                  <w:vMerge w:val="continue"/>
                  <w:noWrap w:val="0"/>
                  <w:vAlign w:val="center"/>
                </w:tcPr>
                <w:p>
                  <w:pPr>
                    <w:autoSpaceDE w:val="0"/>
                    <w:autoSpaceDN w:val="0"/>
                    <w:adjustRightInd w:val="0"/>
                    <w:snapToGrid w:val="0"/>
                    <w:jc w:val="center"/>
                    <w:rPr>
                      <w:rFonts w:hint="eastAsia"/>
                      <w:color w:val="000000" w:themeColor="text1"/>
                      <w:szCs w:val="21"/>
                      <w:lang w:eastAsia="zh-CN"/>
                      <w14:textFill>
                        <w14:solidFill>
                          <w14:schemeClr w14:val="tx1"/>
                        </w14:solidFill>
                      </w14:textFill>
                    </w:rPr>
                  </w:pPr>
                </w:p>
              </w:tc>
              <w:tc>
                <w:tcPr>
                  <w:tcW w:w="537" w:type="pct"/>
                  <w:noWrap w:val="0"/>
                  <w:vAlign w:val="center"/>
                </w:tcPr>
                <w:p>
                  <w:pPr>
                    <w:autoSpaceDE w:val="0"/>
                    <w:autoSpaceDN w:val="0"/>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水生</w:t>
                  </w:r>
                </w:p>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生物</w:t>
                  </w:r>
                </w:p>
              </w:tc>
              <w:tc>
                <w:tcPr>
                  <w:tcW w:w="3445" w:type="pct"/>
                  <w:noWrap w:val="0"/>
                  <w:vAlign w:val="center"/>
                </w:tcPr>
                <w:p>
                  <w:pPr>
                    <w:pStyle w:val="66"/>
                    <w:adjustRightInd w:val="0"/>
                    <w:snapToGrid w:val="0"/>
                    <w:spacing w:after="0" w:line="240" w:lineRule="auto"/>
                    <w:jc w:val="left"/>
                    <w:rPr>
                      <w:rFonts w:hint="eastAsia"/>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①</w:t>
                  </w:r>
                  <w:r>
                    <w:rPr>
                      <w:rFonts w:hint="eastAsia"/>
                      <w:color w:val="000000" w:themeColor="text1"/>
                      <w:szCs w:val="21"/>
                      <w:lang w:eastAsia="zh-CN"/>
                      <w14:textFill>
                        <w14:solidFill>
                          <w14:schemeClr w14:val="tx1"/>
                        </w14:solidFill>
                      </w14:textFill>
                    </w:rPr>
                    <w:t>施工期做好施工导流，以减轻施工活动对河流水体的扰动。施工期间施工废水处理后全部回用不外排，施工期员工生活均依托周边村民现有的污水处理设施。禁止在河道内存放油料和进行施工机械维修，以免油料堆放场地和维修废水等污染物质进入地表水体，影响潏河水质。</w:t>
                  </w:r>
                </w:p>
                <w:p>
                  <w:pPr>
                    <w:pStyle w:val="66"/>
                    <w:adjustRightInd w:val="0"/>
                    <w:snapToGrid w:val="0"/>
                    <w:spacing w:after="0" w:line="240" w:lineRule="auto"/>
                    <w:jc w:val="left"/>
                    <w:rPr>
                      <w:rFonts w:hint="eastAsia"/>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②</w:t>
                  </w:r>
                  <w:r>
                    <w:rPr>
                      <w:rFonts w:hint="eastAsia"/>
                      <w:color w:val="000000" w:themeColor="text1"/>
                      <w:szCs w:val="21"/>
                      <w:lang w:eastAsia="zh-CN"/>
                      <w14:textFill>
                        <w14:solidFill>
                          <w14:schemeClr w14:val="tx1"/>
                        </w14:solidFill>
                      </w14:textFill>
                    </w:rPr>
                    <w:t>施工中产生的建筑垃圾等应尽量做到回收，不能回收的拉运至建筑垃圾填埋场处理，严禁随意堆放、丢弃；生活垃圾应进行分类收集，及时清运处理，严禁向河道河流水体倾倒，防止污染水体。</w:t>
                  </w:r>
                </w:p>
                <w:p>
                  <w:pPr>
                    <w:pStyle w:val="66"/>
                    <w:adjustRightInd w:val="0"/>
                    <w:snapToGrid w:val="0"/>
                    <w:spacing w:after="0" w:line="240" w:lineRule="auto"/>
                    <w:jc w:val="left"/>
                    <w:rPr>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③</w:t>
                  </w:r>
                  <w:r>
                    <w:rPr>
                      <w:rFonts w:hint="eastAsia"/>
                      <w:color w:val="000000" w:themeColor="text1"/>
                      <w:szCs w:val="21"/>
                      <w:lang w:eastAsia="zh-CN"/>
                      <w14:textFill>
                        <w14:solidFill>
                          <w14:schemeClr w14:val="tx1"/>
                        </w14:solidFill>
                      </w14:textFill>
                    </w:rPr>
                    <w:t>施工期禁止引进外来鱼类；严禁施工人员毁坏、捕杀水生动植物。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17" w:type="pct"/>
                  <w:gridSpan w:val="2"/>
                  <w:vMerge w:val="continue"/>
                  <w:noWrap w:val="0"/>
                  <w:vAlign w:val="center"/>
                </w:tcPr>
                <w:p>
                  <w:pPr>
                    <w:autoSpaceDE w:val="0"/>
                    <w:autoSpaceDN w:val="0"/>
                    <w:adjustRightInd w:val="0"/>
                    <w:snapToGrid w:val="0"/>
                    <w:jc w:val="center"/>
                    <w:rPr>
                      <w:rFonts w:hint="eastAsia"/>
                      <w:color w:val="000000" w:themeColor="text1"/>
                      <w:szCs w:val="21"/>
                      <w:lang w:eastAsia="zh-CN"/>
                      <w14:textFill>
                        <w14:solidFill>
                          <w14:schemeClr w14:val="tx1"/>
                        </w14:solidFill>
                      </w14:textFill>
                    </w:rPr>
                  </w:pPr>
                </w:p>
              </w:tc>
              <w:tc>
                <w:tcPr>
                  <w:tcW w:w="537" w:type="pct"/>
                  <w:noWrap w:val="0"/>
                  <w:vAlign w:val="center"/>
                </w:tcPr>
                <w:p>
                  <w:pPr>
                    <w:autoSpaceDE w:val="0"/>
                    <w:autoSpaceDN w:val="0"/>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陆生</w:t>
                  </w:r>
                </w:p>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动物</w:t>
                  </w:r>
                </w:p>
              </w:tc>
              <w:tc>
                <w:tcPr>
                  <w:tcW w:w="3445" w:type="pct"/>
                  <w:noWrap w:val="0"/>
                  <w:vAlign w:val="center"/>
                </w:tcPr>
                <w:p>
                  <w:pPr>
                    <w:pStyle w:val="66"/>
                    <w:adjustRightInd w:val="0"/>
                    <w:snapToGrid w:val="0"/>
                    <w:spacing w:after="0" w:line="240" w:lineRule="auto"/>
                    <w:jc w:val="left"/>
                    <w:rPr>
                      <w:rFonts w:hint="eastAsia"/>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①</w:t>
                  </w:r>
                  <w:r>
                    <w:rPr>
                      <w:rFonts w:hint="eastAsia"/>
                      <w:color w:val="000000" w:themeColor="text1"/>
                      <w:szCs w:val="21"/>
                      <w:lang w:eastAsia="zh-CN"/>
                      <w14:textFill>
                        <w14:solidFill>
                          <w14:schemeClr w14:val="tx1"/>
                        </w14:solidFill>
                      </w14:textFill>
                    </w:rPr>
                    <w:t>加大宣教力度，在施工期大力宣传野生动物保护法。</w:t>
                  </w:r>
                </w:p>
                <w:p>
                  <w:pPr>
                    <w:pStyle w:val="66"/>
                    <w:adjustRightInd w:val="0"/>
                    <w:snapToGrid w:val="0"/>
                    <w:spacing w:after="0" w:line="240" w:lineRule="auto"/>
                    <w:jc w:val="left"/>
                    <w:rPr>
                      <w:rFonts w:hint="eastAsia"/>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②</w:t>
                  </w:r>
                  <w:r>
                    <w:rPr>
                      <w:rFonts w:hint="eastAsia"/>
                      <w:color w:val="000000" w:themeColor="text1"/>
                      <w:szCs w:val="21"/>
                      <w:lang w:eastAsia="zh-CN"/>
                      <w14:textFill>
                        <w14:solidFill>
                          <w14:schemeClr w14:val="tx1"/>
                        </w14:solidFill>
                      </w14:textFill>
                    </w:rPr>
                    <w:t>施工单位必须禁止施工人员随意捕猎和惊吓各类野生动物。</w:t>
                  </w:r>
                </w:p>
                <w:p>
                  <w:pPr>
                    <w:pStyle w:val="66"/>
                    <w:adjustRightInd w:val="0"/>
                    <w:snapToGrid w:val="0"/>
                    <w:spacing w:after="0" w:line="240" w:lineRule="auto"/>
                    <w:jc w:val="left"/>
                    <w:rPr>
                      <w:color w:val="000000" w:themeColor="text1"/>
                      <w:szCs w:val="21"/>
                      <w:lang w:eastAsia="zh-CN"/>
                      <w14:textFill>
                        <w14:solidFill>
                          <w14:schemeClr w14:val="tx1"/>
                        </w14:solidFill>
                      </w14:textFill>
                    </w:rPr>
                  </w:pPr>
                  <w:r>
                    <w:rPr>
                      <w:rFonts w:hint="eastAsia" w:ascii="仿宋" w:hAnsi="仿宋" w:eastAsia="仿宋" w:cs="仿宋"/>
                      <w:color w:val="000000" w:themeColor="text1"/>
                      <w:szCs w:val="21"/>
                      <w:lang w:eastAsia="zh-CN"/>
                      <w14:textFill>
                        <w14:solidFill>
                          <w14:schemeClr w14:val="tx1"/>
                        </w14:solidFill>
                      </w14:textFill>
                    </w:rPr>
                    <w:t>③</w:t>
                  </w:r>
                  <w:r>
                    <w:rPr>
                      <w:rFonts w:hint="eastAsia" w:eastAsia="宋体" w:cs="Times New Roman"/>
                      <w:color w:val="000000" w:themeColor="text1"/>
                      <w:szCs w:val="21"/>
                      <w:lang w:eastAsia="zh-CN"/>
                      <w14:textFill>
                        <w14:solidFill>
                          <w14:schemeClr w14:val="tx1"/>
                        </w14:solidFill>
                      </w14:textFill>
                    </w:rPr>
                    <w:t>合理组织施工生产，合理安排高噪声机械施工时间。禁止安排在夜间作业，以免惊扰动物栖息、觅食等活动。</w:t>
                  </w:r>
                </w:p>
              </w:tc>
            </w:tr>
          </w:tbl>
          <w:p>
            <w:pPr>
              <w:pStyle w:val="22"/>
              <w:spacing w:before="120" w:beforeLines="50"/>
              <w:ind w:firstLine="482"/>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河道岸堤修复工程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（1）护岸形式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本工程结合项目区现状，采用浆砌石挡墙护岸位于迎流顶冲段，其它护岸采用格宾石笼挡墙。浆砌石挡墙护岸工程1.513km（大峪河0.969km，小峪河0.544km），格宾石笼挡墙工程0.452km（大峪河0.238km，小峪河0.214km）。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浆砌石挡墙是一种传统的护岸型式，其具有抗冲刷性能好，施工技术成熟，造价低等特点。但是生态效果较差，河道与岸线割裂，主要用于对抗冲刷能力要求较高或用地受限的河段。</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537835" cy="3621405"/>
                  <wp:effectExtent l="0" t="0" r="5715" b="1714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rot="10800000">
                            <a:off x="0" y="0"/>
                            <a:ext cx="5537835" cy="3621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 xml:space="preserve">-1   </w:t>
            </w:r>
            <w:r>
              <w:rPr>
                <w:rFonts w:hint="eastAsia" w:cs="Times New Roman"/>
                <w:b/>
                <w:bCs/>
                <w:color w:val="000000" w:themeColor="text1"/>
                <w:sz w:val="24"/>
                <w:lang w:eastAsia="zh-CN"/>
                <w14:textFill>
                  <w14:solidFill>
                    <w14:schemeClr w14:val="tx1"/>
                  </w14:solidFill>
                </w14:textFill>
              </w:rPr>
              <w:t>浆砌石挡墙效果</w:t>
            </w:r>
            <w:r>
              <w:rPr>
                <w:rFonts w:hint="eastAsia" w:ascii="Times New Roman" w:hAnsi="Times New Roman" w:cs="Times New Roman"/>
                <w:b/>
                <w:bCs/>
                <w:color w:val="000000" w:themeColor="text1"/>
                <w:sz w:val="24"/>
                <w:lang w:eastAsia="zh-CN"/>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格宾石笼挡墙是指将经过特殊加工的机编的双铰六角形柔性金属网扎成立方体网笼，填入适当的石块，石间筑土，然后帮扎盖网，形成的石笼整体护面。</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474335" cy="3093720"/>
                  <wp:effectExtent l="0" t="0" r="12065" b="1143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9"/>
                          <a:stretch>
                            <a:fillRect/>
                          </a:stretch>
                        </pic:blipFill>
                        <pic:spPr>
                          <a:xfrm rot="10800000">
                            <a:off x="0" y="0"/>
                            <a:ext cx="5474335" cy="3093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eastAsia="zh-CN"/>
                <w14:textFill>
                  <w14:solidFill>
                    <w14:schemeClr w14:val="tx1"/>
                  </w14:solidFill>
                </w14:textFill>
              </w:rPr>
              <w:t>格宾石笼挡墙效果</w:t>
            </w:r>
            <w:r>
              <w:rPr>
                <w:rFonts w:hint="eastAsia" w:ascii="Times New Roman" w:hAnsi="Times New Roman" w:cs="Times New Roman"/>
                <w:b/>
                <w:bCs/>
                <w:color w:val="000000" w:themeColor="text1"/>
                <w:sz w:val="24"/>
                <w:lang w:eastAsia="zh-CN"/>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（2）断面设计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潏河道治理段根据现状实际地形以及左右岸现有建设条件，分别对应设计，既满足防洪标准，提升岸坡抗冲能力，又最大程度保留现状原有自然风貌，形成生态驳岸型式。共采用两种断面形式（下部浆砌石挡墙+上部雷诺护垫、下部格宾石笼挡墙+上部连锁块），各断面型式设计参数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断面一：下部浆砌石挡墙+上部雷诺护垫，该断面适用于河道顶冲段、水流速度较大或用地受限的区段。本次设计下部采用仰视式挡墙，为M7.5浆砌石结构，墙顶宽0.6m，迎水面坡比1:0.3，背水坡坡比1:0.15，前趾宽0.3m，高3m，墙前采用块石回填，相对密度不小于0.6，墙后采用土方夯实回填，压实度不小于0.91；挡墙上部采用雷诺护垫连接至现状地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挡墙细部结构设计如下：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①变形缝：挡墙沿纵向每隔10m设一道变形缝，缝宽2cm，缝间采用低发泡塑料板填充，缝口用水泥砂浆抹平，砂浆抹面厚度不低于2cm。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②排水管：挡墙内埋设DN50PVC排水管，间排距1.0m，呈梅花状布置，端头采用土工布包裹，深入反滤层内不少于5cm。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304790" cy="4079875"/>
                  <wp:effectExtent l="0" t="0" r="10160" b="15875"/>
                  <wp:docPr id="17"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3"/>
                          <pic:cNvPicPr>
                            <a:picLocks noChangeAspect="1"/>
                          </pic:cNvPicPr>
                        </pic:nvPicPr>
                        <pic:blipFill>
                          <a:blip r:embed="rId10"/>
                          <a:stretch>
                            <a:fillRect/>
                          </a:stretch>
                        </pic:blipFill>
                        <pic:spPr>
                          <a:xfrm>
                            <a:off x="0" y="0"/>
                            <a:ext cx="5304790" cy="407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eastAsia="zh-CN"/>
                <w14:textFill>
                  <w14:solidFill>
                    <w14:schemeClr w14:val="tx1"/>
                  </w14:solidFill>
                </w14:textFill>
              </w:rPr>
              <w:t>K2+472-K2+554段工程平面布置示意图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184140" cy="3872230"/>
                  <wp:effectExtent l="0" t="0" r="16510" b="13970"/>
                  <wp:docPr id="23" name="图片 2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4"/>
                          <pic:cNvPicPr>
                            <a:picLocks noChangeAspect="1"/>
                          </pic:cNvPicPr>
                        </pic:nvPicPr>
                        <pic:blipFill>
                          <a:blip r:embed="rId11"/>
                          <a:stretch>
                            <a:fillRect/>
                          </a:stretch>
                        </pic:blipFill>
                        <pic:spPr>
                          <a:xfrm>
                            <a:off x="0" y="0"/>
                            <a:ext cx="5184140" cy="3872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b-b</w:t>
            </w:r>
            <w:r>
              <w:rPr>
                <w:rFonts w:hint="default" w:cs="Times New Roman"/>
                <w:b/>
                <w:bCs/>
                <w:color w:val="000000" w:themeColor="text1"/>
                <w:sz w:val="24"/>
                <w:lang w:val="en-US" w:eastAsia="zh-CN"/>
                <w14:textFill>
                  <w14:solidFill>
                    <w14:schemeClr w14:val="tx1"/>
                  </w14:solidFill>
                </w14:textFill>
              </w:rPr>
              <w:t>’</w:t>
            </w:r>
            <w:r>
              <w:rPr>
                <w:rFonts w:hint="eastAsia" w:cs="Times New Roman"/>
                <w:b/>
                <w:bCs/>
                <w:color w:val="000000" w:themeColor="text1"/>
                <w:sz w:val="24"/>
                <w:lang w:eastAsia="zh-CN"/>
                <w14:textFill>
                  <w14:solidFill>
                    <w14:schemeClr w14:val="tx1"/>
                  </w14:solidFill>
                </w14:textFill>
              </w:rPr>
              <w:t>钻孔剖面示意图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542915" cy="3780155"/>
                  <wp:effectExtent l="0" t="0" r="635" b="10795"/>
                  <wp:docPr id="27" name="图片 2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5"/>
                          <pic:cNvPicPr>
                            <a:picLocks noChangeAspect="1"/>
                          </pic:cNvPicPr>
                        </pic:nvPicPr>
                        <pic:blipFill>
                          <a:blip r:embed="rId12"/>
                          <a:stretch>
                            <a:fillRect/>
                          </a:stretch>
                        </pic:blipFill>
                        <pic:spPr>
                          <a:xfrm>
                            <a:off x="0" y="0"/>
                            <a:ext cx="5542915" cy="3780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K2+490浆砌石断面设计示意图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断面二：下部格宾石笼挡墙+上部连锁块，该断面主要适用于沿线部分区段自然驳岸两侧受限、不能向两岸扩宽、非迎流顶冲段的凸岸河段。断面下部采用格宾石笼框错层砌护，基础采用埋石砼规格第一层为2.5m×1m×1m、第二层规格为2m×1m×1m；第三至第五层石笼规格分别为1.5m×1m×1m、1m×1m×1m，错层宽度0.5m，墙体与堤身结构之间空隙采用碎石回填后并铺设300g/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2</w:t>
            </w:r>
            <w:r>
              <w:rPr>
                <w:rFonts w:hint="eastAsia" w:cs="Times New Roman"/>
                <w:color w:val="000000" w:themeColor="text1"/>
                <w:kern w:val="0"/>
                <w:sz w:val="24"/>
                <w:szCs w:val="24"/>
                <w:highlight w:val="none"/>
                <w:lang w:val="en-US" w:eastAsia="zh-CN"/>
                <w14:textFill>
                  <w14:solidFill>
                    <w14:schemeClr w14:val="tx1"/>
                  </w14:solidFill>
                </w14:textFill>
              </w:rPr>
              <w:t>土工布反滤，基础采用块石回填，粒径为20-30cm，基础采用2m×2m×1m格宾石笼基础，埋置深泓以下1.5m，挡墙上部采用连锁块连接至现状地面，再用30cm×30cm的C30混凝土压顶。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535930" cy="3655695"/>
                  <wp:effectExtent l="0" t="0" r="7620" b="1905"/>
                  <wp:docPr id="31" name="图片 3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6"/>
                          <pic:cNvPicPr>
                            <a:picLocks noChangeAspect="1"/>
                          </pic:cNvPicPr>
                        </pic:nvPicPr>
                        <pic:blipFill>
                          <a:blip r:embed="rId13"/>
                          <a:stretch>
                            <a:fillRect/>
                          </a:stretch>
                        </pic:blipFill>
                        <pic:spPr>
                          <a:xfrm>
                            <a:off x="0" y="0"/>
                            <a:ext cx="5535930" cy="36556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格宾石笼断面设计示意图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（3）防护林带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在满足河道泄洪要求的前提下，充分利用河道内水土资源扩大河道内林草植被种植，保护堤防安全，涵养水源，使其成为绿地系统和河流生态系统的重要组成部分。堤防护堤林是防洪工程体系的一个重要组成部分，同时也是生态绿地系统的重要组成部分。堤防防护林它具有防护、绿化、净化、防风固沙、水土保持、涵养水源等功能，以防御自然灾害，保护基础设施安全，保护、改善环境和维持生态平衡等为主要目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次拟在河道护岸挡墙与道路之间的距离大于1m以上的河段新建防护林，防护林木栽植品种以景观效果好的乔木为主，既防浪固土又有观赏性，将形成一条连续的绿色生态风景林带。本工程共种植防护林1.738km，林木间距3m，共需苗木580株，其中柳树290株，杨树290株。</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①苗木质量标准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对栽植所用的苗木在调拨和苗木出圃前严格进行检验，苗木质量必须达到《主要造林树种苗木质量分级》（GB6000－1999）规定的I级苗木标准，同时应具有经过林木种苗管理部门检验的“两证一签”（苗木产地检疫合格证、苗木经营生产许可证、苗木合格签）。坚决杜绝使用劣质苗和带有疫情的不合格苗木。凡外苗、受机械损伤、干枯、霉烂等不合格苗木，苗木损耗按使用苗木数量的5%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苗木从出圃、运输到栽植，全程采取保湿措施。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②苗木规格、来源及方式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柳树：胸径≥3cm，定杆高度3m，土球直径≥30cm，Ⅱ级及以上苗木；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杨树：胸径≥3cm，定杆高度3m，土球直径≥30cm，Ⅱ级及以上苗木；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苗木来源：苗木产地均为本地自产。苗木供应方式：第三方苗木供应商负责工程用苗的调配、质量检验、病虫害检疫等工作。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5</w:t>
            </w: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val="en-US" w:eastAsia="zh-CN"/>
                <w14:textFill>
                  <w14:solidFill>
                    <w14:schemeClr w14:val="tx1"/>
                  </w14:solidFill>
                </w14:textFill>
              </w:rPr>
              <w:t>水土流失治理工程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根据项目区立地条件、水浇条件、培育目标等情况，遵循适地适树，生态优先的原则，兼顾社会、经济效益，栽植树种应与原林分相协调，栽植的树种为油松、栓皮栎。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（1）苗木选择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对栽植所用的苗木在调拨和苗木出圃前严格进行检验，苗木质量必须达到《主要造林树种苗木质量分级》（GB6000－1999）规定的I级苗木标准，同时应具有经过林木种苗管理部门检验的“两证一签”（苗木产地检疫合格证、苗木经营生产许可证、苗木合格签）。坚决杜绝使用劣质苗和带有疫情的不合格苗木。凡外苗、受机械损伤、干枯、霉烂等不合格苗木，苗木损耗按使用苗木数量的5%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苗木从出圃、运输到栽植，全程采取保湿措施。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（2）苗木规格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油松：H≥1.2m、P为0.8-1.2m、土球直径≥30cm；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栓皮栎：H≥1.2m、D≥2cm、土球直径≥30cm；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（3）苗木数量及来源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项目建设共需苗木50096株，其中油松25048株，栓皮栎25048株。</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苗木来源：苗木产地均为本地自产。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苗木供应方式：第三方苗木供应商负责工程用苗的调配、质量检验、病虫害检疫等工作。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（4）栽种模式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当设计小班原主要树种为青冈、侧柏、栎类时，栽植树种为油松、栓皮栎，形成针阔混交林，栽植模式如下：</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b/>
                <w:bCs/>
                <w:color w:val="000000" w:themeColor="text1"/>
                <w:kern w:val="0"/>
                <w:sz w:val="24"/>
                <w14:textFill>
                  <w14:solidFill>
                    <w14:schemeClr w14:val="tx1"/>
                  </w14:solidFill>
                </w14:textFill>
              </w:rPr>
              <w:t>表2-</w:t>
            </w:r>
            <w:r>
              <w:rPr>
                <w:rFonts w:hint="eastAsia"/>
                <w:b/>
                <w:bCs/>
                <w:color w:val="000000" w:themeColor="text1"/>
                <w:kern w:val="0"/>
                <w:sz w:val="24"/>
                <w:lang w:val="en-US" w:eastAsia="zh-CN"/>
                <w14:textFill>
                  <w14:solidFill>
                    <w14:schemeClr w14:val="tx1"/>
                  </w14:solidFill>
                </w14:textFill>
              </w:rPr>
              <w:t>3</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lang w:eastAsia="zh-CN"/>
                <w14:textFill>
                  <w14:solidFill>
                    <w14:schemeClr w14:val="tx1"/>
                  </w14:solidFill>
                </w14:textFill>
              </w:rPr>
              <w:t>水保林栽种模式</w:t>
            </w:r>
            <w:r>
              <w:rPr>
                <w:b/>
                <w:bCs/>
                <w:color w:val="000000" w:themeColor="text1"/>
                <w:kern w:val="0"/>
                <w:sz w:val="24"/>
                <w14:textFill>
                  <w14:solidFill>
                    <w14:schemeClr w14:val="tx1"/>
                  </w14:solidFill>
                </w14:textFill>
              </w:rPr>
              <w:t>一览表</w:t>
            </w:r>
          </w:p>
          <w:tbl>
            <w:tblPr>
              <w:tblStyle w:val="28"/>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180"/>
              <w:gridCol w:w="2180"/>
              <w:gridCol w:w="22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9"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栽植树种</w:t>
                  </w:r>
                </w:p>
              </w:tc>
              <w:tc>
                <w:tcPr>
                  <w:tcW w:w="218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株行距/米</w:t>
                  </w:r>
                </w:p>
              </w:tc>
              <w:tc>
                <w:tcPr>
                  <w:tcW w:w="2180"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造林密度</w:t>
                  </w:r>
                </w:p>
              </w:tc>
              <w:tc>
                <w:tcPr>
                  <w:tcW w:w="2236"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株</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9"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油松</w:t>
                  </w:r>
                </w:p>
              </w:tc>
              <w:tc>
                <w:tcPr>
                  <w:tcW w:w="218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2180" w:type="dxa"/>
                  <w:vMerge w:val="restar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111株/亩</w:t>
                  </w:r>
                </w:p>
              </w:tc>
              <w:tc>
                <w:tcPr>
                  <w:tcW w:w="223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79"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栓皮栎</w:t>
                  </w:r>
                </w:p>
              </w:tc>
              <w:tc>
                <w:tcPr>
                  <w:tcW w:w="2180"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2180" w:type="dxa"/>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23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b/>
                <w:bCs/>
                <w:color w:val="000000" w:themeColor="text1"/>
                <w:kern w:val="0"/>
                <w:sz w:val="24"/>
                <w14:textFill>
                  <w14:solidFill>
                    <w14:schemeClr w14:val="tx1"/>
                  </w14:solidFill>
                </w14:textFill>
              </w:rPr>
              <w:t>表2-</w:t>
            </w:r>
            <w:r>
              <w:rPr>
                <w:rFonts w:hint="eastAsia"/>
                <w:b/>
                <w:bCs/>
                <w:color w:val="000000" w:themeColor="text1"/>
                <w:kern w:val="0"/>
                <w:sz w:val="24"/>
                <w:lang w:val="en-US" w:eastAsia="zh-CN"/>
                <w14:textFill>
                  <w14:solidFill>
                    <w14:schemeClr w14:val="tx1"/>
                  </w14:solidFill>
                </w14:textFill>
              </w:rPr>
              <w:t>4</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lang w:eastAsia="zh-CN"/>
                <w14:textFill>
                  <w14:solidFill>
                    <w14:schemeClr w14:val="tx1"/>
                  </w14:solidFill>
                </w14:textFill>
              </w:rPr>
              <w:t>小班作业设计</w:t>
            </w:r>
            <w:r>
              <w:rPr>
                <w:b/>
                <w:bCs/>
                <w:color w:val="000000" w:themeColor="text1"/>
                <w:kern w:val="0"/>
                <w:sz w:val="24"/>
                <w14:textFill>
                  <w14:solidFill>
                    <w14:schemeClr w14:val="tx1"/>
                  </w14:solidFill>
                </w14:textFill>
              </w:rPr>
              <w:t>表</w:t>
            </w:r>
          </w:p>
          <w:tbl>
            <w:tblPr>
              <w:tblStyle w:val="28"/>
              <w:tblW w:w="8800"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133"/>
              <w:gridCol w:w="1100"/>
              <w:gridCol w:w="1184"/>
              <w:gridCol w:w="833"/>
              <w:gridCol w:w="1033"/>
              <w:gridCol w:w="884"/>
              <w:gridCol w:w="1016"/>
              <w:gridCol w:w="9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dxa"/>
                  <w:vMerge w:val="restar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小班号</w:t>
                  </w:r>
                </w:p>
              </w:tc>
              <w:tc>
                <w:tcPr>
                  <w:tcW w:w="1133" w:type="dxa"/>
                  <w:vMerge w:val="restar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小班面积（公顷）</w:t>
                  </w:r>
                </w:p>
              </w:tc>
              <w:tc>
                <w:tcPr>
                  <w:tcW w:w="2284" w:type="dxa"/>
                  <w:gridSpan w:val="2"/>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设计树种</w:t>
                  </w:r>
                </w:p>
              </w:tc>
              <w:tc>
                <w:tcPr>
                  <w:tcW w:w="833" w:type="dxa"/>
                  <w:vMerge w:val="restar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混交比例</w:t>
                  </w:r>
                </w:p>
              </w:tc>
              <w:tc>
                <w:tcPr>
                  <w:tcW w:w="1033" w:type="dxa"/>
                  <w:vMerge w:val="restar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株数（株/公顷）</w:t>
                  </w:r>
                </w:p>
              </w:tc>
              <w:tc>
                <w:tcPr>
                  <w:tcW w:w="884" w:type="dxa"/>
                  <w:vMerge w:val="restar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株行距（米）</w:t>
                  </w:r>
                </w:p>
              </w:tc>
              <w:tc>
                <w:tcPr>
                  <w:tcW w:w="1993" w:type="dxa"/>
                  <w:gridSpan w:val="2"/>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草木数量（株/丛）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dxa"/>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133" w:type="dxa"/>
                  <w:vMerge w:val="continue"/>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10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树种1</w:t>
                  </w:r>
                </w:p>
              </w:tc>
              <w:tc>
                <w:tcPr>
                  <w:tcW w:w="1184"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树种2</w:t>
                  </w:r>
                </w:p>
              </w:tc>
              <w:tc>
                <w:tcPr>
                  <w:tcW w:w="833" w:type="dxa"/>
                  <w:vMerge w:val="continue"/>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033" w:type="dxa"/>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884" w:type="dxa"/>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01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树种1</w:t>
                  </w:r>
                </w:p>
              </w:tc>
              <w:tc>
                <w:tcPr>
                  <w:tcW w:w="977"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树种2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8.6401</w:t>
                  </w:r>
                </w:p>
              </w:tc>
              <w:tc>
                <w:tcPr>
                  <w:tcW w:w="110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油松</w:t>
                  </w:r>
                </w:p>
              </w:tc>
              <w:tc>
                <w:tcPr>
                  <w:tcW w:w="1184"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栓皮栎</w:t>
                  </w:r>
                </w:p>
              </w:tc>
              <w:tc>
                <w:tcPr>
                  <w:tcW w:w="833"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033"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1665</w:t>
                  </w:r>
                </w:p>
              </w:tc>
              <w:tc>
                <w:tcPr>
                  <w:tcW w:w="884"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101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7193</w:t>
                  </w:r>
                </w:p>
              </w:tc>
              <w:tc>
                <w:tcPr>
                  <w:tcW w:w="977"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1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0.9313</w:t>
                  </w:r>
                </w:p>
              </w:tc>
              <w:tc>
                <w:tcPr>
                  <w:tcW w:w="110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油松</w:t>
                  </w:r>
                </w:p>
              </w:tc>
              <w:tc>
                <w:tcPr>
                  <w:tcW w:w="1184"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栓皮栎</w:t>
                  </w:r>
                </w:p>
              </w:tc>
              <w:tc>
                <w:tcPr>
                  <w:tcW w:w="8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0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1665</w:t>
                  </w:r>
                </w:p>
              </w:tc>
              <w:tc>
                <w:tcPr>
                  <w:tcW w:w="884"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101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775</w:t>
                  </w:r>
                </w:p>
              </w:tc>
              <w:tc>
                <w:tcPr>
                  <w:tcW w:w="977"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1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0.5494</w:t>
                  </w:r>
                </w:p>
              </w:tc>
              <w:tc>
                <w:tcPr>
                  <w:tcW w:w="110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油松</w:t>
                  </w:r>
                </w:p>
              </w:tc>
              <w:tc>
                <w:tcPr>
                  <w:tcW w:w="1184"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栓皮栎</w:t>
                  </w:r>
                </w:p>
              </w:tc>
              <w:tc>
                <w:tcPr>
                  <w:tcW w:w="8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0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1665</w:t>
                  </w:r>
                </w:p>
              </w:tc>
              <w:tc>
                <w:tcPr>
                  <w:tcW w:w="884"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101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457</w:t>
                  </w:r>
                </w:p>
              </w:tc>
              <w:tc>
                <w:tcPr>
                  <w:tcW w:w="977"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1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4.3462</w:t>
                  </w:r>
                </w:p>
              </w:tc>
              <w:tc>
                <w:tcPr>
                  <w:tcW w:w="110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油松</w:t>
                  </w:r>
                </w:p>
              </w:tc>
              <w:tc>
                <w:tcPr>
                  <w:tcW w:w="1184"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栓皮栎</w:t>
                  </w:r>
                </w:p>
              </w:tc>
              <w:tc>
                <w:tcPr>
                  <w:tcW w:w="8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0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1665</w:t>
                  </w:r>
                </w:p>
              </w:tc>
              <w:tc>
                <w:tcPr>
                  <w:tcW w:w="884"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101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3618</w:t>
                  </w:r>
                </w:p>
              </w:tc>
              <w:tc>
                <w:tcPr>
                  <w:tcW w:w="977"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1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10.8100</w:t>
                  </w:r>
                </w:p>
              </w:tc>
              <w:tc>
                <w:tcPr>
                  <w:tcW w:w="110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油松</w:t>
                  </w:r>
                </w:p>
              </w:tc>
              <w:tc>
                <w:tcPr>
                  <w:tcW w:w="1184"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栓皮栎</w:t>
                  </w:r>
                </w:p>
              </w:tc>
              <w:tc>
                <w:tcPr>
                  <w:tcW w:w="8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0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1665</w:t>
                  </w:r>
                </w:p>
              </w:tc>
              <w:tc>
                <w:tcPr>
                  <w:tcW w:w="884"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101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9073</w:t>
                  </w:r>
                </w:p>
              </w:tc>
              <w:tc>
                <w:tcPr>
                  <w:tcW w:w="977"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1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4.0725</w:t>
                  </w:r>
                </w:p>
              </w:tc>
              <w:tc>
                <w:tcPr>
                  <w:tcW w:w="110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油松</w:t>
                  </w:r>
                </w:p>
              </w:tc>
              <w:tc>
                <w:tcPr>
                  <w:tcW w:w="1184"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栓皮栎</w:t>
                  </w:r>
                </w:p>
              </w:tc>
              <w:tc>
                <w:tcPr>
                  <w:tcW w:w="8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0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1665</w:t>
                  </w:r>
                </w:p>
              </w:tc>
              <w:tc>
                <w:tcPr>
                  <w:tcW w:w="884"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101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3390</w:t>
                  </w:r>
                </w:p>
              </w:tc>
              <w:tc>
                <w:tcPr>
                  <w:tcW w:w="977"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1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0.6505</w:t>
                  </w:r>
                </w:p>
              </w:tc>
              <w:tc>
                <w:tcPr>
                  <w:tcW w:w="1100"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油松</w:t>
                  </w:r>
                </w:p>
              </w:tc>
              <w:tc>
                <w:tcPr>
                  <w:tcW w:w="1184"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栓皮栎</w:t>
                  </w:r>
                </w:p>
              </w:tc>
              <w:tc>
                <w:tcPr>
                  <w:tcW w:w="8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033"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1665</w:t>
                  </w:r>
                </w:p>
              </w:tc>
              <w:tc>
                <w:tcPr>
                  <w:tcW w:w="884"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1016" w:type="dxa"/>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542</w:t>
                  </w:r>
                </w:p>
              </w:tc>
              <w:tc>
                <w:tcPr>
                  <w:tcW w:w="977"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542</w:t>
                  </w:r>
                </w:p>
              </w:tc>
            </w:tr>
          </w:tbl>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4352290" cy="3100705"/>
                  <wp:effectExtent l="0" t="0" r="10160" b="44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4"/>
                          <a:stretch>
                            <a:fillRect/>
                          </a:stretch>
                        </pic:blipFill>
                        <pic:spPr>
                          <a:xfrm>
                            <a:off x="0" y="0"/>
                            <a:ext cx="4352290" cy="31007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7</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造林模型图</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587365" cy="3075305"/>
                  <wp:effectExtent l="0" t="0" r="13335" b="1079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15"/>
                          <a:stretch>
                            <a:fillRect/>
                          </a:stretch>
                        </pic:blipFill>
                        <pic:spPr>
                          <a:xfrm>
                            <a:off x="0" y="0"/>
                            <a:ext cx="5587365" cy="3075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7</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造林坡面图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（5）整地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采取穴状整地方式，严禁全面整地。整地规格为：40cm×40cm。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整地时间应安排在施工年度春季和雨季。为了提高林木成活率，可采用人工或机械设备对栽植坑周边的灌木、杂草、枝干等适当清理，同时要注意保护好周围原生植被。整地挖穴时要先将表土置于穴的上方或斜上方，挖出的心土置于穴的下方。穴挖好后，将表土和杂草（打碎、有条件结合压青）回填。施工作业时要注意保护造林地上原有的散生树种及其幼苗。</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3634740" cy="2658745"/>
                  <wp:effectExtent l="0" t="0" r="3810" b="8255"/>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16"/>
                          <a:stretch>
                            <a:fillRect/>
                          </a:stretch>
                        </pic:blipFill>
                        <pic:spPr>
                          <a:xfrm>
                            <a:off x="0" y="0"/>
                            <a:ext cx="3634740" cy="2658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8</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整地方式平、剖面图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（6）进苗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栽植所需苗木以当地苗圃育苗为主，随起随栽；确需从外地调运苗木的，应采取一定的保护措施，减少运输途中苗木失水状况。造林施工前应进行苗木检查，检查内容包括：苗木数量与规格是否符合设计要求，苗木生长是否健壮，有无病虫危害和机械损伤，带土球苗还应提前进行切根处理，起苗时需确保土球完好，并将根系用草绳或无纺布包装。容器苗要保持容器土球完整，不散不裂，根系不断裂、不窝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（7）栽植方法、季节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①</w:t>
            </w:r>
            <w:r>
              <w:rPr>
                <w:rFonts w:hint="eastAsia" w:cs="Times New Roman"/>
                <w:color w:val="000000" w:themeColor="text1"/>
                <w:kern w:val="0"/>
                <w:sz w:val="24"/>
                <w:szCs w:val="24"/>
                <w:highlight w:val="none"/>
                <w:lang w:val="en-US" w:eastAsia="zh-CN"/>
                <w14:textFill>
                  <w14:solidFill>
                    <w14:schemeClr w14:val="tx1"/>
                  </w14:solidFill>
                </w14:textFill>
              </w:rPr>
              <w:t>栽植方法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栽植质量是影响造林成活率的主要因素，应按要求栽植苗木。栽植时应选在阴天或雨后，切勿在晴天、大风天、墒情不好或土冻时造林。栽植时要做到栽紧栽实，苗干要竖直，根系要舒展，深浅要适当。积极应用“三埋两踩一提苗”的造林技术。苗木定位放妥后，然后培入心土，覆土一半时将树苗稍微向上提一下，再将已埋心土向下踩实；踩实后再将剩下的心土埋入，一直埋到与地面平齐，树穴中央略成小丘状突起，再次进行踩实，然后浇水，水慢慢下渗浸干后再覆盖一层松土。可降解容器苗需带杯栽植。不可降解容器苗栽植前需轻拍育苗桶四周，将苗轻轻取出，抹去底部和周围1/4营养土，再放入定植穴内进行栽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②</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栽植季节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根据树种生物学特性和西安市长安区气候特点，栽植时间确定为春、秋季，具体时间为2023年10月至11月，2024年4月至6月。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（8）抚育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栽植后要加强林地管理，主要进行以下抚育管理和管护：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①浇水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栽植树种在当年完成苗木定植后立即浇水，浇水量根据当地的水源条件及气候条件而定，但必须浇足浇透。后期根据土壤墒情，春夏旱情严重时增加浇水次数。水的来源主要包括：根据当地降雨量情况，就近取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②松土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根据不伤害苗木根系增加营养面积为原则，松土应做到里浅外深。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③割灌除草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项目区的自然条件和树种生物学特性，及时清除栽植苗木周围杂草，对影响幼树生长和枯死灌木进行割除、清理，直到幼树高度超过草层高度，当年进行1次，保证幼树正常生长，除草时间为每年的5-6月或8-9月。采取除草抚育后的林分应达到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1）影响目的树种幼苗幼树生长的杂草全部去除，提倡围绕目的树种幼苗幼树进行；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2）除草施工要注重保护珍稀濒危树木、林窗处的幼树幼苗及林下有生长潜力的幼树幼苗。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④管护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为做好林地保护工作，提高林分防护功能成效，根据林分特点和管护难易程度，本着集中连片，界线明显，方便管护的原则，由管护区负责。管护栽植区域内的林木、林地资源不受破坏和侵占，对乱砍滥伐、乱占林地、乱捕滥猎、牲畜破坏、毁林开垦等破坏森林资源的行为及时制止，并向所在单位报告。管护管理的实施能够对林分改造成果起到一定程度上增效，林农增收，有效促进森林资源可持续发展和当地居民的经济社会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6、施工机械设备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本工程主要施工机械设备详见表2-5。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b/>
                <w:bCs/>
                <w:color w:val="000000" w:themeColor="text1"/>
                <w:kern w:val="0"/>
                <w:sz w:val="24"/>
                <w14:textFill>
                  <w14:solidFill>
                    <w14:schemeClr w14:val="tx1"/>
                  </w14:solidFill>
                </w14:textFill>
              </w:rPr>
              <w:t>表2-</w:t>
            </w:r>
            <w:r>
              <w:rPr>
                <w:rFonts w:hint="eastAsia"/>
                <w:b/>
                <w:bCs/>
                <w:color w:val="000000" w:themeColor="text1"/>
                <w:kern w:val="0"/>
                <w:sz w:val="24"/>
                <w:lang w:val="en-US" w:eastAsia="zh-CN"/>
                <w14:textFill>
                  <w14:solidFill>
                    <w14:schemeClr w14:val="tx1"/>
                  </w14:solidFill>
                </w14:textFill>
              </w:rPr>
              <w:t>5</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lang w:eastAsia="zh-CN"/>
                <w14:textFill>
                  <w14:solidFill>
                    <w14:schemeClr w14:val="tx1"/>
                  </w14:solidFill>
                </w14:textFill>
              </w:rPr>
              <w:t>机械设备</w:t>
            </w:r>
            <w:r>
              <w:rPr>
                <w:b/>
                <w:bCs/>
                <w:color w:val="000000" w:themeColor="text1"/>
                <w:kern w:val="0"/>
                <w:sz w:val="24"/>
                <w14:textFill>
                  <w14:solidFill>
                    <w14:schemeClr w14:val="tx1"/>
                  </w14:solidFill>
                </w14:textFill>
              </w:rPr>
              <w:t>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637"/>
              <w:gridCol w:w="1908"/>
              <w:gridCol w:w="2797"/>
              <w:gridCol w:w="821"/>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top w:val="single" w:color="auto" w:sz="12" w:space="0"/>
                  </w:tcBorders>
                  <w:vAlign w:val="center"/>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序号</w:t>
                  </w:r>
                </w:p>
              </w:tc>
              <w:tc>
                <w:tcPr>
                  <w:tcW w:w="929" w:type="pct"/>
                  <w:tcBorders>
                    <w:top w:val="single" w:color="auto" w:sz="12" w:space="0"/>
                  </w:tcBorders>
                  <w:vAlign w:val="center"/>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项目名称</w:t>
                  </w:r>
                </w:p>
              </w:tc>
              <w:tc>
                <w:tcPr>
                  <w:tcW w:w="1083" w:type="pct"/>
                  <w:tcBorders>
                    <w:top w:val="single" w:color="auto" w:sz="12" w:space="0"/>
                  </w:tcBorders>
                  <w:vAlign w:val="center"/>
                </w:tcPr>
                <w:p>
                  <w:pPr>
                    <w:pStyle w:val="66"/>
                    <w:adjustRightInd w:val="0"/>
                    <w:snapToGrid w:val="0"/>
                    <w:spacing w:after="0" w:line="240" w:lineRule="auto"/>
                    <w:jc w:val="center"/>
                    <w:rPr>
                      <w:rFonts w:hint="default"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设备名称</w:t>
                  </w:r>
                </w:p>
              </w:tc>
              <w:tc>
                <w:tcPr>
                  <w:tcW w:w="1587" w:type="pct"/>
                  <w:tcBorders>
                    <w:top w:val="single" w:color="auto" w:sz="12" w:space="0"/>
                  </w:tcBorders>
                  <w:vAlign w:val="center"/>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型号、规格</w:t>
                  </w:r>
                </w:p>
              </w:tc>
              <w:tc>
                <w:tcPr>
                  <w:tcW w:w="466" w:type="pct"/>
                  <w:tcBorders>
                    <w:top w:val="single" w:color="auto" w:sz="12" w:space="0"/>
                  </w:tcBorders>
                  <w:vAlign w:val="center"/>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数量</w:t>
                  </w:r>
                </w:p>
              </w:tc>
              <w:tc>
                <w:tcPr>
                  <w:tcW w:w="466" w:type="pct"/>
                  <w:tcBorders>
                    <w:top w:val="single" w:color="auto" w:sz="12" w:space="0"/>
                    <w:right w:val="nil"/>
                  </w:tcBorders>
                  <w:vAlign w:val="center"/>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w:t>
                  </w:r>
                </w:p>
              </w:tc>
              <w:tc>
                <w:tcPr>
                  <w:tcW w:w="929" w:type="pct"/>
                  <w:vMerge w:val="restar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工程施工区</w:t>
                  </w: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单斗挖掘机</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液压 斗容0.6m</w:t>
                  </w:r>
                  <w:r>
                    <w:rPr>
                      <w:rFonts w:hint="eastAsia" w:ascii="Times New Roman" w:hAnsi="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lang w:val="en-US" w:eastAsia="zh-CN"/>
                      <w14:textFill>
                        <w14:solidFill>
                          <w14:schemeClr w14:val="tx1"/>
                        </w14:solidFill>
                      </w14:textFill>
                    </w:rPr>
                    <w:t>反铲</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推土机</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功率59k</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自卸汽车</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柴油型 载重量5t</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自卸汽车</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柴油型 载重量8t</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汽车起重机</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汽油型 起重量5t</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载重汽车</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汽油型 载重量5t</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7</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蛙式夯实机</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功率2.8kw</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胶轮架子车</w:t>
                  </w:r>
                </w:p>
              </w:tc>
              <w:tc>
                <w:tcPr>
                  <w:tcW w:w="1587"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12</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9</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拖拉机</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功率59kw</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10</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振捣器</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插入式 功率1.1kw</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11</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风（砂）水枪</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耗风量6m</w:t>
                  </w:r>
                  <w:r>
                    <w:rPr>
                      <w:rFonts w:hint="eastAsia" w:ascii="Times New Roman" w:hAnsi="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lang w:val="en-US" w:eastAsia="zh-CN"/>
                      <w14:textFill>
                        <w14:solidFill>
                          <w14:schemeClr w14:val="tx1"/>
                        </w14:solidFill>
                      </w14:textFill>
                    </w:rPr>
                    <w:t>/min</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7</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12</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电焊机</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交流 20-25千伏安</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13</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钢筋弯曲机</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φ6-40</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14</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钢筋切断机</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功率20kW</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15</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 xml:space="preserve">潜水泵 </w:t>
                  </w:r>
                </w:p>
              </w:tc>
              <w:tc>
                <w:tcPr>
                  <w:tcW w:w="1587"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功率3—5kw</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tcBorders>
                    <w:left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16</w:t>
                  </w:r>
                </w:p>
              </w:tc>
              <w:tc>
                <w:tcPr>
                  <w:tcW w:w="929" w:type="pct"/>
                  <w:vMerge w:val="continue"/>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双面刨床</w:t>
                  </w:r>
                </w:p>
              </w:tc>
              <w:tc>
                <w:tcPr>
                  <w:tcW w:w="1587"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66" w:type="pct"/>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466" w:type="pct"/>
                  <w:tcBorders>
                    <w:right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tcBorders>
                    <w:left w:val="nil"/>
                    <w:bottom w:val="single" w:color="auto" w:sz="12" w:space="0"/>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17</w:t>
                  </w:r>
                </w:p>
              </w:tc>
              <w:tc>
                <w:tcPr>
                  <w:tcW w:w="929" w:type="pct"/>
                  <w:tcBorders>
                    <w:bottom w:val="single" w:color="auto" w:sz="12" w:space="0"/>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施工生活区</w:t>
                  </w:r>
                </w:p>
              </w:tc>
              <w:tc>
                <w:tcPr>
                  <w:tcW w:w="1083" w:type="pct"/>
                  <w:tcBorders>
                    <w:bottom w:val="single" w:color="auto" w:sz="12" w:space="0"/>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洒水车</w:t>
                  </w:r>
                </w:p>
              </w:tc>
              <w:tc>
                <w:tcPr>
                  <w:tcW w:w="1587" w:type="pct"/>
                  <w:tcBorders>
                    <w:bottom w:val="single" w:color="auto" w:sz="12" w:space="0"/>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66" w:type="pct"/>
                  <w:tcBorders>
                    <w:bottom w:val="single" w:color="auto" w:sz="12" w:space="0"/>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466" w:type="pct"/>
                  <w:tcBorders>
                    <w:bottom w:val="single" w:color="auto" w:sz="12" w:space="0"/>
                    <w:right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7</w:t>
            </w: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val="en-US" w:eastAsia="zh-CN"/>
                <w14:textFill>
                  <w14:solidFill>
                    <w14:schemeClr w14:val="tx1"/>
                  </w14:solidFill>
                </w14:textFill>
              </w:rPr>
              <w:t>施工交通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（1）对外交通运输。工项目区附近有292乡道沿河两岸村庄通过，交通较为便利，施工对外交通条件较好。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bCs/>
                <w:color w:val="000000" w:themeColor="text1"/>
                <w:sz w:val="24"/>
                <w:szCs w:val="32"/>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2）场内交通运输。主要利用工程项目区内有沿线村镇道路及村生产路作为运输道路，尽量利用现有生产路，距离现有道路较远部分设置部分施工便道，便道宽3.5m，施工完建期恢复原貌。可直接在道路沿线较为开阔的场地布置施工临时房屋和施工仓库等，部分施工临时用房亦可以租用附近农户的房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8</w:t>
            </w: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val="en-US" w:eastAsia="zh-CN"/>
                <w14:textFill>
                  <w14:solidFill>
                    <w14:schemeClr w14:val="tx1"/>
                  </w14:solidFill>
                </w14:textFill>
              </w:rPr>
              <w:t>施工导流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工程所在流域的洪水是由流域内的暴雨径流汇流而成。采用的导流建筑物为土石围堰。本项目河道修复工程等级为4级，按照《水利水电工程等级划分及洪水标准》（SL252-2017）规定，施工期洪水标准按5年一遇考虑。采用的导流建筑物为土石围堰，顶宽1m，两侧坡比为1：1，高1m；由于河道施工期洪水量较小，采用分段围堰法施工，新建围堰围住河床的左（或右）岸使河水从束窄的河床通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9</w:t>
            </w: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val="en-US" w:eastAsia="zh-CN"/>
                <w14:textFill>
                  <w14:solidFill>
                    <w14:schemeClr w14:val="tx1"/>
                  </w14:solidFill>
                </w14:textFill>
              </w:rPr>
              <w:t>土石方平衡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着提高资源利用的原则，将工程施工开挖部分应用尽用。根据现场调查和工程勘察报告，本工程开挖方主要为河床砂卵石和表层土壤，砂卵石经过筛选后将达到规格要求的部分作为浆砌石挡墙、格宾石笼挡墙、雷诺护垫垫层等主体工程的原材料，开挖土方可利用超过30%。不可用部分回填至挡墙迎水面，消弱洪水对挡墙的冲击，提高挡墙稳定性。工程段之间可通过近距离转运少量土方满足填方需求，运距约为1km，因此本工程开挖量和利用量、回填量基本持衡，没有工程弃渣，无需设置弃料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根据项目施工方案，本工程土石方填挖方基本持衡，其中挖方总量为34722.25m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，工程无客土，工程利用石料方量9133.90m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，总回填方量为25588.35m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，工程无弃方。土石方平衡见表2-6。</w:t>
            </w:r>
          </w:p>
          <w:p>
            <w:pPr>
              <w:adjustRightInd w:val="0"/>
              <w:snapToGrid w:val="0"/>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表2-</w:t>
            </w:r>
            <w:r>
              <w:rPr>
                <w:rFonts w:hint="eastAsia"/>
                <w:b/>
                <w:bCs/>
                <w:color w:val="000000" w:themeColor="text1"/>
                <w:kern w:val="0"/>
                <w:sz w:val="24"/>
                <w:lang w:val="en-US" w:eastAsia="zh-CN"/>
                <w14:textFill>
                  <w14:solidFill>
                    <w14:schemeClr w14:val="tx1"/>
                  </w14:solidFill>
                </w14:textFill>
              </w:rPr>
              <w:t>6</w:t>
            </w:r>
            <w:r>
              <w:rPr>
                <w:b/>
                <w:bCs/>
                <w:color w:val="000000" w:themeColor="text1"/>
                <w:kern w:val="0"/>
                <w:sz w:val="24"/>
                <w14:textFill>
                  <w14:solidFill>
                    <w14:schemeClr w14:val="tx1"/>
                  </w14:solidFill>
                </w14:textFill>
              </w:rPr>
              <w:t xml:space="preserve">  土石方平衡一览表</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1764"/>
              <w:gridCol w:w="1764"/>
              <w:gridCol w:w="1764"/>
              <w:gridCol w:w="1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top"/>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河流</w:t>
                  </w:r>
                </w:p>
              </w:tc>
              <w:tc>
                <w:tcPr>
                  <w:tcW w:w="1000" w:type="pct"/>
                  <w:tcBorders>
                    <w:tl2br w:val="nil"/>
                    <w:tr2bl w:val="nil"/>
                  </w:tcBorders>
                  <w:vAlign w:val="top"/>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挖方（m</w:t>
                  </w:r>
                  <w:r>
                    <w:rPr>
                      <w:rFonts w:hint="eastAsia" w:ascii="Times New Roman" w:hAnsi="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b/>
                      <w:bCs/>
                      <w:color w:val="000000" w:themeColor="text1"/>
                      <w:sz w:val="21"/>
                      <w:szCs w:val="21"/>
                      <w:lang w:val="en-US" w:eastAsia="zh-CN"/>
                      <w14:textFill>
                        <w14:solidFill>
                          <w14:schemeClr w14:val="tx1"/>
                        </w14:solidFill>
                      </w14:textFill>
                    </w:rPr>
                    <w:t>）</w:t>
                  </w:r>
                </w:p>
              </w:tc>
              <w:tc>
                <w:tcPr>
                  <w:tcW w:w="1000" w:type="pct"/>
                  <w:tcBorders>
                    <w:tl2br w:val="nil"/>
                    <w:tr2bl w:val="nil"/>
                  </w:tcBorders>
                  <w:vAlign w:val="top"/>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利用方（m</w:t>
                  </w:r>
                  <w:r>
                    <w:rPr>
                      <w:rFonts w:hint="eastAsia" w:ascii="Times New Roman" w:hAnsi="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b/>
                      <w:bCs/>
                      <w:color w:val="000000" w:themeColor="text1"/>
                      <w:sz w:val="21"/>
                      <w:szCs w:val="21"/>
                      <w:lang w:val="en-US" w:eastAsia="zh-CN"/>
                      <w14:textFill>
                        <w14:solidFill>
                          <w14:schemeClr w14:val="tx1"/>
                        </w14:solidFill>
                      </w14:textFill>
                    </w:rPr>
                    <w:t>）</w:t>
                  </w:r>
                </w:p>
              </w:tc>
              <w:tc>
                <w:tcPr>
                  <w:tcW w:w="1000" w:type="pct"/>
                  <w:tcBorders>
                    <w:tl2br w:val="nil"/>
                    <w:tr2bl w:val="nil"/>
                  </w:tcBorders>
                  <w:vAlign w:val="top"/>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回填方（m</w:t>
                  </w:r>
                  <w:r>
                    <w:rPr>
                      <w:rFonts w:hint="eastAsia" w:ascii="Times New Roman" w:hAnsi="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b/>
                      <w:bCs/>
                      <w:color w:val="000000" w:themeColor="text1"/>
                      <w:sz w:val="21"/>
                      <w:szCs w:val="21"/>
                      <w:lang w:val="en-US" w:eastAsia="zh-CN"/>
                      <w14:textFill>
                        <w14:solidFill>
                          <w14:schemeClr w14:val="tx1"/>
                        </w14:solidFill>
                      </w14:textFill>
                    </w:rPr>
                    <w:t>）</w:t>
                  </w:r>
                </w:p>
              </w:tc>
              <w:tc>
                <w:tcPr>
                  <w:tcW w:w="1000" w:type="pct"/>
                  <w:tcBorders>
                    <w:tl2br w:val="nil"/>
                    <w:tr2bl w:val="nil"/>
                  </w:tcBorders>
                  <w:vAlign w:val="top"/>
                </w:tcPr>
                <w:p>
                  <w:pPr>
                    <w:pStyle w:val="66"/>
                    <w:adjustRightInd w:val="0"/>
                    <w:snapToGrid w:val="0"/>
                    <w:spacing w:after="0" w:line="240" w:lineRule="auto"/>
                    <w:jc w:val="center"/>
                    <w:rPr>
                      <w:rFonts w:hint="eastAsia"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余方（m</w:t>
                  </w:r>
                  <w:r>
                    <w:rPr>
                      <w:rFonts w:hint="eastAsia" w:ascii="Times New Roman" w:hAnsi="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top"/>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大峪河</w:t>
                  </w:r>
                </w:p>
              </w:tc>
              <w:tc>
                <w:tcPr>
                  <w:tcW w:w="1000" w:type="pct"/>
                  <w:tcBorders>
                    <w:tl2br w:val="nil"/>
                    <w:tr2bl w:val="nil"/>
                  </w:tcBorders>
                  <w:vAlign w:val="top"/>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22104.25</w:t>
                  </w:r>
                </w:p>
              </w:tc>
              <w:tc>
                <w:tcPr>
                  <w:tcW w:w="1000" w:type="pct"/>
                  <w:tcBorders>
                    <w:tl2br w:val="nil"/>
                    <w:tr2bl w:val="nil"/>
                  </w:tcBorders>
                  <w:vAlign w:val="top"/>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5910.55</w:t>
                  </w:r>
                </w:p>
              </w:tc>
              <w:tc>
                <w:tcPr>
                  <w:tcW w:w="1000" w:type="pct"/>
                  <w:tcBorders>
                    <w:tl2br w:val="nil"/>
                    <w:tr2bl w:val="nil"/>
                  </w:tcBorders>
                  <w:vAlign w:val="top"/>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16193.70</w:t>
                  </w:r>
                </w:p>
              </w:tc>
              <w:tc>
                <w:tcPr>
                  <w:tcW w:w="1746" w:type="dxa"/>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top"/>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小峪河</w:t>
                  </w:r>
                </w:p>
              </w:tc>
              <w:tc>
                <w:tcPr>
                  <w:tcW w:w="1000" w:type="pct"/>
                  <w:tcBorders>
                    <w:tl2br w:val="nil"/>
                    <w:tr2bl w:val="nil"/>
                  </w:tcBorders>
                  <w:vAlign w:val="top"/>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12618.00</w:t>
                  </w:r>
                </w:p>
              </w:tc>
              <w:tc>
                <w:tcPr>
                  <w:tcW w:w="1000" w:type="pct"/>
                  <w:tcBorders>
                    <w:tl2br w:val="nil"/>
                    <w:tr2bl w:val="nil"/>
                  </w:tcBorders>
                  <w:vAlign w:val="top"/>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3223.35</w:t>
                  </w:r>
                </w:p>
              </w:tc>
              <w:tc>
                <w:tcPr>
                  <w:tcW w:w="1000" w:type="pct"/>
                  <w:tcBorders>
                    <w:tl2br w:val="nil"/>
                    <w:tr2bl w:val="nil"/>
                  </w:tcBorders>
                  <w:vAlign w:val="top"/>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9394.65</w:t>
                  </w:r>
                </w:p>
              </w:tc>
              <w:tc>
                <w:tcPr>
                  <w:tcW w:w="1746" w:type="dxa"/>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top"/>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合计</w:t>
                  </w:r>
                </w:p>
              </w:tc>
              <w:tc>
                <w:tcPr>
                  <w:tcW w:w="1746" w:type="dxa"/>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34722.25</w:t>
                  </w:r>
                </w:p>
              </w:tc>
              <w:tc>
                <w:tcPr>
                  <w:tcW w:w="1746" w:type="dxa"/>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9133.90</w:t>
                  </w:r>
                </w:p>
              </w:tc>
              <w:tc>
                <w:tcPr>
                  <w:tcW w:w="1746" w:type="dxa"/>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25588.35</w:t>
                  </w:r>
                </w:p>
              </w:tc>
              <w:tc>
                <w:tcPr>
                  <w:tcW w:w="1746" w:type="dxa"/>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eastAsia="宋体"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10</w:t>
            </w: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eastAsia="zh-CN"/>
                <w14:textFill>
                  <w14:solidFill>
                    <w14:schemeClr w14:val="tx1"/>
                  </w14:solidFill>
                </w14:textFill>
              </w:rPr>
              <w:t>工程占地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本工程不涉及征地和移民搬迁安置，无永久占地。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本工程临时占地总计1.80hm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2</w:t>
            </w:r>
            <w:r>
              <w:rPr>
                <w:rFonts w:hint="eastAsia" w:cs="Times New Roman"/>
                <w:color w:val="000000" w:themeColor="text1"/>
                <w:kern w:val="0"/>
                <w:sz w:val="24"/>
                <w:szCs w:val="24"/>
                <w:highlight w:val="none"/>
                <w:lang w:val="en-US" w:eastAsia="zh-CN"/>
                <w14:textFill>
                  <w14:solidFill>
                    <w14:schemeClr w14:val="tx1"/>
                  </w14:solidFill>
                </w14:textFill>
              </w:rPr>
              <w:t>，占地选择位置位于项目区河道生态修复区域内相对开阔、平缓、无安全隐患的地块内，不涉及临时占地补偿费用。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临时用地处理：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（1）必须按照临时使用协议约定的用途使用土地；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（2）不得修建永久性建筑；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3）临时使用土地的期限不得超过2年，期满确需继续使用的，应当重新办理临时用地审批。根据《中华人民共和国土地管理法》、陕西省实施《中华人民共和国土地管理法》办法等相关法律法规的规定，按照谁占用，谁恢复的原则，在规定时间内对临时占地进行复垦，恢复土地原有功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项目临时占地涉及滩地、草地两种类型。对于临时占用的林地、草地，在工程施工结束之后，按照谁占用、谁恢复的原则，对临时占用土地进行平整后，按照原地块设计方案栽杨树和无絮垂柳，既防浪固土又有观赏性，将形成一条连续的绿色生态风景林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508" w:type="dxa"/>
            <w:vAlign w:val="center"/>
          </w:tcPr>
          <w:p>
            <w:pPr>
              <w:pStyle w:val="22"/>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总平面及现场布置</w:t>
            </w:r>
          </w:p>
        </w:tc>
        <w:tc>
          <w:tcPr>
            <w:tcW w:w="8677" w:type="dxa"/>
          </w:tcPr>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施工布置情况</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施工总体布置遵循因地制宜，有利于生产、方便生活、易于管理、安全可靠、经济合理和少占地的原则。结合本工程规划功能区域的布置情况，施工总布置采用集中布置方式，</w:t>
            </w:r>
            <w:r>
              <w:rPr>
                <w:rFonts w:hint="eastAsia"/>
                <w:color w:val="000000" w:themeColor="text1"/>
                <w:sz w:val="24"/>
                <w:lang w:eastAsia="zh-CN"/>
                <w14:textFill>
                  <w14:solidFill>
                    <w14:schemeClr w14:val="tx1"/>
                  </w14:solidFill>
                </w14:textFill>
              </w:rPr>
              <w:t>在大峪河</w:t>
            </w:r>
            <w:r>
              <w:rPr>
                <w:rFonts w:hint="eastAsia"/>
                <w:color w:val="000000" w:themeColor="text1"/>
                <w:sz w:val="24"/>
                <w14:textFill>
                  <w14:solidFill>
                    <w14:schemeClr w14:val="tx1"/>
                  </w14:solidFill>
                </w14:textFill>
              </w:rPr>
              <w:t>布置1个项目指挥部</w:t>
            </w:r>
            <w:r>
              <w:rPr>
                <w:rFonts w:hint="eastAsia"/>
                <w:color w:val="000000" w:themeColor="text1"/>
                <w:sz w:val="24"/>
                <w:lang w:eastAsia="zh-CN"/>
                <w14:textFill>
                  <w14:solidFill>
                    <w14:schemeClr w14:val="tx1"/>
                  </w14:solidFill>
                </w14:textFill>
              </w:rPr>
              <w:t>，大峪河、小峪河分别布设</w:t>
            </w:r>
            <w:r>
              <w:rPr>
                <w:rFonts w:hint="eastAsia"/>
                <w:color w:val="000000" w:themeColor="text1"/>
                <w:sz w:val="24"/>
                <w14:textFill>
                  <w14:solidFill>
                    <w14:schemeClr w14:val="tx1"/>
                  </w14:solidFill>
                </w14:textFill>
              </w:rPr>
              <w:t>2个主要的工区营地，项目指挥部及营地皆租用民房建筑。施工工厂设置如下：</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施工供电</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全线利用沿线已有供电线路。</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施工供水</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施工期生活用水依托附近村民用水，生产用水就近取河水。</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砼拌和系统</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工程采用商品混凝土，施工现场不布置砼拌和系统。</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施工机械修配厂及加工厂</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施工机械的修理可利用乡镇附近已有的修配厂，施工现场仅考虑机械零配件的更换。</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临时房屋及公用设施</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施工工作面沿线分布，为方便管理及工程施工，生产管理用房尽量布置于附近的村庄，就近租用公房或民房；生活用房，以便利施工为原则，就近租用民房。本工程工期不长，且靠近居民区，不考虑设置专门的医疗机构和娱乐场所。</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6</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弃渣规划</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本工程工作面沿岸线布置，实施过程土石方平衡，不产生弃渣，不设弃渣场。</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工程布局情况</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本工程主要建设内容为</w:t>
            </w:r>
            <w:r>
              <w:rPr>
                <w:rFonts w:hint="eastAsia"/>
                <w:color w:val="000000" w:themeColor="text1"/>
                <w:sz w:val="24"/>
                <w:lang w:eastAsia="zh-CN"/>
                <w14:textFill>
                  <w14:solidFill>
                    <w14:schemeClr w14:val="tx1"/>
                  </w14:solidFill>
                </w14:textFill>
              </w:rPr>
              <w:t>河道岸堤修复工程</w:t>
            </w:r>
            <w:r>
              <w:rPr>
                <w:rFonts w:hint="eastAsia"/>
                <w:color w:val="000000" w:themeColor="text1"/>
                <w:sz w:val="24"/>
                <w14:textFill>
                  <w14:solidFill>
                    <w14:schemeClr w14:val="tx1"/>
                  </w14:solidFill>
                </w14:textFill>
              </w:rPr>
              <w:t>和水土流失治理工程。</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河道岸堤修复工程</w:t>
            </w:r>
            <w:r>
              <w:rPr>
                <w:rFonts w:hint="eastAsia"/>
                <w:color w:val="000000" w:themeColor="text1"/>
                <w:sz w:val="24"/>
                <w14:textFill>
                  <w14:solidFill>
                    <w14:schemeClr w14:val="tx1"/>
                  </w14:solidFill>
                </w14:textFill>
              </w:rPr>
              <w:t>：具体包括</w:t>
            </w:r>
            <w:r>
              <w:rPr>
                <w:rFonts w:hint="eastAsia"/>
                <w:color w:val="000000" w:themeColor="text1"/>
                <w:sz w:val="24"/>
                <w:lang w:eastAsia="zh-CN"/>
                <w14:textFill>
                  <w14:solidFill>
                    <w14:schemeClr w14:val="tx1"/>
                  </w14:solidFill>
                </w14:textFill>
              </w:rPr>
              <w:t>潏河上游大峪河段、小峪河段</w:t>
            </w:r>
            <w:r>
              <w:rPr>
                <w:rFonts w:hint="eastAsia"/>
                <w:color w:val="000000" w:themeColor="text1"/>
                <w:sz w:val="24"/>
                <w14:textFill>
                  <w14:solidFill>
                    <w14:schemeClr w14:val="tx1"/>
                  </w14:solidFill>
                </w14:textFill>
              </w:rPr>
              <w:t>的沿线堤防护岸工程。工程建设内容包括浆砌石挡墙护岸工程</w:t>
            </w:r>
            <w:r>
              <w:rPr>
                <w:rFonts w:hint="eastAsia"/>
                <w:color w:val="000000" w:themeColor="text1"/>
                <w:sz w:val="24"/>
                <w:lang w:eastAsia="zh-CN"/>
                <w14:textFill>
                  <w14:solidFill>
                    <w14:schemeClr w14:val="tx1"/>
                  </w14:solidFill>
                </w14:textFill>
              </w:rPr>
              <w:t>1.513</w:t>
            </w:r>
            <w:r>
              <w:rPr>
                <w:rFonts w:hint="eastAsia"/>
                <w:color w:val="000000" w:themeColor="text1"/>
                <w:sz w:val="24"/>
                <w14:textFill>
                  <w14:solidFill>
                    <w14:schemeClr w14:val="tx1"/>
                  </w14:solidFill>
                </w14:textFill>
              </w:rPr>
              <w:t>km（大峪河0.969km，小峪河0.544km），格宾石笼挡墙工程0.452km（大峪河0.238km，小峪河0.214km）</w:t>
            </w:r>
            <w:r>
              <w:rPr>
                <w:rFonts w:hint="eastAsia"/>
                <w:color w:val="000000" w:themeColor="text1"/>
                <w:sz w:val="24"/>
                <w:lang w:eastAsia="zh-CN"/>
                <w14:textFill>
                  <w14:solidFill>
                    <w14:schemeClr w14:val="tx1"/>
                  </w14:solidFill>
                </w14:textFill>
              </w:rPr>
              <w:t>，防护林1.738km</w:t>
            </w:r>
            <w:r>
              <w:rPr>
                <w:rFonts w:hint="eastAsia"/>
                <w:color w:val="000000" w:themeColor="text1"/>
                <w:sz w:val="24"/>
                <w14:textFill>
                  <w14:solidFill>
                    <w14:schemeClr w14:val="tx1"/>
                  </w14:solidFill>
                </w14:textFill>
              </w:rPr>
              <w:t>。</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水土流失治理工程：</w:t>
            </w:r>
            <w:r>
              <w:rPr>
                <w:rFonts w:hint="eastAsia"/>
                <w:color w:val="000000" w:themeColor="text1"/>
                <w:sz w:val="24"/>
                <w:lang w:eastAsia="zh-CN"/>
                <w14:textFill>
                  <w14:solidFill>
                    <w14:schemeClr w14:val="tx1"/>
                  </w14:solidFill>
                </w14:textFill>
              </w:rPr>
              <w:t>栽种</w:t>
            </w:r>
            <w:r>
              <w:rPr>
                <w:rFonts w:hint="eastAsia"/>
                <w:color w:val="000000" w:themeColor="text1"/>
                <w:sz w:val="24"/>
                <w14:textFill>
                  <w14:solidFill>
                    <w14:schemeClr w14:val="tx1"/>
                  </w14:solidFill>
                </w14:textFill>
              </w:rPr>
              <w:t>苗木50096株，其中油松25048株，栓皮栎25048株。</w:t>
            </w:r>
          </w:p>
          <w:p>
            <w:pPr>
              <w:wordWrap w:val="0"/>
              <w:spacing w:line="360" w:lineRule="auto"/>
              <w:ind w:firstLine="480" w:firstLineChars="200"/>
              <w:rPr>
                <w:rFonts w:hint="eastAsia" w:eastAsia="宋体"/>
                <w:color w:val="000000" w:themeColor="text1"/>
                <w:lang w:eastAsia="zh-CN"/>
                <w14:textFill>
                  <w14:solidFill>
                    <w14:schemeClr w14:val="tx1"/>
                  </w14:solidFill>
                </w14:textFill>
              </w:rPr>
            </w:pPr>
            <w:r>
              <w:rPr>
                <w:rFonts w:hint="eastAsia"/>
                <w:color w:val="000000" w:themeColor="text1"/>
                <w:sz w:val="24"/>
                <w14:textFill>
                  <w14:solidFill>
                    <w14:schemeClr w14:val="tx1"/>
                  </w14:solidFill>
                </w14:textFill>
              </w:rPr>
              <w:t>工程总平面布置见附图2。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508" w:type="dxa"/>
            <w:vAlign w:val="center"/>
          </w:tcPr>
          <w:p>
            <w:pPr>
              <w:pStyle w:val="22"/>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施工方案</w:t>
            </w:r>
          </w:p>
        </w:tc>
        <w:tc>
          <w:tcPr>
            <w:tcW w:w="8677" w:type="dxa"/>
          </w:tcPr>
          <w:p>
            <w:pPr>
              <w:wordWrap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1、施工工艺</w:t>
            </w:r>
          </w:p>
          <w:p>
            <w:pPr>
              <w:wordWrap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）河道岸堤修复工程</w:t>
            </w:r>
          </w:p>
          <w:p>
            <w:pPr>
              <w:wordWrap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①浆砌石挡墙：</w:t>
            </w:r>
          </w:p>
          <w:p>
            <w:pPr>
              <w:wordWrap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车辆放样→基坑开挖→检测基底→铺设垫层→湿润石料→铺砂浆→砌筑→养护。</w:t>
            </w:r>
          </w:p>
          <w:p>
            <w:pPr>
              <w:wordWrap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②格宾石笼护岸及基础：</w:t>
            </w:r>
          </w:p>
          <w:p>
            <w:pPr>
              <w:wordWrap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测量定位→边坡修整→土工布铺设→格宾笼安装→装填卵石料→绑扎固定石笼。</w:t>
            </w:r>
          </w:p>
          <w:p>
            <w:pPr>
              <w:wordWrap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）水土流失治理工程</w:t>
            </w:r>
          </w:p>
          <w:p>
            <w:pPr>
              <w:wordWrap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整地→进苗→栽植→抚育。</w:t>
            </w:r>
          </w:p>
          <w:p>
            <w:pPr>
              <w:wordWrap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）工程施工</w:t>
            </w:r>
          </w:p>
          <w:p>
            <w:pPr>
              <w:wordWrap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程施工主要包含钢筋制安、模板安装、混凝土浇筑、养护。</w:t>
            </w:r>
          </w:p>
          <w:p>
            <w:pPr>
              <w:wordWrap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rFonts w:hint="eastAsia"/>
                <w:color w:val="000000" w:themeColor="text1"/>
                <w:sz w:val="24"/>
                <w:lang w:eastAsia="zh-CN"/>
                <w14:textFill>
                  <w14:solidFill>
                    <w14:schemeClr w14:val="tx1"/>
                  </w14:solidFill>
                </w14:textFill>
              </w:rPr>
              <w:t>）导流工程</w:t>
            </w:r>
          </w:p>
          <w:p>
            <w:pPr>
              <w:spacing w:line="360" w:lineRule="auto"/>
              <w:ind w:firstLine="480" w:firstLineChars="200"/>
              <w:rPr>
                <w:rFonts w:hint="eastAsia"/>
                <w:b/>
                <w:bCs/>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工程所在流域的洪水是由流域内的暴雨径流汇流而成。采用的导流建筑物为土石围堰。本项目河道修复工程等级为4级，按照《水利水电工程等级划分及洪水标准》（SL252-2017）规定，施工期洪水标准按5年一遇考虑。采用的导流建筑物为土石围堰，顶宽1m，两侧坡比为1：1，高1m；由于河道施工期洪水量较小，采用分段围堰法施工，新建围堰围住河床的左（或右）岸使河水从束窄的河床通过</w:t>
            </w:r>
            <w:r>
              <w:rPr>
                <w:rFonts w:hint="eastAsia"/>
                <w:color w:val="000000" w:themeColor="text1"/>
                <w:lang w:val="en-US" w:eastAsia="zh-CN"/>
                <w14:textFill>
                  <w14:solidFill>
                    <w14:schemeClr w14:val="tx1"/>
                  </w14:solidFill>
                </w14:textFill>
              </w:rPr>
              <w:t>。</w:t>
            </w:r>
          </w:p>
          <w:p>
            <w:p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2、施工时序及建设周期</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2"/>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以线性工程为主结合分散的片区生态林工程，施工网点分散，根据工程施工总体内容、投资情况、施工导流方案和主要项目施工工艺，本着早建成早受益的原则，河道岸堤修复工程尽量避开汛期，在非汛期施工，已经完成的施工要做好工程保护，岸坡植物种植基质铺设等非硬质工程要在其他保护性工程完成后进行施工。护林带工程、水保林工程主要安排在春、秋及多雨的季节。</w:t>
            </w:r>
          </w:p>
          <w:p>
            <w:pPr>
              <w:pStyle w:val="22"/>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根据工程内容和施工条件，确定施工工期为15个月。根据施工程序和各时期施工重点不同，将施工总进度分为三个阶段：</w:t>
            </w:r>
          </w:p>
          <w:p>
            <w:pPr>
              <w:pStyle w:val="22"/>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工程筹建期：3个月，在施工前由建设单位做好工程的勘察设计、招投标工作，选定施工单位，并做好工程对外交通、施工供电、施工通信工作等。</w:t>
            </w:r>
          </w:p>
          <w:p>
            <w:pPr>
              <w:pStyle w:val="22"/>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主体工程施工期：</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个月，完成各主要工程施工。</w:t>
            </w:r>
          </w:p>
          <w:p>
            <w:pPr>
              <w:pStyle w:val="22"/>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工程完建期：2个月，主体工程施工完后，进行施工场地恢复、建设单位退场等扫尾工作，并完成所有项目施工和验收任务。</w:t>
            </w:r>
          </w:p>
          <w:p>
            <w:pPr>
              <w:pStyle w:val="22"/>
              <w:ind w:firstLine="480"/>
              <w:rPr>
                <w:rFonts w:ascii="宋体" w:hAnsi="宋体"/>
                <w:color w:val="000000" w:themeColor="text1"/>
                <w14:textFill>
                  <w14:solidFill>
                    <w14:schemeClr w14:val="tx1"/>
                  </w14:solidFill>
                </w14:textFill>
              </w:rPr>
            </w:pPr>
            <w:r>
              <w:rPr>
                <w:rFonts w:hint="eastAsia"/>
                <w:color w:val="000000" w:themeColor="text1"/>
                <w14:textFill>
                  <w14:solidFill>
                    <w14:schemeClr w14:val="tx1"/>
                  </w14:solidFill>
                </w14:textFill>
              </w:rPr>
              <w:t>项目管护期：2年。林草种植后人工进行抚育，抚育内容：浇水、施肥和病虫害防治等，对稀疏或成活率未达要求的区域，应在第二年春季及时补播，成活率低于40%的需重新种植，再据其生长情况及时浇水、追肥、防治病虫害等。植物措施实施后，建设单位须落实好管理和抚育管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508"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w:t>
            </w:r>
          </w:p>
        </w:tc>
        <w:tc>
          <w:tcPr>
            <w:tcW w:w="8677" w:type="dxa"/>
            <w:vAlign w:val="center"/>
          </w:tcPr>
          <w:p>
            <w:pPr>
              <w:pStyle w:val="22"/>
              <w:spacing w:line="240" w:lineRule="auto"/>
              <w:ind w:left="0" w:leftChars="0"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bl>
    <w:p>
      <w:pPr>
        <w:pStyle w:val="24"/>
        <w:jc w:val="center"/>
        <w:outlineLvl w:val="0"/>
        <w:rPr>
          <w:rFonts w:ascii="黑体" w:hAnsi="黑体" w:eastAsia="黑体"/>
          <w:snapToGrid w:val="0"/>
          <w:color w:val="000000" w:themeColor="text1"/>
          <w:sz w:val="30"/>
          <w:szCs w:val="30"/>
          <w14:textFill>
            <w14:solidFill>
              <w14:schemeClr w14:val="tx1"/>
            </w14:solidFill>
          </w14:textFill>
        </w:rPr>
      </w:pPr>
      <w:r>
        <w:rPr>
          <w:rFonts w:eastAsia="仿宋_GB2312"/>
          <w:b/>
          <w:bCs/>
          <w:color w:val="FF0000"/>
        </w:rPr>
        <w:br w:type="page"/>
      </w:r>
      <w:r>
        <w:rPr>
          <w:rFonts w:hint="eastAsia" w:ascii="黑体" w:hAnsi="黑体" w:eastAsia="黑体"/>
          <w:snapToGrid w:val="0"/>
          <w:color w:val="000000" w:themeColor="text1"/>
          <w:sz w:val="30"/>
          <w:szCs w:val="30"/>
          <w14:textFill>
            <w14:solidFill>
              <w14:schemeClr w14:val="tx1"/>
            </w14:solidFill>
          </w14:textFill>
        </w:rPr>
        <w:t>三、生态环境现状、保护目标及评价标准</w:t>
      </w:r>
    </w:p>
    <w:tbl>
      <w:tblPr>
        <w:tblStyle w:val="27"/>
        <w:tblW w:w="95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0"/>
        <w:gridCol w:w="89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570" w:type="dxa"/>
            <w:vAlign w:val="center"/>
          </w:tcPr>
          <w:p>
            <w:pPr>
              <w:adjustRightInd w:val="0"/>
              <w:snapToGrid w:val="0"/>
              <w:jc w:val="center"/>
              <w:rPr>
                <w:rFonts w:ascii="宋体" w:hAnsi="宋体" w:cs="宋体"/>
                <w:color w:val="FF0000"/>
                <w:kern w:val="0"/>
                <w:szCs w:val="21"/>
              </w:rPr>
            </w:pPr>
            <w:r>
              <w:rPr>
                <w:rFonts w:hint="eastAsia" w:ascii="宋体" w:hAnsi="宋体" w:cs="宋体"/>
                <w:color w:val="000000" w:themeColor="text1"/>
                <w:kern w:val="0"/>
                <w:szCs w:val="21"/>
                <w14:textFill>
                  <w14:solidFill>
                    <w14:schemeClr w14:val="tx1"/>
                  </w14:solidFill>
                </w14:textFill>
              </w:rPr>
              <w:t>生态环境现状</w:t>
            </w:r>
          </w:p>
        </w:tc>
        <w:tc>
          <w:tcPr>
            <w:tcW w:w="8998"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1.生态环境现状</w:t>
            </w:r>
          </w:p>
          <w:p>
            <w:pPr>
              <w:pStyle w:val="6"/>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（1）主体功能区划和生态功能区划</w:t>
            </w:r>
          </w:p>
          <w:p>
            <w:pPr>
              <w:pStyle w:val="6"/>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根据《陕西省人民政府关于印发陕西省主体功能区划的通知》（陕政发</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2013</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15号）及《陕西省主体功能区划》报告，本工程区域属于限制开发区域（农产品主产区）。陕西省主体功能区划图见附图</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6"/>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根据《陕西省生态功能区划》，陕西省划分4个生态区、10个生态功能区、35个生态功能小区。本项目位于渭河两侧黄土台塬农业区。陕西省生态功能区划图见附图6。</w:t>
            </w:r>
          </w:p>
          <w:p>
            <w:pPr>
              <w:pStyle w:val="6"/>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（2）土地利用现状</w:t>
            </w:r>
          </w:p>
          <w:p>
            <w:pPr>
              <w:pStyle w:val="6"/>
              <w:adjustRightInd w:val="0"/>
              <w:snapToGrid w:val="0"/>
              <w:spacing w:line="360" w:lineRule="auto"/>
              <w:ind w:firstLine="480" w:firstLineChars="200"/>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本次土地利用现状依据《国土空间调查、规划、用途管制用地用海分类指南（试行）》（自然资办发〔2020〕51号）要求，在“2022年国土变更调查数据”的基础上，通过3S技术和现场调查综合得出</w:t>
            </w:r>
            <w:r>
              <w:rPr>
                <w:rFonts w:hint="eastAsia" w:cs="Times New Roman"/>
                <w:color w:val="000000" w:themeColor="text1"/>
                <w:sz w:val="24"/>
                <w:szCs w:val="24"/>
                <w:highlight w:val="none"/>
                <w:lang w:val="en-US" w:eastAsia="zh-CN"/>
                <w14:textFill>
                  <w14:solidFill>
                    <w14:schemeClr w14:val="tx1"/>
                  </w14:solidFill>
                </w14:textFill>
              </w:rPr>
              <w:t>，调查区范围为项目影响范围，植被类型、植被覆盖度采用遥感影像解译和实地探勘校正的方法得出，土壤侵蚀度情况利用高程和坡度数据进行计算得出。调查区域土地利用现状表见表3-1，土地利用现状图见附图9。</w:t>
            </w:r>
          </w:p>
          <w:p>
            <w:pPr>
              <w:pStyle w:val="6"/>
              <w:adjustRightInd w:val="0"/>
              <w:snapToGrid w:val="0"/>
              <w:ind w:firstLine="0"/>
              <w:jc w:val="cente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b/>
                <w:bCs/>
                <w:color w:val="000000" w:themeColor="text1"/>
                <w:sz w:val="24"/>
                <w:szCs w:val="24"/>
                <w:highlight w:val="none"/>
                <w14:textFill>
                  <w14:solidFill>
                    <w14:schemeClr w14:val="tx1"/>
                  </w14:solidFill>
                </w14:textFill>
              </w:rPr>
              <w:t xml:space="preserve">   </w:t>
            </w:r>
            <w:r>
              <w:rPr>
                <w:rFonts w:hint="eastAsia" w:cs="Times New Roman"/>
                <w:b/>
                <w:bCs/>
                <w:color w:val="000000" w:themeColor="text1"/>
                <w:sz w:val="24"/>
                <w:szCs w:val="24"/>
                <w:highlight w:val="none"/>
                <w:lang w:eastAsia="zh-CN"/>
                <w14:textFill>
                  <w14:solidFill>
                    <w14:schemeClr w14:val="tx1"/>
                  </w14:solidFill>
                </w14:textFill>
              </w:rPr>
              <w:t>土地利用现状表</w:t>
            </w:r>
          </w:p>
          <w:tbl>
            <w:tblPr>
              <w:tblStyle w:val="27"/>
              <w:tblW w:w="899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58"/>
              <w:gridCol w:w="1916"/>
              <w:gridCol w:w="1979"/>
              <w:gridCol w:w="1128"/>
              <w:gridCol w:w="1189"/>
              <w:gridCol w:w="1118"/>
              <w:gridCol w:w="11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558"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序号</w:t>
                  </w:r>
                </w:p>
              </w:tc>
              <w:tc>
                <w:tcPr>
                  <w:tcW w:w="3895" w:type="dxa"/>
                  <w:gridSpan w:val="2"/>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地类名称</w:t>
                  </w:r>
                </w:p>
              </w:tc>
              <w:tc>
                <w:tcPr>
                  <w:tcW w:w="2317" w:type="dxa"/>
                  <w:gridSpan w:val="2"/>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大峪河</w:t>
                  </w:r>
                </w:p>
              </w:tc>
              <w:tc>
                <w:tcPr>
                  <w:tcW w:w="2225" w:type="dxa"/>
                  <w:gridSpan w:val="2"/>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小峪河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55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p>
              </w:tc>
              <w:tc>
                <w:tcPr>
                  <w:tcW w:w="3895" w:type="dxa"/>
                  <w:gridSpan w:val="2"/>
                  <w:vMerge w:val="continue"/>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p>
              </w:tc>
              <w:tc>
                <w:tcPr>
                  <w:tcW w:w="2317" w:type="dxa"/>
                  <w:gridSpan w:val="2"/>
                  <w:vMerge w:val="continue"/>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p>
              </w:tc>
              <w:tc>
                <w:tcPr>
                  <w:tcW w:w="2225" w:type="dxa"/>
                  <w:gridSpan w:val="2"/>
                  <w:vMerge w:val="continue"/>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p>
              </w:tc>
              <w:tc>
                <w:tcPr>
                  <w:tcW w:w="191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一级类</w:t>
                  </w: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二级类</w:t>
                  </w:r>
                </w:p>
              </w:tc>
              <w:tc>
                <w:tcPr>
                  <w:tcW w:w="11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面积(hm</w:t>
                  </w:r>
                  <w:r>
                    <w:rPr>
                      <w:rFonts w:hint="default" w:ascii="Times New Roman" w:hAnsi="Times New Roman" w:eastAsia="宋体" w:cs="Times New Roman"/>
                      <w:b/>
                      <w:bCs/>
                      <w:i w:val="0"/>
                      <w:iCs w:val="0"/>
                      <w:color w:val="000000" w:themeColor="text1"/>
                      <w:kern w:val="0"/>
                      <w:sz w:val="21"/>
                      <w:szCs w:val="21"/>
                      <w:u w:val="none"/>
                      <w:vertAlign w:val="superscript"/>
                      <w:lang w:val="en-US" w:eastAsia="zh-CN" w:bidi="ar"/>
                      <w14:textFill>
                        <w14:solidFill>
                          <w14:schemeClr w14:val="tx1"/>
                        </w14:solidFill>
                      </w14:textFill>
                    </w:rPr>
                    <w:t>2</w:t>
                  </w: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比例</w:t>
                  </w:r>
                </w:p>
              </w:tc>
              <w:tc>
                <w:tcPr>
                  <w:tcW w:w="11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面积(hm</w:t>
                  </w:r>
                  <w:r>
                    <w:rPr>
                      <w:rFonts w:hint="default" w:ascii="Times New Roman" w:hAnsi="Times New Roman" w:eastAsia="宋体" w:cs="Times New Roman"/>
                      <w:b/>
                      <w:bCs/>
                      <w:i w:val="0"/>
                      <w:iCs w:val="0"/>
                      <w:color w:val="000000" w:themeColor="text1"/>
                      <w:kern w:val="0"/>
                      <w:sz w:val="21"/>
                      <w:szCs w:val="21"/>
                      <w:u w:val="none"/>
                      <w:vertAlign w:val="superscript"/>
                      <w:lang w:val="en-US" w:eastAsia="zh-CN" w:bidi="ar"/>
                      <w14:textFill>
                        <w14:solidFill>
                          <w14:schemeClr w14:val="tx1"/>
                        </w14:solidFill>
                      </w14:textFill>
                    </w:rPr>
                    <w:t>2</w:t>
                  </w: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比例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91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01耕地</w:t>
                  </w: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0103旱地</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0.2124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0.0065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916"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03林地</w:t>
                  </w: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0301乔木林地</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468.2934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88.18%</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344.0956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92.62%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916"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0305灌木林地</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25.3850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4.78%</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4.6069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191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04草地</w:t>
                  </w: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0404其他草地</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24.2167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4.56%</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16.4583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91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10交通运输用地</w:t>
                  </w:r>
                </w:p>
              </w:tc>
              <w:tc>
                <w:tcPr>
                  <w:tcW w:w="197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1003公路用地</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2.9740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0.56%</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1.9319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1916"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11水域及水利设施用地</w:t>
                  </w: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1101河流水面</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8.3909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3.0093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1916"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1106内陆滩涂</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0.0015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0.6687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1916"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1109水工建筑用地</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0.1593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0.0743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p>
              </w:tc>
              <w:tc>
                <w:tcPr>
                  <w:tcW w:w="191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12其他土地</w:t>
                  </w: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1207裸岩石砾地</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1.1152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0.0000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5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191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20城镇村</w:t>
                  </w:r>
                </w:p>
              </w:tc>
              <w:tc>
                <w:tcPr>
                  <w:tcW w:w="19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203村庄</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0.3186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0.6687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4453" w:type="dxa"/>
                  <w:gridSpan w:val="3"/>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112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531.0670 </w:t>
                  </w:r>
                </w:p>
              </w:tc>
              <w:tc>
                <w:tcPr>
                  <w:tcW w:w="11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100.00%</w:t>
                  </w:r>
                </w:p>
              </w:tc>
              <w:tc>
                <w:tcPr>
                  <w:tcW w:w="111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371.5203 </w:t>
                  </w:r>
                </w:p>
              </w:tc>
              <w:tc>
                <w:tcPr>
                  <w:tcW w:w="11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100.00%</w:t>
                  </w:r>
                </w:p>
              </w:tc>
            </w:tr>
          </w:tbl>
          <w:p>
            <w:pPr>
              <w:pStyle w:val="6"/>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（3）植被类型</w:t>
            </w:r>
          </w:p>
          <w:p>
            <w:pPr>
              <w:pStyle w:val="6"/>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经现场勘查和查找资料，项目</w:t>
            </w:r>
            <w:r>
              <w:rPr>
                <w:rFonts w:hint="eastAsia" w:cs="Times New Roman"/>
                <w:color w:val="000000" w:themeColor="text1"/>
                <w:sz w:val="24"/>
                <w:szCs w:val="24"/>
                <w:highlight w:val="none"/>
                <w:lang w:val="en-US" w:eastAsia="zh-CN"/>
                <w14:textFill>
                  <w14:solidFill>
                    <w14:schemeClr w14:val="tx1"/>
                  </w14:solidFill>
                </w14:textFill>
              </w:rPr>
              <w:t>影响范围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内无列入《国家重点保护野生植物名录》的植物。</w:t>
            </w:r>
          </w:p>
          <w:p>
            <w:pPr>
              <w:pStyle w:val="6"/>
              <w:adjustRightInd w:val="0"/>
              <w:snapToGrid w:val="0"/>
              <w:spacing w:line="360" w:lineRule="auto"/>
              <w:ind w:firstLine="480" w:firstLineChars="200"/>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根据遥感解译结果，植被类型见表3-2，生态系统类型图见附图10，植被类型图见附图11</w:t>
            </w:r>
            <w:r>
              <w:rPr>
                <w:rFonts w:hint="eastAsia" w:cs="Times New Roman"/>
                <w:color w:val="000000" w:themeColor="text1"/>
                <w:sz w:val="24"/>
                <w:szCs w:val="24"/>
                <w:highlight w:val="none"/>
                <w:lang w:val="en-US" w:eastAsia="zh-CN"/>
                <w14:textFill>
                  <w14:solidFill>
                    <w14:schemeClr w14:val="tx1"/>
                  </w14:solidFill>
                </w14:textFill>
              </w:rPr>
              <w:t>。</w:t>
            </w:r>
          </w:p>
          <w:p>
            <w:pPr>
              <w:pStyle w:val="6"/>
              <w:adjustRightInd w:val="0"/>
              <w:snapToGrid w:val="0"/>
              <w:ind w:firstLine="0"/>
              <w:jc w:val="cente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b/>
                <w:bCs/>
                <w:color w:val="000000" w:themeColor="text1"/>
                <w:sz w:val="24"/>
                <w:szCs w:val="24"/>
                <w:highlight w:val="none"/>
                <w14:textFill>
                  <w14:solidFill>
                    <w14:schemeClr w14:val="tx1"/>
                  </w14:solidFill>
                </w14:textFill>
              </w:rPr>
              <w:t xml:space="preserve">   各植被类型</w:t>
            </w:r>
            <w:r>
              <w:rPr>
                <w:rFonts w:hint="eastAsia" w:ascii="Times New Roman" w:hAnsi="Times New Roman" w:cs="Times New Roman"/>
                <w:b/>
                <w:bCs/>
                <w:color w:val="000000" w:themeColor="text1"/>
                <w:sz w:val="24"/>
                <w:szCs w:val="24"/>
                <w:highlight w:val="none"/>
                <w:lang w:eastAsia="zh-CN"/>
                <w14:textFill>
                  <w14:solidFill>
                    <w14:schemeClr w14:val="tx1"/>
                  </w14:solidFill>
                </w14:textFill>
              </w:rPr>
              <w:t>一览表</w:t>
            </w:r>
          </w:p>
          <w:tbl>
            <w:tblPr>
              <w:tblStyle w:val="27"/>
              <w:tblW w:w="896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60"/>
              <w:gridCol w:w="694"/>
              <w:gridCol w:w="766"/>
              <w:gridCol w:w="1091"/>
              <w:gridCol w:w="1712"/>
              <w:gridCol w:w="1060"/>
              <w:gridCol w:w="1034"/>
              <w:gridCol w:w="1034"/>
              <w:gridCol w:w="10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6" w:hRule="atLeast"/>
                <w:jc w:val="center"/>
              </w:trPr>
              <w:tc>
                <w:tcPr>
                  <w:tcW w:w="560" w:type="dxa"/>
                  <w:vMerge w:val="restart"/>
                  <w:tcBorders>
                    <w:tl2br w:val="nil"/>
                    <w:tr2bl w:val="nil"/>
                  </w:tcBorders>
                  <w:shd w:val="clear" w:color="auto" w:fill="auto"/>
                  <w:noWrap/>
                  <w:vAlign w:val="center"/>
                </w:tcPr>
                <w:p>
                  <w:pPr>
                    <w:jc w:val="center"/>
                    <w:rPr>
                      <w:rFonts w:hint="eastAsia"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序号</w:t>
                  </w:r>
                </w:p>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p>
              </w:tc>
              <w:tc>
                <w:tcPr>
                  <w:tcW w:w="4263" w:type="dxa"/>
                  <w:gridSpan w:val="4"/>
                  <w:tcBorders>
                    <w:tl2br w:val="nil"/>
                    <w:tr2bl w:val="nil"/>
                  </w:tcBorders>
                  <w:shd w:val="clear" w:color="auto" w:fill="auto"/>
                  <w:noWrap/>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植被类型</w:t>
                  </w:r>
                </w:p>
              </w:tc>
              <w:tc>
                <w:tcPr>
                  <w:tcW w:w="2094" w:type="dxa"/>
                  <w:gridSpan w:val="2"/>
                  <w:tcBorders>
                    <w:tl2br w:val="nil"/>
                    <w:tr2bl w:val="nil"/>
                  </w:tcBorders>
                  <w:shd w:val="clear" w:color="auto" w:fill="auto"/>
                  <w:noWrap/>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大峪河</w:t>
                  </w:r>
                </w:p>
              </w:tc>
              <w:tc>
                <w:tcPr>
                  <w:tcW w:w="2047" w:type="dxa"/>
                  <w:gridSpan w:val="2"/>
                  <w:tcBorders>
                    <w:tl2br w:val="nil"/>
                    <w:tr2bl w:val="nil"/>
                  </w:tcBorders>
                  <w:shd w:val="clear" w:color="auto" w:fill="auto"/>
                  <w:noWrap/>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小峪河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560" w:type="dxa"/>
                  <w:vMerge w:val="continue"/>
                  <w:tcBorders>
                    <w:tl2br w:val="nil"/>
                    <w:tr2bl w:val="nil"/>
                  </w:tcBorders>
                  <w:shd w:val="clear" w:color="auto" w:fill="auto"/>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p>
              </w:tc>
              <w:tc>
                <w:tcPr>
                  <w:tcW w:w="69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植被型组</w:t>
                  </w:r>
                </w:p>
              </w:tc>
              <w:tc>
                <w:tcPr>
                  <w:tcW w:w="76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b/>
                      <w:bCs/>
                      <w:i w:val="0"/>
                      <w:iCs w:val="0"/>
                      <w:color w:val="000000"/>
                      <w:kern w:val="0"/>
                      <w:sz w:val="21"/>
                      <w:szCs w:val="21"/>
                      <w:u w:val="none"/>
                      <w:lang w:val="en-US" w:eastAsia="zh-CN" w:bidi="ar"/>
                    </w:rPr>
                    <w:t>植被型</w:t>
                  </w:r>
                </w:p>
              </w:tc>
              <w:tc>
                <w:tcPr>
                  <w:tcW w:w="1091" w:type="dxa"/>
                  <w:tcBorders>
                    <w:tl2br w:val="nil"/>
                    <w:tr2bl w:val="nil"/>
                  </w:tcBorders>
                  <w:shd w:val="clear" w:color="auto" w:fill="auto"/>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植被亚型</w:t>
                  </w:r>
                </w:p>
              </w:tc>
              <w:tc>
                <w:tcPr>
                  <w:tcW w:w="1712" w:type="dxa"/>
                  <w:tcBorders>
                    <w:tl2br w:val="nil"/>
                    <w:tr2bl w:val="nil"/>
                  </w:tcBorders>
                  <w:shd w:val="clear" w:color="auto" w:fill="auto"/>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群系</w:t>
                  </w:r>
                </w:p>
              </w:tc>
              <w:tc>
                <w:tcPr>
                  <w:tcW w:w="1060" w:type="dxa"/>
                  <w:tcBorders>
                    <w:tl2br w:val="nil"/>
                    <w:tr2bl w:val="nil"/>
                  </w:tcBorders>
                  <w:shd w:val="clear" w:color="auto" w:fill="auto"/>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面积(hm</w:t>
                  </w:r>
                  <w:r>
                    <w:rPr>
                      <w:rFonts w:hint="eastAsia" w:ascii="Times New Roman" w:hAnsi="Times New Roman" w:eastAsia="宋体" w:cs="Times New Roman"/>
                      <w:b/>
                      <w:bCs/>
                      <w:i w:val="0"/>
                      <w:iCs w:val="0"/>
                      <w:color w:val="000000" w:themeColor="text1"/>
                      <w:sz w:val="21"/>
                      <w:szCs w:val="21"/>
                      <w:u w:val="none"/>
                      <w:vertAlign w:val="superscript"/>
                      <w:lang w:val="en-US" w:eastAsia="zh-CN"/>
                      <w14:textFill>
                        <w14:solidFill>
                          <w14:schemeClr w14:val="tx1"/>
                        </w14:solidFill>
                      </w14:textFill>
                    </w:rPr>
                    <w:t>2</w:t>
                  </w: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w:t>
                  </w:r>
                </w:p>
              </w:tc>
              <w:tc>
                <w:tcPr>
                  <w:tcW w:w="1034" w:type="dxa"/>
                  <w:tcBorders>
                    <w:tl2br w:val="nil"/>
                    <w:tr2bl w:val="nil"/>
                  </w:tcBorders>
                  <w:shd w:val="clear" w:color="auto" w:fill="auto"/>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比例</w:t>
                  </w:r>
                </w:p>
              </w:tc>
              <w:tc>
                <w:tcPr>
                  <w:tcW w:w="1034" w:type="dxa"/>
                  <w:tcBorders>
                    <w:tl2br w:val="nil"/>
                    <w:tr2bl w:val="nil"/>
                  </w:tcBorders>
                  <w:shd w:val="clear" w:color="auto" w:fill="auto"/>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面积(hm</w:t>
                  </w:r>
                  <w:r>
                    <w:rPr>
                      <w:rFonts w:hint="eastAsia" w:ascii="Times New Roman" w:hAnsi="Times New Roman" w:eastAsia="宋体" w:cs="Times New Roman"/>
                      <w:b/>
                      <w:bCs/>
                      <w:i w:val="0"/>
                      <w:iCs w:val="0"/>
                      <w:color w:val="000000" w:themeColor="text1"/>
                      <w:sz w:val="21"/>
                      <w:szCs w:val="21"/>
                      <w:u w:val="none"/>
                      <w:vertAlign w:val="superscript"/>
                      <w:lang w:val="en-US" w:eastAsia="zh-CN"/>
                      <w14:textFill>
                        <w14:solidFill>
                          <w14:schemeClr w14:val="tx1"/>
                        </w14:solidFill>
                      </w14:textFill>
                    </w:rPr>
                    <w:t>2</w:t>
                  </w: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w:t>
                  </w:r>
                </w:p>
              </w:tc>
              <w:tc>
                <w:tcPr>
                  <w:tcW w:w="1013" w:type="dxa"/>
                  <w:tcBorders>
                    <w:tl2br w:val="nil"/>
                    <w:tr2bl w:val="nil"/>
                  </w:tcBorders>
                  <w:shd w:val="clear" w:color="auto" w:fill="auto"/>
                  <w:vAlign w:val="center"/>
                </w:tcPr>
                <w:p>
                  <w:pPr>
                    <w:jc w:val="cente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比例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694"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Ⅰ</w:t>
                  </w:r>
                  <w:r>
                    <w:rPr>
                      <w:rFonts w:hint="eastAsia" w:ascii="宋体" w:hAnsi="宋体" w:eastAsia="宋体" w:cs="宋体"/>
                      <w:i w:val="0"/>
                      <w:iCs w:val="0"/>
                      <w:color w:val="000000"/>
                      <w:kern w:val="0"/>
                      <w:sz w:val="21"/>
                      <w:szCs w:val="21"/>
                      <w:u w:val="none"/>
                      <w:lang w:val="en-US" w:eastAsia="zh-CN" w:bidi="ar"/>
                    </w:rPr>
                    <w:t>草本植被（草地）</w:t>
                  </w:r>
                </w:p>
              </w:tc>
              <w:tc>
                <w:tcPr>
                  <w:tcW w:w="766"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一、杂类草草地</w:t>
                  </w:r>
                </w:p>
              </w:tc>
              <w:tc>
                <w:tcPr>
                  <w:tcW w:w="1091"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一</w:t>
                  </w: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、温性其他丛生禾草草地</w:t>
                  </w:r>
                </w:p>
              </w:tc>
              <w:tc>
                <w:tcPr>
                  <w:tcW w:w="171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、白羊草、其他杂类草草丛</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8.9219</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4.3839</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694"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66"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091"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71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、蒿草、其他杂类草草丛</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12.3208</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9.8453</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694"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66"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091"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71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、黄背草、其他杂类草草丛</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6.7977</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4.6069</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694"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Ⅱ</w:t>
                  </w:r>
                  <w:r>
                    <w:rPr>
                      <w:rFonts w:hint="eastAsia" w:ascii="宋体" w:hAnsi="宋体" w:eastAsia="宋体" w:cs="宋体"/>
                      <w:i w:val="0"/>
                      <w:iCs w:val="0"/>
                      <w:color w:val="000000"/>
                      <w:kern w:val="0"/>
                      <w:sz w:val="21"/>
                      <w:szCs w:val="21"/>
                      <w:u w:val="none"/>
                      <w:lang w:val="en-US" w:eastAsia="zh-CN" w:bidi="ar"/>
                    </w:rPr>
                    <w:t>灌丛</w:t>
                  </w:r>
                </w:p>
              </w:tc>
              <w:tc>
                <w:tcPr>
                  <w:tcW w:w="766"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三、落叶阔叶灌丛</w:t>
                  </w:r>
                </w:p>
              </w:tc>
              <w:tc>
                <w:tcPr>
                  <w:tcW w:w="1091"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三</w:t>
                  </w: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、温带落叶阔叶灌丛</w:t>
                  </w:r>
                </w:p>
              </w:tc>
              <w:tc>
                <w:tcPr>
                  <w:tcW w:w="171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、荆条、酸枣灌丛</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12.2676</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2.1548</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694"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66"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091"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71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、秦岭小檗灌丛</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11.7366</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2.7864</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694"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Ⅲ</w:t>
                  </w:r>
                  <w:r>
                    <w:rPr>
                      <w:rFonts w:hint="eastAsia" w:ascii="宋体" w:hAnsi="宋体" w:eastAsia="宋体" w:cs="宋体"/>
                      <w:i w:val="0"/>
                      <w:iCs w:val="0"/>
                      <w:color w:val="000000"/>
                      <w:kern w:val="0"/>
                      <w:sz w:val="21"/>
                      <w:szCs w:val="21"/>
                      <w:u w:val="none"/>
                      <w:lang w:val="en-US" w:eastAsia="zh-CN" w:bidi="ar"/>
                    </w:rPr>
                    <w:t>森林</w:t>
                  </w:r>
                </w:p>
              </w:tc>
              <w:tc>
                <w:tcPr>
                  <w:tcW w:w="766"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四、落叶阔叶林</w:t>
                  </w:r>
                </w:p>
              </w:tc>
              <w:tc>
                <w:tcPr>
                  <w:tcW w:w="1091"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四</w:t>
                  </w: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、温带落叶阔叶林</w:t>
                  </w:r>
                </w:p>
              </w:tc>
              <w:tc>
                <w:tcPr>
                  <w:tcW w:w="171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、槲栎林</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36.4843</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6.87%</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39.7155</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694"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66"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091"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71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、栓皮栎林</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231.3844</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43.57%</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216.2926</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58.22%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694" w:type="dxa"/>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6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五、常绿针叶林</w:t>
                  </w:r>
                </w:p>
              </w:tc>
              <w:tc>
                <w:tcPr>
                  <w:tcW w:w="109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五</w:t>
                  </w: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、温带常绿针叶林</w:t>
                  </w:r>
                </w:p>
              </w:tc>
              <w:tc>
                <w:tcPr>
                  <w:tcW w:w="171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、华山松林</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197.9818</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37.28%</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85.7469</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23.08%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56"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p>
              </w:tc>
              <w:tc>
                <w:tcPr>
                  <w:tcW w:w="69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Ⅳ栽培植被</w:t>
                  </w:r>
                </w:p>
              </w:tc>
              <w:tc>
                <w:tcPr>
                  <w:tcW w:w="1857"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六、两年三熟粮食作物或经济作物田</w:t>
                  </w:r>
                </w:p>
              </w:tc>
              <w:tc>
                <w:tcPr>
                  <w:tcW w:w="171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、以小麦、油菜等种植为主的两年三熟粮食作物或经济作物田</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0.1062</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0.0065</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263" w:type="dxa"/>
                  <w:gridSpan w:val="4"/>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Ⅴ</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湿生植被群落</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0.6687</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p>
              </w:tc>
              <w:tc>
                <w:tcPr>
                  <w:tcW w:w="4263" w:type="dxa"/>
                  <w:gridSpan w:val="4"/>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Ⅵ</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生产生活服务区</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2.7615</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0.52%</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2.2663</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4263" w:type="dxa"/>
                  <w:gridSpan w:val="4"/>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Ⅶ</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水体</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8.4440</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3.0465</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w:t>
                  </w:r>
                </w:p>
              </w:tc>
              <w:tc>
                <w:tcPr>
                  <w:tcW w:w="4263" w:type="dxa"/>
                  <w:gridSpan w:val="4"/>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Ⅷ</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稀疏植被地带</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1.8587</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0.0000</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4823" w:type="dxa"/>
                  <w:gridSpan w:val="5"/>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106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531.0670</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100.00%</w:t>
                  </w:r>
                </w:p>
              </w:tc>
              <w:tc>
                <w:tcPr>
                  <w:tcW w:w="103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371.5203</w:t>
                  </w:r>
                </w:p>
              </w:tc>
              <w:tc>
                <w:tcPr>
                  <w:tcW w:w="101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100.00%</w:t>
                  </w:r>
                </w:p>
              </w:tc>
            </w:tr>
          </w:tbl>
          <w:p>
            <w:pPr>
              <w:pStyle w:val="6"/>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val="en-US" w:eastAsia="zh-CN"/>
                <w14:textFill>
                  <w14:solidFill>
                    <w14:schemeClr w14:val="tx1"/>
                  </w14:solidFill>
                </w14:textFill>
              </w:rPr>
              <w:t>水生生物</w:t>
            </w:r>
          </w:p>
          <w:p>
            <w:pPr>
              <w:pStyle w:val="6"/>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施工区域涉及</w:t>
            </w:r>
            <w:r>
              <w:rPr>
                <w:rFonts w:hint="eastAsia" w:cs="Times New Roman"/>
                <w:color w:val="000000" w:themeColor="text1"/>
                <w:sz w:val="24"/>
                <w:szCs w:val="24"/>
                <w:highlight w:val="none"/>
                <w:lang w:val="en-US" w:eastAsia="zh-CN"/>
                <w14:textFill>
                  <w14:solidFill>
                    <w14:schemeClr w14:val="tx1"/>
                  </w14:solidFill>
                </w14:textFill>
              </w:rPr>
              <w:t>大峪河、小峪河</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地表水体，经现场勘查和查找资料，本项目涉及的辋峪河段无重要水生生物的自然产卵场、索饵场、越冬场和洄游通道、栖息地。</w:t>
            </w:r>
          </w:p>
          <w:p>
            <w:pPr>
              <w:pStyle w:val="6"/>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大峪河为潏河的源流，小峪</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河是</w:t>
            </w:r>
            <w:r>
              <w:rPr>
                <w:rFonts w:hint="eastAsia" w:cs="Times New Roman"/>
                <w:color w:val="000000" w:themeColor="text1"/>
                <w:sz w:val="24"/>
                <w:szCs w:val="24"/>
                <w:highlight w:val="none"/>
                <w:lang w:val="en-US" w:eastAsia="zh-CN"/>
                <w14:textFill>
                  <w14:solidFill>
                    <w14:schemeClr w14:val="tx1"/>
                  </w14:solidFill>
                </w14:textFill>
              </w:rPr>
              <w:t>潏河的一级支流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潏河</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是</w:t>
            </w:r>
            <w:r>
              <w:rPr>
                <w:rFonts w:hint="eastAsia" w:cs="Times New Roman"/>
                <w:color w:val="000000" w:themeColor="text1"/>
                <w:sz w:val="24"/>
                <w:szCs w:val="24"/>
                <w:highlight w:val="none"/>
                <w:lang w:val="en-US" w:eastAsia="zh-CN"/>
                <w14:textFill>
                  <w14:solidFill>
                    <w14:schemeClr w14:val="tx1"/>
                  </w14:solidFill>
                </w14:textFill>
              </w:rPr>
              <w:t>沣河</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的</w:t>
            </w:r>
            <w:r>
              <w:rPr>
                <w:rFonts w:hint="eastAsia" w:cs="Times New Roman"/>
                <w:color w:val="000000" w:themeColor="text1"/>
                <w:sz w:val="24"/>
                <w:szCs w:val="24"/>
                <w:highlight w:val="none"/>
                <w:lang w:val="en-US" w:eastAsia="zh-CN"/>
                <w14:textFill>
                  <w14:solidFill>
                    <w14:schemeClr w14:val="tx1"/>
                  </w14:solidFill>
                </w14:textFill>
              </w:rPr>
              <w:t>主要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支流</w:t>
            </w:r>
            <w:r>
              <w:rPr>
                <w:rFonts w:hint="eastAsia" w:cs="Times New Roman"/>
                <w:color w:val="000000" w:themeColor="text1"/>
                <w:sz w:val="24"/>
                <w:szCs w:val="24"/>
                <w:highlight w:val="none"/>
                <w:lang w:val="en-US" w:eastAsia="zh-CN"/>
                <w14:textFill>
                  <w14:solidFill>
                    <w14:schemeClr w14:val="tx1"/>
                  </w14:solidFill>
                </w14:textFill>
              </w:rPr>
              <w:t>之一，渭河的二级支流。根据《渭河干流陕西段枯水期浮游动物群落结构及多样性研究》，渭河干流陕西段枯水期共检出浮游动物有25种，隶属4类。其中，轮虫有12种，占总种数的48.0%；原生动物有9种，占总种数的36.0%；枝角类有1种，占总种数的4.0%；桡足类有3种，占总种数的12.0%。</w:t>
            </w:r>
          </w:p>
          <w:p>
            <w:pPr>
              <w:pStyle w:val="6"/>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根据现场勘查以及收集相关资料分析，对项目区水生动物的现状调查可知，治理河段无珍稀濒危保护类水生生物物种栖息。</w:t>
            </w:r>
          </w:p>
          <w:p>
            <w:pPr>
              <w:pStyle w:val="6"/>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（5）野生动物</w:t>
            </w:r>
          </w:p>
          <w:p>
            <w:pPr>
              <w:pStyle w:val="6"/>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野生动物资源据收集资料和现场调查，调查区内无国家或省级重点保护野生动物。</w:t>
            </w:r>
          </w:p>
          <w:p>
            <w:pPr>
              <w:pStyle w:val="6"/>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调查区以啮齿动物最为常见，有家鼠、黑线仓鼠、岩松鼠、野兔等。草地、灌丛中常有野兔出没。鸟类以麻雀最为普遍，还有喜鹊、家燕等。</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2.环境空气质量现状</w:t>
            </w:r>
          </w:p>
          <w:p>
            <w:pPr>
              <w:pStyle w:val="22"/>
              <w:ind w:firstLine="480"/>
              <w:rPr>
                <w:rFonts w:hint="eastAsia"/>
                <w:color w:val="auto"/>
              </w:rPr>
            </w:pPr>
            <w:r>
              <w:rPr>
                <w:rFonts w:hint="eastAsia"/>
                <w:color w:val="auto"/>
              </w:rPr>
              <w:t>2.1基本污染物环境质量现状</w:t>
            </w:r>
          </w:p>
          <w:p>
            <w:pPr>
              <w:pStyle w:val="22"/>
              <w:ind w:firstLine="480"/>
              <w:rPr>
                <w:rFonts w:hint="eastAsia"/>
                <w:color w:val="auto"/>
              </w:rPr>
            </w:pPr>
            <w:r>
              <w:rPr>
                <w:rFonts w:hint="eastAsia"/>
                <w:color w:val="auto"/>
              </w:rPr>
              <w:t>（1）基准年筛选</w:t>
            </w:r>
          </w:p>
          <w:p>
            <w:pPr>
              <w:pStyle w:val="22"/>
              <w:ind w:firstLine="480"/>
              <w:rPr>
                <w:rFonts w:hint="eastAsia"/>
                <w:color w:val="auto"/>
              </w:rPr>
            </w:pPr>
            <w:r>
              <w:rPr>
                <w:rFonts w:hint="eastAsia"/>
                <w:color w:val="auto"/>
              </w:rPr>
              <w:t>本次评价以202</w:t>
            </w:r>
            <w:r>
              <w:rPr>
                <w:rFonts w:hint="eastAsia"/>
                <w:color w:val="auto"/>
                <w:lang w:val="en-US" w:eastAsia="zh-CN"/>
              </w:rPr>
              <w:t>2</w:t>
            </w:r>
            <w:r>
              <w:rPr>
                <w:rFonts w:hint="eastAsia"/>
                <w:color w:val="auto"/>
              </w:rPr>
              <w:t>年一个完整的日历年作为评价基准年。</w:t>
            </w:r>
          </w:p>
          <w:p>
            <w:pPr>
              <w:pStyle w:val="22"/>
              <w:ind w:firstLine="480"/>
              <w:rPr>
                <w:rFonts w:hint="eastAsia"/>
                <w:color w:val="auto"/>
              </w:rPr>
            </w:pPr>
            <w:r>
              <w:rPr>
                <w:rFonts w:hint="eastAsia"/>
                <w:color w:val="auto"/>
              </w:rPr>
              <w:t>（2）区域达标判定</w:t>
            </w:r>
          </w:p>
          <w:p>
            <w:pPr>
              <w:pStyle w:val="22"/>
              <w:ind w:firstLine="480"/>
              <w:rPr>
                <w:color w:val="auto"/>
              </w:rPr>
            </w:pPr>
            <w:r>
              <w:rPr>
                <w:rFonts w:hint="eastAsia"/>
                <w:color w:val="auto"/>
              </w:rPr>
              <w:t>本次评价收集了</w:t>
            </w:r>
            <w:r>
              <w:rPr>
                <w:rFonts w:hint="eastAsia"/>
                <w:color w:val="auto"/>
                <w:lang w:eastAsia="zh-CN"/>
              </w:rPr>
              <w:t>西安市长安区</w:t>
            </w:r>
            <w:r>
              <w:rPr>
                <w:rFonts w:hint="eastAsia"/>
                <w:color w:val="auto"/>
              </w:rPr>
              <w:t>20</w:t>
            </w:r>
            <w:r>
              <w:rPr>
                <w:color w:val="auto"/>
              </w:rPr>
              <w:t>2</w:t>
            </w:r>
            <w:r>
              <w:rPr>
                <w:rFonts w:hint="eastAsia"/>
                <w:color w:val="auto"/>
              </w:rPr>
              <w:t>2年全年PM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、CO和O</w:t>
            </w:r>
            <w:r>
              <w:rPr>
                <w:rFonts w:hint="eastAsia"/>
                <w:color w:val="auto"/>
                <w:vertAlign w:val="subscript"/>
              </w:rPr>
              <w:t>3</w:t>
            </w:r>
            <w:r>
              <w:rPr>
                <w:rFonts w:hint="eastAsia"/>
                <w:color w:val="auto"/>
              </w:rPr>
              <w:t>六项基本污染物监测数据均值（数据来源：陕西省生态环境厅于2023年1月18日发布的《环保快报（20</w:t>
            </w:r>
            <w:r>
              <w:rPr>
                <w:color w:val="auto"/>
              </w:rPr>
              <w:t>2</w:t>
            </w:r>
            <w:r>
              <w:rPr>
                <w:rFonts w:hint="eastAsia"/>
                <w:color w:val="auto"/>
              </w:rPr>
              <w:t>2年12月及1~12月全省环境空气质量状况）》），详见表3-</w:t>
            </w:r>
            <w:r>
              <w:rPr>
                <w:rFonts w:hint="eastAsia"/>
                <w:color w:val="auto"/>
                <w:lang w:val="en-US" w:eastAsia="zh-CN"/>
              </w:rPr>
              <w:t>3</w:t>
            </w:r>
            <w:r>
              <w:rPr>
                <w:rFonts w:hint="eastAsia"/>
                <w:color w:val="auto"/>
              </w:rPr>
              <w:t>。</w:t>
            </w:r>
          </w:p>
          <w:p>
            <w:pPr>
              <w:pStyle w:val="6"/>
              <w:adjustRightInd w:val="0"/>
              <w:snapToGrid w:val="0"/>
              <w:ind w:firstLine="0"/>
              <w:jc w:val="center"/>
              <w:rPr>
                <w:rFonts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表3-</w:t>
            </w:r>
            <w:r>
              <w:rPr>
                <w:rFonts w:hint="eastAsia" w:cs="Times New Roman"/>
                <w:b/>
                <w:bCs/>
                <w:color w:val="auto"/>
                <w:sz w:val="24"/>
                <w:szCs w:val="24"/>
                <w:highlight w:val="none"/>
                <w:lang w:val="en-US" w:eastAsia="zh-CN"/>
              </w:rPr>
              <w:t>3</w:t>
            </w:r>
            <w:r>
              <w:rPr>
                <w:rFonts w:hint="eastAsia" w:ascii="Times New Roman" w:hAnsi="Times New Roman" w:cs="Times New Roman"/>
                <w:b/>
                <w:bCs/>
                <w:color w:val="auto"/>
                <w:sz w:val="24"/>
                <w:szCs w:val="24"/>
                <w:highlight w:val="none"/>
              </w:rPr>
              <w:t xml:space="preserve">   区域空气质量达标区判定</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1360"/>
              <w:gridCol w:w="1304"/>
              <w:gridCol w:w="1669"/>
              <w:gridCol w:w="13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tcBorders>
                    <w:tl2br w:val="nil"/>
                    <w:tr2bl w:val="nil"/>
                  </w:tcBorders>
                  <w:shd w:val="clear" w:color="auto" w:fill="auto"/>
                  <w:noWrap/>
                  <w:vAlign w:val="center"/>
                </w:tcPr>
                <w:p>
                  <w:pPr>
                    <w:widowControl/>
                    <w:adjustRightInd w:val="0"/>
                    <w:snapToGrid w:val="0"/>
                    <w:jc w:val="center"/>
                    <w:rPr>
                      <w:rFonts w:hint="eastAsia" w:eastAsia="宋体"/>
                      <w:b/>
                      <w:bCs/>
                      <w:color w:val="auto"/>
                      <w:szCs w:val="21"/>
                      <w:highlight w:val="none"/>
                      <w:shd w:val="clear" w:color="auto" w:fill="auto"/>
                      <w:lang w:eastAsia="zh-CN"/>
                    </w:rPr>
                  </w:pPr>
                  <w:r>
                    <w:rPr>
                      <w:rFonts w:hint="eastAsia"/>
                      <w:b/>
                      <w:bCs/>
                      <w:color w:val="auto"/>
                      <w:szCs w:val="21"/>
                      <w:highlight w:val="none"/>
                      <w:shd w:val="clear" w:color="auto" w:fill="auto"/>
                      <w:lang w:eastAsia="zh-CN"/>
                    </w:rPr>
                    <w:t>长安区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75" w:type="pct"/>
                  <w:vMerge w:val="restart"/>
                  <w:tcBorders>
                    <w:tl2br w:val="nil"/>
                    <w:tr2bl w:val="nil"/>
                  </w:tcBorders>
                  <w:shd w:val="clear" w:color="auto" w:fill="auto"/>
                  <w:noWrap/>
                  <w:vAlign w:val="center"/>
                </w:tcPr>
                <w:p>
                  <w:pPr>
                    <w:widowControl/>
                    <w:adjustRightInd w:val="0"/>
                    <w:snapToGrid w:val="0"/>
                    <w:jc w:val="center"/>
                    <w:rPr>
                      <w:b/>
                      <w:bCs/>
                      <w:color w:val="auto"/>
                      <w:szCs w:val="21"/>
                      <w:highlight w:val="none"/>
                      <w:shd w:val="clear" w:color="auto" w:fill="auto"/>
                    </w:rPr>
                  </w:pPr>
                  <w:r>
                    <w:rPr>
                      <w:rFonts w:hint="eastAsia"/>
                      <w:b/>
                      <w:bCs/>
                      <w:color w:val="auto"/>
                      <w:szCs w:val="21"/>
                      <w:highlight w:val="none"/>
                      <w:shd w:val="clear" w:color="auto" w:fill="auto"/>
                    </w:rPr>
                    <w:t>污染物及评价指标</w:t>
                  </w:r>
                </w:p>
              </w:tc>
              <w:tc>
                <w:tcPr>
                  <w:tcW w:w="774" w:type="pct"/>
                  <w:vMerge w:val="restart"/>
                  <w:tcBorders>
                    <w:tl2br w:val="nil"/>
                    <w:tr2bl w:val="nil"/>
                  </w:tcBorders>
                  <w:shd w:val="clear" w:color="auto" w:fill="auto"/>
                  <w:noWrap w:val="0"/>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现状浓度</w:t>
                  </w:r>
                </w:p>
              </w:tc>
              <w:tc>
                <w:tcPr>
                  <w:tcW w:w="743" w:type="pct"/>
                  <w:vMerge w:val="restart"/>
                  <w:tcBorders>
                    <w:tl2br w:val="nil"/>
                    <w:tr2bl w:val="nil"/>
                  </w:tcBorders>
                  <w:shd w:val="clear" w:color="auto" w:fill="auto"/>
                  <w:noWrap/>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标准限值</w:t>
                  </w:r>
                </w:p>
              </w:tc>
              <w:tc>
                <w:tcPr>
                  <w:tcW w:w="951" w:type="pct"/>
                  <w:vMerge w:val="restart"/>
                  <w:tcBorders>
                    <w:tl2br w:val="nil"/>
                    <w:tr2bl w:val="nil"/>
                  </w:tcBorders>
                  <w:shd w:val="clear" w:color="auto" w:fill="auto"/>
                  <w:noWrap/>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占标率（%）</w:t>
                  </w:r>
                </w:p>
              </w:tc>
              <w:tc>
                <w:tcPr>
                  <w:tcW w:w="755" w:type="pct"/>
                  <w:vMerge w:val="restart"/>
                  <w:tcBorders>
                    <w:tl2br w:val="nil"/>
                    <w:tr2bl w:val="nil"/>
                  </w:tcBorders>
                  <w:shd w:val="clear" w:color="auto" w:fill="auto"/>
                  <w:noWrap/>
                  <w:vAlign w:val="center"/>
                </w:tcPr>
                <w:p>
                  <w:pPr>
                    <w:widowControl/>
                    <w:adjustRightInd w:val="0"/>
                    <w:snapToGrid w:val="0"/>
                    <w:jc w:val="center"/>
                    <w:rPr>
                      <w:b/>
                      <w:bCs/>
                      <w:color w:val="auto"/>
                      <w:szCs w:val="21"/>
                      <w:highlight w:val="none"/>
                      <w:shd w:val="clear" w:color="auto" w:fill="auto"/>
                    </w:rPr>
                  </w:pPr>
                  <w:r>
                    <w:rPr>
                      <w:b/>
                      <w:bCs/>
                      <w:color w:val="auto"/>
                      <w:szCs w:val="21"/>
                      <w:highlight w:val="none"/>
                      <w:shd w:val="clear" w:color="auto" w:fill="auto"/>
                    </w:rPr>
                    <w:t>达标</w:t>
                  </w:r>
                  <w:r>
                    <w:rPr>
                      <w:rFonts w:hint="eastAsia"/>
                      <w:b/>
                      <w:bCs/>
                      <w:color w:val="auto"/>
                      <w:szCs w:val="21"/>
                      <w:highlight w:val="none"/>
                      <w:shd w:val="clear" w:color="auto" w:fill="auto"/>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75" w:type="pct"/>
                  <w:vMerge w:val="continue"/>
                  <w:tcBorders>
                    <w:tl2br w:val="nil"/>
                    <w:tr2bl w:val="nil"/>
                  </w:tcBorders>
                  <w:shd w:val="clear" w:color="auto" w:fill="auto"/>
                  <w:noWrap w:val="0"/>
                  <w:vAlign w:val="center"/>
                </w:tcPr>
                <w:p>
                  <w:pPr>
                    <w:widowControl/>
                    <w:adjustRightInd w:val="0"/>
                    <w:snapToGrid w:val="0"/>
                    <w:jc w:val="center"/>
                    <w:rPr>
                      <w:color w:val="auto"/>
                      <w:szCs w:val="21"/>
                      <w:highlight w:val="none"/>
                    </w:rPr>
                  </w:pPr>
                </w:p>
              </w:tc>
              <w:tc>
                <w:tcPr>
                  <w:tcW w:w="774" w:type="pct"/>
                  <w:vMerge w:val="continue"/>
                  <w:tcBorders>
                    <w:tl2br w:val="nil"/>
                    <w:tr2bl w:val="nil"/>
                  </w:tcBorders>
                  <w:shd w:val="clear" w:color="auto" w:fill="auto"/>
                  <w:noWrap w:val="0"/>
                  <w:vAlign w:val="center"/>
                </w:tcPr>
                <w:p>
                  <w:pPr>
                    <w:widowControl/>
                    <w:adjustRightInd w:val="0"/>
                    <w:snapToGrid w:val="0"/>
                    <w:jc w:val="center"/>
                    <w:rPr>
                      <w:color w:val="auto"/>
                      <w:szCs w:val="21"/>
                      <w:highlight w:val="none"/>
                    </w:rPr>
                  </w:pPr>
                </w:p>
              </w:tc>
              <w:tc>
                <w:tcPr>
                  <w:tcW w:w="743" w:type="pct"/>
                  <w:vMerge w:val="continue"/>
                  <w:tcBorders>
                    <w:tl2br w:val="nil"/>
                    <w:tr2bl w:val="nil"/>
                  </w:tcBorders>
                  <w:shd w:val="clear" w:color="auto" w:fill="auto"/>
                  <w:noWrap/>
                  <w:vAlign w:val="center"/>
                </w:tcPr>
                <w:p>
                  <w:pPr>
                    <w:widowControl/>
                    <w:adjustRightInd w:val="0"/>
                    <w:snapToGrid w:val="0"/>
                    <w:jc w:val="center"/>
                    <w:rPr>
                      <w:color w:val="auto"/>
                      <w:szCs w:val="21"/>
                      <w:highlight w:val="none"/>
                    </w:rPr>
                  </w:pPr>
                </w:p>
              </w:tc>
              <w:tc>
                <w:tcPr>
                  <w:tcW w:w="951" w:type="pct"/>
                  <w:vMerge w:val="continue"/>
                  <w:tcBorders>
                    <w:tl2br w:val="nil"/>
                    <w:tr2bl w:val="nil"/>
                  </w:tcBorders>
                  <w:shd w:val="clear" w:color="auto" w:fill="auto"/>
                  <w:noWrap/>
                  <w:vAlign w:val="center"/>
                </w:tcPr>
                <w:p>
                  <w:pPr>
                    <w:widowControl/>
                    <w:adjustRightInd w:val="0"/>
                    <w:snapToGrid w:val="0"/>
                    <w:jc w:val="center"/>
                    <w:rPr>
                      <w:color w:val="auto"/>
                      <w:szCs w:val="21"/>
                      <w:highlight w:val="none"/>
                    </w:rPr>
                  </w:pPr>
                </w:p>
              </w:tc>
              <w:tc>
                <w:tcPr>
                  <w:tcW w:w="755" w:type="pct"/>
                  <w:vMerge w:val="continue"/>
                  <w:tcBorders>
                    <w:tl2br w:val="nil"/>
                    <w:tr2bl w:val="nil"/>
                  </w:tcBorders>
                  <w:shd w:val="clear" w:color="auto" w:fill="auto"/>
                  <w:noWrap/>
                  <w:vAlign w:val="center"/>
                </w:tcPr>
                <w:p>
                  <w:pPr>
                    <w:widowControl/>
                    <w:adjustRightInd w:val="0"/>
                    <w:snapToGrid w:val="0"/>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auto"/>
                      <w:szCs w:val="21"/>
                      <w:highlight w:val="none"/>
                    </w:rPr>
                  </w:pPr>
                  <w:r>
                    <w:rPr>
                      <w:color w:val="auto"/>
                      <w:szCs w:val="21"/>
                      <w:highlight w:val="none"/>
                    </w:rPr>
                    <w:t>PM</w:t>
                  </w:r>
                  <w:r>
                    <w:rPr>
                      <w:color w:val="auto"/>
                      <w:szCs w:val="21"/>
                      <w:highlight w:val="none"/>
                      <w:vertAlign w:val="subscript"/>
                    </w:rPr>
                    <w:t>10</w:t>
                  </w:r>
                  <w:r>
                    <w:rPr>
                      <w:color w:val="auto"/>
                      <w:szCs w:val="21"/>
                      <w:highlight w:val="none"/>
                    </w:rPr>
                    <w:t>年均值（ug/m</w:t>
                  </w:r>
                  <w:r>
                    <w:rPr>
                      <w:color w:val="auto"/>
                      <w:szCs w:val="21"/>
                      <w:highlight w:val="none"/>
                      <w:vertAlign w:val="superscript"/>
                    </w:rPr>
                    <w:t>3</w:t>
                  </w:r>
                  <w:r>
                    <w:rPr>
                      <w:color w:val="auto"/>
                      <w:szCs w:val="21"/>
                      <w:highlight w:val="none"/>
                    </w:rPr>
                    <w:t>）</w:t>
                  </w:r>
                </w:p>
              </w:tc>
              <w:tc>
                <w:tcPr>
                  <w:tcW w:w="774" w:type="pct"/>
                  <w:tcBorders>
                    <w:tl2br w:val="nil"/>
                    <w:tr2bl w:val="nil"/>
                  </w:tcBorders>
                  <w:noWrap w:val="0"/>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91</w:t>
                  </w:r>
                </w:p>
              </w:tc>
              <w:tc>
                <w:tcPr>
                  <w:tcW w:w="743" w:type="pct"/>
                  <w:tcBorders>
                    <w:tl2br w:val="nil"/>
                    <w:tr2bl w:val="nil"/>
                  </w:tcBorders>
                  <w:noWrap/>
                  <w:vAlign w:val="center"/>
                </w:tcPr>
                <w:p>
                  <w:pPr>
                    <w:widowControl/>
                    <w:adjustRightInd w:val="0"/>
                    <w:snapToGrid w:val="0"/>
                    <w:jc w:val="center"/>
                    <w:rPr>
                      <w:color w:val="auto"/>
                      <w:szCs w:val="21"/>
                      <w:highlight w:val="none"/>
                    </w:rPr>
                  </w:pPr>
                  <w:r>
                    <w:rPr>
                      <w:color w:val="auto"/>
                      <w:szCs w:val="21"/>
                      <w:highlight w:val="none"/>
                    </w:rPr>
                    <w:t>70</w:t>
                  </w:r>
                </w:p>
              </w:tc>
              <w:tc>
                <w:tcPr>
                  <w:tcW w:w="951" w:type="pct"/>
                  <w:tcBorders>
                    <w:tl2br w:val="nil"/>
                    <w:tr2bl w:val="nil"/>
                  </w:tcBorders>
                  <w:noWrap/>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130</w:t>
                  </w:r>
                </w:p>
              </w:tc>
              <w:tc>
                <w:tcPr>
                  <w:tcW w:w="755" w:type="pct"/>
                  <w:tcBorders>
                    <w:tl2br w:val="nil"/>
                    <w:tr2bl w:val="nil"/>
                  </w:tcBorders>
                  <w:noWrap/>
                  <w:vAlign w:val="center"/>
                </w:tcPr>
                <w:p>
                  <w:pPr>
                    <w:widowControl/>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auto"/>
                      <w:szCs w:val="21"/>
                      <w:highlight w:val="none"/>
                    </w:rPr>
                  </w:pPr>
                  <w:r>
                    <w:rPr>
                      <w:color w:val="auto"/>
                      <w:szCs w:val="21"/>
                      <w:highlight w:val="none"/>
                    </w:rPr>
                    <w:t>PM</w:t>
                  </w:r>
                  <w:r>
                    <w:rPr>
                      <w:color w:val="auto"/>
                      <w:szCs w:val="21"/>
                      <w:highlight w:val="none"/>
                      <w:vertAlign w:val="subscript"/>
                    </w:rPr>
                    <w:t>2.5</w:t>
                  </w:r>
                  <w:r>
                    <w:rPr>
                      <w:color w:val="auto"/>
                      <w:szCs w:val="21"/>
                      <w:highlight w:val="none"/>
                    </w:rPr>
                    <w:t>年均值（ug/m</w:t>
                  </w:r>
                  <w:r>
                    <w:rPr>
                      <w:color w:val="auto"/>
                      <w:szCs w:val="21"/>
                      <w:highlight w:val="none"/>
                      <w:vertAlign w:val="superscript"/>
                    </w:rPr>
                    <w:t>3</w:t>
                  </w:r>
                  <w:r>
                    <w:rPr>
                      <w:color w:val="auto"/>
                      <w:szCs w:val="21"/>
                      <w:highlight w:val="none"/>
                    </w:rPr>
                    <w:t>）</w:t>
                  </w:r>
                </w:p>
              </w:tc>
              <w:tc>
                <w:tcPr>
                  <w:tcW w:w="774" w:type="pct"/>
                  <w:tcBorders>
                    <w:tl2br w:val="nil"/>
                    <w:tr2bl w:val="nil"/>
                  </w:tcBorders>
                  <w:noWrap w:val="0"/>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51</w:t>
                  </w:r>
                </w:p>
              </w:tc>
              <w:tc>
                <w:tcPr>
                  <w:tcW w:w="743" w:type="pct"/>
                  <w:tcBorders>
                    <w:tl2br w:val="nil"/>
                    <w:tr2bl w:val="nil"/>
                  </w:tcBorders>
                  <w:noWrap/>
                  <w:vAlign w:val="center"/>
                </w:tcPr>
                <w:p>
                  <w:pPr>
                    <w:widowControl/>
                    <w:adjustRightInd w:val="0"/>
                    <w:snapToGrid w:val="0"/>
                    <w:jc w:val="center"/>
                    <w:rPr>
                      <w:color w:val="auto"/>
                      <w:szCs w:val="21"/>
                      <w:highlight w:val="none"/>
                    </w:rPr>
                  </w:pPr>
                  <w:r>
                    <w:rPr>
                      <w:color w:val="auto"/>
                      <w:szCs w:val="21"/>
                      <w:highlight w:val="none"/>
                    </w:rPr>
                    <w:t>35</w:t>
                  </w:r>
                </w:p>
              </w:tc>
              <w:tc>
                <w:tcPr>
                  <w:tcW w:w="951" w:type="pct"/>
                  <w:tcBorders>
                    <w:tl2br w:val="nil"/>
                    <w:tr2bl w:val="nil"/>
                  </w:tcBorders>
                  <w:noWrap/>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145.71</w:t>
                  </w:r>
                </w:p>
              </w:tc>
              <w:tc>
                <w:tcPr>
                  <w:tcW w:w="755" w:type="pct"/>
                  <w:tcBorders>
                    <w:tl2br w:val="nil"/>
                    <w:tr2bl w:val="nil"/>
                  </w:tcBorders>
                  <w:noWrap/>
                  <w:vAlign w:val="center"/>
                </w:tcPr>
                <w:p>
                  <w:pPr>
                    <w:widowControl/>
                    <w:adjustRightInd w:val="0"/>
                    <w:snapToGrid w:val="0"/>
                    <w:jc w:val="center"/>
                    <w:rPr>
                      <w:color w:val="auto"/>
                      <w:szCs w:val="21"/>
                      <w:highlight w:val="none"/>
                    </w:rPr>
                  </w:pPr>
                  <w:r>
                    <w:rPr>
                      <w:rFonts w:hint="eastAsia"/>
                      <w:color w:val="auto"/>
                      <w:szCs w:val="21"/>
                      <w:highlight w:val="none"/>
                      <w:lang w:eastAsia="zh-CN"/>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auto"/>
                      <w:szCs w:val="21"/>
                      <w:highlight w:val="none"/>
                    </w:rPr>
                  </w:pPr>
                  <w:r>
                    <w:rPr>
                      <w:color w:val="auto"/>
                      <w:szCs w:val="21"/>
                      <w:highlight w:val="none"/>
                    </w:rPr>
                    <w:t>SO</w:t>
                  </w:r>
                  <w:r>
                    <w:rPr>
                      <w:color w:val="auto"/>
                      <w:szCs w:val="21"/>
                      <w:highlight w:val="none"/>
                      <w:vertAlign w:val="subscript"/>
                    </w:rPr>
                    <w:t>2</w:t>
                  </w:r>
                  <w:r>
                    <w:rPr>
                      <w:color w:val="auto"/>
                      <w:szCs w:val="21"/>
                      <w:highlight w:val="none"/>
                    </w:rPr>
                    <w:t>年均值（ug/m</w:t>
                  </w:r>
                  <w:r>
                    <w:rPr>
                      <w:color w:val="auto"/>
                      <w:szCs w:val="21"/>
                      <w:highlight w:val="none"/>
                      <w:vertAlign w:val="superscript"/>
                    </w:rPr>
                    <w:t>3</w:t>
                  </w:r>
                  <w:r>
                    <w:rPr>
                      <w:color w:val="auto"/>
                      <w:szCs w:val="21"/>
                      <w:highlight w:val="none"/>
                    </w:rPr>
                    <w:t>）</w:t>
                  </w:r>
                </w:p>
              </w:tc>
              <w:tc>
                <w:tcPr>
                  <w:tcW w:w="774" w:type="pct"/>
                  <w:tcBorders>
                    <w:tl2br w:val="nil"/>
                    <w:tr2bl w:val="nil"/>
                  </w:tcBorders>
                  <w:noWrap w:val="0"/>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7</w:t>
                  </w:r>
                </w:p>
              </w:tc>
              <w:tc>
                <w:tcPr>
                  <w:tcW w:w="743" w:type="pct"/>
                  <w:tcBorders>
                    <w:tl2br w:val="nil"/>
                    <w:tr2bl w:val="nil"/>
                  </w:tcBorders>
                  <w:noWrap/>
                  <w:vAlign w:val="center"/>
                </w:tcPr>
                <w:p>
                  <w:pPr>
                    <w:widowControl/>
                    <w:adjustRightInd w:val="0"/>
                    <w:snapToGrid w:val="0"/>
                    <w:jc w:val="center"/>
                    <w:rPr>
                      <w:color w:val="auto"/>
                      <w:szCs w:val="21"/>
                      <w:highlight w:val="none"/>
                    </w:rPr>
                  </w:pPr>
                  <w:r>
                    <w:rPr>
                      <w:color w:val="auto"/>
                      <w:szCs w:val="21"/>
                      <w:highlight w:val="none"/>
                    </w:rPr>
                    <w:t>60</w:t>
                  </w:r>
                </w:p>
              </w:tc>
              <w:tc>
                <w:tcPr>
                  <w:tcW w:w="951" w:type="pct"/>
                  <w:tcBorders>
                    <w:tl2br w:val="nil"/>
                    <w:tr2bl w:val="nil"/>
                  </w:tcBorders>
                  <w:noWrap/>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11.67</w:t>
                  </w:r>
                </w:p>
              </w:tc>
              <w:tc>
                <w:tcPr>
                  <w:tcW w:w="755" w:type="pct"/>
                  <w:tcBorders>
                    <w:tl2br w:val="nil"/>
                    <w:tr2bl w:val="nil"/>
                  </w:tcBorders>
                  <w:noWrap/>
                  <w:vAlign w:val="center"/>
                </w:tcPr>
                <w:p>
                  <w:pPr>
                    <w:widowControl/>
                    <w:adjustRightInd w:val="0"/>
                    <w:snapToGrid w:val="0"/>
                    <w:jc w:val="center"/>
                    <w:rPr>
                      <w:color w:val="auto"/>
                      <w:szCs w:val="21"/>
                      <w:highlight w:val="none"/>
                    </w:rPr>
                  </w:pPr>
                  <w:r>
                    <w:rPr>
                      <w:color w:val="auto"/>
                      <w:szCs w:val="21"/>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auto"/>
                      <w:szCs w:val="21"/>
                      <w:highlight w:val="none"/>
                    </w:rPr>
                  </w:pPr>
                  <w:r>
                    <w:rPr>
                      <w:color w:val="auto"/>
                      <w:szCs w:val="21"/>
                      <w:highlight w:val="none"/>
                    </w:rPr>
                    <w:t>NO</w:t>
                  </w:r>
                  <w:r>
                    <w:rPr>
                      <w:color w:val="auto"/>
                      <w:szCs w:val="21"/>
                      <w:highlight w:val="none"/>
                      <w:vertAlign w:val="subscript"/>
                    </w:rPr>
                    <w:t>2</w:t>
                  </w:r>
                  <w:r>
                    <w:rPr>
                      <w:color w:val="auto"/>
                      <w:szCs w:val="21"/>
                      <w:highlight w:val="none"/>
                    </w:rPr>
                    <w:t>年均值（ug/m</w:t>
                  </w:r>
                  <w:r>
                    <w:rPr>
                      <w:color w:val="auto"/>
                      <w:szCs w:val="21"/>
                      <w:highlight w:val="none"/>
                      <w:vertAlign w:val="superscript"/>
                    </w:rPr>
                    <w:t>3</w:t>
                  </w:r>
                  <w:r>
                    <w:rPr>
                      <w:color w:val="auto"/>
                      <w:szCs w:val="21"/>
                      <w:highlight w:val="none"/>
                    </w:rPr>
                    <w:t>）</w:t>
                  </w:r>
                </w:p>
              </w:tc>
              <w:tc>
                <w:tcPr>
                  <w:tcW w:w="774" w:type="pct"/>
                  <w:tcBorders>
                    <w:tl2br w:val="nil"/>
                    <w:tr2bl w:val="nil"/>
                  </w:tcBorders>
                  <w:noWrap w:val="0"/>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36</w:t>
                  </w:r>
                </w:p>
              </w:tc>
              <w:tc>
                <w:tcPr>
                  <w:tcW w:w="743" w:type="pct"/>
                  <w:tcBorders>
                    <w:tl2br w:val="nil"/>
                    <w:tr2bl w:val="nil"/>
                  </w:tcBorders>
                  <w:noWrap/>
                  <w:vAlign w:val="center"/>
                </w:tcPr>
                <w:p>
                  <w:pPr>
                    <w:widowControl/>
                    <w:adjustRightInd w:val="0"/>
                    <w:snapToGrid w:val="0"/>
                    <w:jc w:val="center"/>
                    <w:rPr>
                      <w:color w:val="auto"/>
                      <w:szCs w:val="21"/>
                      <w:highlight w:val="none"/>
                    </w:rPr>
                  </w:pPr>
                  <w:r>
                    <w:rPr>
                      <w:color w:val="auto"/>
                      <w:szCs w:val="21"/>
                      <w:highlight w:val="none"/>
                    </w:rPr>
                    <w:t>40</w:t>
                  </w:r>
                </w:p>
              </w:tc>
              <w:tc>
                <w:tcPr>
                  <w:tcW w:w="951" w:type="pct"/>
                  <w:tcBorders>
                    <w:tl2br w:val="nil"/>
                    <w:tr2bl w:val="nil"/>
                  </w:tcBorders>
                  <w:noWrap/>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90</w:t>
                  </w:r>
                </w:p>
              </w:tc>
              <w:tc>
                <w:tcPr>
                  <w:tcW w:w="755" w:type="pct"/>
                  <w:tcBorders>
                    <w:tl2br w:val="nil"/>
                    <w:tr2bl w:val="nil"/>
                  </w:tcBorders>
                  <w:noWrap/>
                  <w:vAlign w:val="center"/>
                </w:tcPr>
                <w:p>
                  <w:pPr>
                    <w:widowControl/>
                    <w:adjustRightInd w:val="0"/>
                    <w:snapToGrid w:val="0"/>
                    <w:jc w:val="center"/>
                    <w:rPr>
                      <w:color w:val="auto"/>
                      <w:szCs w:val="21"/>
                      <w:highlight w:val="none"/>
                    </w:rPr>
                  </w:pPr>
                  <w:r>
                    <w:rPr>
                      <w:rFonts w:hint="eastAsia"/>
                      <w:color w:val="auto"/>
                      <w:szCs w:val="21"/>
                      <w:highlight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auto"/>
                      <w:szCs w:val="21"/>
                      <w:highlight w:val="none"/>
                    </w:rPr>
                  </w:pPr>
                  <w:r>
                    <w:rPr>
                      <w:color w:val="auto"/>
                      <w:szCs w:val="21"/>
                      <w:highlight w:val="none"/>
                    </w:rPr>
                    <w:t>CO第95百分位浓度（mg/m</w:t>
                  </w:r>
                  <w:r>
                    <w:rPr>
                      <w:color w:val="auto"/>
                      <w:szCs w:val="21"/>
                      <w:highlight w:val="none"/>
                      <w:vertAlign w:val="superscript"/>
                    </w:rPr>
                    <w:t>3</w:t>
                  </w:r>
                  <w:r>
                    <w:rPr>
                      <w:color w:val="auto"/>
                      <w:szCs w:val="21"/>
                      <w:highlight w:val="none"/>
                    </w:rPr>
                    <w:t>）</w:t>
                  </w:r>
                </w:p>
              </w:tc>
              <w:tc>
                <w:tcPr>
                  <w:tcW w:w="774" w:type="pct"/>
                  <w:tcBorders>
                    <w:tl2br w:val="nil"/>
                    <w:tr2bl w:val="nil"/>
                  </w:tcBorders>
                  <w:noWrap w:val="0"/>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1.6</w:t>
                  </w:r>
                </w:p>
              </w:tc>
              <w:tc>
                <w:tcPr>
                  <w:tcW w:w="743" w:type="pct"/>
                  <w:tcBorders>
                    <w:tl2br w:val="nil"/>
                    <w:tr2bl w:val="nil"/>
                  </w:tcBorders>
                  <w:noWrap/>
                  <w:vAlign w:val="center"/>
                </w:tcPr>
                <w:p>
                  <w:pPr>
                    <w:widowControl/>
                    <w:adjustRightInd w:val="0"/>
                    <w:snapToGrid w:val="0"/>
                    <w:jc w:val="center"/>
                    <w:rPr>
                      <w:color w:val="auto"/>
                      <w:szCs w:val="21"/>
                      <w:highlight w:val="none"/>
                    </w:rPr>
                  </w:pPr>
                  <w:r>
                    <w:rPr>
                      <w:color w:val="auto"/>
                      <w:szCs w:val="21"/>
                      <w:highlight w:val="none"/>
                    </w:rPr>
                    <w:t>4</w:t>
                  </w:r>
                </w:p>
              </w:tc>
              <w:tc>
                <w:tcPr>
                  <w:tcW w:w="951" w:type="pct"/>
                  <w:tcBorders>
                    <w:tl2br w:val="nil"/>
                    <w:tr2bl w:val="nil"/>
                  </w:tcBorders>
                  <w:noWrap/>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755" w:type="pct"/>
                  <w:tcBorders>
                    <w:tl2br w:val="nil"/>
                    <w:tr2bl w:val="nil"/>
                  </w:tcBorders>
                  <w:noWrap/>
                  <w:vAlign w:val="center"/>
                </w:tcPr>
                <w:p>
                  <w:pPr>
                    <w:widowControl/>
                    <w:adjustRightInd w:val="0"/>
                    <w:snapToGrid w:val="0"/>
                    <w:jc w:val="center"/>
                    <w:rPr>
                      <w:color w:val="auto"/>
                      <w:szCs w:val="21"/>
                      <w:highlight w:val="none"/>
                    </w:rPr>
                  </w:pPr>
                  <w:r>
                    <w:rPr>
                      <w:color w:val="auto"/>
                      <w:szCs w:val="21"/>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auto"/>
                      <w:szCs w:val="21"/>
                      <w:highlight w:val="none"/>
                    </w:rPr>
                  </w:pPr>
                  <w:r>
                    <w:rPr>
                      <w:color w:val="auto"/>
                      <w:szCs w:val="21"/>
                      <w:highlight w:val="none"/>
                    </w:rPr>
                    <w:t>O</w:t>
                  </w:r>
                  <w:r>
                    <w:rPr>
                      <w:color w:val="auto"/>
                      <w:szCs w:val="21"/>
                      <w:highlight w:val="none"/>
                      <w:vertAlign w:val="subscript"/>
                    </w:rPr>
                    <w:t>3</w:t>
                  </w:r>
                  <w:r>
                    <w:rPr>
                      <w:color w:val="auto"/>
                      <w:szCs w:val="21"/>
                      <w:highlight w:val="none"/>
                    </w:rPr>
                    <w:t>第90百分位浓度（ug/m</w:t>
                  </w:r>
                  <w:r>
                    <w:rPr>
                      <w:color w:val="auto"/>
                      <w:szCs w:val="21"/>
                      <w:highlight w:val="none"/>
                      <w:vertAlign w:val="superscript"/>
                    </w:rPr>
                    <w:t>3</w:t>
                  </w:r>
                  <w:r>
                    <w:rPr>
                      <w:color w:val="auto"/>
                      <w:szCs w:val="21"/>
                      <w:highlight w:val="none"/>
                    </w:rPr>
                    <w:t>）</w:t>
                  </w:r>
                </w:p>
              </w:tc>
              <w:tc>
                <w:tcPr>
                  <w:tcW w:w="774" w:type="pct"/>
                  <w:tcBorders>
                    <w:tl2br w:val="nil"/>
                    <w:tr2bl w:val="nil"/>
                  </w:tcBorders>
                  <w:noWrap w:val="0"/>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191</w:t>
                  </w:r>
                </w:p>
              </w:tc>
              <w:tc>
                <w:tcPr>
                  <w:tcW w:w="743" w:type="pct"/>
                  <w:tcBorders>
                    <w:tl2br w:val="nil"/>
                    <w:tr2bl w:val="nil"/>
                  </w:tcBorders>
                  <w:noWrap/>
                  <w:vAlign w:val="center"/>
                </w:tcPr>
                <w:p>
                  <w:pPr>
                    <w:widowControl/>
                    <w:adjustRightInd w:val="0"/>
                    <w:snapToGrid w:val="0"/>
                    <w:jc w:val="center"/>
                    <w:rPr>
                      <w:color w:val="auto"/>
                      <w:szCs w:val="21"/>
                      <w:highlight w:val="none"/>
                    </w:rPr>
                  </w:pPr>
                  <w:r>
                    <w:rPr>
                      <w:color w:val="auto"/>
                      <w:szCs w:val="21"/>
                      <w:highlight w:val="none"/>
                    </w:rPr>
                    <w:t>160</w:t>
                  </w:r>
                </w:p>
              </w:tc>
              <w:tc>
                <w:tcPr>
                  <w:tcW w:w="951" w:type="pct"/>
                  <w:tcBorders>
                    <w:tl2br w:val="nil"/>
                    <w:tr2bl w:val="nil"/>
                  </w:tcBorders>
                  <w:noWrap/>
                  <w:vAlign w:val="center"/>
                </w:tcPr>
                <w:p>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119.38</w:t>
                  </w:r>
                </w:p>
              </w:tc>
              <w:tc>
                <w:tcPr>
                  <w:tcW w:w="755" w:type="pct"/>
                  <w:tcBorders>
                    <w:tl2br w:val="nil"/>
                    <w:tr2bl w:val="nil"/>
                  </w:tcBorders>
                  <w:noWrap/>
                  <w:vAlign w:val="center"/>
                </w:tcPr>
                <w:p>
                  <w:pPr>
                    <w:widowControl/>
                    <w:adjustRightInd w:val="0"/>
                    <w:snapToGrid w:val="0"/>
                    <w:jc w:val="center"/>
                    <w:rPr>
                      <w:color w:val="auto"/>
                      <w:szCs w:val="21"/>
                      <w:highlight w:val="none"/>
                    </w:rPr>
                  </w:pPr>
                  <w:r>
                    <w:rPr>
                      <w:rFonts w:hint="eastAsia"/>
                      <w:color w:val="auto"/>
                      <w:szCs w:val="21"/>
                      <w:highlight w:val="none"/>
                      <w:lang w:eastAsia="zh-CN"/>
                    </w:rPr>
                    <w:t>超标</w:t>
                  </w:r>
                </w:p>
              </w:tc>
            </w:tr>
          </w:tbl>
          <w:p>
            <w:pPr>
              <w:pStyle w:val="19"/>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ascii="Times New Roman" w:hAnsi="Times New Roman" w:eastAsia="宋体" w:cs="Times New Roman"/>
                <w:color w:val="FF0000"/>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由上表可以看出，建设项目所在区域环境空气质量PM</w:t>
            </w:r>
            <w:r>
              <w:rPr>
                <w:rFonts w:hint="eastAsia" w:ascii="Times New Roman" w:hAnsi="Times New Roman" w:eastAsia="宋体" w:cs="Times New Roman"/>
                <w:color w:val="auto"/>
                <w:kern w:val="2"/>
                <w:sz w:val="24"/>
                <w:szCs w:val="24"/>
                <w:highlight w:val="none"/>
                <w:vertAlign w:val="subscript"/>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年均值</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PM</w:t>
            </w:r>
            <w:r>
              <w:rPr>
                <w:rFonts w:hint="eastAsia" w:ascii="Times New Roman" w:hAnsi="Times New Roman" w:eastAsia="宋体" w:cs="Times New Roman"/>
                <w:color w:val="auto"/>
                <w:kern w:val="2"/>
                <w:sz w:val="24"/>
                <w:szCs w:val="24"/>
                <w:highlight w:val="none"/>
                <w:vertAlign w:val="subscript"/>
                <w:lang w:val="en-US" w:eastAsia="zh-CN" w:bidi="ar-SA"/>
              </w:rPr>
              <w:t>2.5</w:t>
            </w:r>
            <w:r>
              <w:rPr>
                <w:rFonts w:hint="eastAsia" w:ascii="Times New Roman" w:hAnsi="Times New Roman" w:eastAsia="宋体" w:cs="Times New Roman"/>
                <w:color w:val="auto"/>
                <w:kern w:val="2"/>
                <w:sz w:val="24"/>
                <w:szCs w:val="24"/>
                <w:highlight w:val="none"/>
                <w:lang w:val="en-US" w:eastAsia="zh-CN" w:bidi="ar-SA"/>
              </w:rPr>
              <w:t>年均值</w:t>
            </w:r>
            <w:r>
              <w:rPr>
                <w:rFonts w:hint="eastAsia" w:ascii="Times New Roman" w:hAnsi="Times New Roman" w:eastAsia="宋体" w:cs="Times New Roman"/>
                <w:color w:val="auto"/>
                <w:kern w:val="2"/>
                <w:sz w:val="24"/>
                <w:szCs w:val="24"/>
                <w:highlight w:val="none"/>
                <w:vertAlign w:val="baseline"/>
                <w:lang w:val="en-US" w:eastAsia="zh-CN" w:bidi="ar-SA"/>
              </w:rPr>
              <w:t>、O</w:t>
            </w:r>
            <w:r>
              <w:rPr>
                <w:rFonts w:hint="eastAsia" w:ascii="Times New Roman" w:hAnsi="Times New Roman" w:eastAsia="宋体" w:cs="Times New Roman"/>
                <w:color w:val="auto"/>
                <w:kern w:val="2"/>
                <w:sz w:val="24"/>
                <w:szCs w:val="24"/>
                <w:highlight w:val="none"/>
                <w:vertAlign w:val="subscript"/>
                <w:lang w:val="en-US" w:eastAsia="zh-CN" w:bidi="ar-SA"/>
              </w:rPr>
              <w:t>3</w:t>
            </w:r>
            <w:r>
              <w:rPr>
                <w:rFonts w:hint="eastAsia" w:ascii="Times New Roman" w:hAnsi="Times New Roman" w:eastAsia="宋体" w:cs="Times New Roman"/>
                <w:color w:val="auto"/>
                <w:kern w:val="2"/>
                <w:sz w:val="24"/>
                <w:szCs w:val="24"/>
                <w:highlight w:val="none"/>
                <w:vertAlign w:val="baseline"/>
                <w:lang w:val="en-US" w:eastAsia="zh-CN" w:bidi="ar-SA"/>
              </w:rPr>
              <w:t>第90百分位浓度超过</w:t>
            </w:r>
            <w:r>
              <w:rPr>
                <w:rFonts w:hint="eastAsia" w:ascii="Times New Roman" w:hAnsi="Times New Roman" w:eastAsia="宋体" w:cs="Times New Roman"/>
                <w:color w:val="auto"/>
                <w:kern w:val="2"/>
                <w:sz w:val="24"/>
                <w:szCs w:val="24"/>
                <w:highlight w:val="none"/>
                <w:lang w:val="en-US" w:eastAsia="zh-CN" w:bidi="ar-SA"/>
              </w:rPr>
              <w:t>《环境空气质量标准》（GB3095-2012）二级标准限值，其余各项评价指标浓度均满足《环境空气质量标准》（GB3095-2012）二级标准限值，依据《环境影响评价技术导则-大气环境》（HJ2.2-2018），判定该项目所在区域</w:t>
            </w:r>
            <w:r>
              <w:rPr>
                <w:rFonts w:hint="eastAsia" w:cs="Times New Roman"/>
                <w:color w:val="auto"/>
                <w:kern w:val="2"/>
                <w:sz w:val="24"/>
                <w:szCs w:val="24"/>
                <w:highlight w:val="none"/>
                <w:lang w:val="en-US" w:eastAsia="zh-CN" w:bidi="ar-SA"/>
              </w:rPr>
              <w:t>均</w:t>
            </w:r>
            <w:r>
              <w:rPr>
                <w:rFonts w:hint="eastAsia" w:ascii="Times New Roman" w:hAnsi="Times New Roman" w:eastAsia="宋体" w:cs="Times New Roman"/>
                <w:color w:val="auto"/>
                <w:kern w:val="2"/>
                <w:sz w:val="24"/>
                <w:szCs w:val="24"/>
                <w:highlight w:val="none"/>
                <w:lang w:val="en-US" w:eastAsia="zh-CN" w:bidi="ar-SA"/>
              </w:rPr>
              <w:t>属于环境空气质量不达标区域。</w:t>
            </w:r>
          </w:p>
          <w:p>
            <w:pPr>
              <w:pStyle w:val="6"/>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2.2其他污染物环境质量现状</w:t>
            </w:r>
          </w:p>
          <w:p>
            <w:pPr>
              <w:pStyle w:val="6"/>
              <w:adjustRightInd w:val="0"/>
              <w:snapToGrid w:val="0"/>
              <w:spacing w:line="360" w:lineRule="auto"/>
              <w:ind w:firstLine="480" w:firstLineChars="200"/>
              <w:rPr>
                <w:rFonts w:hint="eastAsia" w:ascii="Times New Roman" w:hAnsi="Times New Roman" w:cs="Times New Roman"/>
                <w:color w:val="FF0000"/>
                <w:sz w:val="24"/>
                <w:szCs w:val="24"/>
                <w:highlight w:val="none"/>
                <w:lang w:val="en-US" w:eastAsia="zh-CN"/>
              </w:rPr>
            </w:pPr>
            <w:r>
              <w:rPr>
                <w:rFonts w:hint="eastAsia" w:ascii="Times New Roman" w:hAnsi="Times New Roman" w:cs="Times New Roman"/>
                <w:color w:val="auto"/>
                <w:sz w:val="24"/>
                <w:szCs w:val="24"/>
                <w:highlight w:val="none"/>
                <w:lang w:val="en-US" w:eastAsia="zh-CN"/>
              </w:rPr>
              <w:t>本次委托</w:t>
            </w:r>
            <w:r>
              <w:rPr>
                <w:rFonts w:hint="eastAsia" w:cs="Times New Roman"/>
                <w:color w:val="auto"/>
                <w:sz w:val="24"/>
                <w:szCs w:val="24"/>
                <w:highlight w:val="none"/>
                <w:lang w:val="en-US" w:eastAsia="zh-CN"/>
              </w:rPr>
              <w:t>中量检测认证</w:t>
            </w:r>
            <w:r>
              <w:rPr>
                <w:rFonts w:hint="eastAsia" w:ascii="Times New Roman" w:hAnsi="Times New Roman" w:cs="Times New Roman"/>
                <w:color w:val="auto"/>
                <w:sz w:val="24"/>
                <w:szCs w:val="24"/>
                <w:highlight w:val="none"/>
                <w:lang w:val="en-US" w:eastAsia="zh-CN"/>
              </w:rPr>
              <w:t>有限公司于2023年</w:t>
            </w:r>
            <w:r>
              <w:rPr>
                <w:rFonts w:hint="eastAsia" w:cs="Times New Roman"/>
                <w:color w:val="auto"/>
                <w:sz w:val="24"/>
                <w:szCs w:val="24"/>
                <w:highlight w:val="none"/>
                <w:lang w:val="en-US" w:eastAsia="zh-CN"/>
              </w:rPr>
              <w:t>11</w:t>
            </w:r>
            <w:r>
              <w:rPr>
                <w:rFonts w:hint="eastAsia"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30</w:t>
            </w:r>
            <w:r>
              <w:rPr>
                <w:rFonts w:hint="eastAsia" w:ascii="Times New Roman" w:hAnsi="Times New Roman" w:cs="Times New Roman"/>
                <w:color w:val="auto"/>
                <w:sz w:val="24"/>
                <w:szCs w:val="24"/>
                <w:highlight w:val="none"/>
                <w:lang w:val="en-US" w:eastAsia="zh-CN"/>
              </w:rPr>
              <w:t>日至</w:t>
            </w:r>
            <w:r>
              <w:rPr>
                <w:rFonts w:hint="eastAsia" w:cs="Times New Roman"/>
                <w:color w:val="auto"/>
                <w:sz w:val="24"/>
                <w:szCs w:val="24"/>
                <w:highlight w:val="none"/>
                <w:lang w:val="en-US" w:eastAsia="zh-CN"/>
              </w:rPr>
              <w:t>12月3</w:t>
            </w:r>
            <w:r>
              <w:rPr>
                <w:rFonts w:hint="eastAsia" w:ascii="Times New Roman" w:hAnsi="Times New Roman" w:cs="Times New Roman"/>
                <w:color w:val="auto"/>
                <w:sz w:val="24"/>
                <w:szCs w:val="24"/>
                <w:highlight w:val="none"/>
                <w:lang w:val="en-US" w:eastAsia="zh-CN"/>
              </w:rPr>
              <w:t>日</w:t>
            </w:r>
            <w:r>
              <w:rPr>
                <w:rFonts w:hint="eastAsia" w:cs="Times New Roman"/>
                <w:color w:val="auto"/>
                <w:sz w:val="24"/>
                <w:szCs w:val="24"/>
                <w:highlight w:val="none"/>
                <w:lang w:val="en-US" w:eastAsia="zh-CN"/>
              </w:rPr>
              <w:t>开展了补充监测，监测因子为TSP</w:t>
            </w:r>
            <w:r>
              <w:rPr>
                <w:rFonts w:hint="eastAsia" w:ascii="Times New Roman" w:hAnsi="Times New Roman" w:cs="Times New Roman"/>
                <w:color w:val="auto"/>
                <w:sz w:val="24"/>
                <w:szCs w:val="24"/>
                <w:highlight w:val="none"/>
                <w:lang w:val="en-US" w:eastAsia="zh-CN"/>
              </w:rPr>
              <w:t>，监测点位于小峪河村右岸1#、五里庙村右岸2#，监测报告见附件</w:t>
            </w: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w:t>
            </w:r>
          </w:p>
          <w:p>
            <w:pPr>
              <w:pStyle w:val="6"/>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（1）主要分析仪器及分析方法、检出限</w:t>
            </w:r>
          </w:p>
          <w:p>
            <w:pPr>
              <w:pStyle w:val="6"/>
              <w:adjustRightInd w:val="0"/>
              <w:snapToGrid w:val="0"/>
              <w:ind w:firstLine="0"/>
              <w:jc w:val="center"/>
              <w:rPr>
                <w:rFonts w:hint="eastAsia" w:ascii="Times New Roman" w:hAnsi="Times New Roman" w:cs="Times New Roman"/>
                <w:b/>
                <w:bCs/>
                <w:color w:val="FF0000"/>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4</w:t>
            </w:r>
            <w:r>
              <w:rPr>
                <w:rFonts w:hint="eastAsia" w:ascii="Times New Roman" w:hAnsi="Times New Roman" w:cs="Times New Roman"/>
                <w:b/>
                <w:bCs/>
                <w:color w:val="auto"/>
                <w:sz w:val="24"/>
                <w:szCs w:val="24"/>
                <w:highlight w:val="none"/>
                <w:lang w:val="en-US" w:eastAsia="zh-CN"/>
              </w:rPr>
              <w:t xml:space="preserve">   分析仪器及分析方法、检出限</w:t>
            </w:r>
          </w:p>
          <w:tbl>
            <w:tblPr>
              <w:tblStyle w:val="28"/>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3554"/>
              <w:gridCol w:w="1461"/>
              <w:gridCol w:w="25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分析项目</w:t>
                  </w:r>
                </w:p>
              </w:tc>
              <w:tc>
                <w:tcPr>
                  <w:tcW w:w="2024"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方法依据</w:t>
                  </w:r>
                </w:p>
              </w:tc>
              <w:tc>
                <w:tcPr>
                  <w:tcW w:w="832"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检出限</w:t>
                  </w:r>
                </w:p>
              </w:tc>
              <w:tc>
                <w:tcPr>
                  <w:tcW w:w="1449"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分析仪器名称及型号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TSP</w:t>
                  </w:r>
                </w:p>
              </w:tc>
              <w:tc>
                <w:tcPr>
                  <w:tcW w:w="202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环境空气 总悬浮颗粒物的测定 重量法</w:t>
                  </w:r>
                  <w:r>
                    <w:rPr>
                      <w:rFonts w:hint="eastAsia"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vertAlign w:val="baseline"/>
                      <w:lang w:val="en-US" w:eastAsia="zh-CN"/>
                    </w:rPr>
                    <w:t>HJ 1263-2022</w:t>
                  </w:r>
                  <w:r>
                    <w:rPr>
                      <w:rFonts w:hint="eastAsia" w:cs="Times New Roman"/>
                      <w:b w:val="0"/>
                      <w:bCs w:val="0"/>
                      <w:color w:val="auto"/>
                      <w:sz w:val="21"/>
                      <w:szCs w:val="21"/>
                      <w:highlight w:val="none"/>
                      <w:vertAlign w:val="baseline"/>
                      <w:lang w:val="en-US" w:eastAsia="zh-CN"/>
                    </w:rPr>
                    <w:t>）</w:t>
                  </w:r>
                </w:p>
              </w:tc>
              <w:tc>
                <w:tcPr>
                  <w:tcW w:w="83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superscript"/>
                      <w:lang w:val="en-US" w:eastAsia="zh-CN"/>
                    </w:rPr>
                  </w:pPr>
                  <w:r>
                    <w:rPr>
                      <w:rFonts w:hint="default" w:ascii="Times New Roman" w:hAnsi="Times New Roman" w:eastAsia="宋体" w:cs="Times New Roman"/>
                      <w:color w:val="auto"/>
                      <w:sz w:val="21"/>
                      <w:szCs w:val="21"/>
                      <w:lang w:val="en-US" w:eastAsia="zh-CN"/>
                    </w:rPr>
                    <w:t>7μg/m</w:t>
                  </w:r>
                  <w:r>
                    <w:rPr>
                      <w:rFonts w:hint="default" w:ascii="Times New Roman" w:hAnsi="Times New Roman" w:eastAsia="宋体" w:cs="Times New Roman"/>
                      <w:color w:val="auto"/>
                      <w:sz w:val="21"/>
                      <w:szCs w:val="21"/>
                      <w:vertAlign w:val="superscript"/>
                      <w:lang w:val="en-US" w:eastAsia="zh-CN"/>
                    </w:rPr>
                    <w:t>3</w:t>
                  </w:r>
                </w:p>
              </w:tc>
              <w:tc>
                <w:tcPr>
                  <w:tcW w:w="1449"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恒温恒湿称重系统</w:t>
                  </w:r>
                </w:p>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WRLDN-5900</w:t>
                  </w:r>
                </w:p>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ZL-HJ-07004-2022</w:t>
                  </w:r>
                </w:p>
              </w:tc>
            </w:tr>
          </w:tbl>
          <w:p>
            <w:pPr>
              <w:pStyle w:val="6"/>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（2）监测频次</w:t>
            </w:r>
          </w:p>
          <w:p>
            <w:pPr>
              <w:pStyle w:val="6"/>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设</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个监测点，监测3天，每天1次日均值。</w:t>
            </w:r>
          </w:p>
          <w:p>
            <w:pPr>
              <w:pStyle w:val="6"/>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（3）监测结果分析及评价</w:t>
            </w:r>
          </w:p>
          <w:p>
            <w:pPr>
              <w:pStyle w:val="6"/>
              <w:adjustRightInd w:val="0"/>
              <w:snapToGrid w:val="0"/>
              <w:ind w:firstLine="0"/>
              <w:jc w:val="center"/>
              <w:rPr>
                <w:rFonts w:hint="eastAsia" w:ascii="Times New Roman" w:hAnsi="Times New Roman" w:cs="Times New Roman"/>
                <w:b/>
                <w:bCs/>
                <w:color w:val="auto"/>
                <w:sz w:val="24"/>
                <w:szCs w:val="24"/>
                <w:highlight w:val="none"/>
                <w:vertAlign w:val="superscript"/>
                <w:lang w:val="en-US" w:eastAsia="zh-CN"/>
              </w:rPr>
            </w:pPr>
            <w:r>
              <w:rPr>
                <w:rFonts w:hint="eastAsia" w:ascii="Times New Roman" w:hAnsi="Times New Roman"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5</w:t>
            </w:r>
            <w:r>
              <w:rPr>
                <w:rFonts w:hint="eastAsia" w:ascii="Times New Roman" w:hAnsi="Times New Roman" w:cs="Times New Roman"/>
                <w:b/>
                <w:bCs/>
                <w:color w:val="auto"/>
                <w:sz w:val="24"/>
                <w:szCs w:val="24"/>
                <w:highlight w:val="none"/>
                <w:lang w:val="en-US" w:eastAsia="zh-CN"/>
              </w:rPr>
              <w:t xml:space="preserve">   监测结果统计表   单位：mg/m</w:t>
            </w:r>
            <w:r>
              <w:rPr>
                <w:rFonts w:hint="eastAsia" w:ascii="Times New Roman" w:hAnsi="Times New Roman" w:cs="Times New Roman"/>
                <w:b/>
                <w:bCs/>
                <w:color w:val="auto"/>
                <w:sz w:val="24"/>
                <w:szCs w:val="24"/>
                <w:highlight w:val="none"/>
                <w:vertAlign w:val="superscript"/>
                <w:lang w:val="en-US" w:eastAsia="zh-CN"/>
              </w:rPr>
              <w:t>3</w:t>
            </w:r>
          </w:p>
          <w:tbl>
            <w:tblPr>
              <w:tblStyle w:val="28"/>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488"/>
              <w:gridCol w:w="2488"/>
              <w:gridCol w:w="1202"/>
              <w:gridCol w:w="1118"/>
              <w:gridCol w:w="13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auto"/>
                      <w:sz w:val="21"/>
                      <w:szCs w:val="21"/>
                      <w:highlight w:val="none"/>
                      <w:shd w:val="clear" w:color="auto" w:fill="auto"/>
                      <w:vertAlign w:val="baseline"/>
                      <w:lang w:val="en-US" w:eastAsia="zh-CN"/>
                    </w:rPr>
                  </w:pPr>
                  <w:r>
                    <w:rPr>
                      <w:rFonts w:hint="eastAsia" w:ascii="Times New Roman" w:hAnsi="Times New Roman" w:cs="Times New Roman"/>
                      <w:b/>
                      <w:bCs/>
                      <w:color w:val="auto"/>
                      <w:sz w:val="21"/>
                      <w:szCs w:val="21"/>
                      <w:highlight w:val="none"/>
                      <w:shd w:val="clear" w:color="auto" w:fill="auto"/>
                      <w:vertAlign w:val="baseline"/>
                      <w:lang w:val="en-US" w:eastAsia="zh-CN"/>
                    </w:rPr>
                    <w:t>监测项目</w:t>
                  </w:r>
                </w:p>
              </w:tc>
              <w:tc>
                <w:tcPr>
                  <w:tcW w:w="847"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auto"/>
                      <w:sz w:val="21"/>
                      <w:szCs w:val="21"/>
                      <w:highlight w:val="none"/>
                      <w:shd w:val="clear" w:color="auto" w:fill="auto"/>
                      <w:vertAlign w:val="baseline"/>
                      <w:lang w:val="en-US" w:eastAsia="zh-CN"/>
                    </w:rPr>
                  </w:pPr>
                  <w:r>
                    <w:rPr>
                      <w:rFonts w:hint="eastAsia" w:ascii="Times New Roman" w:hAnsi="Times New Roman" w:cs="Times New Roman"/>
                      <w:b/>
                      <w:bCs/>
                      <w:color w:val="auto"/>
                      <w:sz w:val="21"/>
                      <w:szCs w:val="21"/>
                      <w:highlight w:val="none"/>
                      <w:shd w:val="clear" w:color="auto" w:fill="auto"/>
                      <w:vertAlign w:val="baseline"/>
                      <w:lang w:val="en-US" w:eastAsia="zh-CN"/>
                    </w:rPr>
                    <w:t>监测</w:t>
                  </w:r>
                  <w:r>
                    <w:rPr>
                      <w:rFonts w:hint="eastAsia" w:cs="Times New Roman"/>
                      <w:b/>
                      <w:bCs/>
                      <w:color w:val="auto"/>
                      <w:sz w:val="21"/>
                      <w:szCs w:val="21"/>
                      <w:highlight w:val="none"/>
                      <w:shd w:val="clear" w:color="auto" w:fill="auto"/>
                      <w:vertAlign w:val="baseline"/>
                      <w:lang w:val="en-US" w:eastAsia="zh-CN"/>
                    </w:rPr>
                    <w:t>点位</w:t>
                  </w:r>
                </w:p>
              </w:tc>
              <w:tc>
                <w:tcPr>
                  <w:tcW w:w="1416"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auto"/>
                      <w:sz w:val="21"/>
                      <w:szCs w:val="21"/>
                      <w:highlight w:val="none"/>
                      <w:shd w:val="clear" w:color="auto" w:fill="auto"/>
                      <w:vertAlign w:val="baseline"/>
                      <w:lang w:val="en-US" w:eastAsia="zh-CN"/>
                    </w:rPr>
                  </w:pPr>
                  <w:r>
                    <w:rPr>
                      <w:rFonts w:hint="eastAsia" w:ascii="Times New Roman" w:hAnsi="Times New Roman" w:cs="Times New Roman"/>
                      <w:b/>
                      <w:bCs/>
                      <w:color w:val="auto"/>
                      <w:sz w:val="21"/>
                      <w:szCs w:val="21"/>
                      <w:highlight w:val="none"/>
                      <w:shd w:val="clear" w:color="auto" w:fill="auto"/>
                      <w:vertAlign w:val="baseline"/>
                      <w:lang w:val="en-US" w:eastAsia="zh-CN"/>
                    </w:rPr>
                    <w:t>监测</w:t>
                  </w:r>
                  <w:r>
                    <w:rPr>
                      <w:rFonts w:hint="eastAsia" w:cs="Times New Roman"/>
                      <w:b/>
                      <w:bCs/>
                      <w:color w:val="auto"/>
                      <w:sz w:val="21"/>
                      <w:szCs w:val="21"/>
                      <w:highlight w:val="none"/>
                      <w:shd w:val="clear" w:color="auto" w:fill="auto"/>
                      <w:vertAlign w:val="baseline"/>
                      <w:lang w:val="en-US" w:eastAsia="zh-CN"/>
                    </w:rPr>
                    <w:t>时间</w:t>
                  </w:r>
                </w:p>
              </w:tc>
              <w:tc>
                <w:tcPr>
                  <w:tcW w:w="685"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auto"/>
                      <w:sz w:val="21"/>
                      <w:szCs w:val="21"/>
                      <w:highlight w:val="none"/>
                      <w:shd w:val="clear" w:color="auto" w:fill="auto"/>
                      <w:vertAlign w:val="baseline"/>
                      <w:lang w:val="en-US" w:eastAsia="zh-CN"/>
                    </w:rPr>
                  </w:pPr>
                  <w:r>
                    <w:rPr>
                      <w:rFonts w:hint="eastAsia" w:ascii="Times New Roman" w:hAnsi="Times New Roman" w:cs="Times New Roman"/>
                      <w:b/>
                      <w:bCs/>
                      <w:color w:val="auto"/>
                      <w:sz w:val="21"/>
                      <w:szCs w:val="21"/>
                      <w:highlight w:val="none"/>
                      <w:shd w:val="clear" w:color="auto" w:fill="auto"/>
                      <w:vertAlign w:val="baseline"/>
                      <w:lang w:val="en-US" w:eastAsia="zh-CN"/>
                    </w:rPr>
                    <w:t>监测结果</w:t>
                  </w:r>
                </w:p>
              </w:tc>
              <w:tc>
                <w:tcPr>
                  <w:tcW w:w="637"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auto"/>
                      <w:sz w:val="21"/>
                      <w:szCs w:val="21"/>
                      <w:highlight w:val="none"/>
                      <w:shd w:val="clear" w:color="auto" w:fill="auto"/>
                      <w:vertAlign w:val="baseline"/>
                      <w:lang w:val="en-US" w:eastAsia="zh-CN"/>
                    </w:rPr>
                  </w:pPr>
                  <w:r>
                    <w:rPr>
                      <w:rFonts w:hint="eastAsia" w:ascii="Times New Roman" w:hAnsi="Times New Roman" w:cs="Times New Roman"/>
                      <w:b/>
                      <w:bCs/>
                      <w:color w:val="auto"/>
                      <w:sz w:val="21"/>
                      <w:szCs w:val="21"/>
                      <w:highlight w:val="none"/>
                      <w:shd w:val="clear" w:color="auto" w:fill="auto"/>
                      <w:vertAlign w:val="baseline"/>
                      <w:lang w:val="en-US" w:eastAsia="zh-CN"/>
                    </w:rPr>
                    <w:t>标准值</w:t>
                  </w:r>
                </w:p>
              </w:tc>
              <w:tc>
                <w:tcPr>
                  <w:tcW w:w="758" w:type="pct"/>
                  <w:tcBorders>
                    <w:tl2br w:val="nil"/>
                    <w:tr2bl w:val="nil"/>
                  </w:tcBorders>
                  <w:shd w:val="clear" w:color="auto" w:fill="auto"/>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auto"/>
                      <w:sz w:val="21"/>
                      <w:szCs w:val="21"/>
                      <w:highlight w:val="none"/>
                      <w:shd w:val="clear" w:color="auto" w:fill="auto"/>
                      <w:vertAlign w:val="baseline"/>
                      <w:lang w:val="en-US" w:eastAsia="zh-CN"/>
                    </w:rPr>
                  </w:pPr>
                  <w:r>
                    <w:rPr>
                      <w:rFonts w:hint="eastAsia" w:ascii="Times New Roman" w:hAnsi="Times New Roman" w:cs="Times New Roman"/>
                      <w:b/>
                      <w:bCs/>
                      <w:color w:val="auto"/>
                      <w:sz w:val="21"/>
                      <w:szCs w:val="21"/>
                      <w:highlight w:val="none"/>
                      <w:shd w:val="clear" w:color="auto" w:fill="auto"/>
                      <w:vertAlign w:val="baseline"/>
                      <w:lang w:val="en-US" w:eastAsia="zh-CN"/>
                    </w:rPr>
                    <w:t>占标率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655" w:type="pct"/>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TSP</w:t>
                  </w:r>
                </w:p>
              </w:tc>
              <w:tc>
                <w:tcPr>
                  <w:tcW w:w="847" w:type="pct"/>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小峪河村右岸</w:t>
                  </w:r>
                </w:p>
              </w:tc>
              <w:tc>
                <w:tcPr>
                  <w:tcW w:w="14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2023.11.30—2023.12.01</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0.202</w:t>
                  </w:r>
                </w:p>
              </w:tc>
              <w:tc>
                <w:tcPr>
                  <w:tcW w:w="637" w:type="pct"/>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0.3</w:t>
                  </w: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67.3%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847" w:type="pct"/>
                  <w:vMerge w:val="continue"/>
                  <w:tcBorders>
                    <w:tl2br w:val="nil"/>
                    <w:tr2bl w:val="nil"/>
                  </w:tcBorders>
                  <w:vAlign w:val="center"/>
                </w:tcPr>
                <w:p>
                  <w:pPr>
                    <w:jc w:val="center"/>
                    <w:rPr>
                      <w:rFonts w:hint="eastAsia" w:ascii="Times New Roman" w:hAnsi="Times New Roman" w:cs="Times New Roman"/>
                      <w:b w:val="0"/>
                      <w:bCs w:val="0"/>
                      <w:color w:val="auto"/>
                      <w:sz w:val="21"/>
                      <w:szCs w:val="21"/>
                      <w:highlight w:val="none"/>
                      <w:vertAlign w:val="baseline"/>
                      <w:lang w:val="en-US" w:eastAsia="zh-CN"/>
                    </w:rPr>
                  </w:pPr>
                </w:p>
              </w:tc>
              <w:tc>
                <w:tcPr>
                  <w:tcW w:w="14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2023.12.01—2023.12.02</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0.222</w:t>
                  </w:r>
                </w:p>
              </w:tc>
              <w:tc>
                <w:tcPr>
                  <w:tcW w:w="637"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847" w:type="pct"/>
                  <w:vMerge w:val="continue"/>
                  <w:tcBorders>
                    <w:tl2br w:val="nil"/>
                    <w:tr2bl w:val="nil"/>
                  </w:tcBorders>
                  <w:vAlign w:val="center"/>
                </w:tcPr>
                <w:p>
                  <w:pPr>
                    <w:jc w:val="center"/>
                    <w:rPr>
                      <w:rFonts w:hint="eastAsia" w:ascii="Times New Roman" w:hAnsi="Times New Roman" w:cs="Times New Roman"/>
                      <w:b w:val="0"/>
                      <w:bCs w:val="0"/>
                      <w:color w:val="auto"/>
                      <w:sz w:val="21"/>
                      <w:szCs w:val="21"/>
                      <w:highlight w:val="none"/>
                      <w:vertAlign w:val="baseline"/>
                      <w:lang w:val="en-US" w:eastAsia="zh-CN"/>
                    </w:rPr>
                  </w:pPr>
                </w:p>
              </w:tc>
              <w:tc>
                <w:tcPr>
                  <w:tcW w:w="14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2023.12.02—2023.12.03</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0.211</w:t>
                  </w:r>
                </w:p>
              </w:tc>
              <w:tc>
                <w:tcPr>
                  <w:tcW w:w="637"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70.3%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847" w:type="pct"/>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五里庙村右岸</w:t>
                  </w:r>
                </w:p>
              </w:tc>
              <w:tc>
                <w:tcPr>
                  <w:tcW w:w="14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2023.11.30—2023.12.01</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cs="Times New Roman"/>
                      <w:i w:val="0"/>
                      <w:iCs w:val="0"/>
                      <w:color w:val="auto"/>
                      <w:sz w:val="21"/>
                      <w:szCs w:val="21"/>
                      <w:u w:val="none"/>
                      <w:lang w:val="en-US" w:eastAsia="zh-CN" w:bidi="ar-SA"/>
                    </w:rPr>
                    <w:t>0.153</w:t>
                  </w:r>
                </w:p>
              </w:tc>
              <w:tc>
                <w:tcPr>
                  <w:tcW w:w="637"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847" w:type="pct"/>
                  <w:vMerge w:val="continue"/>
                  <w:tcBorders>
                    <w:tl2br w:val="nil"/>
                    <w:tr2bl w:val="nil"/>
                  </w:tcBorders>
                  <w:vAlign w:val="center"/>
                </w:tcPr>
                <w:p>
                  <w:pPr>
                    <w:jc w:val="center"/>
                    <w:rPr>
                      <w:rFonts w:hint="eastAsia" w:ascii="Times New Roman" w:hAnsi="Times New Roman" w:eastAsia="宋体" w:cs="Times New Roman"/>
                      <w:color w:val="auto"/>
                      <w:sz w:val="21"/>
                      <w:szCs w:val="21"/>
                      <w:highlight w:val="none"/>
                      <w:lang w:val="en-US" w:eastAsia="zh-CN"/>
                    </w:rPr>
                  </w:pPr>
                </w:p>
              </w:tc>
              <w:tc>
                <w:tcPr>
                  <w:tcW w:w="14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2023.12.01—2023.12.02</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cs="Times New Roman"/>
                      <w:i w:val="0"/>
                      <w:iCs w:val="0"/>
                      <w:color w:val="auto"/>
                      <w:sz w:val="21"/>
                      <w:szCs w:val="21"/>
                      <w:u w:val="none"/>
                      <w:lang w:val="en-US" w:eastAsia="zh-CN" w:bidi="ar-SA"/>
                    </w:rPr>
                    <w:t>0.158</w:t>
                  </w:r>
                </w:p>
              </w:tc>
              <w:tc>
                <w:tcPr>
                  <w:tcW w:w="637"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847" w:type="pct"/>
                  <w:vMerge w:val="continue"/>
                  <w:tcBorders>
                    <w:tl2br w:val="nil"/>
                    <w:tr2bl w:val="nil"/>
                  </w:tcBorders>
                  <w:vAlign w:val="center"/>
                </w:tcPr>
                <w:p>
                  <w:pPr>
                    <w:jc w:val="center"/>
                    <w:rPr>
                      <w:rFonts w:hint="eastAsia" w:ascii="Times New Roman" w:hAnsi="Times New Roman" w:eastAsia="宋体" w:cs="Times New Roman"/>
                      <w:color w:val="auto"/>
                      <w:sz w:val="21"/>
                      <w:szCs w:val="21"/>
                      <w:highlight w:val="none"/>
                      <w:lang w:val="en-US" w:eastAsia="zh-CN"/>
                    </w:rPr>
                  </w:pPr>
                </w:p>
              </w:tc>
              <w:tc>
                <w:tcPr>
                  <w:tcW w:w="14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2023.12.02—2023.12.03</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cs="Times New Roman"/>
                      <w:i w:val="0"/>
                      <w:iCs w:val="0"/>
                      <w:color w:val="auto"/>
                      <w:sz w:val="21"/>
                      <w:szCs w:val="21"/>
                      <w:u w:val="none"/>
                      <w:lang w:val="en-US" w:eastAsia="zh-CN" w:bidi="ar-SA"/>
                    </w:rPr>
                    <w:t>0.149</w:t>
                  </w:r>
                </w:p>
              </w:tc>
              <w:tc>
                <w:tcPr>
                  <w:tcW w:w="637"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49.7%</w:t>
                  </w:r>
                </w:p>
              </w:tc>
            </w:tr>
          </w:tbl>
          <w:p>
            <w:pPr>
              <w:pStyle w:val="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根据监测结果可知，项目评价范围内TSP日均浓度达到《环境空气质量标准》（GB3095-2012）中的二级标准，环境空气质量较好。</w:t>
            </w:r>
          </w:p>
          <w:p>
            <w:pPr>
              <w:pStyle w:val="6"/>
              <w:adjustRightInd w:val="0"/>
              <w:snapToGrid w:val="0"/>
              <w:spacing w:line="360" w:lineRule="auto"/>
              <w:ind w:left="0" w:leftChars="0"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3.声环境质量现状</w:t>
            </w:r>
          </w:p>
          <w:p>
            <w:pPr>
              <w:pStyle w:val="6"/>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监测地点及</w:t>
            </w:r>
            <w:r>
              <w:rPr>
                <w:rFonts w:hint="eastAsia" w:ascii="Times New Roman" w:hAnsi="Times New Roman" w:cs="Times New Roman"/>
                <w:color w:val="auto"/>
                <w:sz w:val="24"/>
                <w:szCs w:val="24"/>
                <w:highlight w:val="none"/>
                <w:lang w:val="en-US" w:eastAsia="zh-CN"/>
              </w:rPr>
              <w:t>监测频次</w:t>
            </w:r>
          </w:p>
          <w:p>
            <w:pPr>
              <w:pStyle w:val="6"/>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本项目沿线边界50m范围内主要为村庄</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委托中量检测认证有限公司于2023年11月30日至12月</w:t>
            </w: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日</w:t>
            </w:r>
            <w:r>
              <w:rPr>
                <w:rFonts w:hint="eastAsia" w:cs="Times New Roman"/>
                <w:color w:val="auto"/>
                <w:sz w:val="24"/>
                <w:szCs w:val="24"/>
                <w:highlight w:val="none"/>
                <w:lang w:val="en-US" w:eastAsia="zh-CN"/>
              </w:rPr>
              <w:t>对</w:t>
            </w:r>
            <w:r>
              <w:rPr>
                <w:rFonts w:hint="eastAsia" w:ascii="Times New Roman" w:hAnsi="Times New Roman" w:cs="Times New Roman"/>
                <w:color w:val="auto"/>
                <w:sz w:val="24"/>
                <w:szCs w:val="24"/>
                <w:highlight w:val="none"/>
                <w:lang w:val="en-US" w:eastAsia="zh-CN"/>
              </w:rPr>
              <w:t>大金坪村</w:t>
            </w:r>
            <w:r>
              <w:rPr>
                <w:rFonts w:hint="eastAsia" w:cs="Times New Roman"/>
                <w:color w:val="auto"/>
                <w:sz w:val="24"/>
                <w:szCs w:val="24"/>
                <w:highlight w:val="none"/>
                <w:lang w:val="en-US" w:eastAsia="zh-CN"/>
              </w:rPr>
              <w:t>左岸</w:t>
            </w:r>
            <w:r>
              <w:rPr>
                <w:rFonts w:hint="eastAsia" w:ascii="Times New Roman" w:hAnsi="Times New Roman" w:cs="Times New Roman"/>
                <w:color w:val="auto"/>
                <w:sz w:val="24"/>
                <w:szCs w:val="24"/>
                <w:highlight w:val="none"/>
                <w:lang w:val="en-US" w:eastAsia="zh-CN"/>
              </w:rPr>
              <w:t>、小峪河村</w:t>
            </w:r>
            <w:r>
              <w:rPr>
                <w:rFonts w:hint="eastAsia" w:cs="Times New Roman"/>
                <w:color w:val="auto"/>
                <w:sz w:val="24"/>
                <w:szCs w:val="24"/>
                <w:highlight w:val="none"/>
                <w:lang w:val="en-US" w:eastAsia="zh-CN"/>
              </w:rPr>
              <w:t>右岸</w:t>
            </w:r>
            <w:r>
              <w:rPr>
                <w:rFonts w:hint="eastAsia" w:ascii="Times New Roman" w:hAnsi="Times New Roman" w:cs="Times New Roman"/>
                <w:color w:val="auto"/>
                <w:sz w:val="24"/>
                <w:szCs w:val="24"/>
                <w:highlight w:val="none"/>
                <w:lang w:val="en-US" w:eastAsia="zh-CN"/>
              </w:rPr>
              <w:t>、板庙子村</w:t>
            </w:r>
            <w:r>
              <w:rPr>
                <w:rFonts w:hint="eastAsia" w:cs="Times New Roman"/>
                <w:color w:val="auto"/>
                <w:sz w:val="24"/>
                <w:szCs w:val="24"/>
                <w:highlight w:val="none"/>
                <w:lang w:val="en-US" w:eastAsia="zh-CN"/>
              </w:rPr>
              <w:t>右岸</w:t>
            </w:r>
            <w:r>
              <w:rPr>
                <w:rFonts w:hint="eastAsia" w:ascii="Times New Roman" w:hAnsi="Times New Roman" w:cs="Times New Roman"/>
                <w:color w:val="auto"/>
                <w:sz w:val="24"/>
                <w:szCs w:val="24"/>
                <w:highlight w:val="none"/>
                <w:lang w:val="en-US" w:eastAsia="zh-CN"/>
              </w:rPr>
              <w:t>、五里庙村</w:t>
            </w:r>
            <w:r>
              <w:rPr>
                <w:rFonts w:hint="eastAsia" w:cs="Times New Roman"/>
                <w:color w:val="auto"/>
                <w:sz w:val="24"/>
                <w:szCs w:val="24"/>
                <w:highlight w:val="none"/>
                <w:lang w:val="en-US" w:eastAsia="zh-CN"/>
              </w:rPr>
              <w:t>右岸4个敏感点</w:t>
            </w:r>
            <w:r>
              <w:rPr>
                <w:rFonts w:hint="eastAsia" w:ascii="Times New Roman" w:hAnsi="Times New Roman" w:cs="Times New Roman"/>
                <w:color w:val="auto"/>
                <w:sz w:val="24"/>
                <w:szCs w:val="24"/>
                <w:highlight w:val="none"/>
                <w:lang w:val="en-US" w:eastAsia="zh-CN"/>
              </w:rPr>
              <w:t>噪声进行了声环境现状监测</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监测2天，每天昼、夜间各监测1次。</w:t>
            </w:r>
          </w:p>
          <w:p>
            <w:pPr>
              <w:pStyle w:val="6"/>
              <w:numPr>
                <w:ilvl w:val="0"/>
                <w:numId w:val="1"/>
              </w:num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监测分析方法</w:t>
            </w:r>
          </w:p>
          <w:p>
            <w:pPr>
              <w:pStyle w:val="6"/>
              <w:adjustRightInd w:val="0"/>
              <w:snapToGrid w:val="0"/>
              <w:ind w:firstLine="0"/>
              <w:jc w:val="center"/>
              <w:rPr>
                <w:rFonts w:hint="default" w:ascii="Times New Roman" w:hAnsi="Times New Roman" w:cs="Times New Roman"/>
                <w:b/>
                <w:bCs/>
                <w:color w:val="auto"/>
                <w:sz w:val="24"/>
                <w:szCs w:val="24"/>
                <w:highlight w:val="none"/>
                <w:vertAlign w:val="superscript"/>
                <w:lang w:val="en-US" w:eastAsia="zh-CN"/>
              </w:rPr>
            </w:pPr>
            <w:r>
              <w:rPr>
                <w:rFonts w:hint="eastAsia" w:ascii="Times New Roman" w:hAnsi="Times New Roman"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6</w:t>
            </w:r>
            <w:r>
              <w:rPr>
                <w:rFonts w:hint="eastAsia" w:ascii="Times New Roman" w:hAnsi="Times New Roman" w:cs="Times New Roman"/>
                <w:b/>
                <w:bCs/>
                <w:color w:val="auto"/>
                <w:sz w:val="24"/>
                <w:szCs w:val="24"/>
                <w:highlight w:val="none"/>
                <w:lang w:val="en-US" w:eastAsia="zh-CN"/>
              </w:rPr>
              <w:t xml:space="preserve">   主要分析仪器及分析方法</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
              <w:gridCol w:w="983"/>
              <w:gridCol w:w="1518"/>
              <w:gridCol w:w="1715"/>
              <w:gridCol w:w="2906"/>
              <w:gridCol w:w="12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205"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560"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w:t>
                  </w:r>
                </w:p>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项目</w:t>
                  </w:r>
                </w:p>
              </w:tc>
              <w:tc>
                <w:tcPr>
                  <w:tcW w:w="865"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检测标准</w:t>
                  </w:r>
                </w:p>
              </w:tc>
              <w:tc>
                <w:tcPr>
                  <w:tcW w:w="976"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检测方法</w:t>
                  </w:r>
                </w:p>
              </w:tc>
              <w:tc>
                <w:tcPr>
                  <w:tcW w:w="1655"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检测仪器</w:t>
                  </w:r>
                </w:p>
              </w:tc>
              <w:tc>
                <w:tcPr>
                  <w:tcW w:w="736"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检出限/最低检出浓度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205"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w:t>
                  </w:r>
                </w:p>
              </w:tc>
              <w:tc>
                <w:tcPr>
                  <w:tcW w:w="560"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环境</w:t>
                  </w:r>
                </w:p>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噪声</w:t>
                  </w:r>
                </w:p>
              </w:tc>
              <w:tc>
                <w:tcPr>
                  <w:tcW w:w="865"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GB</w:t>
                  </w:r>
                  <w:r>
                    <w:rPr>
                      <w:rFonts w:hint="eastAsia" w:ascii="Times New Roman" w:hAnsi="Times New Roman" w:eastAsia="宋体" w:cs="Times New Roman"/>
                      <w:b w:val="0"/>
                      <w:bCs w:val="0"/>
                      <w:color w:val="auto"/>
                      <w:sz w:val="21"/>
                      <w:szCs w:val="21"/>
                      <w:highlight w:val="none"/>
                      <w:vertAlign w:val="baseline"/>
                      <w:lang w:val="en-US" w:eastAsia="zh-CN"/>
                    </w:rPr>
                    <w:t xml:space="preserve"> </w:t>
                  </w:r>
                  <w:r>
                    <w:rPr>
                      <w:rFonts w:hint="default" w:ascii="Times New Roman" w:hAnsi="Times New Roman" w:eastAsia="宋体" w:cs="Times New Roman"/>
                      <w:b w:val="0"/>
                      <w:bCs w:val="0"/>
                      <w:color w:val="auto"/>
                      <w:sz w:val="21"/>
                      <w:szCs w:val="21"/>
                      <w:highlight w:val="none"/>
                      <w:vertAlign w:val="baseline"/>
                      <w:lang w:val="en-US" w:eastAsia="zh-CN"/>
                    </w:rPr>
                    <w:t>3096-2008</w:t>
                  </w:r>
                </w:p>
              </w:tc>
              <w:tc>
                <w:tcPr>
                  <w:tcW w:w="976"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声环境质量标准</w:t>
                  </w:r>
                </w:p>
              </w:tc>
              <w:tc>
                <w:tcPr>
                  <w:tcW w:w="1655"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测量仪器</w:t>
                  </w:r>
                </w:p>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AWA5688/ZL-HJ-01131-2023</w:t>
                  </w:r>
                </w:p>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AWA5688/ZL-HJ-01116-2023</w:t>
                  </w:r>
                </w:p>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校准仪器</w:t>
                  </w:r>
                </w:p>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AWA6022A/ZL-HJ-01117-2023</w:t>
                  </w:r>
                </w:p>
              </w:tc>
              <w:tc>
                <w:tcPr>
                  <w:tcW w:w="736" w:type="pct"/>
                  <w:tcBorders>
                    <w:tl2br w:val="nil"/>
                    <w:tr2bl w:val="nil"/>
                  </w:tcBorders>
                  <w:noWrap w:val="0"/>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r>
          </w:tbl>
          <w:p>
            <w:pPr>
              <w:pStyle w:val="6"/>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（3）监测结果分析及评价</w:t>
            </w:r>
          </w:p>
          <w:p>
            <w:pPr>
              <w:pStyle w:val="6"/>
              <w:adjustRightInd w:val="0"/>
              <w:snapToGrid w:val="0"/>
              <w:ind w:firstLine="0"/>
              <w:jc w:val="center"/>
              <w:rPr>
                <w:rFonts w:hint="default" w:ascii="Times New Roman" w:hAnsi="Times New Roman" w:cs="Times New Roman"/>
                <w:b/>
                <w:bCs/>
                <w:color w:val="FF0000"/>
                <w:sz w:val="24"/>
                <w:szCs w:val="24"/>
                <w:highlight w:val="none"/>
                <w:vertAlign w:val="superscript"/>
                <w:lang w:val="en-US" w:eastAsia="zh-CN"/>
              </w:rPr>
            </w:pPr>
            <w:r>
              <w:rPr>
                <w:rFonts w:hint="eastAsia" w:ascii="Times New Roman" w:hAnsi="Times New Roman"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-7</w:t>
            </w:r>
            <w:r>
              <w:rPr>
                <w:rFonts w:hint="eastAsia" w:ascii="Times New Roman" w:hAnsi="Times New Roman" w:cs="Times New Roman"/>
                <w:b/>
                <w:bCs/>
                <w:color w:val="auto"/>
                <w:sz w:val="24"/>
                <w:szCs w:val="24"/>
                <w:highlight w:val="none"/>
                <w:lang w:val="en-US" w:eastAsia="zh-CN"/>
              </w:rPr>
              <w:t xml:space="preserve">   监测结果统计表   单位：dB</w:t>
            </w:r>
            <w:r>
              <w:rPr>
                <w:rFonts w:hint="eastAsia"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A</w:t>
            </w:r>
            <w:r>
              <w:rPr>
                <w:rFonts w:hint="eastAsia" w:cs="Times New Roman"/>
                <w:b/>
                <w:bCs/>
                <w:color w:val="auto"/>
                <w:sz w:val="24"/>
                <w:szCs w:val="24"/>
                <w:highlight w:val="none"/>
                <w:lang w:val="en-US" w:eastAsia="zh-CN"/>
              </w:rPr>
              <w:t>）</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990"/>
              <w:gridCol w:w="856"/>
              <w:gridCol w:w="858"/>
              <w:gridCol w:w="856"/>
              <w:gridCol w:w="858"/>
              <w:gridCol w:w="85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restart"/>
                  <w:tcBorders>
                    <w:top w:val="single" w:color="auto" w:sz="12" w:space="0"/>
                    <w:left w:val="nil"/>
                  </w:tcBorders>
                  <w:noWrap w:val="0"/>
                  <w:vAlign w:val="center"/>
                </w:tcPr>
                <w:p>
                  <w:pPr>
                    <w:snapToGrid w:val="0"/>
                    <w:jc w:val="center"/>
                    <w:rPr>
                      <w:rFonts w:hint="eastAsia"/>
                      <w:snapToGrid w:val="0"/>
                      <w:kern w:val="0"/>
                      <w:szCs w:val="21"/>
                    </w:rPr>
                  </w:pPr>
                  <w:r>
                    <w:rPr>
                      <w:rFonts w:hint="eastAsia"/>
                      <w:szCs w:val="21"/>
                    </w:rPr>
                    <w:t>监测</w:t>
                  </w:r>
                  <w:r>
                    <w:rPr>
                      <w:szCs w:val="21"/>
                    </w:rPr>
                    <w:t>日期</w:t>
                  </w:r>
                </w:p>
              </w:tc>
              <w:tc>
                <w:tcPr>
                  <w:tcW w:w="1134" w:type="pct"/>
                  <w:vMerge w:val="restart"/>
                  <w:tcBorders>
                    <w:top w:val="single" w:color="auto" w:sz="12" w:space="0"/>
                  </w:tcBorders>
                  <w:noWrap w:val="0"/>
                  <w:vAlign w:val="center"/>
                </w:tcPr>
                <w:p>
                  <w:pPr>
                    <w:snapToGrid w:val="0"/>
                    <w:jc w:val="center"/>
                    <w:rPr>
                      <w:rFonts w:hint="eastAsia"/>
                      <w:snapToGrid w:val="0"/>
                      <w:kern w:val="0"/>
                      <w:szCs w:val="21"/>
                    </w:rPr>
                  </w:pPr>
                  <w:r>
                    <w:rPr>
                      <w:rFonts w:hint="eastAsia"/>
                      <w:szCs w:val="21"/>
                    </w:rPr>
                    <w:t>监测</w:t>
                  </w:r>
                  <w:r>
                    <w:rPr>
                      <w:szCs w:val="21"/>
                    </w:rPr>
                    <w:t>点位</w:t>
                  </w:r>
                </w:p>
              </w:tc>
              <w:tc>
                <w:tcPr>
                  <w:tcW w:w="977" w:type="pct"/>
                  <w:gridSpan w:val="2"/>
                  <w:tcBorders>
                    <w:top w:val="single" w:color="auto" w:sz="12" w:space="0"/>
                    <w:right w:val="nil"/>
                  </w:tcBorders>
                  <w:noWrap w:val="0"/>
                  <w:vAlign w:val="center"/>
                </w:tcPr>
                <w:p>
                  <w:pPr>
                    <w:jc w:val="center"/>
                    <w:rPr>
                      <w:rFonts w:hint="eastAsia"/>
                    </w:rPr>
                  </w:pPr>
                  <w:r>
                    <w:rPr>
                      <w:rFonts w:hint="eastAsia"/>
                      <w:szCs w:val="21"/>
                    </w:rPr>
                    <w:t>监测</w:t>
                  </w:r>
                  <w:r>
                    <w:rPr>
                      <w:szCs w:val="21"/>
                    </w:rPr>
                    <w:t>结果</w:t>
                  </w:r>
                </w:p>
              </w:tc>
              <w:tc>
                <w:tcPr>
                  <w:tcW w:w="977" w:type="pct"/>
                  <w:gridSpan w:val="2"/>
                  <w:tcBorders>
                    <w:top w:val="single" w:color="auto" w:sz="12" w:space="0"/>
                    <w:right w:val="nil"/>
                  </w:tcBorders>
                  <w:noWrap w:val="0"/>
                  <w:vAlign w:val="center"/>
                </w:tcPr>
                <w:p>
                  <w:pPr>
                    <w:jc w:val="center"/>
                    <w:rPr>
                      <w:rFonts w:hint="eastAsia" w:eastAsia="宋体"/>
                      <w:szCs w:val="21"/>
                      <w:lang w:eastAsia="zh-CN"/>
                    </w:rPr>
                  </w:pPr>
                  <w:r>
                    <w:rPr>
                      <w:rFonts w:hint="eastAsia"/>
                      <w:szCs w:val="21"/>
                      <w:lang w:eastAsia="zh-CN"/>
                    </w:rPr>
                    <w:t>标准值</w:t>
                  </w:r>
                </w:p>
              </w:tc>
              <w:tc>
                <w:tcPr>
                  <w:tcW w:w="977" w:type="pct"/>
                  <w:gridSpan w:val="2"/>
                  <w:tcBorders>
                    <w:top w:val="single" w:color="auto" w:sz="12" w:space="0"/>
                    <w:right w:val="nil"/>
                  </w:tcBorders>
                  <w:noWrap w:val="0"/>
                  <w:vAlign w:val="center"/>
                </w:tcPr>
                <w:p>
                  <w:pPr>
                    <w:jc w:val="center"/>
                    <w:rPr>
                      <w:rFonts w:hint="eastAsia"/>
                      <w:szCs w:val="21"/>
                      <w:lang w:eastAsia="zh-CN"/>
                    </w:rPr>
                  </w:pPr>
                  <w:r>
                    <w:rPr>
                      <w:rFonts w:hint="eastAsia"/>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rFonts w:hint="eastAsia"/>
                      <w:snapToGrid w:val="0"/>
                      <w:kern w:val="0"/>
                      <w:szCs w:val="21"/>
                    </w:rPr>
                  </w:pPr>
                </w:p>
              </w:tc>
              <w:tc>
                <w:tcPr>
                  <w:tcW w:w="1134" w:type="pct"/>
                  <w:vMerge w:val="continue"/>
                  <w:noWrap w:val="0"/>
                  <w:vAlign w:val="center"/>
                </w:tcPr>
                <w:p>
                  <w:pPr>
                    <w:snapToGrid w:val="0"/>
                    <w:jc w:val="center"/>
                    <w:rPr>
                      <w:rFonts w:hint="eastAsia"/>
                      <w:snapToGrid w:val="0"/>
                      <w:kern w:val="0"/>
                      <w:szCs w:val="21"/>
                    </w:rPr>
                  </w:pPr>
                </w:p>
              </w:tc>
              <w:tc>
                <w:tcPr>
                  <w:tcW w:w="488" w:type="pct"/>
                  <w:noWrap w:val="0"/>
                  <w:vAlign w:val="center"/>
                </w:tcPr>
                <w:p>
                  <w:pPr>
                    <w:jc w:val="center"/>
                    <w:rPr>
                      <w:rFonts w:hint="eastAsia"/>
                    </w:rPr>
                  </w:pPr>
                  <w:r>
                    <w:t>昼间</w:t>
                  </w:r>
                </w:p>
              </w:tc>
              <w:tc>
                <w:tcPr>
                  <w:tcW w:w="488" w:type="pct"/>
                  <w:tcBorders>
                    <w:right w:val="nil"/>
                  </w:tcBorders>
                  <w:noWrap w:val="0"/>
                  <w:vAlign w:val="center"/>
                </w:tcPr>
                <w:p>
                  <w:pPr>
                    <w:jc w:val="center"/>
                    <w:rPr>
                      <w:rFonts w:hint="eastAsia"/>
                    </w:rPr>
                  </w:pPr>
                  <w:r>
                    <w:rPr>
                      <w:rFonts w:hint="eastAsia"/>
                    </w:rPr>
                    <w:t>夜间</w:t>
                  </w:r>
                </w:p>
              </w:tc>
              <w:tc>
                <w:tcPr>
                  <w:tcW w:w="488" w:type="pct"/>
                  <w:tcBorders>
                    <w:right w:val="nil"/>
                  </w:tcBorders>
                  <w:noWrap w:val="0"/>
                  <w:vAlign w:val="center"/>
                </w:tcPr>
                <w:p>
                  <w:pPr>
                    <w:jc w:val="center"/>
                    <w:rPr>
                      <w:rFonts w:hint="eastAsia"/>
                    </w:rPr>
                  </w:pPr>
                  <w:r>
                    <w:t>昼间</w:t>
                  </w:r>
                </w:p>
              </w:tc>
              <w:tc>
                <w:tcPr>
                  <w:tcW w:w="488" w:type="pct"/>
                  <w:tcBorders>
                    <w:right w:val="nil"/>
                  </w:tcBorders>
                  <w:noWrap w:val="0"/>
                  <w:vAlign w:val="center"/>
                </w:tcPr>
                <w:p>
                  <w:pPr>
                    <w:jc w:val="center"/>
                    <w:rPr>
                      <w:rFonts w:hint="eastAsia"/>
                    </w:rPr>
                  </w:pPr>
                  <w:r>
                    <w:rPr>
                      <w:rFonts w:hint="eastAsia"/>
                    </w:rPr>
                    <w:t>夜间</w:t>
                  </w:r>
                </w:p>
              </w:tc>
              <w:tc>
                <w:tcPr>
                  <w:tcW w:w="488" w:type="pct"/>
                  <w:tcBorders>
                    <w:right w:val="nil"/>
                  </w:tcBorders>
                  <w:noWrap w:val="0"/>
                  <w:vAlign w:val="center"/>
                </w:tcPr>
                <w:p>
                  <w:pPr>
                    <w:jc w:val="center"/>
                    <w:rPr>
                      <w:rFonts w:hint="eastAsia" w:ascii="Times New Roman" w:hAnsi="Times New Roman" w:eastAsia="宋体" w:cs="Times New Roman"/>
                      <w:kern w:val="2"/>
                      <w:sz w:val="21"/>
                      <w:szCs w:val="24"/>
                      <w:lang w:val="en-US" w:eastAsia="zh-CN" w:bidi="ar-SA"/>
                    </w:rPr>
                  </w:pPr>
                  <w:r>
                    <w:t>昼间</w:t>
                  </w:r>
                </w:p>
              </w:tc>
              <w:tc>
                <w:tcPr>
                  <w:tcW w:w="488" w:type="pct"/>
                  <w:tcBorders>
                    <w:right w:val="nil"/>
                  </w:tcBorders>
                  <w:noWrap w:val="0"/>
                  <w:vAlign w:val="center"/>
                </w:tcPr>
                <w:p>
                  <w:pPr>
                    <w:jc w:val="center"/>
                    <w:rPr>
                      <w:rFonts w:hint="eastAsia" w:ascii="Times New Roman" w:hAnsi="Times New Roman" w:eastAsia="宋体" w:cs="Times New Roman"/>
                      <w:kern w:val="2"/>
                      <w:sz w:val="21"/>
                      <w:szCs w:val="24"/>
                      <w:lang w:val="en-US" w:eastAsia="zh-CN" w:bidi="ar-SA"/>
                    </w:rPr>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restart"/>
                  <w:tcBorders>
                    <w:left w:val="nil"/>
                  </w:tcBorders>
                  <w:noWrap w:val="0"/>
                  <w:vAlign w:val="center"/>
                </w:tcPr>
                <w:p>
                  <w:pPr>
                    <w:snapToGrid w:val="0"/>
                    <w:jc w:val="center"/>
                    <w:rPr>
                      <w:rFonts w:hint="eastAsia"/>
                      <w:snapToGrid w:val="0"/>
                      <w:kern w:val="0"/>
                      <w:szCs w:val="21"/>
                    </w:rPr>
                  </w:pPr>
                  <w:r>
                    <w:rPr>
                      <w:rFonts w:hint="eastAsia"/>
                      <w:snapToGrid w:val="0"/>
                      <w:kern w:val="0"/>
                      <w:szCs w:val="21"/>
                      <w:lang w:val="en-US" w:eastAsia="zh-CN"/>
                    </w:rPr>
                    <w:t>11</w:t>
                  </w:r>
                  <w:r>
                    <w:rPr>
                      <w:rFonts w:hint="eastAsia"/>
                      <w:snapToGrid w:val="0"/>
                      <w:kern w:val="0"/>
                      <w:szCs w:val="21"/>
                    </w:rPr>
                    <w:t>月</w:t>
                  </w:r>
                  <w:r>
                    <w:rPr>
                      <w:rFonts w:hint="eastAsia"/>
                      <w:snapToGrid w:val="0"/>
                      <w:kern w:val="0"/>
                      <w:szCs w:val="21"/>
                      <w:lang w:val="en-US" w:eastAsia="zh-CN"/>
                    </w:rPr>
                    <w:t>3</w:t>
                  </w:r>
                  <w:r>
                    <w:rPr>
                      <w:snapToGrid w:val="0"/>
                      <w:kern w:val="0"/>
                      <w:szCs w:val="21"/>
                    </w:rPr>
                    <w:t>0</w:t>
                  </w:r>
                  <w:r>
                    <w:rPr>
                      <w:rFonts w:hint="eastAsia"/>
                      <w:snapToGrid w:val="0"/>
                      <w:kern w:val="0"/>
                      <w:szCs w:val="21"/>
                    </w:rPr>
                    <w:t>日</w:t>
                  </w:r>
                </w:p>
              </w:tc>
              <w:tc>
                <w:tcPr>
                  <w:tcW w:w="1134" w:type="pct"/>
                  <w:noWrap w:val="0"/>
                  <w:vAlign w:val="center"/>
                </w:tcPr>
                <w:p>
                  <w:pPr>
                    <w:snapToGrid w:val="0"/>
                    <w:jc w:val="center"/>
                    <w:rPr>
                      <w:rFonts w:hint="eastAsia"/>
                      <w:szCs w:val="21"/>
                    </w:rPr>
                  </w:pPr>
                  <w:r>
                    <w:rPr>
                      <w:rFonts w:hint="eastAsia"/>
                      <w:szCs w:val="21"/>
                      <w:lang w:val="en-US" w:eastAsia="zh-CN"/>
                    </w:rPr>
                    <w:t>大金坪村左岸</w:t>
                  </w:r>
                </w:p>
              </w:tc>
              <w:tc>
                <w:tcPr>
                  <w:tcW w:w="488" w:type="pct"/>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52</w:t>
                  </w:r>
                </w:p>
              </w:tc>
              <w:tc>
                <w:tcPr>
                  <w:tcW w:w="488" w:type="pct"/>
                  <w:tcBorders>
                    <w:right w:val="nil"/>
                  </w:tcBorders>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45</w:t>
                  </w:r>
                </w:p>
              </w:tc>
              <w:tc>
                <w:tcPr>
                  <w:tcW w:w="488" w:type="pct"/>
                  <w:tcBorders>
                    <w:right w:val="nil"/>
                  </w:tcBorders>
                  <w:noWrap w:val="0"/>
                  <w:vAlign w:val="center"/>
                </w:tcPr>
                <w:p>
                  <w:pPr>
                    <w:snapToGrid w:val="0"/>
                    <w:jc w:val="center"/>
                    <w:rPr>
                      <w:rFonts w:hint="default"/>
                      <w:snapToGrid w:val="0"/>
                      <w:kern w:val="0"/>
                      <w:szCs w:val="21"/>
                      <w:lang w:val="en-US" w:eastAsia="zh-CN"/>
                    </w:rPr>
                  </w:pPr>
                  <w:r>
                    <w:rPr>
                      <w:rFonts w:hint="eastAsia"/>
                      <w:snapToGrid w:val="0"/>
                      <w:kern w:val="0"/>
                      <w:szCs w:val="21"/>
                      <w:lang w:val="en-US" w:eastAsia="zh-CN"/>
                    </w:rPr>
                    <w:t>60</w:t>
                  </w:r>
                </w:p>
              </w:tc>
              <w:tc>
                <w:tcPr>
                  <w:tcW w:w="488" w:type="pct"/>
                  <w:tcBorders>
                    <w:right w:val="nil"/>
                  </w:tcBorders>
                  <w:noWrap w:val="0"/>
                  <w:vAlign w:val="center"/>
                </w:tcPr>
                <w:p>
                  <w:pPr>
                    <w:snapToGrid w:val="0"/>
                    <w:jc w:val="center"/>
                    <w:rPr>
                      <w:rFonts w:hint="default"/>
                      <w:snapToGrid w:val="0"/>
                      <w:kern w:val="0"/>
                      <w:szCs w:val="21"/>
                      <w:lang w:val="en-US" w:eastAsia="zh-CN"/>
                    </w:rPr>
                  </w:pPr>
                  <w:r>
                    <w:rPr>
                      <w:rFonts w:hint="eastAsia"/>
                      <w:snapToGrid w:val="0"/>
                      <w:kern w:val="0"/>
                      <w:szCs w:val="21"/>
                      <w:lang w:val="en-US" w:eastAsia="zh-CN"/>
                    </w:rPr>
                    <w:t>50</w:t>
                  </w:r>
                </w:p>
              </w:tc>
              <w:tc>
                <w:tcPr>
                  <w:tcW w:w="488" w:type="pct"/>
                  <w:tcBorders>
                    <w:right w:val="nil"/>
                  </w:tcBorders>
                  <w:noWrap w:val="0"/>
                  <w:vAlign w:val="center"/>
                </w:tcPr>
                <w:p>
                  <w:pPr>
                    <w:snapToGrid w:val="0"/>
                    <w:jc w:val="center"/>
                    <w:rPr>
                      <w:rFonts w:hint="eastAsia"/>
                      <w:snapToGrid w:val="0"/>
                      <w:kern w:val="0"/>
                      <w:szCs w:val="21"/>
                      <w:lang w:val="en-US" w:eastAsia="zh-CN"/>
                    </w:rPr>
                  </w:pPr>
                  <w:r>
                    <w:rPr>
                      <w:rFonts w:hint="eastAsia"/>
                      <w:snapToGrid w:val="0"/>
                      <w:kern w:val="0"/>
                      <w:szCs w:val="21"/>
                      <w:lang w:val="en-US" w:eastAsia="zh-CN"/>
                    </w:rPr>
                    <w:t>达标</w:t>
                  </w:r>
                </w:p>
              </w:tc>
              <w:tc>
                <w:tcPr>
                  <w:tcW w:w="488" w:type="pct"/>
                  <w:tcBorders>
                    <w:right w:val="nil"/>
                  </w:tcBorders>
                  <w:noWrap w:val="0"/>
                  <w:vAlign w:val="center"/>
                </w:tcPr>
                <w:p>
                  <w:pPr>
                    <w:snapToGrid w:val="0"/>
                    <w:jc w:val="center"/>
                    <w:rPr>
                      <w:rFonts w:hint="eastAsia"/>
                      <w:snapToGrid w:val="0"/>
                      <w:kern w:val="0"/>
                      <w:szCs w:val="21"/>
                      <w:lang w:val="en-US" w:eastAsia="zh-CN"/>
                    </w:rPr>
                  </w:pPr>
                  <w:r>
                    <w:rPr>
                      <w:rFonts w:hint="eastAsia"/>
                      <w:snapToGrid w:val="0"/>
                      <w:kern w:val="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rFonts w:hint="eastAsia"/>
                      <w:snapToGrid w:val="0"/>
                      <w:kern w:val="0"/>
                      <w:szCs w:val="21"/>
                    </w:rPr>
                  </w:pPr>
                </w:p>
              </w:tc>
              <w:tc>
                <w:tcPr>
                  <w:tcW w:w="1134" w:type="pct"/>
                  <w:noWrap w:val="0"/>
                  <w:vAlign w:val="center"/>
                </w:tcPr>
                <w:p>
                  <w:pPr>
                    <w:snapToGrid w:val="0"/>
                    <w:jc w:val="center"/>
                    <w:rPr>
                      <w:rFonts w:hint="eastAsia"/>
                      <w:szCs w:val="21"/>
                    </w:rPr>
                  </w:pPr>
                  <w:r>
                    <w:rPr>
                      <w:rFonts w:hint="eastAsia"/>
                      <w:szCs w:val="21"/>
                      <w:lang w:val="en-US" w:eastAsia="zh-CN"/>
                    </w:rPr>
                    <w:t>小峪河村右岸</w:t>
                  </w:r>
                </w:p>
              </w:tc>
              <w:tc>
                <w:tcPr>
                  <w:tcW w:w="488" w:type="pct"/>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53</w:t>
                  </w:r>
                </w:p>
              </w:tc>
              <w:tc>
                <w:tcPr>
                  <w:tcW w:w="488" w:type="pct"/>
                  <w:tcBorders>
                    <w:right w:val="nil"/>
                  </w:tcBorders>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44</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60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50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rFonts w:hint="eastAsia"/>
                      <w:snapToGrid w:val="0"/>
                      <w:kern w:val="0"/>
                      <w:szCs w:val="21"/>
                    </w:rPr>
                  </w:pPr>
                </w:p>
              </w:tc>
              <w:tc>
                <w:tcPr>
                  <w:tcW w:w="1134" w:type="pct"/>
                  <w:noWrap w:val="0"/>
                  <w:vAlign w:val="center"/>
                </w:tcPr>
                <w:p>
                  <w:pPr>
                    <w:snapToGrid w:val="0"/>
                    <w:jc w:val="center"/>
                    <w:rPr>
                      <w:rFonts w:hint="eastAsia"/>
                      <w:szCs w:val="21"/>
                    </w:rPr>
                  </w:pPr>
                  <w:r>
                    <w:rPr>
                      <w:rFonts w:hint="eastAsia"/>
                      <w:szCs w:val="21"/>
                      <w:lang w:val="en-US" w:eastAsia="zh-CN"/>
                    </w:rPr>
                    <w:t>板庙子村右岸</w:t>
                  </w:r>
                </w:p>
              </w:tc>
              <w:tc>
                <w:tcPr>
                  <w:tcW w:w="488" w:type="pct"/>
                  <w:noWrap w:val="0"/>
                  <w:vAlign w:val="center"/>
                </w:tcPr>
                <w:p>
                  <w:pPr>
                    <w:snapToGrid w:val="0"/>
                    <w:jc w:val="center"/>
                    <w:rPr>
                      <w:rFonts w:hint="default" w:eastAsia="宋体"/>
                      <w:szCs w:val="21"/>
                      <w:lang w:val="en-US" w:eastAsia="zh-CN"/>
                    </w:rPr>
                  </w:pPr>
                  <w:r>
                    <w:rPr>
                      <w:rFonts w:hint="eastAsia"/>
                      <w:szCs w:val="21"/>
                      <w:lang w:val="en-US" w:eastAsia="zh-CN"/>
                    </w:rPr>
                    <w:t>55</w:t>
                  </w:r>
                </w:p>
              </w:tc>
              <w:tc>
                <w:tcPr>
                  <w:tcW w:w="488" w:type="pct"/>
                  <w:tcBorders>
                    <w:right w:val="nil"/>
                  </w:tcBorders>
                  <w:noWrap w:val="0"/>
                  <w:vAlign w:val="center"/>
                </w:tcPr>
                <w:p>
                  <w:pPr>
                    <w:snapToGrid w:val="0"/>
                    <w:jc w:val="center"/>
                    <w:rPr>
                      <w:rFonts w:hint="default" w:eastAsia="宋体"/>
                      <w:szCs w:val="21"/>
                      <w:lang w:val="en-US" w:eastAsia="zh-CN"/>
                    </w:rPr>
                  </w:pPr>
                  <w:r>
                    <w:rPr>
                      <w:rFonts w:hint="eastAsia"/>
                      <w:szCs w:val="21"/>
                      <w:lang w:val="en-US" w:eastAsia="zh-CN"/>
                    </w:rPr>
                    <w:t>43</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60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50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rFonts w:hint="eastAsia"/>
                      <w:snapToGrid w:val="0"/>
                      <w:kern w:val="0"/>
                      <w:szCs w:val="21"/>
                    </w:rPr>
                  </w:pPr>
                </w:p>
              </w:tc>
              <w:tc>
                <w:tcPr>
                  <w:tcW w:w="1134" w:type="pct"/>
                  <w:noWrap w:val="0"/>
                  <w:vAlign w:val="center"/>
                </w:tcPr>
                <w:p>
                  <w:pPr>
                    <w:snapToGrid w:val="0"/>
                    <w:jc w:val="center"/>
                    <w:rPr>
                      <w:rFonts w:hint="eastAsia"/>
                      <w:szCs w:val="21"/>
                    </w:rPr>
                  </w:pPr>
                  <w:r>
                    <w:rPr>
                      <w:rFonts w:hint="eastAsia"/>
                      <w:szCs w:val="21"/>
                      <w:lang w:val="en-US" w:eastAsia="zh-CN"/>
                    </w:rPr>
                    <w:t>五里庙村右岸</w:t>
                  </w:r>
                </w:p>
              </w:tc>
              <w:tc>
                <w:tcPr>
                  <w:tcW w:w="488" w:type="pct"/>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56</w:t>
                  </w:r>
                </w:p>
              </w:tc>
              <w:tc>
                <w:tcPr>
                  <w:tcW w:w="488" w:type="pct"/>
                  <w:tcBorders>
                    <w:right w:val="nil"/>
                  </w:tcBorders>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45</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60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50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restart"/>
                  <w:tcBorders>
                    <w:left w:val="nil"/>
                  </w:tcBorders>
                  <w:noWrap w:val="0"/>
                  <w:vAlign w:val="center"/>
                </w:tcPr>
                <w:p>
                  <w:pPr>
                    <w:snapToGrid w:val="0"/>
                    <w:jc w:val="center"/>
                    <w:rPr>
                      <w:rFonts w:hint="eastAsia"/>
                      <w:snapToGrid w:val="0"/>
                      <w:kern w:val="0"/>
                      <w:szCs w:val="21"/>
                    </w:rPr>
                  </w:pPr>
                  <w:r>
                    <w:rPr>
                      <w:rFonts w:hint="eastAsia"/>
                      <w:snapToGrid w:val="0"/>
                      <w:kern w:val="0"/>
                      <w:szCs w:val="21"/>
                      <w:lang w:val="en-US" w:eastAsia="zh-CN"/>
                    </w:rPr>
                    <w:t>12</w:t>
                  </w:r>
                  <w:r>
                    <w:rPr>
                      <w:rFonts w:hint="eastAsia"/>
                      <w:snapToGrid w:val="0"/>
                      <w:kern w:val="0"/>
                      <w:szCs w:val="21"/>
                    </w:rPr>
                    <w:t>月</w:t>
                  </w:r>
                  <w:r>
                    <w:rPr>
                      <w:snapToGrid w:val="0"/>
                      <w:kern w:val="0"/>
                      <w:szCs w:val="21"/>
                    </w:rPr>
                    <w:t>1</w:t>
                  </w:r>
                  <w:r>
                    <w:rPr>
                      <w:rFonts w:hint="eastAsia"/>
                      <w:snapToGrid w:val="0"/>
                      <w:kern w:val="0"/>
                      <w:szCs w:val="21"/>
                    </w:rPr>
                    <w:t>日</w:t>
                  </w:r>
                </w:p>
              </w:tc>
              <w:tc>
                <w:tcPr>
                  <w:tcW w:w="1134" w:type="pct"/>
                  <w:noWrap w:val="0"/>
                  <w:vAlign w:val="center"/>
                </w:tcPr>
                <w:p>
                  <w:pPr>
                    <w:snapToGrid w:val="0"/>
                    <w:jc w:val="center"/>
                    <w:rPr>
                      <w:rFonts w:hint="eastAsia"/>
                      <w:szCs w:val="21"/>
                    </w:rPr>
                  </w:pPr>
                  <w:r>
                    <w:rPr>
                      <w:rFonts w:hint="eastAsia"/>
                      <w:szCs w:val="21"/>
                      <w:lang w:val="en-US" w:eastAsia="zh-CN"/>
                    </w:rPr>
                    <w:t>大金坪村左岸</w:t>
                  </w:r>
                </w:p>
              </w:tc>
              <w:tc>
                <w:tcPr>
                  <w:tcW w:w="488" w:type="pct"/>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53</w:t>
                  </w:r>
                </w:p>
              </w:tc>
              <w:tc>
                <w:tcPr>
                  <w:tcW w:w="488" w:type="pct"/>
                  <w:tcBorders>
                    <w:right w:val="nil"/>
                  </w:tcBorders>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42</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60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50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snapToGrid w:val="0"/>
                      <w:kern w:val="0"/>
                      <w:szCs w:val="21"/>
                    </w:rPr>
                  </w:pPr>
                </w:p>
              </w:tc>
              <w:tc>
                <w:tcPr>
                  <w:tcW w:w="1134" w:type="pct"/>
                  <w:noWrap w:val="0"/>
                  <w:vAlign w:val="center"/>
                </w:tcPr>
                <w:p>
                  <w:pPr>
                    <w:snapToGrid w:val="0"/>
                    <w:jc w:val="center"/>
                    <w:rPr>
                      <w:rFonts w:hint="eastAsia"/>
                      <w:szCs w:val="21"/>
                    </w:rPr>
                  </w:pPr>
                  <w:r>
                    <w:rPr>
                      <w:rFonts w:hint="eastAsia"/>
                      <w:szCs w:val="21"/>
                      <w:lang w:val="en-US" w:eastAsia="zh-CN"/>
                    </w:rPr>
                    <w:t>小峪河村右岸</w:t>
                  </w:r>
                </w:p>
              </w:tc>
              <w:tc>
                <w:tcPr>
                  <w:tcW w:w="488" w:type="pct"/>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55</w:t>
                  </w:r>
                </w:p>
              </w:tc>
              <w:tc>
                <w:tcPr>
                  <w:tcW w:w="488" w:type="pct"/>
                  <w:tcBorders>
                    <w:right w:val="nil"/>
                  </w:tcBorders>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44</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60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50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snapToGrid w:val="0"/>
                      <w:kern w:val="0"/>
                      <w:szCs w:val="21"/>
                    </w:rPr>
                  </w:pPr>
                </w:p>
              </w:tc>
              <w:tc>
                <w:tcPr>
                  <w:tcW w:w="1134" w:type="pct"/>
                  <w:noWrap w:val="0"/>
                  <w:vAlign w:val="center"/>
                </w:tcPr>
                <w:p>
                  <w:pPr>
                    <w:snapToGrid w:val="0"/>
                    <w:jc w:val="center"/>
                    <w:rPr>
                      <w:rFonts w:hint="eastAsia"/>
                      <w:szCs w:val="21"/>
                    </w:rPr>
                  </w:pPr>
                  <w:r>
                    <w:rPr>
                      <w:rFonts w:hint="eastAsia"/>
                      <w:szCs w:val="21"/>
                      <w:lang w:val="en-US" w:eastAsia="zh-CN"/>
                    </w:rPr>
                    <w:t>板庙子村右岸</w:t>
                  </w:r>
                </w:p>
              </w:tc>
              <w:tc>
                <w:tcPr>
                  <w:tcW w:w="488" w:type="pct"/>
                  <w:noWrap w:val="0"/>
                  <w:vAlign w:val="center"/>
                </w:tcPr>
                <w:p>
                  <w:pPr>
                    <w:snapToGrid w:val="0"/>
                    <w:jc w:val="center"/>
                    <w:rPr>
                      <w:rFonts w:hint="default" w:eastAsia="宋体"/>
                      <w:szCs w:val="21"/>
                      <w:lang w:val="en-US" w:eastAsia="zh-CN"/>
                    </w:rPr>
                  </w:pPr>
                  <w:r>
                    <w:rPr>
                      <w:rFonts w:hint="eastAsia"/>
                      <w:szCs w:val="21"/>
                      <w:lang w:val="en-US" w:eastAsia="zh-CN"/>
                    </w:rPr>
                    <w:t>51</w:t>
                  </w:r>
                </w:p>
              </w:tc>
              <w:tc>
                <w:tcPr>
                  <w:tcW w:w="488" w:type="pct"/>
                  <w:tcBorders>
                    <w:right w:val="nil"/>
                  </w:tcBorders>
                  <w:noWrap w:val="0"/>
                  <w:vAlign w:val="center"/>
                </w:tcPr>
                <w:p>
                  <w:pPr>
                    <w:snapToGrid w:val="0"/>
                    <w:jc w:val="center"/>
                    <w:rPr>
                      <w:rFonts w:hint="default" w:eastAsia="宋体"/>
                      <w:szCs w:val="21"/>
                      <w:lang w:val="en-US" w:eastAsia="zh-CN"/>
                    </w:rPr>
                  </w:pPr>
                  <w:r>
                    <w:rPr>
                      <w:rFonts w:hint="eastAsia"/>
                      <w:szCs w:val="21"/>
                      <w:lang w:val="en-US" w:eastAsia="zh-CN"/>
                    </w:rPr>
                    <w:t>41</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60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50</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bottom w:val="single" w:color="auto" w:sz="12" w:space="0"/>
                  </w:tcBorders>
                  <w:noWrap w:val="0"/>
                  <w:vAlign w:val="center"/>
                </w:tcPr>
                <w:p>
                  <w:pPr>
                    <w:snapToGrid w:val="0"/>
                    <w:jc w:val="center"/>
                    <w:rPr>
                      <w:rFonts w:hint="eastAsia"/>
                      <w:snapToGrid w:val="0"/>
                      <w:kern w:val="0"/>
                      <w:szCs w:val="21"/>
                    </w:rPr>
                  </w:pPr>
                </w:p>
              </w:tc>
              <w:tc>
                <w:tcPr>
                  <w:tcW w:w="1134" w:type="pct"/>
                  <w:tcBorders>
                    <w:bottom w:val="single" w:color="auto" w:sz="12" w:space="0"/>
                  </w:tcBorders>
                  <w:noWrap w:val="0"/>
                  <w:vAlign w:val="center"/>
                </w:tcPr>
                <w:p>
                  <w:pPr>
                    <w:snapToGrid w:val="0"/>
                    <w:jc w:val="center"/>
                    <w:rPr>
                      <w:rFonts w:hint="eastAsia"/>
                      <w:szCs w:val="21"/>
                    </w:rPr>
                  </w:pPr>
                  <w:r>
                    <w:rPr>
                      <w:rFonts w:hint="eastAsia"/>
                      <w:szCs w:val="21"/>
                      <w:lang w:val="en-US" w:eastAsia="zh-CN"/>
                    </w:rPr>
                    <w:t>五里庙村右岸</w:t>
                  </w:r>
                </w:p>
              </w:tc>
              <w:tc>
                <w:tcPr>
                  <w:tcW w:w="488" w:type="pct"/>
                  <w:tcBorders>
                    <w:bottom w:val="single" w:color="auto" w:sz="12" w:space="0"/>
                  </w:tcBorders>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53</w:t>
                  </w:r>
                </w:p>
              </w:tc>
              <w:tc>
                <w:tcPr>
                  <w:tcW w:w="488" w:type="pct"/>
                  <w:tcBorders>
                    <w:bottom w:val="single" w:color="auto" w:sz="12" w:space="0"/>
                    <w:right w:val="nil"/>
                  </w:tcBorders>
                  <w:noWrap w:val="0"/>
                  <w:vAlign w:val="center"/>
                </w:tcPr>
                <w:p>
                  <w:pPr>
                    <w:snapToGrid w:val="0"/>
                    <w:jc w:val="center"/>
                    <w:rPr>
                      <w:rFonts w:hint="default" w:eastAsia="宋体"/>
                      <w:snapToGrid w:val="0"/>
                      <w:kern w:val="0"/>
                      <w:szCs w:val="21"/>
                      <w:lang w:val="en-US" w:eastAsia="zh-CN"/>
                    </w:rPr>
                  </w:pPr>
                  <w:r>
                    <w:rPr>
                      <w:rFonts w:hint="eastAsia"/>
                      <w:snapToGrid w:val="0"/>
                      <w:kern w:val="0"/>
                      <w:szCs w:val="21"/>
                      <w:lang w:val="en-US" w:eastAsia="zh-CN"/>
                    </w:rPr>
                    <w:t>42</w:t>
                  </w:r>
                </w:p>
              </w:tc>
              <w:tc>
                <w:tcPr>
                  <w:tcW w:w="488" w:type="pct"/>
                  <w:tcBorders>
                    <w:bottom w:val="single" w:color="auto" w:sz="12" w:space="0"/>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60</w:t>
                  </w:r>
                </w:p>
              </w:tc>
              <w:tc>
                <w:tcPr>
                  <w:tcW w:w="488" w:type="pct"/>
                  <w:tcBorders>
                    <w:bottom w:val="single" w:color="auto" w:sz="12" w:space="0"/>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50</w:t>
                  </w:r>
                </w:p>
              </w:tc>
              <w:tc>
                <w:tcPr>
                  <w:tcW w:w="488" w:type="pct"/>
                  <w:tcBorders>
                    <w:bottom w:val="single" w:color="auto" w:sz="12" w:space="0"/>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c>
                <w:tcPr>
                  <w:tcW w:w="488" w:type="pct"/>
                  <w:tcBorders>
                    <w:bottom w:val="single" w:color="auto" w:sz="12" w:space="0"/>
                    <w:right w:val="nil"/>
                  </w:tcBorders>
                  <w:noWrap w:val="0"/>
                  <w:vAlign w:val="center"/>
                </w:tcPr>
                <w:p>
                  <w:pPr>
                    <w:snapToGrid w:val="0"/>
                    <w:jc w:val="center"/>
                    <w:rPr>
                      <w:rFonts w:hint="eastAsia" w:ascii="Times New Roman" w:hAnsi="Times New Roman" w:eastAsia="宋体" w:cs="Times New Roman"/>
                      <w:snapToGrid w:val="0"/>
                      <w:kern w:val="0"/>
                      <w:sz w:val="21"/>
                      <w:szCs w:val="21"/>
                      <w:lang w:val="en-US" w:eastAsia="zh-CN" w:bidi="ar-SA"/>
                    </w:rPr>
                  </w:pPr>
                  <w:r>
                    <w:rPr>
                      <w:rFonts w:hint="eastAsia"/>
                      <w:snapToGrid w:val="0"/>
                      <w:kern w:val="0"/>
                      <w:szCs w:val="21"/>
                      <w:lang w:val="en-US" w:eastAsia="zh-CN"/>
                    </w:rPr>
                    <w:t>达标</w:t>
                  </w:r>
                </w:p>
              </w:tc>
            </w:tr>
          </w:tbl>
          <w:p>
            <w:pPr>
              <w:pStyle w:val="6"/>
              <w:adjustRightInd w:val="0"/>
              <w:snapToGrid w:val="0"/>
              <w:spacing w:line="360" w:lineRule="auto"/>
              <w:ind w:left="0" w:leftChars="0" w:firstLine="480" w:firstLineChars="200"/>
              <w:rPr>
                <w:rFonts w:hint="eastAsia" w:ascii="Times New Roman" w:hAnsi="Times New Roman" w:cs="Times New Roman"/>
                <w:color w:val="FF0000"/>
                <w:sz w:val="24"/>
                <w:szCs w:val="24"/>
                <w:highlight w:val="none"/>
                <w:lang w:val="en-US" w:eastAsia="zh-CN"/>
              </w:rPr>
            </w:pPr>
            <w:r>
              <w:rPr>
                <w:rFonts w:hint="eastAsia" w:ascii="Times New Roman" w:hAnsi="Times New Roman" w:cs="Times New Roman"/>
                <w:color w:val="auto"/>
                <w:sz w:val="24"/>
                <w:szCs w:val="24"/>
                <w:highlight w:val="none"/>
                <w:lang w:val="en-US" w:eastAsia="zh-CN"/>
              </w:rPr>
              <w:t>从监测结果可知，监测期间，项目周边噪声值满足《声环境质量标准》（GB3096-2008）中2类标准。</w:t>
            </w:r>
          </w:p>
          <w:p>
            <w:pPr>
              <w:pStyle w:val="6"/>
              <w:adjustRightInd w:val="0"/>
              <w:snapToGrid w:val="0"/>
              <w:spacing w:line="360" w:lineRule="auto"/>
              <w:ind w:left="0" w:leftChars="0" w:firstLine="482" w:firstLineChars="200"/>
              <w:rPr>
                <w:rFonts w:hint="eastAsia" w:ascii="Times New Roman" w:hAnsi="Times New Roman" w:cs="Times New Roman"/>
                <w:color w:val="FF0000"/>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4.地表水环境质量现状</w:t>
            </w:r>
          </w:p>
          <w:p>
            <w:pPr>
              <w:pStyle w:val="6"/>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（1）监测</w:t>
            </w:r>
            <w:r>
              <w:rPr>
                <w:rFonts w:hint="eastAsia" w:cs="Times New Roman"/>
                <w:color w:val="auto"/>
                <w:sz w:val="24"/>
                <w:szCs w:val="24"/>
                <w:highlight w:val="none"/>
                <w:lang w:val="en-US" w:eastAsia="zh-CN"/>
              </w:rPr>
              <w:t>断面</w:t>
            </w:r>
            <w:r>
              <w:rPr>
                <w:rFonts w:hint="eastAsia" w:ascii="Times New Roman" w:hAnsi="Times New Roman" w:cs="Times New Roman"/>
                <w:color w:val="auto"/>
                <w:sz w:val="24"/>
                <w:szCs w:val="24"/>
                <w:highlight w:val="none"/>
                <w:lang w:val="en-US" w:eastAsia="zh-CN"/>
              </w:rPr>
              <w:t>及监测频次</w:t>
            </w:r>
          </w:p>
          <w:p>
            <w:pPr>
              <w:pStyle w:val="6"/>
              <w:adjustRightInd w:val="0"/>
              <w:snapToGrid w:val="0"/>
              <w:spacing w:line="360" w:lineRule="auto"/>
              <w:ind w:firstLine="480" w:firstLineChars="200"/>
              <w:rPr>
                <w:rFonts w:hint="eastAsia" w:ascii="Times New Roman" w:hAnsi="Times New Roman" w:cs="Times New Roman"/>
                <w:color w:val="FF0000"/>
                <w:sz w:val="24"/>
                <w:szCs w:val="24"/>
                <w:highlight w:val="none"/>
                <w:lang w:val="en-US" w:eastAsia="zh-CN"/>
              </w:rPr>
            </w:pPr>
            <w:r>
              <w:rPr>
                <w:rFonts w:hint="eastAsia" w:ascii="Times New Roman" w:hAnsi="Times New Roman" w:cs="Times New Roman"/>
                <w:color w:val="auto"/>
                <w:sz w:val="24"/>
                <w:szCs w:val="24"/>
                <w:highlight w:val="none"/>
                <w:lang w:val="en-US" w:eastAsia="zh-CN"/>
              </w:rPr>
              <w:t>本线路范围内主要影响水域为</w:t>
            </w:r>
            <w:r>
              <w:rPr>
                <w:rFonts w:hint="eastAsia" w:cs="Times New Roman"/>
                <w:color w:val="auto"/>
                <w:sz w:val="24"/>
                <w:szCs w:val="24"/>
                <w:highlight w:val="none"/>
                <w:lang w:val="en-US" w:eastAsia="zh-CN"/>
              </w:rPr>
              <w:t>大峪河、小峪河</w:t>
            </w:r>
            <w:r>
              <w:rPr>
                <w:rFonts w:hint="eastAsia" w:ascii="Times New Roman" w:hAnsi="Times New Roman" w:cs="Times New Roman"/>
                <w:color w:val="auto"/>
                <w:sz w:val="24"/>
                <w:szCs w:val="24"/>
                <w:highlight w:val="none"/>
                <w:lang w:val="en-US" w:eastAsia="zh-CN"/>
              </w:rPr>
              <w:t>，委托中量检测认证有限公司于2023年11月30日至12月3日在</w:t>
            </w:r>
            <w:r>
              <w:rPr>
                <w:rFonts w:hint="eastAsia" w:cs="Times New Roman"/>
                <w:color w:val="auto"/>
                <w:sz w:val="24"/>
                <w:szCs w:val="24"/>
                <w:highlight w:val="none"/>
                <w:lang w:val="en-US" w:eastAsia="zh-CN"/>
              </w:rPr>
              <w:t>大峪河、小峪河的上、</w:t>
            </w:r>
            <w:r>
              <w:rPr>
                <w:rFonts w:hint="eastAsia" w:ascii="Times New Roman" w:hAnsi="Times New Roman" w:cs="Times New Roman"/>
                <w:color w:val="auto"/>
                <w:sz w:val="24"/>
                <w:szCs w:val="24"/>
                <w:highlight w:val="none"/>
                <w:lang w:val="en-US" w:eastAsia="zh-CN"/>
              </w:rPr>
              <w:t>下游河段</w:t>
            </w:r>
            <w:r>
              <w:rPr>
                <w:rFonts w:hint="eastAsia" w:cs="Times New Roman"/>
                <w:color w:val="auto"/>
                <w:sz w:val="24"/>
                <w:szCs w:val="24"/>
                <w:highlight w:val="none"/>
                <w:lang w:val="en-US" w:eastAsia="zh-CN"/>
              </w:rPr>
              <w:t>各</w:t>
            </w:r>
            <w:r>
              <w:rPr>
                <w:rFonts w:hint="eastAsia" w:ascii="Times New Roman" w:hAnsi="Times New Roman" w:cs="Times New Roman"/>
                <w:color w:val="auto"/>
                <w:sz w:val="24"/>
                <w:szCs w:val="24"/>
                <w:highlight w:val="none"/>
                <w:lang w:val="en-US" w:eastAsia="zh-CN"/>
              </w:rPr>
              <w:t>设置1个水质断面监测点，连续监测3天，每天1次。</w:t>
            </w:r>
          </w:p>
          <w:p>
            <w:pPr>
              <w:pStyle w:val="6"/>
              <w:numPr>
                <w:ilvl w:val="0"/>
                <w:numId w:val="0"/>
              </w:numPr>
              <w:adjustRightInd w:val="0"/>
              <w:snapToGri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检测项目及</w:t>
            </w:r>
            <w:r>
              <w:rPr>
                <w:rFonts w:hint="eastAsia" w:ascii="Times New Roman" w:hAnsi="Times New Roman" w:cs="Times New Roman"/>
                <w:color w:val="auto"/>
                <w:sz w:val="24"/>
                <w:szCs w:val="24"/>
                <w:highlight w:val="none"/>
                <w:lang w:val="en-US" w:eastAsia="zh-CN"/>
              </w:rPr>
              <w:t>监测分析方法</w:t>
            </w:r>
          </w:p>
          <w:p>
            <w:pPr>
              <w:pStyle w:val="6"/>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本次地表水环境主要监测《地表水环境质量标准》（GB3838-2002）表1地表水环境质量标准基本项目及悬浮物</w:t>
            </w:r>
            <w:r>
              <w:rPr>
                <w:rFonts w:hint="eastAsia" w:ascii="Times New Roman" w:hAnsi="Times New Roman" w:cs="Times New Roman"/>
                <w:color w:val="auto"/>
                <w:sz w:val="24"/>
                <w:szCs w:val="24"/>
                <w:highlight w:val="none"/>
                <w:lang w:val="en-US" w:eastAsia="zh-CN"/>
              </w:rPr>
              <w:t>，检测项目及监测分析方法</w:t>
            </w:r>
            <w:r>
              <w:rPr>
                <w:rFonts w:hint="eastAsia" w:cs="Times New Roman"/>
                <w:color w:val="auto"/>
                <w:sz w:val="24"/>
                <w:szCs w:val="24"/>
                <w:highlight w:val="none"/>
                <w:lang w:val="en-US" w:eastAsia="zh-CN"/>
              </w:rPr>
              <w:t>见表3-8。</w:t>
            </w:r>
          </w:p>
          <w:p>
            <w:pPr>
              <w:pStyle w:val="6"/>
              <w:adjustRightInd w:val="0"/>
              <w:snapToGrid w:val="0"/>
              <w:ind w:firstLine="0"/>
              <w:jc w:val="center"/>
              <w:rPr>
                <w:rFonts w:hint="default" w:ascii="Times New Roman" w:hAnsi="Times New Roman" w:cs="Times New Roman"/>
                <w:b/>
                <w:bCs/>
                <w:color w:val="FF0000"/>
                <w:sz w:val="24"/>
                <w:szCs w:val="24"/>
                <w:highlight w:val="none"/>
                <w:vertAlign w:val="superscript"/>
                <w:lang w:val="en-US" w:eastAsia="zh-CN"/>
              </w:rPr>
            </w:pPr>
            <w:r>
              <w:rPr>
                <w:rFonts w:hint="eastAsia" w:ascii="Times New Roman" w:hAnsi="Times New Roman"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8</w:t>
            </w:r>
            <w:r>
              <w:rPr>
                <w:rFonts w:hint="eastAsia" w:ascii="Times New Roman" w:hAnsi="Times New Roman" w:cs="Times New Roman"/>
                <w:b/>
                <w:bCs/>
                <w:color w:val="auto"/>
                <w:sz w:val="24"/>
                <w:szCs w:val="24"/>
                <w:highlight w:val="none"/>
                <w:lang w:val="en-US" w:eastAsia="zh-CN"/>
              </w:rPr>
              <w:t xml:space="preserve">   主要分析仪器及分析方法</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2"/>
              <w:gridCol w:w="866"/>
              <w:gridCol w:w="1367"/>
              <w:gridCol w:w="2541"/>
              <w:gridCol w:w="2260"/>
              <w:gridCol w:w="1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97"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493"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检测项目</w:t>
                  </w:r>
                </w:p>
              </w:tc>
              <w:tc>
                <w:tcPr>
                  <w:tcW w:w="778"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检测标准</w:t>
                  </w:r>
                </w:p>
              </w:tc>
              <w:tc>
                <w:tcPr>
                  <w:tcW w:w="1447"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检测方法</w:t>
                  </w:r>
                </w:p>
              </w:tc>
              <w:tc>
                <w:tcPr>
                  <w:tcW w:w="1287"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检测仪器</w:t>
                  </w:r>
                </w:p>
              </w:tc>
              <w:tc>
                <w:tcPr>
                  <w:tcW w:w="695" w:type="pct"/>
                  <w:tcBorders>
                    <w:tl2br w:val="nil"/>
                    <w:tr2bl w:val="nil"/>
                  </w:tcBorders>
                  <w:shd w:val="clear" w:color="auto" w:fill="auto"/>
                  <w:noWrap w:val="0"/>
                  <w:vAlign w:val="center"/>
                </w:tcPr>
                <w:p>
                  <w:pPr>
                    <w:pStyle w:val="6"/>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检出限/最低检出浓度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pH值</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 1147-2020</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pH值的测定 电极法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SX376</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便携式多参数分析仪</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ZL-HJ-01025-2022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2</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GB/T</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13195-1991</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水温的测定 温度计或颠倒温度计测定法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深水温度计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ZL-HJ-01035-2022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3</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五日生化需氧量</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 505-2009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五日生化需氧量（BOD5）的测定 稀释与接种法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溶解氧仪 JPB-605</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ZL-HJ-06005-2022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4</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化学需氧量</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 828-2017</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化学需氧量的测定 重铬酸盐法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25ml滴定管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ZL-HJ-10008-2022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CODcr消解仪GH-108</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ZL-HJ-08023-2022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5</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高锰酸盐指数</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GB/T 11892-1989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高锰酸盐指数的测定</w:t>
                  </w:r>
                </w:p>
              </w:tc>
              <w:tc>
                <w:tcPr>
                  <w:tcW w:w="1287"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水浴锅</w:t>
                  </w:r>
                </w:p>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ZL-HJ-08001-2022</w:t>
                  </w:r>
                </w:p>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25ml酸式滴定管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ZL-HJ-10008-2022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6</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 xml:space="preserve">溶解氧   </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HJ506-2009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溶解氧的测定 电化学探头法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SX376</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便携式多参数分析仪</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ZL-HJ-01025-2022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7</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石油类</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HJ970-2018</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石油类的测定 紫外分光光度法（试行）</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8</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挥发酚</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HJ503-2009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挥发酚的测定 4-氨基安替比林分光光度法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9</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氰化物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HJ484-2009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氰化物的测定 容量法和分光光度法（方法2异烟酸-吡唑啉酮分光光度法）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10</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氟化物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GB</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7484-1987</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氟化物的测定 离子选择电极法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离子计 P917</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ZL-HJ-06006-2022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11</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硫化物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HJ 1226-2021</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水质 硫化物的测定 亚甲基蓝分光光度法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0.01</w:t>
                  </w:r>
                  <w:r>
                    <w:rPr>
                      <w:rFonts w:hint="default" w:ascii="Times New Roman" w:hAnsi="Times New Roman" w:eastAsia="宋体" w:cs="Times New Roman"/>
                      <w:i w:val="0"/>
                      <w:iCs w:val="0"/>
                      <w:color w:val="auto"/>
                      <w:sz w:val="21"/>
                      <w:szCs w:val="21"/>
                      <w:u w:val="no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12</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阴离子表面活性剂</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GB 7494-1987</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阴离子表面活性剂的测定 亚甲蓝分光光度法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13</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氨氮</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 535-2009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氨氮的测定 纳氏试剂分光光度法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14</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总氮</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HJ636-2012</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总氮的测定 碱性过硫酸钾消解紫外分光光度法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15</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总磷</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GB/T 11893-1989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总磷的测定 钼酸铵分光光度法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16</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粪大肠</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菌群</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HJ347.2-2018</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粪大肠菌群的测定 多管发酵法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生化培养箱 37°C±0.5°C</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SPX-250BE</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ZL-HJ-11014-20223</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44.5°C±0.5°C</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ZL-HJ-11003-2022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电子天平 JCS-31001C</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ZL-HJ-11007-2022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cs="Times New Roman"/>
                      <w:i w:val="0"/>
                      <w:iCs w:val="0"/>
                      <w:color w:val="auto"/>
                      <w:sz w:val="21"/>
                      <w:szCs w:val="21"/>
                      <w:u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17</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铅</w:t>
                  </w:r>
                </w:p>
              </w:tc>
              <w:tc>
                <w:tcPr>
                  <w:tcW w:w="778"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GB7475-1987</w:t>
                  </w:r>
                </w:p>
              </w:tc>
              <w:tc>
                <w:tcPr>
                  <w:tcW w:w="144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铜、锌、铅、镉的测定原子吸收分光光度法</w:t>
                  </w:r>
                </w:p>
              </w:tc>
              <w:tc>
                <w:tcPr>
                  <w:tcW w:w="128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原子吸收分光光度计 A3</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ZL-HJ-05002-2022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cs="Times New Roman"/>
                      <w:i w:val="0"/>
                      <w:iCs w:val="0"/>
                      <w:color w:val="auto"/>
                      <w:sz w:val="21"/>
                      <w:szCs w:val="21"/>
                      <w:u w:val="none"/>
                      <w:lang w:val="en-US" w:eastAsia="zh-CN" w:bidi="ar-SA"/>
                    </w:rPr>
                    <w:t>0.01</w:t>
                  </w:r>
                  <w:r>
                    <w:rPr>
                      <w:rFonts w:hint="default" w:ascii="Times New Roman" w:hAnsi="Times New Roman" w:eastAsia="宋体" w:cs="Times New Roman"/>
                      <w:i w:val="0"/>
                      <w:iCs w:val="0"/>
                      <w:color w:val="auto"/>
                      <w:sz w:val="21"/>
                      <w:szCs w:val="21"/>
                      <w:u w:val="no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18</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镉</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w:t>
                  </w:r>
                  <w:r>
                    <w:rPr>
                      <w:rFonts w:hint="eastAsia" w:cs="Times New Roman"/>
                      <w:i w:val="0"/>
                      <w:iCs w:val="0"/>
                      <w:color w:val="auto"/>
                      <w:sz w:val="21"/>
                      <w:szCs w:val="21"/>
                      <w:u w:val="none"/>
                      <w:lang w:val="en-US" w:eastAsia="zh-CN" w:bidi="ar-SA"/>
                    </w:rPr>
                    <w:t>00</w:t>
                  </w:r>
                  <w:r>
                    <w:rPr>
                      <w:rFonts w:hint="default" w:ascii="Times New Roman" w:hAnsi="Times New Roman" w:eastAsia="宋体" w:cs="Times New Roman"/>
                      <w:i w:val="0"/>
                      <w:iCs w:val="0"/>
                      <w:color w:val="auto"/>
                      <w:sz w:val="21"/>
                      <w:szCs w:val="21"/>
                      <w:u w:val="none"/>
                      <w:lang w:val="en-US" w:eastAsia="zh-CN" w:bidi="ar-SA"/>
                    </w:rPr>
                    <w:t>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19</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铜</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20</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锌</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21</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砷</w:t>
                  </w:r>
                </w:p>
              </w:tc>
              <w:tc>
                <w:tcPr>
                  <w:tcW w:w="778"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HJ 694-2014</w:t>
                  </w:r>
                </w:p>
              </w:tc>
              <w:tc>
                <w:tcPr>
                  <w:tcW w:w="144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汞、砷、硒、铋、锑的测定 原子荧光法</w:t>
                  </w:r>
                </w:p>
              </w:tc>
              <w:tc>
                <w:tcPr>
                  <w:tcW w:w="128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双道原子荧光光度计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AFS-3100</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ZL-HJ-05001-2022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0.3µg/L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cs="Times New Roman"/>
                      <w:i w:val="0"/>
                      <w:iCs w:val="0"/>
                      <w:color w:val="auto"/>
                      <w:sz w:val="21"/>
                      <w:szCs w:val="21"/>
                      <w:u w:val="none"/>
                      <w:lang w:val="en-US" w:eastAsia="zh-CN" w:bidi="ar-SA"/>
                    </w:rPr>
                    <w:t>22</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硒</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w:t>
                  </w:r>
                  <w:r>
                    <w:rPr>
                      <w:rFonts w:hint="eastAsia" w:cs="Times New Roman"/>
                      <w:i w:val="0"/>
                      <w:iCs w:val="0"/>
                      <w:color w:val="auto"/>
                      <w:sz w:val="21"/>
                      <w:szCs w:val="21"/>
                      <w:u w:val="none"/>
                      <w:lang w:val="en-US" w:eastAsia="zh-CN" w:bidi="ar-SA"/>
                    </w:rPr>
                    <w:t>4</w:t>
                  </w:r>
                  <w:r>
                    <w:rPr>
                      <w:rFonts w:hint="default" w:ascii="Times New Roman" w:hAnsi="Times New Roman" w:eastAsia="宋体" w:cs="Times New Roman"/>
                      <w:i w:val="0"/>
                      <w:iCs w:val="0"/>
                      <w:color w:val="auto"/>
                      <w:sz w:val="21"/>
                      <w:szCs w:val="21"/>
                      <w:u w:val="none"/>
                      <w:lang w:val="en-US" w:eastAsia="zh-CN" w:bidi="ar-SA"/>
                    </w:rPr>
                    <w:t>µg/L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2</w:t>
                  </w:r>
                  <w:r>
                    <w:rPr>
                      <w:rFonts w:hint="eastAsia" w:cs="Times New Roman"/>
                      <w:i w:val="0"/>
                      <w:iCs w:val="0"/>
                      <w:color w:val="auto"/>
                      <w:sz w:val="21"/>
                      <w:szCs w:val="21"/>
                      <w:u w:val="none"/>
                      <w:lang w:val="en-US" w:eastAsia="zh-CN" w:bidi="ar-SA"/>
                    </w:rPr>
                    <w:t>3</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汞</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0.04µg/L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2</w:t>
                  </w:r>
                  <w:r>
                    <w:rPr>
                      <w:rFonts w:hint="eastAsia" w:cs="Times New Roman"/>
                      <w:i w:val="0"/>
                      <w:iCs w:val="0"/>
                      <w:color w:val="auto"/>
                      <w:sz w:val="21"/>
                      <w:szCs w:val="21"/>
                      <w:u w:val="none"/>
                      <w:lang w:val="en-US" w:eastAsia="zh-CN" w:bidi="ar-SA"/>
                    </w:rPr>
                    <w:t>4</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六价铬</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GB 7467-1987</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六价铬的测定 二苯碳酰二肼分光光度法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bidi="ar-SA"/>
                    </w:rPr>
                    <w:t>25</w:t>
                  </w:r>
                </w:p>
              </w:tc>
              <w:tc>
                <w:tcPr>
                  <w:tcW w:w="49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悬浮物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GB/T 11901-1989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水质 悬浮物的测定 重量法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恒温鼓风干燥箱 202-00A</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ZL-HJ-08008-2022</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分析天平 AL204-IC</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ZL-HJ-07002-2022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bidi="ar-SA"/>
                    </w:rPr>
                    <w:t>/</w:t>
                  </w:r>
                </w:p>
              </w:tc>
            </w:tr>
          </w:tbl>
          <w:p>
            <w:pPr>
              <w:pStyle w:val="6"/>
              <w:numPr>
                <w:ilvl w:val="0"/>
                <w:numId w:val="1"/>
              </w:numPr>
              <w:adjustRightInd w:val="0"/>
              <w:snapToGrid w:val="0"/>
              <w:spacing w:line="36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监测结果</w:t>
            </w:r>
          </w:p>
          <w:p>
            <w:pPr>
              <w:pStyle w:val="6"/>
              <w:adjustRightInd w:val="0"/>
              <w:snapToGrid w:val="0"/>
              <w:ind w:firstLine="0"/>
              <w:jc w:val="center"/>
              <w:rPr>
                <w:rFonts w:hint="default" w:ascii="Times New Roman" w:hAnsi="Times New Roman" w:cs="Times New Roman"/>
                <w:b/>
                <w:bCs/>
                <w:color w:val="auto"/>
                <w:sz w:val="24"/>
                <w:szCs w:val="24"/>
                <w:highlight w:val="none"/>
                <w:vertAlign w:val="superscript"/>
                <w:lang w:val="en-US" w:eastAsia="zh-CN"/>
              </w:rPr>
            </w:pPr>
            <w:r>
              <w:rPr>
                <w:rFonts w:hint="eastAsia" w:ascii="Times New Roman" w:hAnsi="Times New Roman"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9</w:t>
            </w:r>
            <w:r>
              <w:rPr>
                <w:rFonts w:hint="eastAsia" w:ascii="Times New Roman" w:hAnsi="Times New Roman" w:cs="Times New Roman"/>
                <w:b/>
                <w:bCs/>
                <w:color w:val="auto"/>
                <w:sz w:val="24"/>
                <w:szCs w:val="24"/>
                <w:highlight w:val="none"/>
                <w:lang w:val="en-US" w:eastAsia="zh-CN"/>
              </w:rPr>
              <w:t xml:space="preserve">   监测结果一览表</w:t>
            </w:r>
          </w:p>
          <w:tbl>
            <w:tblPr>
              <w:tblStyle w:val="27"/>
              <w:tblW w:w="8997"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491"/>
              <w:gridCol w:w="1269"/>
              <w:gridCol w:w="886"/>
              <w:gridCol w:w="914"/>
              <w:gridCol w:w="872"/>
              <w:gridCol w:w="887"/>
              <w:gridCol w:w="900"/>
              <w:gridCol w:w="1200"/>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shd w:val="clear" w:color="auto" w:fill="auto"/>
                  <w:vAlign w:val="center"/>
                </w:tcPr>
                <w:p>
                  <w:pPr>
                    <w:widowControl/>
                    <w:spacing w:line="240" w:lineRule="auto"/>
                    <w:jc w:val="center"/>
                    <w:rPr>
                      <w:rFonts w:hint="eastAsia" w:eastAsia="宋体"/>
                      <w:b/>
                      <w:bCs/>
                      <w:color w:val="auto"/>
                      <w:kern w:val="0"/>
                      <w:lang w:eastAsia="zh-CN"/>
                    </w:rPr>
                  </w:pPr>
                  <w:r>
                    <w:rPr>
                      <w:rFonts w:hint="eastAsia"/>
                      <w:b/>
                      <w:bCs/>
                      <w:color w:val="auto"/>
                      <w:kern w:val="0"/>
                      <w:lang w:eastAsia="zh-CN"/>
                    </w:rPr>
                    <w:t>监测日期</w:t>
                  </w:r>
                </w:p>
              </w:tc>
              <w:tc>
                <w:tcPr>
                  <w:tcW w:w="272" w:type="pct"/>
                  <w:vMerge w:val="restart"/>
                  <w:tcBorders>
                    <w:tl2br w:val="nil"/>
                    <w:tr2bl w:val="nil"/>
                  </w:tcBorders>
                  <w:shd w:val="clear" w:color="auto" w:fill="auto"/>
                  <w:vAlign w:val="center"/>
                </w:tcPr>
                <w:p>
                  <w:pPr>
                    <w:widowControl/>
                    <w:spacing w:line="240" w:lineRule="auto"/>
                    <w:jc w:val="center"/>
                    <w:rPr>
                      <w:b/>
                      <w:bCs/>
                      <w:color w:val="auto"/>
                      <w:kern w:val="0"/>
                    </w:rPr>
                  </w:pPr>
                  <w:r>
                    <w:rPr>
                      <w:b/>
                      <w:bCs/>
                      <w:color w:val="auto"/>
                      <w:kern w:val="0"/>
                    </w:rPr>
                    <w:t>序号</w:t>
                  </w:r>
                </w:p>
              </w:tc>
              <w:tc>
                <w:tcPr>
                  <w:tcW w:w="705" w:type="pct"/>
                  <w:vMerge w:val="restart"/>
                  <w:tcBorders>
                    <w:tl2br w:val="nil"/>
                    <w:tr2bl w:val="nil"/>
                  </w:tcBorders>
                  <w:shd w:val="clear" w:color="auto" w:fill="auto"/>
                  <w:vAlign w:val="center"/>
                </w:tcPr>
                <w:p>
                  <w:pPr>
                    <w:widowControl/>
                    <w:spacing w:line="240" w:lineRule="auto"/>
                    <w:jc w:val="center"/>
                    <w:rPr>
                      <w:b/>
                      <w:bCs/>
                      <w:color w:val="auto"/>
                      <w:kern w:val="0"/>
                    </w:rPr>
                  </w:pPr>
                  <w:r>
                    <w:rPr>
                      <w:b/>
                      <w:bCs/>
                      <w:color w:val="auto"/>
                      <w:kern w:val="0"/>
                    </w:rPr>
                    <w:t>监测项目</w:t>
                  </w:r>
                </w:p>
              </w:tc>
              <w:tc>
                <w:tcPr>
                  <w:tcW w:w="492" w:type="pct"/>
                  <w:vMerge w:val="restart"/>
                  <w:tcBorders>
                    <w:tl2br w:val="nil"/>
                    <w:tr2bl w:val="nil"/>
                  </w:tcBorders>
                  <w:shd w:val="clear" w:color="auto" w:fill="auto"/>
                  <w:noWrap/>
                  <w:vAlign w:val="center"/>
                </w:tcPr>
                <w:p>
                  <w:pPr>
                    <w:widowControl/>
                    <w:spacing w:line="240" w:lineRule="auto"/>
                    <w:jc w:val="center"/>
                    <w:rPr>
                      <w:b/>
                      <w:bCs/>
                      <w:color w:val="auto"/>
                      <w:kern w:val="0"/>
                    </w:rPr>
                  </w:pPr>
                  <w:r>
                    <w:rPr>
                      <w:rFonts w:hint="default" w:ascii="Times New Roman" w:hAnsi="Times New Roman" w:eastAsia="宋体" w:cs="Times New Roman"/>
                      <w:b/>
                      <w:bCs/>
                      <w:color w:val="auto"/>
                      <w:sz w:val="21"/>
                      <w:szCs w:val="21"/>
                      <w:highlight w:val="none"/>
                      <w:lang w:val="en-US" w:eastAsia="zh-CN"/>
                    </w:rPr>
                    <w:t>单位</w:t>
                  </w:r>
                </w:p>
              </w:tc>
              <w:tc>
                <w:tcPr>
                  <w:tcW w:w="1985" w:type="pct"/>
                  <w:gridSpan w:val="4"/>
                  <w:tcBorders>
                    <w:tl2br w:val="nil"/>
                    <w:tr2bl w:val="nil"/>
                  </w:tcBorders>
                  <w:shd w:val="clear" w:color="auto" w:fill="auto"/>
                  <w:noWrap/>
                  <w:vAlign w:val="center"/>
                </w:tcPr>
                <w:p>
                  <w:pPr>
                    <w:widowControl/>
                    <w:spacing w:line="240" w:lineRule="auto"/>
                    <w:jc w:val="center"/>
                    <w:rPr>
                      <w:b/>
                      <w:bCs/>
                      <w:color w:val="auto"/>
                      <w:kern w:val="0"/>
                    </w:rPr>
                  </w:pPr>
                  <w:r>
                    <w:rPr>
                      <w:b/>
                      <w:bCs/>
                      <w:color w:val="auto"/>
                      <w:kern w:val="0"/>
                    </w:rPr>
                    <w:t>监测结果</w:t>
                  </w:r>
                </w:p>
              </w:tc>
              <w:tc>
                <w:tcPr>
                  <w:tcW w:w="666" w:type="pct"/>
                  <w:vMerge w:val="restart"/>
                  <w:tcBorders>
                    <w:tl2br w:val="nil"/>
                    <w:tr2bl w:val="nil"/>
                  </w:tcBorders>
                  <w:shd w:val="clear" w:color="auto" w:fill="auto"/>
                  <w:noWrap/>
                  <w:vAlign w:val="center"/>
                </w:tcPr>
                <w:p>
                  <w:pPr>
                    <w:widowControl/>
                    <w:spacing w:line="240" w:lineRule="auto"/>
                    <w:jc w:val="center"/>
                    <w:rPr>
                      <w:b/>
                      <w:bCs/>
                      <w:color w:val="000000" w:themeColor="text1"/>
                      <w:kern w:val="0"/>
                      <w:sz w:val="22"/>
                      <w:szCs w:val="22"/>
                      <w14:textFill>
                        <w14:solidFill>
                          <w14:schemeClr w14:val="tx1"/>
                        </w14:solidFill>
                      </w14:textFill>
                    </w:rPr>
                  </w:pPr>
                  <w:r>
                    <w:rPr>
                      <w:rFonts w:hint="eastAsia" w:ascii="仿宋" w:hAnsi="仿宋" w:eastAsia="仿宋" w:cs="仿宋"/>
                      <w:b/>
                      <w:bCs/>
                      <w:color w:val="000000" w:themeColor="text1"/>
                      <w:kern w:val="0"/>
                      <w:sz w:val="22"/>
                      <w:szCs w:val="22"/>
                      <w14:textFill>
                        <w14:solidFill>
                          <w14:schemeClr w14:val="tx1"/>
                        </w14:solidFill>
                      </w14:textFill>
                    </w:rPr>
                    <w:t>Ⅱ</w:t>
                  </w:r>
                  <w:r>
                    <w:rPr>
                      <w:b/>
                      <w:bCs/>
                      <w:color w:val="000000" w:themeColor="text1"/>
                      <w:kern w:val="0"/>
                      <w:sz w:val="22"/>
                      <w:szCs w:val="22"/>
                      <w14:textFill>
                        <w14:solidFill>
                          <w14:schemeClr w14:val="tx1"/>
                        </w14:solidFill>
                      </w14:textFill>
                    </w:rPr>
                    <w:t>类标准限值</w:t>
                  </w:r>
                </w:p>
              </w:tc>
              <w:tc>
                <w:tcPr>
                  <w:tcW w:w="479" w:type="pct"/>
                  <w:vMerge w:val="restart"/>
                  <w:tcBorders>
                    <w:tl2br w:val="nil"/>
                    <w:tr2bl w:val="nil"/>
                  </w:tcBorders>
                  <w:shd w:val="clear" w:color="auto" w:fill="auto"/>
                  <w:vAlign w:val="center"/>
                </w:tcPr>
                <w:p>
                  <w:pPr>
                    <w:widowControl/>
                    <w:spacing w:line="240" w:lineRule="auto"/>
                    <w:jc w:val="center"/>
                    <w:rPr>
                      <w:b/>
                      <w:bCs/>
                      <w:color w:val="000000" w:themeColor="text1"/>
                      <w:kern w:val="0"/>
                      <w:sz w:val="22"/>
                      <w:szCs w:val="22"/>
                      <w14:textFill>
                        <w14:solidFill>
                          <w14:schemeClr w14:val="tx1"/>
                        </w14:solidFill>
                      </w14:textFill>
                    </w:rPr>
                  </w:pPr>
                  <w:r>
                    <w:rPr>
                      <w:b/>
                      <w:bCs/>
                      <w:color w:val="000000" w:themeColor="text1"/>
                      <w:kern w:val="0"/>
                      <w:sz w:val="22"/>
                      <w:szCs w:val="22"/>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auto"/>
                      <w:kern w:val="0"/>
                    </w:rPr>
                  </w:pPr>
                </w:p>
              </w:tc>
              <w:tc>
                <w:tcPr>
                  <w:tcW w:w="272" w:type="pct"/>
                  <w:vMerge w:val="continue"/>
                  <w:tcBorders>
                    <w:tl2br w:val="nil"/>
                    <w:tr2bl w:val="nil"/>
                  </w:tcBorders>
                  <w:shd w:val="clear" w:color="auto" w:fill="auto"/>
                  <w:vAlign w:val="center"/>
                </w:tcPr>
                <w:p>
                  <w:pPr>
                    <w:widowControl/>
                    <w:spacing w:line="240" w:lineRule="auto"/>
                    <w:jc w:val="center"/>
                    <w:rPr>
                      <w:color w:val="auto"/>
                      <w:kern w:val="0"/>
                    </w:rPr>
                  </w:pPr>
                </w:p>
              </w:tc>
              <w:tc>
                <w:tcPr>
                  <w:tcW w:w="705" w:type="pct"/>
                  <w:vMerge w:val="continue"/>
                  <w:tcBorders>
                    <w:tl2br w:val="nil"/>
                    <w:tr2bl w:val="nil"/>
                  </w:tcBorders>
                  <w:shd w:val="clear" w:color="auto" w:fill="auto"/>
                  <w:vAlign w:val="center"/>
                </w:tcPr>
                <w:p>
                  <w:pPr>
                    <w:widowControl/>
                    <w:spacing w:line="240" w:lineRule="auto"/>
                    <w:jc w:val="center"/>
                    <w:rPr>
                      <w:color w:val="auto"/>
                      <w:kern w:val="0"/>
                    </w:rPr>
                  </w:pPr>
                </w:p>
              </w:tc>
              <w:tc>
                <w:tcPr>
                  <w:tcW w:w="492" w:type="pct"/>
                  <w:vMerge w:val="continue"/>
                  <w:tcBorders>
                    <w:tl2br w:val="nil"/>
                    <w:tr2bl w:val="nil"/>
                  </w:tcBorders>
                  <w:shd w:val="clear" w:color="auto" w:fill="auto"/>
                  <w:noWrap/>
                  <w:vAlign w:val="center"/>
                </w:tcPr>
                <w:p>
                  <w:pPr>
                    <w:widowControl/>
                    <w:spacing w:line="240" w:lineRule="auto"/>
                    <w:jc w:val="center"/>
                    <w:rPr>
                      <w:color w:val="auto"/>
                      <w:kern w:val="0"/>
                    </w:rPr>
                  </w:pPr>
                </w:p>
              </w:tc>
              <w:tc>
                <w:tcPr>
                  <w:tcW w:w="507" w:type="pct"/>
                  <w:tcBorders>
                    <w:tl2br w:val="nil"/>
                    <w:tr2bl w:val="nil"/>
                  </w:tcBorders>
                  <w:shd w:val="clear" w:color="auto" w:fill="auto"/>
                  <w:noWrap/>
                  <w:vAlign w:val="center"/>
                </w:tcPr>
                <w:p>
                  <w:pPr>
                    <w:widowControl/>
                    <w:spacing w:line="240" w:lineRule="auto"/>
                    <w:jc w:val="center"/>
                    <w:rPr>
                      <w:rFonts w:hint="eastAsia" w:eastAsia="宋体"/>
                      <w:b/>
                      <w:bCs/>
                      <w:color w:val="auto"/>
                      <w:kern w:val="0"/>
                      <w:lang w:eastAsia="zh-CN"/>
                    </w:rPr>
                  </w:pPr>
                  <w:r>
                    <w:rPr>
                      <w:rFonts w:hint="eastAsia"/>
                      <w:b/>
                      <w:bCs/>
                      <w:color w:val="auto"/>
                      <w:kern w:val="0"/>
                      <w:lang w:eastAsia="zh-CN"/>
                    </w:rPr>
                    <w:t>小峪河上游断面</w:t>
                  </w:r>
                </w:p>
              </w:tc>
              <w:tc>
                <w:tcPr>
                  <w:tcW w:w="484" w:type="pct"/>
                  <w:tcBorders>
                    <w:tl2br w:val="nil"/>
                    <w:tr2bl w:val="nil"/>
                  </w:tcBorders>
                  <w:shd w:val="clear" w:color="auto" w:fill="auto"/>
                  <w:noWrap/>
                  <w:vAlign w:val="center"/>
                </w:tcPr>
                <w:p>
                  <w:pPr>
                    <w:widowControl/>
                    <w:spacing w:line="240" w:lineRule="auto"/>
                    <w:jc w:val="center"/>
                    <w:rPr>
                      <w:b/>
                      <w:bCs/>
                      <w:color w:val="auto"/>
                      <w:kern w:val="0"/>
                    </w:rPr>
                  </w:pPr>
                  <w:r>
                    <w:rPr>
                      <w:rFonts w:hint="eastAsia"/>
                      <w:b/>
                      <w:bCs/>
                      <w:color w:val="auto"/>
                      <w:kern w:val="0"/>
                      <w:lang w:eastAsia="zh-CN"/>
                    </w:rPr>
                    <w:t>小峪河下游断面</w:t>
                  </w:r>
                </w:p>
              </w:tc>
              <w:tc>
                <w:tcPr>
                  <w:tcW w:w="492" w:type="pct"/>
                  <w:tcBorders>
                    <w:tl2br w:val="nil"/>
                    <w:tr2bl w:val="nil"/>
                  </w:tcBorders>
                  <w:shd w:val="clear" w:color="auto" w:fill="auto"/>
                  <w:noWrap/>
                  <w:vAlign w:val="center"/>
                </w:tcPr>
                <w:p>
                  <w:pPr>
                    <w:widowControl/>
                    <w:spacing w:line="240" w:lineRule="auto"/>
                    <w:jc w:val="center"/>
                    <w:rPr>
                      <w:b/>
                      <w:bCs/>
                      <w:color w:val="auto"/>
                      <w:kern w:val="0"/>
                    </w:rPr>
                  </w:pPr>
                  <w:r>
                    <w:rPr>
                      <w:rFonts w:hint="eastAsia"/>
                      <w:b/>
                      <w:bCs/>
                      <w:color w:val="auto"/>
                      <w:kern w:val="0"/>
                      <w:lang w:eastAsia="zh-CN"/>
                    </w:rPr>
                    <w:t>大峪河上游断面</w:t>
                  </w:r>
                </w:p>
              </w:tc>
              <w:tc>
                <w:tcPr>
                  <w:tcW w:w="500" w:type="pct"/>
                  <w:tcBorders>
                    <w:tl2br w:val="nil"/>
                    <w:tr2bl w:val="nil"/>
                  </w:tcBorders>
                  <w:shd w:val="clear" w:color="auto" w:fill="auto"/>
                  <w:noWrap/>
                  <w:vAlign w:val="center"/>
                </w:tcPr>
                <w:p>
                  <w:pPr>
                    <w:widowControl/>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b/>
                      <w:bCs/>
                      <w:color w:val="auto"/>
                      <w:kern w:val="0"/>
                      <w:lang w:eastAsia="zh-CN"/>
                    </w:rPr>
                    <w:t>大峪河下游断面</w:t>
                  </w:r>
                </w:p>
              </w:tc>
              <w:tc>
                <w:tcPr>
                  <w:tcW w:w="666" w:type="pct"/>
                  <w:vMerge w:val="continue"/>
                  <w:tcBorders>
                    <w:tl2br w:val="nil"/>
                    <w:tr2bl w:val="nil"/>
                  </w:tcBorders>
                  <w:shd w:val="clear" w:color="auto" w:fill="auto"/>
                  <w:noWrap/>
                  <w:vAlign w:val="center"/>
                </w:tcPr>
                <w:p>
                  <w:pPr>
                    <w:widowControl/>
                    <w:spacing w:line="240" w:lineRule="auto"/>
                    <w:jc w:val="center"/>
                    <w:rPr>
                      <w:rFonts w:hint="eastAsia" w:ascii="宋体" w:hAnsi="宋体" w:cs="宋体"/>
                      <w:color w:val="FF0000"/>
                      <w:kern w:val="0"/>
                      <w:sz w:val="22"/>
                      <w:szCs w:val="22"/>
                    </w:rPr>
                  </w:pPr>
                </w:p>
              </w:tc>
              <w:tc>
                <w:tcPr>
                  <w:tcW w:w="479" w:type="pct"/>
                  <w:vMerge w:val="continue"/>
                  <w:tcBorders>
                    <w:tl2br w:val="nil"/>
                    <w:tr2bl w:val="nil"/>
                  </w:tcBorders>
                  <w:shd w:val="clear" w:color="auto" w:fill="auto"/>
                  <w:vAlign w:val="center"/>
                </w:tcPr>
                <w:p>
                  <w:pPr>
                    <w:widowControl/>
                    <w:spacing w:line="240" w:lineRule="auto"/>
                    <w:jc w:val="center"/>
                    <w:rPr>
                      <w:color w:val="FF0000"/>
                      <w:kern w:val="0"/>
                      <w:sz w:val="22"/>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shd w:val="clear" w:color="auto" w:fill="auto"/>
                  <w:vAlign w:val="center"/>
                </w:tcPr>
                <w:p>
                  <w:pPr>
                    <w:widowControl/>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2023.11.30</w:t>
                  </w: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水温</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微软雅黑" w:hAnsi="微软雅黑" w:eastAsia="微软雅黑" w:cs="微软雅黑"/>
                      <w:color w:val="000000" w:themeColor="text1"/>
                      <w:sz w:val="21"/>
                      <w:szCs w:val="21"/>
                      <w:highlight w:val="none"/>
                      <w14:textFill>
                        <w14:solidFill>
                          <w14:schemeClr w14:val="tx1"/>
                        </w14:solidFill>
                      </w14:textFill>
                    </w:rPr>
                    <w:t>℃</w:t>
                  </w:r>
                </w:p>
              </w:tc>
              <w:tc>
                <w:tcPr>
                  <w:tcW w:w="507"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6.7</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6.1</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6.0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eastAsia="宋体"/>
                      <w:color w:val="000000" w:themeColor="text1"/>
                      <w:kern w:val="0"/>
                      <w:sz w:val="22"/>
                      <w:szCs w:val="22"/>
                      <w:lang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无量纲</w:t>
                  </w:r>
                </w:p>
              </w:tc>
              <w:tc>
                <w:tcPr>
                  <w:tcW w:w="507"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7.18</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7.24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7.22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7.23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6~9</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3</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7</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eastAsia="宋体"/>
                      <w:color w:val="000000" w:themeColor="text1"/>
                      <w:kern w:val="0"/>
                      <w:sz w:val="22"/>
                      <w:szCs w:val="22"/>
                      <w:lang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4</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阴离子表面活性剂</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0.12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0.15</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0.13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0.16</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0.2</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5</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溶解氧</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6.8</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6.5</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6.2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6</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五日生化需氧量</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2.6</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2.6</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3</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7</w:t>
                  </w:r>
                </w:p>
              </w:tc>
              <w:tc>
                <w:tcPr>
                  <w:tcW w:w="705" w:type="pct"/>
                  <w:tcBorders>
                    <w:tl2br w:val="nil"/>
                    <w:tr2bl w:val="nil"/>
                  </w:tcBorders>
                  <w:shd w:val="clear" w:color="auto" w:fill="auto"/>
                  <w:vAlign w:val="center"/>
                </w:tcPr>
                <w:p>
                  <w:pPr>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化学需氧量</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12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8</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高锰酸盐指数</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3.32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3.73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3.40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3.77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4</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9</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氨氮</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0.286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0.364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0.258</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0.382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10</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总磷</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0.04</w:t>
                  </w:r>
                </w:p>
              </w:tc>
              <w:tc>
                <w:tcPr>
                  <w:tcW w:w="484"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0.07</w:t>
                  </w:r>
                </w:p>
              </w:tc>
              <w:tc>
                <w:tcPr>
                  <w:tcW w:w="492"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0.03</w:t>
                  </w:r>
                </w:p>
              </w:tc>
              <w:tc>
                <w:tcPr>
                  <w:tcW w:w="500"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0.08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11</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铜</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12</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锌</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13</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14</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15</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硒</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0.01</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16</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hint="eastAsia" w:eastAsia="宋体"/>
                      <w:color w:val="000000" w:themeColor="text1"/>
                      <w:kern w:val="0"/>
                      <w:sz w:val="22"/>
                      <w:szCs w:val="22"/>
                      <w:lang w:eastAsia="zh-CN"/>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17</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0.00005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18</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总氮</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0.36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0.44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0.35</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0.43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19</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氰化物</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20</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氟化物</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0.24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0.58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0.26</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0.62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21</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硫化物</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22</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挥发酚</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0.002</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23</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石油类</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24</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六价铬</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FF0000"/>
                      <w:kern w:val="0"/>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25</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粪大肠菌群</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210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170</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190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200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2000</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shd w:val="clear" w:color="auto" w:fill="auto"/>
                  <w:vAlign w:val="center"/>
                </w:tcPr>
                <w:p>
                  <w:pPr>
                    <w:widowControl/>
                    <w:spacing w:line="240" w:lineRule="auto"/>
                    <w:jc w:val="center"/>
                    <w:rPr>
                      <w:rFonts w:hint="default"/>
                      <w:color w:val="000000" w:themeColor="text1"/>
                      <w:kern w:val="0"/>
                      <w:lang w:val="en-US"/>
                      <w14:textFill>
                        <w14:solidFill>
                          <w14:schemeClr w14:val="tx1"/>
                        </w14:solidFill>
                      </w14:textFill>
                    </w:rPr>
                  </w:pPr>
                  <w:r>
                    <w:rPr>
                      <w:rFonts w:hint="eastAsia"/>
                      <w:color w:val="000000" w:themeColor="text1"/>
                      <w:kern w:val="0"/>
                      <w:lang w:val="en-US" w:eastAsia="zh-CN"/>
                      <w14:textFill>
                        <w14:solidFill>
                          <w14:schemeClr w14:val="tx1"/>
                        </w14:solidFill>
                      </w14:textFill>
                    </w:rPr>
                    <w:t>2023.12.01</w:t>
                  </w: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水温</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highlight w:val="none"/>
                      <w14:textFill>
                        <w14:solidFill>
                          <w14:schemeClr w14:val="tx1"/>
                        </w14:solidFill>
                      </w14:textFill>
                    </w:rPr>
                    <w:t>℃</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5.8</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无量纲</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7.14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7.19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7.21</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7.22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6~9</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5</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阴离子表面活性剂</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0.11</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0.14</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0.2</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溶解氧</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6.1</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6</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五日生化需氧量</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2.7</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2.4</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3</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7</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化学需氧量</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11</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8</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高锰酸盐指数</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3.43</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3.83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3.48</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3.74</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4</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9</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氨氮</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0.281</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0.402</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0.277</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0.398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10</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总磷</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铜</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锌</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硒</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16</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17</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18</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总氮</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0.37</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0.48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0.38</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0.46</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19</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氰化物</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20</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氟化物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0.25</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0.59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0.27</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0.62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硫化物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挥发酚</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0.002</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石油类</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六价铬</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粪大肠菌群</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140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150</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160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140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2000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2023.12.02</w:t>
                  </w: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水温</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highlight w:val="none"/>
                      <w14:textFill>
                        <w14:solidFill>
                          <w14:schemeClr w14:val="tx1"/>
                        </w14:solidFill>
                      </w14:textFill>
                    </w:rPr>
                    <w:t>℃</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6.1</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6.3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6.2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5.9</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无量纲</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7.17</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7.21</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7.19</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7.21</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6~9</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7</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5</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阴离子表面活性剂</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0.12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0.15</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0.12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0.14</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0.2</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溶解氧</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6.5</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6.4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6.3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6.1</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6</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五日生化需氧量</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2.5</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2.5</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2.4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2.7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3</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7</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化学需氧量</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12</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11</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13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8</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高锰酸盐指数</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3.28</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3.59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3.35</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3.63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4</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9</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氨氮</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0.270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0.363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0.270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0.382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10</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总磷</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铜</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锌</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硒</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16</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17</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18</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总氮</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0.32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0.44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0.31</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0.45</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19</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氰化物</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20</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氟化物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0.27</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0.59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0.23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0.60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硫化物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0.10</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0.09</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挥发酚</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0.002</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石油类</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六价铬</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Pr>
                <w:p>
                  <w:pPr>
                    <w:widowControl/>
                    <w:spacing w:line="240" w:lineRule="auto"/>
                    <w:jc w:val="center"/>
                    <w:rPr>
                      <w:color w:val="000000" w:themeColor="text1"/>
                      <w:kern w:val="0"/>
                      <w14:textFill>
                        <w14:solidFill>
                          <w14:schemeClr w14:val="tx1"/>
                        </w14:solidFill>
                      </w14:textFill>
                    </w:rPr>
                  </w:pPr>
                </w:p>
              </w:tc>
              <w:tc>
                <w:tcPr>
                  <w:tcW w:w="272" w:type="pct"/>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25</w:t>
                  </w:r>
                </w:p>
              </w:tc>
              <w:tc>
                <w:tcPr>
                  <w:tcW w:w="705" w:type="pct"/>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粪大肠菌群</w:t>
                  </w:r>
                </w:p>
              </w:tc>
              <w:tc>
                <w:tcPr>
                  <w:tcW w:w="492" w:type="pct"/>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230</w:t>
                  </w:r>
                </w:p>
              </w:tc>
              <w:tc>
                <w:tcPr>
                  <w:tcW w:w="484" w:type="pct"/>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170</w:t>
                  </w:r>
                </w:p>
              </w:tc>
              <w:tc>
                <w:tcPr>
                  <w:tcW w:w="492" w:type="pct"/>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190</w:t>
                  </w:r>
                </w:p>
              </w:tc>
              <w:tc>
                <w:tcPr>
                  <w:tcW w:w="500" w:type="pct"/>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FF0000"/>
                      <w:sz w:val="21"/>
                      <w:szCs w:val="21"/>
                      <w:highlight w:val="none"/>
                      <w:lang w:val="en-US" w:eastAsia="zh-CN" w:bidi="ar-SA"/>
                    </w:rPr>
                  </w:pPr>
                  <w:r>
                    <w:rPr>
                      <w:rFonts w:hint="eastAsia" w:cs="Times New Roman"/>
                      <w:color w:val="000000" w:themeColor="text1"/>
                      <w:sz w:val="21"/>
                      <w:szCs w:val="21"/>
                      <w:highlight w:val="none"/>
                      <w:lang w:val="en-US" w:eastAsia="zh-CN" w:bidi="ar-SA"/>
                      <w14:textFill>
                        <w14:solidFill>
                          <w14:schemeClr w14:val="tx1"/>
                        </w14:solidFill>
                      </w14:textFill>
                    </w:rPr>
                    <w:t>170</w:t>
                  </w:r>
                </w:p>
              </w:tc>
              <w:tc>
                <w:tcPr>
                  <w:tcW w:w="666" w:type="pct"/>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2000</w:t>
                  </w:r>
                </w:p>
              </w:tc>
              <w:tc>
                <w:tcPr>
                  <w:tcW w:w="479" w:type="pct"/>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8" w:type="pct"/>
                  <w:gridSpan w:val="4"/>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备注</w:t>
                  </w:r>
                </w:p>
              </w:tc>
              <w:tc>
                <w:tcPr>
                  <w:tcW w:w="3131" w:type="pct"/>
                  <w:gridSpan w:val="6"/>
                  <w:vAlign w:val="center"/>
                </w:tcPr>
                <w:p>
                  <w:pPr>
                    <w:widowControl/>
                    <w:spacing w:line="240" w:lineRule="auto"/>
                    <w:jc w:val="center"/>
                    <w:rPr>
                      <w:color w:val="000000" w:themeColor="text1"/>
                      <w:kern w:val="0"/>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“ND”表示检测结果低于方法检出限。</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FF0000"/>
                <w:lang w:eastAsia="zh-CN"/>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根据监测结果可知，大峪河、小峪河的上、下游河段水质因子</w:t>
            </w:r>
            <w:r>
              <w:rPr>
                <w:rFonts w:hint="eastAsia" w:cs="Times New Roman"/>
                <w:color w:val="000000" w:themeColor="text1"/>
                <w:kern w:val="2"/>
                <w:sz w:val="24"/>
                <w:szCs w:val="24"/>
                <w:highlight w:val="none"/>
                <w:lang w:val="en-US" w:eastAsia="zh-CN" w:bidi="ar-SA"/>
                <w14:textFill>
                  <w14:solidFill>
                    <w14:schemeClr w14:val="tx1"/>
                  </w14:solidFill>
                </w14:textFill>
              </w:rPr>
              <w:t>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满足《地表水环境质量标准》（</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GB3838-2002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）中的</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Ⅱ</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570" w:type="dxa"/>
            <w:vAlign w:val="center"/>
          </w:tcPr>
          <w:p>
            <w:pPr>
              <w:adjustRightInd w:val="0"/>
              <w:snapToGrid w:val="0"/>
              <w:jc w:val="center"/>
              <w:rPr>
                <w:rFonts w:ascii="宋体" w:hAnsi="宋体" w:cs="宋体"/>
                <w:color w:val="auto"/>
                <w:kern w:val="0"/>
                <w:szCs w:val="21"/>
              </w:rPr>
            </w:pPr>
            <w:r>
              <w:rPr>
                <w:rFonts w:hint="eastAsia" w:ascii="宋体" w:hAnsi="宋体"/>
                <w:bCs/>
                <w:color w:val="auto"/>
                <w:szCs w:val="21"/>
              </w:rPr>
              <w:t>与项目有关的原有环境污染和生态破坏问题</w:t>
            </w:r>
          </w:p>
        </w:tc>
        <w:tc>
          <w:tcPr>
            <w:tcW w:w="8998" w:type="dxa"/>
            <w:vAlign w:val="center"/>
          </w:tcPr>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根据现状调查，与项目有关的原有环境污染和生态破坏问题如下。</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1.林地生态环境问题</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区山坡坡度多为20°-30°,分布有大量堆积物，部分地区黄土覆盖较厚，为水土流失的发生提供了物源条件，加之较为集中的雨季强降水又为水土流失提供了动力条件，致使降水冲蚀强度更加剧烈，形成恶性循环</w:t>
            </w:r>
            <w:r>
              <w:rPr>
                <w:rFonts w:hint="eastAsia" w:cs="Times New Roman"/>
                <w:color w:val="000000" w:themeColor="text1"/>
                <w:sz w:val="24"/>
                <w:szCs w:val="24"/>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项目区林地以天然林为主，缺乏必要的日常管护，林木生长面临质量差、生长慢、枯死，退化林面积不断增加；</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FF0000"/>
                <w:sz w:val="24"/>
                <w:szCs w:val="24"/>
                <w:highlight w:val="none"/>
                <w:lang w:val="en-US" w:eastAsia="zh-CN"/>
              </w:rPr>
            </w:pPr>
            <w:r>
              <w:rPr>
                <w:rFonts w:hint="eastAsia" w:cs="Times New Roman"/>
                <w:color w:val="000000" w:themeColor="text1"/>
                <w:sz w:val="24"/>
                <w:szCs w:val="24"/>
                <w:highlight w:val="none"/>
                <w:lang w:val="en-US" w:eastAsia="zh-CN"/>
                <w14:textFill>
                  <w14:solidFill>
                    <w14:schemeClr w14:val="tx1"/>
                  </w14:solidFill>
                </w14:textFill>
              </w:rPr>
              <w:t>（3）项目区紧邻村庄和农田，人为不合理的生产生活对林地健康生长带来不利</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2.河道</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生态环境问题</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由于不同河段地质环境质量不同，沟岸常常发生严重水土流失，顶冲段护岸受损，行洪能力较差，沟道稳定性下降</w:t>
            </w:r>
            <w:r>
              <w:rPr>
                <w:rFonts w:hint="eastAsia" w:cs="Times New Roman"/>
                <w:color w:val="000000" w:themeColor="text1"/>
                <w:sz w:val="24"/>
                <w:szCs w:val="24"/>
                <w:highlight w:val="none"/>
                <w:lang w:val="en-US" w:eastAsia="zh-CN"/>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河岸裸露边坡抗蚀性差，河道护岸损坏，存在垮塌，景观破碎度高；</w:t>
            </w:r>
          </w:p>
          <w:p>
            <w:pPr>
              <w:pStyle w:val="6"/>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color w:val="auto"/>
              </w:rPr>
            </w:pPr>
            <w:r>
              <w:rPr>
                <w:rFonts w:hint="eastAsia" w:cs="Times New Roman"/>
                <w:color w:val="000000" w:themeColor="text1"/>
                <w:sz w:val="24"/>
                <w:szCs w:val="24"/>
                <w:highlight w:val="none"/>
                <w:lang w:val="en-US" w:eastAsia="zh-CN"/>
                <w14:textFill>
                  <w14:solidFill>
                    <w14:schemeClr w14:val="tx1"/>
                  </w14:solidFill>
                </w14:textFill>
              </w:rPr>
              <w:t>（3）河岸植被稀少，岩土裸露，易发生水土流失。河两岸天然土坎，抗冲刷能力较差。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dxa"/>
            <w:vAlign w:val="center"/>
          </w:tcPr>
          <w:p>
            <w:pPr>
              <w:adjustRightInd w:val="0"/>
              <w:snapToGrid w:val="0"/>
              <w:jc w:val="center"/>
              <w:rPr>
                <w:rFonts w:ascii="宋体" w:hAnsi="宋体" w:cs="宋体"/>
                <w:color w:val="FF0000"/>
                <w:kern w:val="0"/>
                <w:szCs w:val="21"/>
              </w:rPr>
            </w:pPr>
            <w:r>
              <w:rPr>
                <w:rFonts w:hint="eastAsia" w:ascii="宋体" w:hAnsi="宋体" w:cs="宋体"/>
                <w:color w:val="000000" w:themeColor="text1"/>
                <w:kern w:val="0"/>
                <w:szCs w:val="21"/>
                <w14:textFill>
                  <w14:solidFill>
                    <w14:schemeClr w14:val="tx1"/>
                  </w14:solidFill>
                </w14:textFill>
              </w:rPr>
              <w:t>生态环境保护目标</w:t>
            </w:r>
          </w:p>
        </w:tc>
        <w:tc>
          <w:tcPr>
            <w:tcW w:w="8998"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根据现场调查，距离沿线500m范围内大气环境保护目标项目及沿线50m范围内声环境保护目标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见表3-</w:t>
            </w:r>
            <w:r>
              <w:rPr>
                <w:rFonts w:hint="eastAsia" w:cs="Times New Roman"/>
                <w:color w:val="000000" w:themeColor="text1"/>
                <w:kern w:val="2"/>
                <w:sz w:val="24"/>
                <w:szCs w:val="24"/>
                <w:highlight w:val="none"/>
                <w:lang w:val="en-US" w:eastAsia="zh-CN" w:bidi="ar-SA"/>
                <w14:textFill>
                  <w14:solidFill>
                    <w14:schemeClr w14:val="tx1"/>
                  </w14:solidFill>
                </w14:textFill>
              </w:rPr>
              <w:t>10，环境保护目标分布图见附图7。</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4"/>
                <w:szCs w:val="24"/>
                <w:highlight w:val="none"/>
                <w:lang w:val="en-US" w:eastAsia="zh-CN" w:bidi="ar-SA"/>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w:t>
            </w:r>
            <w:r>
              <w:rPr>
                <w:rFonts w:hint="eastAsia" w:cs="Times New Roman"/>
                <w:b/>
                <w:bCs/>
                <w:color w:val="000000" w:themeColor="text1"/>
                <w:kern w:val="2"/>
                <w:sz w:val="24"/>
                <w:szCs w:val="24"/>
                <w:highlight w:val="none"/>
                <w:lang w:val="en-US" w:eastAsia="zh-CN" w:bidi="ar-SA"/>
                <w14:textFill>
                  <w14:solidFill>
                    <w14:schemeClr w14:val="tx1"/>
                  </w14:solidFill>
                </w14:textFill>
              </w:rPr>
              <w:t>3-10</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b/>
                <w:bCs/>
                <w:color w:val="000000" w:themeColor="text1"/>
                <w:kern w:val="2"/>
                <w:sz w:val="24"/>
                <w:szCs w:val="24"/>
                <w:highlight w:val="none"/>
                <w:lang w:val="en-US" w:eastAsia="zh-CN" w:bidi="ar-SA"/>
                <w14:textFill>
                  <w14:solidFill>
                    <w14:schemeClr w14:val="tx1"/>
                  </w14:solidFill>
                </w14:textFill>
              </w:rPr>
              <w:t>环境保护</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目标</w:t>
            </w:r>
          </w:p>
          <w:tbl>
            <w:tblPr>
              <w:tblStyle w:val="27"/>
              <w:tblW w:w="494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8"/>
              <w:gridCol w:w="413"/>
              <w:gridCol w:w="1050"/>
              <w:gridCol w:w="1264"/>
              <w:gridCol w:w="1218"/>
              <w:gridCol w:w="1186"/>
              <w:gridCol w:w="777"/>
              <w:gridCol w:w="887"/>
              <w:gridCol w:w="12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9" w:hRule="atLeast"/>
                <w:tblHeader/>
                <w:jc w:val="center"/>
              </w:trPr>
              <w:tc>
                <w:tcPr>
                  <w:tcW w:w="349" w:type="pct"/>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环境</w:t>
                  </w:r>
                </w:p>
                <w:p>
                  <w:pPr>
                    <w:adjustRightInd w:val="0"/>
                    <w:snapToGrid w:val="0"/>
                    <w:spacing w:line="240" w:lineRule="atLeast"/>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要素</w:t>
                  </w:r>
                </w:p>
              </w:tc>
              <w:tc>
                <w:tcPr>
                  <w:tcW w:w="842" w:type="pct"/>
                  <w:gridSpan w:val="2"/>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保护对象</w:t>
                  </w:r>
                </w:p>
              </w:tc>
              <w:tc>
                <w:tcPr>
                  <w:tcW w:w="1428" w:type="pct"/>
                  <w:gridSpan w:val="2"/>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坐标</w:t>
                  </w:r>
                </w:p>
              </w:tc>
              <w:tc>
                <w:tcPr>
                  <w:tcW w:w="682" w:type="pct"/>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人口规模</w:t>
                  </w:r>
                </w:p>
              </w:tc>
              <w:tc>
                <w:tcPr>
                  <w:tcW w:w="447" w:type="pct"/>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相对河流位置</w:t>
                  </w:r>
                </w:p>
              </w:tc>
              <w:tc>
                <w:tcPr>
                  <w:tcW w:w="510" w:type="pct"/>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与河岸相对</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距离（m）</w:t>
                  </w:r>
                </w:p>
              </w:tc>
              <w:tc>
                <w:tcPr>
                  <w:tcW w:w="738" w:type="pct"/>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保护级别及要求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9" w:hRule="atLeast"/>
                <w:tblHeader/>
                <w:jc w:val="center"/>
              </w:trPr>
              <w:tc>
                <w:tcPr>
                  <w:tcW w:w="349" w:type="pct"/>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pPr>
                </w:p>
              </w:tc>
              <w:tc>
                <w:tcPr>
                  <w:tcW w:w="842" w:type="pct"/>
                  <w:gridSpan w:val="2"/>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pPr>
                </w:p>
              </w:tc>
              <w:tc>
                <w:tcPr>
                  <w:tcW w:w="727" w:type="pct"/>
                  <w:tcBorders>
                    <w:tl2br w:val="nil"/>
                    <w:tr2bl w:val="nil"/>
                  </w:tcBorders>
                  <w:shd w:val="clear" w:color="auto" w:fill="auto"/>
                  <w:noWrap w:val="0"/>
                  <w:vAlign w:val="center"/>
                </w:tcPr>
                <w:p>
                  <w:pPr>
                    <w:autoSpaceDE w:val="0"/>
                    <w:autoSpaceDN w:val="0"/>
                    <w:adjustRightInd w:val="0"/>
                    <w:snapToGrid w:val="0"/>
                    <w:jc w:val="center"/>
                    <w:rPr>
                      <w:rFonts w:hint="eastAsia" w:eastAsia="宋体"/>
                      <w:lang w:val="en-US" w:eastAsia="zh-CN"/>
                    </w:rPr>
                  </w:pPr>
                  <w:r>
                    <w:rPr>
                      <w:rFonts w:eastAsiaTheme="minorEastAsia"/>
                      <w:b/>
                      <w:bCs/>
                      <w:color w:val="000000" w:themeColor="text1"/>
                      <w:w w:val="99"/>
                      <w:kern w:val="0"/>
                      <w:szCs w:val="21"/>
                      <w14:textFill>
                        <w14:solidFill>
                          <w14:schemeClr w14:val="tx1"/>
                        </w14:solidFill>
                      </w14:textFill>
                    </w:rPr>
                    <w:t>X</w:t>
                  </w:r>
                </w:p>
              </w:tc>
              <w:tc>
                <w:tcPr>
                  <w:tcW w:w="701" w:type="pct"/>
                  <w:tcBorders>
                    <w:tl2br w:val="nil"/>
                    <w:tr2bl w:val="nil"/>
                  </w:tcBorders>
                  <w:shd w:val="clear" w:color="auto" w:fill="auto"/>
                  <w:noWrap w:val="0"/>
                  <w:vAlign w:val="center"/>
                </w:tcPr>
                <w:p>
                  <w:pPr>
                    <w:autoSpaceDE w:val="0"/>
                    <w:autoSpaceDN w:val="0"/>
                    <w:adjustRightInd w:val="0"/>
                    <w:snapToGrid w:val="0"/>
                    <w:jc w:val="center"/>
                  </w:pPr>
                  <w:r>
                    <w:rPr>
                      <w:rFonts w:eastAsiaTheme="minorEastAsia"/>
                      <w:b/>
                      <w:bCs/>
                      <w:color w:val="000000" w:themeColor="text1"/>
                      <w:w w:val="99"/>
                      <w:kern w:val="0"/>
                      <w:szCs w:val="21"/>
                      <w14:textFill>
                        <w14:solidFill>
                          <w14:schemeClr w14:val="tx1"/>
                        </w14:solidFill>
                      </w14:textFill>
                    </w:rPr>
                    <w:t>Y</w:t>
                  </w:r>
                </w:p>
              </w:tc>
              <w:tc>
                <w:tcPr>
                  <w:tcW w:w="682" w:type="pct"/>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pPr>
                </w:p>
              </w:tc>
              <w:tc>
                <w:tcPr>
                  <w:tcW w:w="447" w:type="pct"/>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pPr>
                </w:p>
              </w:tc>
              <w:tc>
                <w:tcPr>
                  <w:tcW w:w="510" w:type="pct"/>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pPr>
                </w:p>
              </w:tc>
              <w:tc>
                <w:tcPr>
                  <w:tcW w:w="738" w:type="pct"/>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大气环境</w:t>
                  </w:r>
                </w:p>
              </w:tc>
              <w:tc>
                <w:tcPr>
                  <w:tcW w:w="2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小峪河</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十里庙</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109.0410296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33.5954241</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w:t>
                  </w:r>
                </w:p>
              </w:tc>
              <w:tc>
                <w:tcPr>
                  <w:tcW w:w="73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《环境空气质量标准》（GB3095-2012）中二级标准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小峪口村</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109.0416656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33.5950767</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10户30人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桥头池</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109.0416175</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33.5941964</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7户21人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十里庄</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109.0417872</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33.5925545</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寺沟门</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109.0410049</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33.59164</w:t>
                  </w:r>
                  <w:r>
                    <w:rPr>
                      <w:rFonts w:hint="eastAsia" w:cs="Times New Roman"/>
                      <w:color w:val="000000" w:themeColor="text1"/>
                      <w:sz w:val="21"/>
                      <w:szCs w:val="21"/>
                      <w:highlight w:val="none"/>
                      <w:lang w:val="en-US" w:eastAsia="zh-CN"/>
                      <w14:textFill>
                        <w14:solidFill>
                          <w14:schemeClr w14:val="tx1"/>
                        </w14:solidFill>
                      </w14:textFill>
                    </w:rPr>
                    <w:t>70</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3户9人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小金坪</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109.035246</w:t>
                  </w:r>
                  <w:r>
                    <w:rPr>
                      <w:rFonts w:hint="eastAsia" w:cs="Times New Roman"/>
                      <w:color w:val="000000" w:themeColor="text1"/>
                      <w:sz w:val="21"/>
                      <w:szCs w:val="21"/>
                      <w:highlight w:val="none"/>
                      <w:lang w:val="en-US" w:eastAsia="zh-CN"/>
                      <w14:textFill>
                        <w14:solidFill>
                          <w14:schemeClr w14:val="tx1"/>
                        </w14:solidFill>
                      </w14:textFill>
                    </w:rPr>
                    <w:t>2</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33.583702</w:t>
                  </w:r>
                  <w:r>
                    <w:rPr>
                      <w:rFonts w:hint="eastAsia" w:cs="Times New Roman"/>
                      <w:color w:val="000000" w:themeColor="text1"/>
                      <w:sz w:val="21"/>
                      <w:szCs w:val="21"/>
                      <w:highlight w:val="none"/>
                      <w:lang w:val="en-US" w:eastAsia="zh-CN"/>
                      <w14:textFill>
                        <w14:solidFill>
                          <w14:schemeClr w14:val="tx1"/>
                        </w14:solidFill>
                      </w14:textFill>
                    </w:rPr>
                    <w:t>9</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6户18人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岩桥沟门</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109.0350556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33.5817721</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大金坪</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109.0350759</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33.580380</w:t>
                  </w:r>
                  <w:r>
                    <w:rPr>
                      <w:rFonts w:hint="eastAsia" w:cs="Times New Roman"/>
                      <w:color w:val="000000" w:themeColor="text1"/>
                      <w:sz w:val="21"/>
                      <w:szCs w:val="21"/>
                      <w:highlight w:val="none"/>
                      <w:lang w:val="en-US" w:eastAsia="zh-CN"/>
                      <w14:textFill>
                        <w14:solidFill>
                          <w14:schemeClr w14:val="tx1"/>
                        </w14:solidFill>
                      </w14:textFill>
                    </w:rPr>
                    <w:t>6</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17户51人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柳金坪</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109.033859</w:t>
                  </w:r>
                  <w:r>
                    <w:rPr>
                      <w:rFonts w:hint="eastAsia" w:cs="Times New Roman"/>
                      <w:color w:val="000000" w:themeColor="text1"/>
                      <w:sz w:val="21"/>
                      <w:szCs w:val="21"/>
                      <w:highlight w:val="none"/>
                      <w:lang w:val="en-US" w:eastAsia="zh-CN"/>
                      <w14:textFill>
                        <w14:solidFill>
                          <w14:schemeClr w14:val="tx1"/>
                        </w14:solidFill>
                      </w14:textFill>
                    </w:rPr>
                    <w:t>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33.575787</w:t>
                  </w:r>
                  <w:r>
                    <w:rPr>
                      <w:rFonts w:hint="eastAsia" w:cs="Times New Roman"/>
                      <w:color w:val="000000" w:themeColor="text1"/>
                      <w:sz w:val="21"/>
                      <w:szCs w:val="21"/>
                      <w:highlight w:val="none"/>
                      <w:lang w:val="en-US" w:eastAsia="zh-CN"/>
                      <w14:textFill>
                        <w14:solidFill>
                          <w14:schemeClr w14:val="tx1"/>
                        </w14:solidFill>
                      </w14:textFill>
                    </w:rPr>
                    <w:t>6</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大峪河</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五里庙村</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109.0634395</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33.5942634</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25户100人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大石峪</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109.0640693</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33.5915983</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十里庙</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109.0642712</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33.585836</w:t>
                  </w:r>
                  <w:r>
                    <w:rPr>
                      <w:rFonts w:hint="eastAsia" w:cs="Times New Roman"/>
                      <w:color w:val="000000" w:themeColor="text1"/>
                      <w:sz w:val="21"/>
                      <w:szCs w:val="21"/>
                      <w:highlight w:val="none"/>
                      <w:lang w:val="en-US" w:eastAsia="zh-CN"/>
                      <w14:textFill>
                        <w14:solidFill>
                          <w14:schemeClr w14:val="tx1"/>
                        </w14:solidFill>
                      </w14:textFill>
                    </w:rPr>
                    <w:t>6</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5户15人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擂鼓石</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109.0710734</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33.581903</w:t>
                  </w:r>
                  <w:r>
                    <w:rPr>
                      <w:rFonts w:hint="eastAsia" w:cs="Times New Roman"/>
                      <w:color w:val="000000" w:themeColor="text1"/>
                      <w:sz w:val="21"/>
                      <w:szCs w:val="21"/>
                      <w:highlight w:val="none"/>
                      <w:lang w:val="en-US" w:eastAsia="zh-CN"/>
                      <w14:textFill>
                        <w14:solidFill>
                          <w14:schemeClr w14:val="tx1"/>
                        </w14:solidFill>
                      </w14:textFill>
                    </w:rPr>
                    <w:t>8</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7户21人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鲜峪口</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109.0711276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33.580238</w:t>
                  </w:r>
                  <w:r>
                    <w:rPr>
                      <w:rFonts w:hint="eastAsia" w:cs="Times New Roman"/>
                      <w:color w:val="000000" w:themeColor="text1"/>
                      <w:sz w:val="21"/>
                      <w:szCs w:val="21"/>
                      <w:highlight w:val="none"/>
                      <w:lang w:val="en-US" w:eastAsia="zh-CN"/>
                      <w14:textFill>
                        <w14:solidFill>
                          <w14:schemeClr w14:val="tx1"/>
                        </w14:solidFill>
                      </w14:textFill>
                    </w:rPr>
                    <w:t>5</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3户9人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新贯寺村</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109.0705425</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33.5732081</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5户15人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甘沟口</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109.070938</w:t>
                  </w:r>
                  <w:r>
                    <w:rPr>
                      <w:rFonts w:hint="eastAsia" w:cs="Times New Roman"/>
                      <w:color w:val="000000" w:themeColor="text1"/>
                      <w:sz w:val="21"/>
                      <w:szCs w:val="21"/>
                      <w:highlight w:val="none"/>
                      <w:lang w:val="en-US" w:eastAsia="zh-CN"/>
                      <w14:textFill>
                        <w14:solidFill>
                          <w14:schemeClr w14:val="tx1"/>
                        </w14:solidFill>
                      </w14:textFill>
                    </w:rPr>
                    <w:t>8</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33.5708782</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长桥</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109.071132</w:t>
                  </w:r>
                  <w:r>
                    <w:rPr>
                      <w:rFonts w:hint="eastAsia" w:cs="Times New Roman"/>
                      <w:color w:val="000000" w:themeColor="text1"/>
                      <w:sz w:val="21"/>
                      <w:szCs w:val="21"/>
                      <w:highlight w:val="none"/>
                      <w:lang w:val="en-US" w:eastAsia="zh-CN"/>
                      <w14:textFill>
                        <w14:solidFill>
                          <w14:schemeClr w14:val="tx1"/>
                        </w14:solidFill>
                      </w14:textFill>
                    </w:rPr>
                    <w:t>1</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33.5655458</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11户33人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板庙子村</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109.072013</w:t>
                  </w:r>
                  <w:r>
                    <w:rPr>
                      <w:rFonts w:hint="eastAsia" w:cs="Times New Roman"/>
                      <w:color w:val="000000" w:themeColor="text1"/>
                      <w:sz w:val="21"/>
                      <w:szCs w:val="21"/>
                      <w:highlight w:val="none"/>
                      <w:lang w:val="en-US" w:eastAsia="zh-CN"/>
                      <w14:textFill>
                        <w14:solidFill>
                          <w14:schemeClr w14:val="tx1"/>
                        </w14:solidFill>
                      </w14:textFill>
                    </w:rPr>
                    <w:t>7</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33.5552481</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声环境</w:t>
                  </w:r>
                </w:p>
              </w:tc>
              <w:tc>
                <w:tcPr>
                  <w:tcW w:w="2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小峪河</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十里庙</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109.0410296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33.5954241</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73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《声环境质量标准》（GB3096-2008）中2类标准限值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小峪口村</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109.0416656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33.5950767</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10户30人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桥头池</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109.0416175</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33.5941964</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7户21人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十里庄</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109.0417872</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33.5925545</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寺沟门</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109.0410049</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33.59164</w:t>
                  </w:r>
                  <w:r>
                    <w:rPr>
                      <w:rFonts w:hint="eastAsia" w:cs="Times New Roman"/>
                      <w:color w:val="000000" w:themeColor="text1"/>
                      <w:sz w:val="21"/>
                      <w:szCs w:val="21"/>
                      <w:highlight w:val="none"/>
                      <w:lang w:val="en-US" w:eastAsia="zh-CN"/>
                      <w14:textFill>
                        <w14:solidFill>
                          <w14:schemeClr w14:val="tx1"/>
                        </w14:solidFill>
                      </w14:textFill>
                    </w:rPr>
                    <w:t>70</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3户9人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小金坪</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109.035246</w:t>
                  </w:r>
                  <w:r>
                    <w:rPr>
                      <w:rFonts w:hint="eastAsia" w:cs="Times New Roman"/>
                      <w:color w:val="000000" w:themeColor="text1"/>
                      <w:sz w:val="21"/>
                      <w:szCs w:val="21"/>
                      <w:highlight w:val="none"/>
                      <w:lang w:val="en-US" w:eastAsia="zh-CN"/>
                      <w14:textFill>
                        <w14:solidFill>
                          <w14:schemeClr w14:val="tx1"/>
                        </w14:solidFill>
                      </w14:textFill>
                    </w:rPr>
                    <w:t>2</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33.583702</w:t>
                  </w:r>
                  <w:r>
                    <w:rPr>
                      <w:rFonts w:hint="eastAsia" w:cs="Times New Roman"/>
                      <w:color w:val="000000" w:themeColor="text1"/>
                      <w:sz w:val="21"/>
                      <w:szCs w:val="21"/>
                      <w:highlight w:val="none"/>
                      <w:lang w:val="en-US" w:eastAsia="zh-CN"/>
                      <w14:textFill>
                        <w14:solidFill>
                          <w14:schemeClr w14:val="tx1"/>
                        </w14:solidFill>
                      </w14:textFill>
                    </w:rPr>
                    <w:t>9</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6户18人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岩桥沟门</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109.0350556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33.5817721</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大金坪</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109.0350759</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33.580380</w:t>
                  </w:r>
                  <w:r>
                    <w:rPr>
                      <w:rFonts w:hint="eastAsia" w:cs="Times New Roman"/>
                      <w:color w:val="000000" w:themeColor="text1"/>
                      <w:sz w:val="21"/>
                      <w:szCs w:val="21"/>
                      <w:highlight w:val="none"/>
                      <w:lang w:val="en-US" w:eastAsia="zh-CN"/>
                      <w14:textFill>
                        <w14:solidFill>
                          <w14:schemeClr w14:val="tx1"/>
                        </w14:solidFill>
                      </w14:textFill>
                    </w:rPr>
                    <w:t>6</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17户51人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柳金坪</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109.033859</w:t>
                  </w:r>
                  <w:r>
                    <w:rPr>
                      <w:rFonts w:hint="eastAsia" w:cs="Times New Roman"/>
                      <w:color w:val="000000" w:themeColor="text1"/>
                      <w:sz w:val="21"/>
                      <w:szCs w:val="21"/>
                      <w:highlight w:val="none"/>
                      <w:lang w:val="en-US" w:eastAsia="zh-CN"/>
                      <w14:textFill>
                        <w14:solidFill>
                          <w14:schemeClr w14:val="tx1"/>
                        </w14:solidFill>
                      </w14:textFill>
                    </w:rPr>
                    <w:t>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33.575787</w:t>
                  </w:r>
                  <w:r>
                    <w:rPr>
                      <w:rFonts w:hint="eastAsia" w:cs="Times New Roman"/>
                      <w:color w:val="000000" w:themeColor="text1"/>
                      <w:sz w:val="21"/>
                      <w:szCs w:val="21"/>
                      <w:highlight w:val="none"/>
                      <w:lang w:val="en-US" w:eastAsia="zh-CN"/>
                      <w14:textFill>
                        <w14:solidFill>
                          <w14:schemeClr w14:val="tx1"/>
                        </w14:solidFill>
                      </w14:textFill>
                    </w:rPr>
                    <w:t>6</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大峪河</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五里庙村</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109.0634395</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33.5942634</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25户100人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23</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大石峪</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109.0640693</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33.5915983</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十里庙</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109.0642712</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33.585836</w:t>
                  </w:r>
                  <w:r>
                    <w:rPr>
                      <w:rFonts w:hint="eastAsia" w:cs="Times New Roman"/>
                      <w:color w:val="000000" w:themeColor="text1"/>
                      <w:sz w:val="21"/>
                      <w:szCs w:val="21"/>
                      <w:highlight w:val="none"/>
                      <w:lang w:val="en-US" w:eastAsia="zh-CN"/>
                      <w14:textFill>
                        <w14:solidFill>
                          <w14:schemeClr w14:val="tx1"/>
                        </w14:solidFill>
                      </w14:textFill>
                    </w:rPr>
                    <w:t>6</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5户15人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擂鼓石</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109.0710734</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33.581903</w:t>
                  </w:r>
                  <w:r>
                    <w:rPr>
                      <w:rFonts w:hint="eastAsia" w:cs="Times New Roman"/>
                      <w:color w:val="000000" w:themeColor="text1"/>
                      <w:sz w:val="21"/>
                      <w:szCs w:val="21"/>
                      <w:highlight w:val="none"/>
                      <w:lang w:val="en-US" w:eastAsia="zh-CN"/>
                      <w14:textFill>
                        <w14:solidFill>
                          <w14:schemeClr w14:val="tx1"/>
                        </w14:solidFill>
                      </w14:textFill>
                    </w:rPr>
                    <w:t>8</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7户21人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鲜峪口</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109.0711276</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33.580238</w:t>
                  </w:r>
                  <w:r>
                    <w:rPr>
                      <w:rFonts w:hint="eastAsia" w:cs="Times New Roman"/>
                      <w:color w:val="000000" w:themeColor="text1"/>
                      <w:sz w:val="21"/>
                      <w:szCs w:val="21"/>
                      <w:highlight w:val="none"/>
                      <w:lang w:val="en-US" w:eastAsia="zh-CN"/>
                      <w14:textFill>
                        <w14:solidFill>
                          <w14:schemeClr w14:val="tx1"/>
                        </w14:solidFill>
                      </w14:textFill>
                    </w:rPr>
                    <w:t>5</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3户9人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新贯寺村</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109.0705425</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33.5732081</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5户15人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甘沟口</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109.070938</w:t>
                  </w:r>
                  <w:r>
                    <w:rPr>
                      <w:rFonts w:hint="eastAsia" w:cs="Times New Roman"/>
                      <w:color w:val="000000" w:themeColor="text1"/>
                      <w:sz w:val="21"/>
                      <w:szCs w:val="21"/>
                      <w:highlight w:val="none"/>
                      <w:lang w:val="en-US" w:eastAsia="zh-CN"/>
                      <w14:textFill>
                        <w14:solidFill>
                          <w14:schemeClr w14:val="tx1"/>
                        </w14:solidFill>
                      </w14:textFill>
                    </w:rPr>
                    <w:t>8</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33.5708782</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长桥</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109.071132</w:t>
                  </w:r>
                  <w:r>
                    <w:rPr>
                      <w:rFonts w:hint="eastAsia" w:cs="Times New Roman"/>
                      <w:color w:val="000000" w:themeColor="text1"/>
                      <w:sz w:val="21"/>
                      <w:szCs w:val="21"/>
                      <w:highlight w:val="none"/>
                      <w:lang w:val="en-US" w:eastAsia="zh-CN"/>
                      <w14:textFill>
                        <w14:solidFill>
                          <w14:schemeClr w14:val="tx1"/>
                        </w14:solidFill>
                      </w14:textFill>
                    </w:rPr>
                    <w:t>1</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33.5655458</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11户33人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3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板庙子村</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109.072013</w:t>
                  </w:r>
                  <w:r>
                    <w:rPr>
                      <w:rFonts w:hint="eastAsia" w:cs="Times New Roman"/>
                      <w:color w:val="000000" w:themeColor="text1"/>
                      <w:sz w:val="21"/>
                      <w:szCs w:val="21"/>
                      <w:highlight w:val="none"/>
                      <w:lang w:val="en-US" w:eastAsia="zh-CN"/>
                      <w14:textFill>
                        <w14:solidFill>
                          <w14:schemeClr w14:val="tx1"/>
                        </w14:solidFill>
                      </w14:textFill>
                    </w:rPr>
                    <w:t>7</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33.5552481</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地表水环境</w:t>
                  </w:r>
                </w:p>
              </w:tc>
              <w:tc>
                <w:tcPr>
                  <w:tcW w:w="84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小峪河</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3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《地表水环境质量标准》（GB3838-2002）中的Ⅱ类标准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4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大峪河</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（3）地下水环境</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项目沿线500m范围内无地下水集中式饮用水水源和热水、矿泉水、温泉水等特殊地下水资源，无地下水环境保护目标。</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（4）生态环境</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本项目生态环境保护目标有陕西太兴山省级森林自然公园、秦岭重点保护区和一级公益林。</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①</w:t>
            </w:r>
            <w:r>
              <w:rPr>
                <w:rFonts w:hint="eastAsia" w:cs="Times New Roman"/>
                <w:color w:val="000000" w:themeColor="text1"/>
                <w:kern w:val="2"/>
                <w:sz w:val="24"/>
                <w:szCs w:val="24"/>
                <w:highlight w:val="none"/>
                <w:lang w:val="en-US" w:eastAsia="zh-CN" w:bidi="ar-SA"/>
                <w14:textFill>
                  <w14:solidFill>
                    <w14:schemeClr w14:val="tx1"/>
                  </w14:solidFill>
                </w14:textFill>
              </w:rPr>
              <w:t>陕西太兴山省级森林自然公园</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陕西太兴山省级森林自然公园，又名西安市太兴山森林公园，设立于1992年，批复文号为“陕林场发〔1992〕384号”，主管单位为长安区林业局，公园位于长安区杨庄街道，地理坐标为东经109°02′00″～109°13′00″，北纬32°52′00″～34°02′00″。海拔740～2603米，总面积60.16平方公里，保护内容为各类森林风景资源。</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②</w:t>
            </w:r>
            <w:r>
              <w:rPr>
                <w:rFonts w:hint="eastAsia" w:cs="Times New Roman"/>
                <w:color w:val="000000" w:themeColor="text1"/>
                <w:kern w:val="2"/>
                <w:sz w:val="24"/>
                <w:szCs w:val="24"/>
                <w:highlight w:val="none"/>
                <w:lang w:val="en-US" w:eastAsia="zh-CN" w:bidi="ar-SA"/>
                <w14:textFill>
                  <w14:solidFill>
                    <w14:schemeClr w14:val="tx1"/>
                  </w14:solidFill>
                </w14:textFill>
              </w:rPr>
              <w:t>秦岭重点保护区</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重点保护区包括秦岭保护范围内海拔1500~2000米之间的区域；国家公园、自然保护区的一般控制区，饮用水水源二级保护区；国家级和省级风景名胜区、地质公园、森林公园湿地公园等自然公园的重要功能区植物园、水利风景区；水产种质资源保护区、野生植物原生境保护区（点）、野生动物重要栖息地，国有天然林分布区，重要湿地，重要的大中型水库、天然湖泊；全国重点文物保护单位、省级文物保护单位等范围，去除上述范围中与核心保护区重叠面积以及国土空间规划确定的城镇开发边界范围后，面积约为1.36万平方公里，占秦岭保护范围的23.33%涉及39个县（汉中市西乡县未涉及），333个乡（镇）、街道，2086个行政村，常住人口60.84万人，占秦岭保护范围人口的11.87%。重点保护区有基本农田45.64万亩，耕地56.12万亩，分别占总数的11.13%、10.83%。</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③</w:t>
            </w:r>
            <w:r>
              <w:rPr>
                <w:rFonts w:hint="eastAsia" w:cs="Times New Roman"/>
                <w:color w:val="000000" w:themeColor="text1"/>
                <w:kern w:val="2"/>
                <w:sz w:val="24"/>
                <w:szCs w:val="24"/>
                <w:highlight w:val="none"/>
                <w:lang w:val="en-US" w:eastAsia="zh-CN" w:bidi="ar-SA"/>
                <w14:textFill>
                  <w14:solidFill>
                    <w14:schemeClr w14:val="tx1"/>
                  </w14:solidFill>
                </w14:textFill>
              </w:rPr>
              <w:t>一级公益林</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项目大峪河段水土流失治理工程影响范围最南端涉及极少部分国家一级公益林。</w:t>
            </w:r>
          </w:p>
          <w:p>
            <w:pPr>
              <w:pStyle w:val="1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FF0000"/>
              </w:rPr>
            </w:pPr>
            <w:r>
              <w:rPr>
                <w:rFonts w:hint="eastAsia" w:cs="Times New Roman"/>
                <w:color w:val="000000" w:themeColor="text1"/>
                <w:kern w:val="2"/>
                <w:sz w:val="24"/>
                <w:szCs w:val="24"/>
                <w:highlight w:val="none"/>
                <w:lang w:val="en-US" w:eastAsia="zh-CN" w:bidi="ar-SA"/>
                <w14:textFill>
                  <w14:solidFill>
                    <w14:schemeClr w14:val="tx1"/>
                  </w14:solidFill>
                </w14:textFill>
              </w:rPr>
              <w:t>国家级公益林是指生态区位极为重要或生态状况极为脆弱，对国土生态安全、生物多样性保护和经济社会可持续发展具有重要作用，以发挥森林生态和社会服务功能为主要经营目的的防护林和特种用途林。属于林地保护等级一级范围内的国家级公益林，划为一级国家级公益林。林地保护等级一级划分标准执行《县级林地保护利用规划编制技术规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570"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评价</w:t>
            </w:r>
          </w:p>
          <w:p>
            <w:pPr>
              <w:adjustRightInd w:val="0"/>
              <w:snapToGrid w:val="0"/>
              <w:jc w:val="center"/>
              <w:rPr>
                <w:rFonts w:ascii="宋体" w:hAnsi="宋体" w:cs="宋体"/>
                <w:color w:val="FF0000"/>
                <w:kern w:val="0"/>
                <w:szCs w:val="21"/>
              </w:rPr>
            </w:pPr>
            <w:r>
              <w:rPr>
                <w:rFonts w:hint="eastAsia" w:ascii="宋体" w:hAnsi="宋体" w:cs="宋体"/>
                <w:color w:val="auto"/>
                <w:kern w:val="0"/>
                <w:szCs w:val="21"/>
              </w:rPr>
              <w:t>标准</w:t>
            </w:r>
          </w:p>
        </w:tc>
        <w:tc>
          <w:tcPr>
            <w:tcW w:w="899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1.环境质量标准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环境空气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执行《环境空气质量标准》（GB3095-2012）及修改单中的二级标准</w:t>
            </w:r>
            <w:r>
              <w:rPr>
                <w:rFonts w:hint="default" w:ascii="Times New Roman" w:hAnsi="Times New Roman" w:eastAsia="宋体" w:cs="Times New Roman"/>
                <w:color w:val="000000" w:themeColor="text1"/>
                <w:sz w:val="24"/>
                <w:szCs w:val="24"/>
                <w:highlight w:val="none"/>
                <w14:textFill>
                  <w14:solidFill>
                    <w14:schemeClr w14:val="tx1"/>
                  </w14:solidFill>
                </w14:textFill>
              </w:rPr>
              <w:t>，详见表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vertAlign w:val="subscript"/>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4"/>
                <w:highlight w:val="none"/>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 xml:space="preserve">11 </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highlight w:val="none"/>
                <w14:textFill>
                  <w14:solidFill>
                    <w14:schemeClr w14:val="tx1"/>
                  </w14:solidFill>
                </w14:textFill>
              </w:rPr>
              <w:t>环境空气质量标准</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15"/>
              <w:gridCol w:w="1424"/>
              <w:gridCol w:w="1425"/>
              <w:gridCol w:w="1458"/>
              <w:gridCol w:w="25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blHeader/>
                <w:jc w:val="center"/>
              </w:trPr>
              <w:tc>
                <w:tcPr>
                  <w:tcW w:w="465"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635"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w:t>
                  </w:r>
                </w:p>
              </w:tc>
              <w:tc>
                <w:tcPr>
                  <w:tcW w:w="2453" w:type="pct"/>
                  <w:gridSpan w:val="3"/>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标准限值（</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µ</w:t>
                  </w:r>
                  <w:r>
                    <w:rPr>
                      <w:rFonts w:hint="default" w:ascii="Times New Roman" w:hAnsi="Times New Roman" w:cs="Times New Roman"/>
                      <w:b/>
                      <w:bCs/>
                      <w:color w:val="000000" w:themeColor="text1"/>
                      <w:sz w:val="21"/>
                      <w:szCs w:val="21"/>
                      <w:highlight w:val="none"/>
                      <w14:textFill>
                        <w14:solidFill>
                          <w14:schemeClr w14:val="tx1"/>
                        </w14:solidFill>
                      </w14:textFill>
                    </w:rPr>
                    <w:t>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1446"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标准</w:t>
                  </w:r>
                  <w:r>
                    <w:rPr>
                      <w:rFonts w:hint="eastAsia" w:cs="Times New Roman"/>
                      <w:b/>
                      <w:bCs/>
                      <w:color w:val="000000" w:themeColor="text1"/>
                      <w:sz w:val="21"/>
                      <w:szCs w:val="21"/>
                      <w:highlight w:val="none"/>
                      <w:lang w:eastAsia="zh-CN"/>
                      <w14:textFill>
                        <w14:solidFill>
                          <w14:schemeClr w14:val="tx1"/>
                        </w14:solidFill>
                      </w14:textFill>
                    </w:rPr>
                    <w:t>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465"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635"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81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1小时平均</w:t>
                  </w:r>
                </w:p>
              </w:tc>
              <w:tc>
                <w:tcPr>
                  <w:tcW w:w="81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8小时平均</w:t>
                  </w:r>
                </w:p>
              </w:tc>
              <w:tc>
                <w:tcPr>
                  <w:tcW w:w="82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24小时平均</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10</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w:t>
                  </w:r>
                </w:p>
              </w:tc>
              <w:tc>
                <w:tcPr>
                  <w:tcW w:w="14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《环境空气质量标准》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（GB3095-2012）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75</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500</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200</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80</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10000</w:t>
                  </w:r>
                </w:p>
              </w:tc>
              <w:tc>
                <w:tcPr>
                  <w:tcW w:w="8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4000</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200</w:t>
                  </w:r>
                </w:p>
              </w:tc>
              <w:tc>
                <w:tcPr>
                  <w:tcW w:w="8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160</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TSP</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）水</w:t>
            </w:r>
            <w:r>
              <w:rPr>
                <w:rFonts w:hint="eastAsia" w:ascii="Times New Roman" w:hAnsi="Times New Roman" w:eastAsia="宋体" w:cs="Times New Roman"/>
                <w:color w:val="000000" w:themeColor="text1"/>
                <w:sz w:val="24"/>
                <w:szCs w:val="24"/>
                <w:highlight w:val="none"/>
                <w14:textFill>
                  <w14:solidFill>
                    <w14:schemeClr w14:val="tx1"/>
                  </w14:solidFill>
                </w14:textFill>
              </w:rPr>
              <w:t>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本项目涉及潏河上游河段大峪河、小峪河</w:t>
            </w:r>
            <w:r>
              <w:rPr>
                <w:rFonts w:hint="eastAsia" w:ascii="Times New Roman" w:hAnsi="Times New Roman" w:cs="Times New Roman"/>
                <w:color w:val="000000" w:themeColor="text1"/>
                <w:sz w:val="24"/>
                <w:highlight w:val="none"/>
                <w:lang w:val="zh-CN"/>
                <w14:textFill>
                  <w14:solidFill>
                    <w14:schemeClr w14:val="tx1"/>
                  </w14:solidFill>
                </w14:textFill>
              </w:rPr>
              <w:t>，</w:t>
            </w:r>
            <w:r>
              <w:rPr>
                <w:rFonts w:hint="eastAsia" w:cs="Times New Roman"/>
                <w:color w:val="000000" w:themeColor="text1"/>
                <w:sz w:val="24"/>
                <w:highlight w:val="none"/>
                <w:lang w:val="zh-CN"/>
                <w14:textFill>
                  <w14:solidFill>
                    <w14:schemeClr w14:val="tx1"/>
                  </w14:solidFill>
                </w14:textFill>
              </w:rPr>
              <w:t>根据陕西省水功能区划，潏河长安县源头水保护区，源头至大峪口段</w:t>
            </w:r>
            <w:r>
              <w:rPr>
                <w:rFonts w:hint="eastAsia" w:ascii="Times New Roman" w:hAnsi="Times New Roman" w:cs="Times New Roman"/>
                <w:color w:val="000000" w:themeColor="text1"/>
                <w:sz w:val="24"/>
                <w:highlight w:val="none"/>
                <w:lang w:val="zh-CN"/>
                <w14:textFill>
                  <w14:solidFill>
                    <w14:schemeClr w14:val="tx1"/>
                  </w14:solidFill>
                </w14:textFill>
              </w:rPr>
              <w:t>水质</w:t>
            </w:r>
            <w:r>
              <w:rPr>
                <w:rFonts w:hint="eastAsia" w:cs="Times New Roman"/>
                <w:color w:val="000000" w:themeColor="text1"/>
                <w:sz w:val="24"/>
                <w:highlight w:val="none"/>
                <w:lang w:val="en-US" w:eastAsia="zh-CN"/>
                <w14:textFill>
                  <w14:solidFill>
                    <w14:schemeClr w14:val="tx1"/>
                  </w14:solidFill>
                </w14:textFill>
              </w:rPr>
              <w:t>参照</w:t>
            </w:r>
            <w:r>
              <w:rPr>
                <w:rFonts w:hint="eastAsia"/>
                <w:color w:val="000000" w:themeColor="text1"/>
                <w:sz w:val="24"/>
                <w:highlight w:val="none"/>
                <w:lang w:val="zh-CN"/>
                <w14:textFill>
                  <w14:solidFill>
                    <w14:schemeClr w14:val="tx1"/>
                  </w14:solidFill>
                </w14:textFill>
              </w:rPr>
              <w:t>执行《地表水环境质量标准》（GB3838-2002）中的</w:t>
            </w:r>
            <w:r>
              <w:rPr>
                <w:rFonts w:hint="eastAsia" w:ascii="仿宋" w:hAnsi="仿宋" w:eastAsia="仿宋" w:cs="仿宋"/>
                <w:color w:val="000000" w:themeColor="text1"/>
                <w:sz w:val="24"/>
                <w:highlight w:val="none"/>
                <w:lang w:val="zh-CN"/>
                <w14:textFill>
                  <w14:solidFill>
                    <w14:schemeClr w14:val="tx1"/>
                  </w14:solidFill>
                </w14:textFill>
              </w:rPr>
              <w:t>Ⅱ</w:t>
            </w:r>
            <w:r>
              <w:rPr>
                <w:rFonts w:hint="eastAsia"/>
                <w:color w:val="000000" w:themeColor="text1"/>
                <w:sz w:val="24"/>
                <w:highlight w:val="none"/>
                <w:lang w:val="zh-CN"/>
                <w14:textFill>
                  <w14:solidFill>
                    <w14:schemeClr w14:val="tx1"/>
                  </w14:solidFill>
                </w14:textFill>
              </w:rPr>
              <w:t>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声环境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color w:val="auto"/>
                <w:sz w:val="24"/>
                <w:highlight w:val="none"/>
                <w:lang w:val="zh-CN"/>
              </w:rPr>
              <w:t>根据《西安市声环境功能区划方案》，声环境执行《声环境质量标准》（GB3096-2008）</w:t>
            </w:r>
            <w:r>
              <w:rPr>
                <w:rFonts w:hint="eastAsia"/>
                <w:color w:val="auto"/>
                <w:sz w:val="24"/>
                <w:highlight w:val="none"/>
                <w:lang w:val="en-US" w:eastAsia="zh-CN"/>
              </w:rPr>
              <w:t>2</w:t>
            </w:r>
            <w:r>
              <w:rPr>
                <w:rFonts w:hint="eastAsia"/>
                <w:color w:val="auto"/>
                <w:sz w:val="24"/>
                <w:highlight w:val="none"/>
                <w:lang w:val="zh-CN"/>
              </w:rPr>
              <w:t>类标准</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color w:val="auto"/>
                <w:kern w:val="2"/>
                <w:sz w:val="24"/>
                <w:szCs w:val="24"/>
                <w:highlight w:val="none"/>
                <w:lang w:val="en-US" w:eastAsia="zh-CN" w:bidi="ar-SA"/>
              </w:rPr>
            </w:pPr>
            <w:r>
              <w:rPr>
                <w:rFonts w:hint="eastAsia" w:ascii="Times New Roman" w:hAnsi="Times New Roman" w:cs="Times New Roman"/>
                <w:b w:val="0"/>
                <w:bCs/>
                <w:color w:val="auto"/>
                <w:kern w:val="2"/>
                <w:sz w:val="24"/>
                <w:szCs w:val="24"/>
                <w:highlight w:val="none"/>
                <w:lang w:val="en-US" w:eastAsia="zh-CN" w:bidi="ar-SA"/>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 w:val="24"/>
                <w:szCs w:val="24"/>
                <w:highlight w:val="none"/>
              </w:rPr>
            </w:pPr>
            <w:r>
              <w:rPr>
                <w:rFonts w:hint="eastAsia" w:ascii="Times New Roman" w:hAnsi="Times New Roman" w:cs="Times New Roman"/>
                <w:b w:val="0"/>
                <w:bCs/>
                <w:color w:val="auto"/>
                <w:kern w:val="2"/>
                <w:sz w:val="24"/>
                <w:szCs w:val="24"/>
                <w:highlight w:val="none"/>
                <w:lang w:val="en-US" w:eastAsia="zh-CN" w:bidi="ar-SA"/>
              </w:rPr>
              <w:t>施工期产生的扬尘排放执行《施工场界扬尘排放限值》</w:t>
            </w:r>
            <w:r>
              <w:rPr>
                <w:rFonts w:hint="default" w:ascii="Times New Roman" w:hAnsi="Times New Roman" w:cs="Times New Roman"/>
                <w:b w:val="0"/>
                <w:bCs/>
                <w:color w:val="auto"/>
                <w:kern w:val="2"/>
                <w:sz w:val="24"/>
                <w:szCs w:val="24"/>
                <w:highlight w:val="none"/>
                <w:lang w:val="en-US" w:eastAsia="zh-CN" w:bidi="ar-SA"/>
              </w:rPr>
              <w:t>（DB61/1078-2017）</w:t>
            </w:r>
            <w:r>
              <w:rPr>
                <w:rFonts w:hint="eastAsia" w:ascii="Times New Roman" w:hAnsi="Times New Roman" w:cs="Times New Roman"/>
                <w:b w:val="0"/>
                <w:bCs/>
                <w:color w:val="auto"/>
                <w:kern w:val="2"/>
                <w:sz w:val="24"/>
                <w:szCs w:val="24"/>
                <w:highlight w:val="none"/>
                <w:lang w:val="en-US" w:eastAsia="zh-CN" w:bidi="ar-SA"/>
              </w:rPr>
              <w:t>要求，详见下表3</w:t>
            </w:r>
            <w:r>
              <w:rPr>
                <w:rFonts w:hint="default" w:ascii="Times New Roman" w:hAnsi="Times New Roman"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12</w:t>
            </w:r>
            <w:r>
              <w:rPr>
                <w:rFonts w:hint="eastAsia" w:ascii="Times New Roman" w:hAnsi="Times New Roman" w:cs="Times New Roman"/>
                <w:b w:val="0"/>
                <w:bCs/>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12</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施工场界扬尘排放限值</w:t>
            </w:r>
          </w:p>
          <w:tbl>
            <w:tblPr>
              <w:tblStyle w:val="27"/>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868"/>
              <w:gridCol w:w="1162"/>
              <w:gridCol w:w="2878"/>
              <w:gridCol w:w="17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2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1819"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w:t>
                  </w:r>
                </w:p>
              </w:tc>
              <w:tc>
                <w:tcPr>
                  <w:tcW w:w="113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监控点</w:t>
                  </w:r>
                </w:p>
              </w:tc>
              <w:tc>
                <w:tcPr>
                  <w:tcW w:w="2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施工阶段</w:t>
                  </w:r>
                </w:p>
              </w:tc>
              <w:tc>
                <w:tcPr>
                  <w:tcW w:w="16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小时平均浓度限值（mg/m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81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施工扬尘（即总悬浮颗粒物TSP）</w:t>
                  </w:r>
                </w:p>
              </w:tc>
              <w:tc>
                <w:tcPr>
                  <w:tcW w:w="11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周界外浓度最高点</w:t>
                  </w:r>
                </w:p>
              </w:tc>
              <w:tc>
                <w:tcPr>
                  <w:tcW w:w="2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拆除、土方及地基处理工程</w:t>
                  </w:r>
                </w:p>
              </w:tc>
              <w:tc>
                <w:tcPr>
                  <w:tcW w:w="16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8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1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2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基础、主体结构及装饰工程</w:t>
                  </w:r>
                </w:p>
              </w:tc>
              <w:tc>
                <w:tcPr>
                  <w:tcW w:w="16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≤0.7</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施工</w:t>
            </w:r>
            <w:r>
              <w:rPr>
                <w:rFonts w:hint="eastAsia" w:ascii="Times New Roman" w:hAnsi="Times New Roman" w:eastAsia="宋体" w:cs="Times New Roman"/>
                <w:color w:val="auto"/>
                <w:sz w:val="24"/>
                <w:szCs w:val="24"/>
                <w:highlight w:val="none"/>
                <w:lang w:val="en-US" w:eastAsia="zh-CN"/>
              </w:rPr>
              <w:t>机械废气排放执行《非道路移动机械用柴油机排气污染物排放限制及测量方法（中国第三、四阶段）》</w:t>
            </w:r>
            <w:r>
              <w:rPr>
                <w:rFonts w:hint="default" w:ascii="Times New Roman" w:hAnsi="Times New Roman" w:eastAsia="宋体" w:cs="Times New Roman"/>
                <w:color w:val="auto"/>
                <w:sz w:val="24"/>
                <w:szCs w:val="24"/>
                <w:highlight w:val="none"/>
                <w:lang w:val="en-US" w:eastAsia="zh-CN"/>
              </w:rPr>
              <w:t>（GB20891-2014）</w:t>
            </w:r>
            <w:r>
              <w:rPr>
                <w:rFonts w:hint="eastAsia" w:ascii="Times New Roman" w:hAnsi="Times New Roman" w:eastAsia="宋体" w:cs="Times New Roman"/>
                <w:color w:val="auto"/>
                <w:sz w:val="24"/>
                <w:szCs w:val="24"/>
                <w:highlight w:val="none"/>
                <w:lang w:val="en-US" w:eastAsia="zh-CN"/>
              </w:rPr>
              <w:t>中相关标准。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施工废水经沉淀处理后回用于</w:t>
            </w:r>
            <w:r>
              <w:rPr>
                <w:rFonts w:hint="eastAsia" w:cs="Times New Roman"/>
                <w:color w:val="auto"/>
                <w:sz w:val="24"/>
                <w:szCs w:val="24"/>
                <w:highlight w:val="none"/>
                <w:lang w:eastAsia="zh-CN"/>
              </w:rPr>
              <w:t>汽车清洗或</w:t>
            </w:r>
            <w:r>
              <w:rPr>
                <w:rFonts w:hint="eastAsia" w:ascii="Times New Roman" w:hAnsi="Times New Roman" w:eastAsia="宋体" w:cs="Times New Roman"/>
                <w:color w:val="auto"/>
                <w:sz w:val="24"/>
                <w:szCs w:val="24"/>
                <w:highlight w:val="none"/>
              </w:rPr>
              <w:t>施工场地洒水降尘，施工人员生活污水依托周边村民现有的污水设施</w:t>
            </w:r>
            <w:r>
              <w:rPr>
                <w:rFonts w:hint="eastAsia"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施工期执行《建筑施工场界环境噪声排放标准》（GB12523-2011）</w:t>
            </w:r>
            <w:r>
              <w:rPr>
                <w:rFonts w:hint="eastAsia" w:ascii="Times New Roman" w:hAnsi="Times New Roman" w:cs="Times New Roman"/>
                <w:b w:val="0"/>
                <w:bCs/>
                <w:color w:val="auto"/>
                <w:kern w:val="2"/>
                <w:sz w:val="24"/>
                <w:szCs w:val="24"/>
                <w:highlight w:val="none"/>
                <w:lang w:val="en-US" w:eastAsia="zh-CN" w:bidi="ar-SA"/>
              </w:rPr>
              <w:t>，即昼间</w:t>
            </w:r>
            <w:r>
              <w:rPr>
                <w:rFonts w:hint="default" w:ascii="Times New Roman" w:hAnsi="Times New Roman" w:cs="Times New Roman"/>
                <w:b w:val="0"/>
                <w:bCs/>
                <w:color w:val="auto"/>
                <w:kern w:val="2"/>
                <w:sz w:val="24"/>
                <w:szCs w:val="24"/>
                <w:highlight w:val="none"/>
                <w:lang w:val="en-US" w:eastAsia="zh-CN" w:bidi="ar-SA"/>
              </w:rPr>
              <w:t>70dB(A)</w:t>
            </w:r>
            <w:r>
              <w:rPr>
                <w:rFonts w:hint="eastAsia" w:ascii="Times New Roman" w:hAnsi="Times New Roman" w:cs="Times New Roman"/>
                <w:b w:val="0"/>
                <w:bCs/>
                <w:color w:val="auto"/>
                <w:kern w:val="2"/>
                <w:sz w:val="24"/>
                <w:szCs w:val="24"/>
                <w:highlight w:val="none"/>
                <w:lang w:val="en-US" w:eastAsia="zh-CN" w:bidi="ar-SA"/>
              </w:rPr>
              <w:t>，夜间</w:t>
            </w:r>
            <w:r>
              <w:rPr>
                <w:rFonts w:hint="default" w:ascii="Times New Roman" w:hAnsi="Times New Roman" w:cs="Times New Roman"/>
                <w:b w:val="0"/>
                <w:bCs/>
                <w:color w:val="auto"/>
                <w:kern w:val="2"/>
                <w:sz w:val="24"/>
                <w:szCs w:val="24"/>
                <w:highlight w:val="none"/>
                <w:lang w:val="en-US" w:eastAsia="zh-CN" w:bidi="ar-SA"/>
              </w:rPr>
              <w:t>55dB</w:t>
            </w:r>
            <w:r>
              <w:rPr>
                <w:rFonts w:hint="eastAsia" w:cs="Times New Roman"/>
                <w:b w:val="0"/>
                <w:bCs/>
                <w:color w:val="auto"/>
                <w:kern w:val="2"/>
                <w:sz w:val="24"/>
                <w:szCs w:val="24"/>
                <w:highlight w:val="none"/>
                <w:lang w:val="en-US" w:eastAsia="zh-CN" w:bidi="ar-SA"/>
              </w:rPr>
              <w:t>（</w:t>
            </w:r>
            <w:r>
              <w:rPr>
                <w:rFonts w:hint="default" w:ascii="Times New Roman" w:hAnsi="Times New Roman" w:cs="Times New Roman"/>
                <w:b w:val="0"/>
                <w:bCs/>
                <w:color w:val="auto"/>
                <w:kern w:val="2"/>
                <w:sz w:val="24"/>
                <w:szCs w:val="24"/>
                <w:highlight w:val="none"/>
                <w:lang w:val="en-US" w:eastAsia="zh-CN" w:bidi="ar-SA"/>
              </w:rPr>
              <w:t>A</w:t>
            </w:r>
            <w:r>
              <w:rPr>
                <w:rFonts w:hint="eastAsia" w:cs="Times New Roman"/>
                <w:b w:val="0"/>
                <w:bCs/>
                <w:color w:val="auto"/>
                <w:kern w:val="2"/>
                <w:sz w:val="24"/>
                <w:szCs w:val="24"/>
                <w:highlight w:val="none"/>
                <w:lang w:val="en-US" w:eastAsia="zh-CN" w:bidi="ar-SA"/>
              </w:rPr>
              <w:t>）标准限值要求。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color w:val="FF0000"/>
              </w:rPr>
            </w:pPr>
            <w:r>
              <w:rPr>
                <w:rFonts w:hint="eastAsia" w:cs="Times New Roman"/>
                <w:color w:val="auto"/>
                <w:sz w:val="24"/>
                <w:szCs w:val="24"/>
                <w:highlight w:val="none"/>
                <w:lang w:eastAsia="zh-CN"/>
              </w:rPr>
              <w:t>一般固废</w:t>
            </w:r>
            <w:r>
              <w:rPr>
                <w:rFonts w:hint="eastAsia" w:ascii="Times New Roman" w:hAnsi="Times New Roman" w:eastAsia="宋体" w:cs="Times New Roman"/>
                <w:color w:val="auto"/>
                <w:sz w:val="24"/>
                <w:szCs w:val="24"/>
                <w:highlight w:val="none"/>
              </w:rPr>
              <w:t>执行《一般工业固体废物贮存</w:t>
            </w:r>
            <w:r>
              <w:rPr>
                <w:rFonts w:hint="eastAsia" w:ascii="Times New Roman" w:hAnsi="Times New Roman" w:cs="Times New Roman"/>
                <w:color w:val="auto"/>
                <w:sz w:val="24"/>
                <w:szCs w:val="24"/>
                <w:highlight w:val="none"/>
                <w:lang w:eastAsia="zh-CN"/>
              </w:rPr>
              <w:t>和填埋</w:t>
            </w:r>
            <w:r>
              <w:rPr>
                <w:rFonts w:hint="eastAsia" w:ascii="Times New Roman" w:hAnsi="Times New Roman" w:eastAsia="宋体" w:cs="Times New Roman"/>
                <w:color w:val="auto"/>
                <w:sz w:val="24"/>
                <w:szCs w:val="24"/>
                <w:highlight w:val="none"/>
              </w:rPr>
              <w:t>污染控制标准》（GB18599-20</w:t>
            </w:r>
            <w:r>
              <w:rPr>
                <w:rFonts w:hint="eastAsia" w:ascii="Times New Roman" w:hAnsi="Times New Roman"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rPr>
              <w:t>）要求；</w:t>
            </w:r>
            <w:r>
              <w:rPr>
                <w:rFonts w:hint="eastAsia" w:cs="Times New Roman"/>
                <w:color w:val="auto"/>
                <w:sz w:val="24"/>
                <w:szCs w:val="24"/>
                <w:highlight w:val="none"/>
                <w:lang w:eastAsia="zh-CN"/>
              </w:rPr>
              <w:t>危险废物执行《危险废物贮存污染控制标准》（</w:t>
            </w:r>
            <w:r>
              <w:rPr>
                <w:rFonts w:hint="eastAsia" w:cs="Times New Roman"/>
                <w:color w:val="auto"/>
                <w:sz w:val="24"/>
                <w:szCs w:val="24"/>
                <w:highlight w:val="none"/>
                <w:lang w:val="en-US" w:eastAsia="zh-CN"/>
              </w:rPr>
              <w:t>GB18597-2023</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中的相关要求</w:t>
            </w:r>
            <w:r>
              <w:rPr>
                <w:rFonts w:hint="eastAsia"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570" w:type="dxa"/>
            <w:vAlign w:val="center"/>
          </w:tcPr>
          <w:p>
            <w:pPr>
              <w:adjustRightInd w:val="0"/>
              <w:snapToGrid w:val="0"/>
              <w:jc w:val="center"/>
              <w:rPr>
                <w:rFonts w:ascii="宋体" w:hAnsi="宋体" w:cs="宋体"/>
                <w:color w:val="FF0000"/>
                <w:kern w:val="0"/>
                <w:szCs w:val="21"/>
              </w:rPr>
            </w:pPr>
            <w:r>
              <w:rPr>
                <w:rFonts w:hint="eastAsia" w:ascii="宋体" w:hAnsi="宋体" w:cs="宋体"/>
                <w:color w:val="auto"/>
                <w:kern w:val="0"/>
                <w:szCs w:val="21"/>
              </w:rPr>
              <w:t>其他</w:t>
            </w:r>
          </w:p>
        </w:tc>
        <w:tc>
          <w:tcPr>
            <w:tcW w:w="899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FF0000"/>
                <w:lang w:eastAsia="zh-CN"/>
              </w:rPr>
            </w:pPr>
            <w:r>
              <w:rPr>
                <w:rFonts w:hint="default" w:ascii="宋体" w:hAnsi="宋体" w:cs="宋体"/>
                <w:color w:val="auto"/>
                <w:kern w:val="0"/>
                <w:sz w:val="24"/>
                <w:szCs w:val="24"/>
                <w:highlight w:val="none"/>
                <w:lang w:val="en-US"/>
              </w:rPr>
              <w:t>本项目运营期大气污染物主要为扬尘及车辆行驶过程中间歇式无组织排放的废气，故不作大气污染物总量控制要求；运营期不产生生产废水及生活污水。故本项目不申请总量。</w:t>
            </w:r>
          </w:p>
        </w:tc>
      </w:tr>
    </w:tbl>
    <w:p>
      <w:pPr>
        <w:pStyle w:val="24"/>
        <w:jc w:val="center"/>
        <w:outlineLvl w:val="0"/>
        <w:rPr>
          <w:rStyle w:val="55"/>
          <w:color w:val="FF000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四、生态环境影响分析</w:t>
      </w:r>
    </w:p>
    <w:tbl>
      <w:tblPr>
        <w:tblStyle w:val="27"/>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79" w:type="dxa"/>
            <w:tcMar>
              <w:left w:w="28" w:type="dxa"/>
              <w:right w:w="28" w:type="dxa"/>
            </w:tcMar>
            <w:vAlign w:val="center"/>
          </w:tcPr>
          <w:p>
            <w:pPr>
              <w:pStyle w:val="24"/>
              <w:adjustRightInd w:val="0"/>
              <w:snapToGrid w:val="0"/>
              <w:spacing w:before="0" w:beforeAutospacing="0" w:after="0" w:afterAutospacing="0"/>
              <w:jc w:val="center"/>
              <w:rPr>
                <w:rFonts w:cs="宋体"/>
                <w:bCs/>
                <w:color w:val="FF0000"/>
                <w:kern w:val="2"/>
                <w:sz w:val="21"/>
                <w:szCs w:val="21"/>
              </w:rPr>
            </w:pPr>
            <w:bookmarkStart w:id="3" w:name="_Hlk49796138"/>
            <w:r>
              <w:rPr>
                <w:rFonts w:hint="eastAsia" w:cs="宋体"/>
                <w:bCs/>
                <w:color w:val="auto"/>
                <w:spacing w:val="10"/>
                <w:kern w:val="2"/>
                <w:sz w:val="21"/>
                <w:szCs w:val="21"/>
              </w:rPr>
              <w:t>施工期生态环境影响分析</w:t>
            </w:r>
            <w:bookmarkEnd w:id="3"/>
          </w:p>
        </w:tc>
        <w:tc>
          <w:tcPr>
            <w:tcW w:w="8363" w:type="dxa"/>
          </w:tcPr>
          <w:p>
            <w:pPr>
              <w:pStyle w:val="22"/>
              <w:ind w:firstLine="48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施工废气</w:t>
            </w:r>
          </w:p>
          <w:p>
            <w:pPr>
              <w:pStyle w:val="22"/>
              <w:ind w:firstLine="482"/>
              <w:rPr>
                <w:rFonts w:hint="eastAsia"/>
                <w:b/>
                <w:bCs/>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施工废气包括施工扬尘、施工机械与车辆尾气等。</w:t>
            </w:r>
          </w:p>
          <w:p>
            <w:pPr>
              <w:pStyle w:val="22"/>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（1）施工扬尘</w:t>
            </w:r>
          </w:p>
          <w:p>
            <w:pPr>
              <w:pStyle w:val="22"/>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工程施工扬尘包括建筑扬尘及运输扬尘。</w:t>
            </w:r>
          </w:p>
          <w:p>
            <w:pPr>
              <w:pStyle w:val="22"/>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建筑扬尘主要指施工阶段地基平整、开挖、回填土方过程产生扬尘以及建筑材料堆场因遮盖不严遇到大风天气产生的扬尘。</w:t>
            </w:r>
          </w:p>
          <w:p>
            <w:pPr>
              <w:pStyle w:val="22"/>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物料运输过程中车辆沿途洒落于道路上的沙、土、灰、渣和建筑垃圾，以及沉积在道路上其它排放源排放的颗粒物，经来往车辆碾压后也会导致粒径较小的颗粒物进入空气，形成二次扬尘。项目施工场地内部道路为临时道路，如不及时采取路面硬化等措施，在施工物料运输过程会造成路面沉积颗粒物反复扬起、沉降，极易造成新的污染。</w:t>
            </w:r>
          </w:p>
          <w:p>
            <w:pPr>
              <w:pStyle w:val="22"/>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对出入施工场地车辆进行冲洗、限速行驶及保持路面清洁，物料运输车辆加盖蓬布低速行驶，严禁超载。</w:t>
            </w:r>
          </w:p>
          <w:p>
            <w:pPr>
              <w:pStyle w:val="22"/>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（2）施工机械与车辆尾气</w:t>
            </w:r>
          </w:p>
          <w:p>
            <w:pPr>
              <w:pStyle w:val="22"/>
              <w:ind w:firstLine="482"/>
              <w:rPr>
                <w:rFonts w:hint="eastAsia"/>
                <w:b w:val="0"/>
                <w:bCs w:val="0"/>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建设期间，施工机械及车辆尾气主要来自施工机械排放废气、各种物料运输车辆排放汽车尾气等，对周围环境空气造成污染。车辆尾气中主要污染物为CO、NOx及THC等，工程在加强施工机械、车辆等运行管理与维护保养情况下，可减少尾气排放对环境的污染，对环境影响小。</w:t>
            </w:r>
          </w:p>
          <w:p>
            <w:pPr>
              <w:pStyle w:val="22"/>
              <w:ind w:firstLine="48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施工废水</w:t>
            </w:r>
          </w:p>
          <w:p>
            <w:pPr>
              <w:pStyle w:val="22"/>
              <w:ind w:firstLine="482"/>
              <w:rPr>
                <w:rFonts w:hint="eastAsia"/>
                <w:b/>
                <w:bCs/>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施工废水主要为施工生产废水和施工区生活污水。</w:t>
            </w:r>
          </w:p>
          <w:p>
            <w:pPr>
              <w:pStyle w:val="22"/>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（1）施工生产废水</w:t>
            </w:r>
          </w:p>
          <w:p>
            <w:pPr>
              <w:pStyle w:val="22"/>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施工生产废水主要为施工车辆冲洗水和混凝土养护水，</w:t>
            </w:r>
            <w:r>
              <w:rPr>
                <w:rFonts w:hint="eastAsia" w:ascii="Times New Roman" w:hAnsi="Times New Roman" w:eastAsia="宋体" w:cs="宋体"/>
                <w:b w:val="0"/>
                <w:bCs w:val="0"/>
                <w:color w:val="000000" w:themeColor="text1"/>
                <w:lang w:val="en-US" w:eastAsia="zh-CN"/>
                <w14:textFill>
                  <w14:solidFill>
                    <w14:schemeClr w14:val="tx1"/>
                  </w14:solidFill>
                </w14:textFill>
              </w:rPr>
              <w:t>废水中主要的污染物为SS和少量的石油类，SS的浓度约1000-2000mg/m</w:t>
            </w:r>
            <w:r>
              <w:rPr>
                <w:rFonts w:hint="eastAsia" w:ascii="Times New Roman" w:hAnsi="Times New Roman" w:eastAsia="宋体" w:cs="宋体"/>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宋体"/>
                <w:b w:val="0"/>
                <w:bCs w:val="0"/>
                <w:color w:val="000000" w:themeColor="text1"/>
                <w:lang w:val="en-US" w:eastAsia="zh-CN"/>
                <w14:textFill>
                  <w14:solidFill>
                    <w14:schemeClr w14:val="tx1"/>
                  </w14:solidFill>
                </w14:textFill>
              </w:rPr>
              <w:t>。由于工程施工期生产废水产生点较为分散，难以集中处理，应在各施工场地依据地势走向在地势低洼处修建沉淀池，将废水汇集到沉淀池沉淀处后来，回用于车辆冲洗。</w:t>
            </w:r>
          </w:p>
          <w:p>
            <w:pPr>
              <w:pStyle w:val="22"/>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本工程不设置专门的机械修配厂，工程区距离城镇较近，机械维修可直接在附近县城或乡镇进行。</w:t>
            </w:r>
          </w:p>
          <w:p>
            <w:pPr>
              <w:pStyle w:val="22"/>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综上，施工生产废水经沉淀后回用，不外排，对外环境影响较小。</w:t>
            </w:r>
          </w:p>
          <w:p>
            <w:pPr>
              <w:pStyle w:val="22"/>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（2）生活污水</w:t>
            </w:r>
          </w:p>
          <w:p>
            <w:pPr>
              <w:pStyle w:val="22"/>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本项目设置1个项目指挥部和4个主要的工区营地，项目指挥部及营地皆租用民房建筑，不自行建设。施工人员生活污水依托周边村民现有的污水设施。</w:t>
            </w:r>
          </w:p>
          <w:p>
            <w:pPr>
              <w:pStyle w:val="22"/>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（3）施工过程对河道水质的影响分析</w:t>
            </w:r>
          </w:p>
          <w:p>
            <w:pPr>
              <w:pStyle w:val="22"/>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本工程施工过程中，泥沙会随水流扰动水体，将直接造成工程区附近水体泥沙含量增加，会对水质产生一定影响。</w:t>
            </w:r>
          </w:p>
          <w:p>
            <w:pPr>
              <w:pStyle w:val="22"/>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施工主要在枯水期，河道水流速相对较小，因此施工扰动只会使短期内小范围水体中的悬浮物有所增加，施工结束后影响就随之消失。</w:t>
            </w:r>
          </w:p>
          <w:p>
            <w:pPr>
              <w:pStyle w:val="22"/>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因此，施工过程对河道水质的影响较小。</w:t>
            </w:r>
          </w:p>
          <w:p>
            <w:pPr>
              <w:pStyle w:val="22"/>
              <w:ind w:firstLine="48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施工噪声</w:t>
            </w:r>
          </w:p>
          <w:p>
            <w:pPr>
              <w:pStyle w:val="22"/>
              <w:ind w:firstLine="482"/>
              <w:rPr>
                <w:rFonts w:hint="eastAsia"/>
                <w:b/>
                <w:bCs/>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施工期噪声源主要是挖掘机、推土机、拖拉机等机械设备和运输车辆，声级一般在85～100dB(A)。施工期主要噪声源及强度见表4-1。</w:t>
            </w:r>
          </w:p>
          <w:p>
            <w:pPr>
              <w:pStyle w:val="2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auto"/>
              </w:rPr>
            </w:pPr>
            <w:r>
              <w:rPr>
                <w:b/>
                <w:bCs/>
                <w:color w:val="auto"/>
                <w:sz w:val="24"/>
                <w:szCs w:val="24"/>
              </w:rPr>
              <w:t>表</w:t>
            </w:r>
            <w:r>
              <w:rPr>
                <w:rFonts w:hint="eastAsia"/>
                <w:b/>
                <w:bCs/>
                <w:color w:val="auto"/>
                <w:sz w:val="24"/>
                <w:szCs w:val="24"/>
              </w:rPr>
              <w:t>4-1</w:t>
            </w:r>
            <w:r>
              <w:rPr>
                <w:b/>
                <w:bCs/>
                <w:color w:val="auto"/>
                <w:sz w:val="24"/>
                <w:szCs w:val="24"/>
              </w:rPr>
              <w:t xml:space="preserve">   </w:t>
            </w:r>
            <w:r>
              <w:rPr>
                <w:rFonts w:hint="eastAsia"/>
                <w:b/>
                <w:bCs/>
                <w:color w:val="auto"/>
                <w:sz w:val="24"/>
                <w:szCs w:val="24"/>
              </w:rPr>
              <w:t>施工期主要噪声源及强度一览表</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545"/>
              <w:gridCol w:w="3577"/>
              <w:gridCol w:w="302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33"/>
                    <w:kinsoku w:val="0"/>
                    <w:overflowPunct w:val="0"/>
                    <w:snapToGrid w:val="0"/>
                    <w:rPr>
                      <w:rFonts w:ascii="Times New Roman" w:eastAsia="宋体" w:cs="Times New Roman"/>
                      <w:b/>
                      <w:bCs/>
                      <w:snapToGrid w:val="0"/>
                      <w:sz w:val="21"/>
                      <w:szCs w:val="21"/>
                    </w:rPr>
                  </w:pPr>
                  <w:r>
                    <w:rPr>
                      <w:rFonts w:ascii="Times New Roman" w:eastAsia="宋体" w:cs="Times New Roman"/>
                      <w:b/>
                      <w:bCs/>
                      <w:snapToGrid w:val="0"/>
                      <w:sz w:val="21"/>
                      <w:szCs w:val="21"/>
                    </w:rPr>
                    <w:t>序号</w:t>
                  </w:r>
                </w:p>
              </w:tc>
              <w:tc>
                <w:tcPr>
                  <w:tcW w:w="2195" w:type="pct"/>
                  <w:noWrap w:val="0"/>
                  <w:vAlign w:val="center"/>
                </w:tcPr>
                <w:p>
                  <w:pPr>
                    <w:pStyle w:val="33"/>
                    <w:kinsoku w:val="0"/>
                    <w:overflowPunct w:val="0"/>
                    <w:snapToGrid w:val="0"/>
                    <w:rPr>
                      <w:rFonts w:ascii="Times New Roman" w:eastAsia="宋体" w:cs="Times New Roman"/>
                      <w:b/>
                      <w:bCs/>
                      <w:snapToGrid w:val="0"/>
                      <w:sz w:val="21"/>
                      <w:szCs w:val="21"/>
                    </w:rPr>
                  </w:pPr>
                  <w:r>
                    <w:rPr>
                      <w:rFonts w:hint="eastAsia" w:ascii="Times New Roman" w:eastAsia="宋体" w:cs="Times New Roman"/>
                      <w:b/>
                      <w:bCs/>
                      <w:snapToGrid w:val="0"/>
                      <w:sz w:val="21"/>
                      <w:szCs w:val="21"/>
                    </w:rPr>
                    <w:t>噪声源</w:t>
                  </w:r>
                </w:p>
              </w:tc>
              <w:tc>
                <w:tcPr>
                  <w:tcW w:w="1855" w:type="pct"/>
                  <w:noWrap w:val="0"/>
                  <w:vAlign w:val="center"/>
                </w:tcPr>
                <w:p>
                  <w:pPr>
                    <w:pStyle w:val="33"/>
                    <w:kinsoku w:val="0"/>
                    <w:overflowPunct w:val="0"/>
                    <w:snapToGrid w:val="0"/>
                    <w:rPr>
                      <w:rFonts w:ascii="Times New Roman" w:eastAsia="宋体" w:cs="Times New Roman"/>
                      <w:b/>
                      <w:bCs/>
                      <w:snapToGrid w:val="0"/>
                      <w:sz w:val="21"/>
                      <w:szCs w:val="21"/>
                    </w:rPr>
                  </w:pPr>
                  <w:r>
                    <w:rPr>
                      <w:rFonts w:hint="eastAsia" w:ascii="Times New Roman" w:eastAsia="宋体" w:cs="Times New Roman"/>
                      <w:b/>
                      <w:bCs/>
                      <w:snapToGrid w:val="0"/>
                      <w:sz w:val="21"/>
                      <w:szCs w:val="21"/>
                    </w:rPr>
                    <w:t>声压级</w:t>
                  </w:r>
                  <w:r>
                    <w:rPr>
                      <w:rFonts w:ascii="Times New Roman" w:eastAsia="宋体" w:cs="Times New Roman"/>
                      <w:b/>
                      <w:bCs/>
                      <w:snapToGrid w:val="0"/>
                      <w:sz w:val="21"/>
                      <w:szCs w:val="21"/>
                    </w:rPr>
                    <w:t>dB(A)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1</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单斗挖掘机</w:t>
                  </w:r>
                </w:p>
              </w:tc>
              <w:tc>
                <w:tcPr>
                  <w:tcW w:w="1855" w:type="pct"/>
                  <w:noWrap w:val="0"/>
                  <w:vAlign w:val="center"/>
                </w:tcPr>
                <w:p>
                  <w:pPr>
                    <w:pStyle w:val="33"/>
                    <w:kinsoku w:val="0"/>
                    <w:overflowPunct w:val="0"/>
                    <w:snapToGrid w:val="0"/>
                    <w:rPr>
                      <w:rFonts w:ascii="Times New Roman" w:eastAsia="宋体" w:cs="Times New Roman"/>
                      <w:snapToGrid w:val="0"/>
                      <w:sz w:val="21"/>
                      <w:szCs w:val="21"/>
                    </w:rPr>
                  </w:pPr>
                  <w:r>
                    <w:rPr>
                      <w:rFonts w:ascii="Times New Roman" w:eastAsia="宋体" w:cs="Times New Roman"/>
                      <w:snapToGrid w:val="0"/>
                      <w:sz w:val="21"/>
                      <w:szCs w:val="21"/>
                    </w:rPr>
                    <w:t>84</w:t>
                  </w:r>
                  <w:r>
                    <w:rPr>
                      <w:rFonts w:hint="eastAsia" w:ascii="Times New Roman" w:eastAsia="宋体" w:cs="Times New Roman"/>
                      <w:snapToGrid w:val="0"/>
                      <w:sz w:val="21"/>
                      <w:szCs w:val="21"/>
                    </w:rPr>
                    <w:t>～</w:t>
                  </w:r>
                  <w:r>
                    <w:rPr>
                      <w:rFonts w:ascii="Times New Roman" w:eastAsia="宋体" w:cs="Times New Roman"/>
                      <w:snapToGrid w:val="0"/>
                      <w:sz w:val="21"/>
                      <w:szCs w:val="21"/>
                    </w:rPr>
                    <w:t>89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推土机</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3</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自卸汽车（载重量5t）</w:t>
                  </w:r>
                </w:p>
              </w:tc>
              <w:tc>
                <w:tcPr>
                  <w:tcW w:w="1855" w:type="pct"/>
                  <w:noWrap w:val="0"/>
                  <w:vAlign w:val="center"/>
                </w:tcPr>
                <w:p>
                  <w:pPr>
                    <w:pStyle w:val="33"/>
                    <w:kinsoku w:val="0"/>
                    <w:overflowPunct w:val="0"/>
                    <w:snapToGrid w:val="0"/>
                    <w:rPr>
                      <w:rFonts w:hint="eastAsia" w:ascii="Times New Roman" w:hAnsi="宋体" w:eastAsia="宋体" w:cs="Times New Roman"/>
                      <w:snapToGrid w:val="0"/>
                      <w:sz w:val="21"/>
                      <w:szCs w:val="21"/>
                      <w:lang w:val="en-US" w:eastAsia="zh-CN"/>
                    </w:rPr>
                  </w:pPr>
                  <w:r>
                    <w:rPr>
                      <w:rFonts w:hint="eastAsia" w:ascii="Times New Roman" w:hAnsi="宋体" w:eastAsia="宋体" w:cs="Times New Roman"/>
                      <w:snapToGrid w:val="0"/>
                      <w:sz w:val="21"/>
                      <w:szCs w:val="21"/>
                      <w:lang w:val="en-US" w:eastAsia="zh-CN"/>
                    </w:rPr>
                    <w:t>75～80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自卸汽车（载重量8t）</w:t>
                  </w:r>
                </w:p>
              </w:tc>
              <w:tc>
                <w:tcPr>
                  <w:tcW w:w="1855" w:type="pct"/>
                  <w:noWrap w:val="0"/>
                  <w:vAlign w:val="center"/>
                </w:tcPr>
                <w:p>
                  <w:pPr>
                    <w:pStyle w:val="33"/>
                    <w:kinsoku w:val="0"/>
                    <w:overflowPunct w:val="0"/>
                    <w:snapToGrid w:val="0"/>
                    <w:rPr>
                      <w:rFonts w:hint="eastAsia" w:ascii="Times New Roman" w:hAnsi="宋体" w:eastAsia="宋体" w:cs="Times New Roman"/>
                      <w:snapToGrid w:val="0"/>
                      <w:sz w:val="21"/>
                      <w:szCs w:val="21"/>
                      <w:lang w:val="en-US" w:eastAsia="zh-CN"/>
                    </w:rPr>
                  </w:pPr>
                  <w:r>
                    <w:rPr>
                      <w:rFonts w:hint="eastAsia" w:ascii="Times New Roman" w:hAnsi="宋体" w:eastAsia="宋体" w:cs="Times New Roman"/>
                      <w:snapToGrid w:val="0"/>
                      <w:sz w:val="21"/>
                      <w:szCs w:val="21"/>
                      <w:lang w:val="en-US" w:eastAsia="zh-CN"/>
                    </w:rPr>
                    <w:t>80～85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汽车起重机</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载重汽车</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7</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蛙式夯实机</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8</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胶轮架子车</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9</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拖拉机</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sz w:val="21"/>
                      <w:szCs w:val="21"/>
                    </w:rPr>
                  </w:pPr>
                  <w:r>
                    <w:rPr>
                      <w:rFonts w:hint="eastAsia" w:ascii="Times New Roman" w:hAnsi="Times New Roman"/>
                      <w:color w:val="000000" w:themeColor="text1"/>
                      <w:sz w:val="21"/>
                      <w:szCs w:val="21"/>
                      <w:lang w:val="en-US" w:eastAsia="zh-CN"/>
                      <w14:textFill>
                        <w14:solidFill>
                          <w14:schemeClr w14:val="tx1"/>
                        </w14:solidFill>
                      </w14:textFill>
                    </w:rPr>
                    <w:t>10</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振捣器</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11</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风（砂）水枪</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12</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电焊机</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13</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钢筋弯曲机</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14</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钢筋切断机</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15</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 xml:space="preserve">潜水泵 </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16</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双面刨床</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17</w:t>
                  </w:r>
                </w:p>
              </w:tc>
              <w:tc>
                <w:tcPr>
                  <w:tcW w:w="2195" w:type="pct"/>
                  <w:noWrap w:val="0"/>
                  <w:vAlign w:val="center"/>
                </w:tcPr>
                <w:p>
                  <w:pPr>
                    <w:pStyle w:val="66"/>
                    <w:adjustRightInd w:val="0"/>
                    <w:snapToGrid w:val="0"/>
                    <w:spacing w:after="0" w:line="240" w:lineRule="auto"/>
                    <w:jc w:val="center"/>
                    <w:rPr>
                      <w:rFonts w:ascii="Times New Roman" w:eastAsia="宋体" w:cs="Times New Roman"/>
                      <w:szCs w:val="21"/>
                    </w:rPr>
                  </w:pPr>
                  <w:r>
                    <w:rPr>
                      <w:rFonts w:hint="eastAsia" w:ascii="Times New Roman" w:hAnsi="Times New Roman"/>
                      <w:color w:val="000000" w:themeColor="text1"/>
                      <w:sz w:val="21"/>
                      <w:szCs w:val="21"/>
                      <w:lang w:val="en-US" w:eastAsia="zh-CN"/>
                      <w14:textFill>
                        <w14:solidFill>
                          <w14:schemeClr w14:val="tx1"/>
                        </w14:solidFill>
                      </w14:textFill>
                    </w:rPr>
                    <w:t>洒水车</w:t>
                  </w:r>
                </w:p>
              </w:tc>
              <w:tc>
                <w:tcPr>
                  <w:tcW w:w="1855" w:type="pct"/>
                  <w:noWrap w:val="0"/>
                  <w:vAlign w:val="center"/>
                </w:tcPr>
                <w:p>
                  <w:pPr>
                    <w:pStyle w:val="33"/>
                    <w:kinsoku w:val="0"/>
                    <w:overflowPunct w:val="0"/>
                    <w:snapToGrid w:val="0"/>
                    <w:rPr>
                      <w:rFonts w:hint="default" w:ascii="Times New Roman" w:eastAsia="宋体" w:cs="Times New Roman"/>
                      <w:snapToGrid w:val="0"/>
                      <w:sz w:val="21"/>
                      <w:szCs w:val="21"/>
                      <w:lang w:val="en-US" w:eastAsia="zh-CN"/>
                    </w:rPr>
                  </w:pPr>
                  <w:r>
                    <w:rPr>
                      <w:rFonts w:hint="eastAsia" w:ascii="Times New Roman" w:eastAsia="宋体" w:cs="Times New Roman"/>
                      <w:snapToGrid w:val="0"/>
                      <w:sz w:val="21"/>
                      <w:szCs w:val="21"/>
                      <w:lang w:val="en-US" w:eastAsia="zh-CN"/>
                    </w:rPr>
                    <w:t>75</w:t>
                  </w:r>
                </w:p>
              </w:tc>
            </w:tr>
          </w:tbl>
          <w:p>
            <w:pPr>
              <w:pStyle w:val="22"/>
              <w:ind w:firstLine="482"/>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固体废物</w:t>
            </w:r>
          </w:p>
          <w:p>
            <w:pPr>
              <w:pStyle w:val="22"/>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根据项目施工方案，</w:t>
            </w:r>
            <w:r>
              <w:rPr>
                <w:rFonts w:hint="eastAsia" w:cs="Times New Roman"/>
                <w:color w:val="000000" w:themeColor="text1"/>
                <w:kern w:val="0"/>
                <w:sz w:val="24"/>
                <w:szCs w:val="24"/>
                <w:highlight w:val="none"/>
                <w:lang w:val="en-US" w:eastAsia="zh-CN"/>
                <w14:textFill>
                  <w14:solidFill>
                    <w14:schemeClr w14:val="tx1"/>
                  </w14:solidFill>
                </w14:textFill>
              </w:rPr>
              <w:t>本工程土石方填挖方基本持衡，其中挖方总量为34722.25m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，工程利用石料方量9133.90m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，总回填方量为25588.35m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b w:val="0"/>
                <w:bCs w:val="0"/>
                <w:color w:val="000000" w:themeColor="text1"/>
                <w:lang w:val="en-US" w:eastAsia="zh-CN"/>
                <w14:textFill>
                  <w14:solidFill>
                    <w14:schemeClr w14:val="tx1"/>
                  </w14:solidFill>
                </w14:textFill>
              </w:rPr>
              <w:t>，实施过程土石方平衡，不产生弃渣。</w:t>
            </w:r>
          </w:p>
          <w:p>
            <w:pPr>
              <w:pStyle w:val="22"/>
              <w:ind w:firstLine="482"/>
              <w:rPr>
                <w:rFonts w:hint="eastAsia"/>
                <w:b/>
                <w:bCs/>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工程平均施工人员约为100人，生活垃圾按每人每天0.5kg计算，产生量应为50kg/d，生活垃圾依托周边村民现有的生活垃圾设施</w:t>
            </w:r>
          </w:p>
          <w:p>
            <w:pPr>
              <w:pStyle w:val="22"/>
              <w:ind w:firstLine="48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生态环境</w:t>
            </w:r>
          </w:p>
          <w:p>
            <w:pPr>
              <w:pStyle w:val="22"/>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工程占地影响分析</w:t>
            </w:r>
          </w:p>
          <w:p>
            <w:pPr>
              <w:pStyle w:val="22"/>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由于涉及河道长度短，工程占地少，另外植被类型主要以荒草为主，施工对占地范围内植被影响小。</w:t>
            </w:r>
          </w:p>
          <w:p>
            <w:pPr>
              <w:pStyle w:val="2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总布置采用集中布置方式，项目指挥部及营地皆租用民房建筑；施工采用商品混凝土，施工现场不布置砼拌和系统，不布置机械修配厂、加工厂及弃渣场，从而减少了临时占地；施工临时道路应充分利用现有道路或工程范围内用地，工程范围外尽量不开设或少开设施工道路。临时施工道路的开挖应按照不同的地质条件，设置不同的开挖边坡，以保证边坡的安全稳定，路基坡底已设排水沟，以利于排水。在施工完毕后对所有临时施工道路区域进行清理，拆除地上建筑物。施工临时占地对该区土地只是建设期的临时影响，施工结束后可基本恢复。</w:t>
            </w:r>
          </w:p>
          <w:p>
            <w:pPr>
              <w:pStyle w:val="22"/>
              <w:ind w:firstLine="482"/>
              <w:rPr>
                <w:b/>
                <w:bCs/>
                <w:color w:val="auto"/>
              </w:rPr>
            </w:pPr>
            <w:r>
              <w:rPr>
                <w:rFonts w:hint="eastAsia"/>
                <w:b/>
                <w:bCs/>
                <w:color w:val="auto"/>
                <w:lang w:val="en-US" w:eastAsia="zh-CN"/>
              </w:rPr>
              <w:t>（2）</w:t>
            </w:r>
            <w:r>
              <w:rPr>
                <w:rFonts w:hint="eastAsia"/>
                <w:b/>
                <w:bCs/>
                <w:color w:val="auto"/>
              </w:rPr>
              <w:t>对植被的环境影响分析</w:t>
            </w:r>
          </w:p>
          <w:p>
            <w:pPr>
              <w:pStyle w:val="22"/>
              <w:ind w:firstLine="480"/>
              <w:jc w:val="left"/>
              <w:rPr>
                <w:rFonts w:hint="eastAsia"/>
                <w:color w:val="auto"/>
              </w:rPr>
            </w:pPr>
            <w:r>
              <w:rPr>
                <w:rFonts w:hint="eastAsia"/>
                <w:color w:val="auto"/>
              </w:rPr>
              <w:t>在施工过程中，工程沿线植物的地上部分与根系均被清除，施工带两侧临时用地的植被由于挖掘土石的堆放、人员的践踏、施工车辆和机具的碾压而造成破坏。另外施工带附近的植物，还会由于施工人员的采摘等活动而受到不同程度的影响。</w:t>
            </w:r>
          </w:p>
          <w:p>
            <w:pPr>
              <w:pStyle w:val="22"/>
              <w:ind w:firstLine="480"/>
              <w:jc w:val="left"/>
              <w:rPr>
                <w:rFonts w:hint="eastAsia"/>
                <w:color w:val="FF0000"/>
              </w:rPr>
            </w:pPr>
            <w:r>
              <w:rPr>
                <w:rFonts w:hint="eastAsia"/>
                <w:color w:val="auto"/>
              </w:rPr>
              <w:t>工程扰动土地面积包括整个项目建设区，本项目占地类河道岸坡、周边河滩地及未利用土地上。施工活动占地影响范围即为本工程扰动原地貌、损坏土地资源、破坏植被的面积，临时占地面积较少，施工对占地范围内植被影响小。</w:t>
            </w:r>
          </w:p>
          <w:p>
            <w:pPr>
              <w:pStyle w:val="22"/>
              <w:ind w:firstLine="482"/>
              <w:rPr>
                <w:b/>
                <w:bCs/>
                <w:color w:val="auto"/>
              </w:rPr>
            </w:pPr>
            <w:r>
              <w:rPr>
                <w:rFonts w:hint="eastAsia"/>
                <w:b/>
                <w:bCs/>
                <w:color w:val="auto"/>
                <w:lang w:val="en-US" w:eastAsia="zh-CN"/>
              </w:rPr>
              <w:t>（3）</w:t>
            </w:r>
            <w:r>
              <w:rPr>
                <w:rFonts w:hint="eastAsia"/>
                <w:b/>
                <w:bCs/>
                <w:color w:val="auto"/>
              </w:rPr>
              <w:t>对水生生态的影响分析</w:t>
            </w:r>
          </w:p>
          <w:p>
            <w:pPr>
              <w:pStyle w:val="22"/>
              <w:ind w:firstLine="480"/>
              <w:jc w:val="left"/>
              <w:rPr>
                <w:rFonts w:hint="eastAsia"/>
                <w:color w:val="auto"/>
              </w:rPr>
            </w:pPr>
            <w:r>
              <w:rPr>
                <w:rFonts w:hint="eastAsia"/>
                <w:color w:val="auto"/>
              </w:rPr>
              <w:t>工程占地对河流水生生态环境的影响主要表现在施工过程中的施工垃圾、含油类污水径流在河流中造成的水质污染，土方开挖过程中，有可能扰动河流底泥。</w:t>
            </w:r>
            <w:r>
              <w:rPr>
                <w:rFonts w:hint="eastAsia"/>
                <w:color w:val="000000" w:themeColor="text1"/>
                <w14:textFill>
                  <w14:solidFill>
                    <w14:schemeClr w14:val="tx1"/>
                  </w14:solidFill>
                </w14:textFill>
              </w:rPr>
              <w:t>另外施工过程中引起的河流扰动以及水质变化，对河流中水生生物的生长环境造成的破坏。</w:t>
            </w:r>
          </w:p>
          <w:p>
            <w:pPr>
              <w:pStyle w:val="22"/>
              <w:ind w:firstLine="480"/>
              <w:jc w:val="left"/>
              <w:rPr>
                <w:rFonts w:hint="eastAsia"/>
                <w:color w:val="auto"/>
              </w:rPr>
            </w:pPr>
            <w:r>
              <w:rPr>
                <w:rFonts w:hint="eastAsia" w:ascii="仿宋" w:hAnsi="仿宋" w:eastAsia="仿宋" w:cs="仿宋"/>
                <w:color w:val="auto"/>
                <w:lang w:eastAsia="zh-CN"/>
              </w:rPr>
              <w:t>①</w:t>
            </w:r>
            <w:r>
              <w:rPr>
                <w:rFonts w:hint="eastAsia"/>
                <w:color w:val="auto"/>
              </w:rPr>
              <w:t>对底栖动物和浮游生物的影响</w:t>
            </w:r>
          </w:p>
          <w:p>
            <w:pPr>
              <w:pStyle w:val="22"/>
              <w:ind w:firstLine="480"/>
              <w:jc w:val="left"/>
              <w:rPr>
                <w:rFonts w:hint="eastAsia"/>
                <w:color w:val="auto"/>
              </w:rPr>
            </w:pPr>
            <w:r>
              <w:rPr>
                <w:rFonts w:hint="eastAsia"/>
                <w:color w:val="auto"/>
              </w:rPr>
              <w:t>本项目施工不直接涉水，主要对河道两侧的提防护岸进行加固。项目建设不会直接破坏底栖动物和浮游生物的生存环境，项目建成后减少水土流失，减少河道两岸泥沙流入河道，会改善其生境。但项目基础开挖等产生的废水和泥沙，如不采取措施直接排放，会导致施工河段水体透明度及溶解氧降低，短期内可造成水体富营养化，导致区域内底栖动物和浮游生物种类发生变化。此外，施工期产生的施工废水、生活垃圾及施工材料临时堆放，如遇到下雨或保管不善，将对水体造成污染，导致水体浑浊，改变水的酸碱度，破坏浮游生物的生长环境，对底栖动物和浮游生物的种类、数量等产生影响。</w:t>
            </w:r>
          </w:p>
          <w:p>
            <w:pPr>
              <w:pStyle w:val="22"/>
              <w:ind w:firstLine="480"/>
              <w:jc w:val="left"/>
              <w:rPr>
                <w:rFonts w:hint="eastAsia"/>
                <w:color w:val="auto"/>
              </w:rPr>
            </w:pPr>
            <w:r>
              <w:rPr>
                <w:rFonts w:hint="eastAsia" w:ascii="仿宋" w:hAnsi="仿宋" w:eastAsia="仿宋" w:cs="仿宋"/>
                <w:color w:val="auto"/>
                <w:lang w:eastAsia="zh-CN"/>
              </w:rPr>
              <w:t>②</w:t>
            </w:r>
            <w:r>
              <w:rPr>
                <w:rFonts w:hint="eastAsia"/>
                <w:color w:val="auto"/>
              </w:rPr>
              <w:t>对鱼类资源的影响</w:t>
            </w:r>
          </w:p>
          <w:p>
            <w:pPr>
              <w:pStyle w:val="22"/>
              <w:ind w:firstLine="480"/>
              <w:jc w:val="left"/>
              <w:rPr>
                <w:rFonts w:hint="eastAsia"/>
                <w:color w:val="auto"/>
              </w:rPr>
            </w:pPr>
            <w:r>
              <w:rPr>
                <w:rFonts w:hint="eastAsia"/>
                <w:color w:val="auto"/>
              </w:rPr>
              <w:t>本项目建设内容不涉及涉水工程，但如若施工废水未经收集直接排入河道会对水体水质造成污染，影响鱼类生长发育，甚至导致部分鱼类成体死亡。施工活动会导致施工河段原有鱼类栖息条件发生改变，对施工河段鱼类生长、觅食、繁殖和迁移会带来不利影响。正常生活的鱼类会主动回避，择水而栖迁到施工干扰区域外其它地方，致使鱼类种群结构发生改变，施工区域鱼类密度会显著降低。造成的破坏。</w:t>
            </w:r>
          </w:p>
          <w:p>
            <w:pPr>
              <w:pStyle w:val="22"/>
              <w:ind w:firstLine="482"/>
              <w:rPr>
                <w:b/>
                <w:bCs/>
                <w:color w:val="auto"/>
              </w:rPr>
            </w:pPr>
            <w:r>
              <w:rPr>
                <w:rFonts w:hint="eastAsia"/>
                <w:b/>
                <w:bCs/>
                <w:color w:val="auto"/>
                <w:lang w:val="en-US" w:eastAsia="zh-CN"/>
              </w:rPr>
              <w:t>（4）</w:t>
            </w:r>
            <w:r>
              <w:rPr>
                <w:rFonts w:hint="eastAsia"/>
                <w:b/>
                <w:bCs/>
                <w:color w:val="auto"/>
              </w:rPr>
              <w:t>陕西太兴山省级森林自然公园的影响分析</w:t>
            </w:r>
          </w:p>
          <w:p>
            <w:pPr>
              <w:pStyle w:val="22"/>
              <w:ind w:firstLine="480"/>
              <w:jc w:val="left"/>
              <w:rPr>
                <w:rFonts w:hint="eastAsia"/>
                <w:color w:val="auto"/>
                <w:lang w:eastAsia="zh-CN"/>
              </w:rPr>
            </w:pPr>
            <w:r>
              <w:rPr>
                <w:rFonts w:hint="eastAsia"/>
                <w:color w:val="auto"/>
              </w:rPr>
              <w:t>项目</w:t>
            </w:r>
            <w:r>
              <w:rPr>
                <w:rFonts w:hint="eastAsia" w:ascii="Times New Roman" w:hAnsi="Times New Roman" w:eastAsia="宋体" w:cs="宋体"/>
                <w:b w:val="0"/>
                <w:color w:val="auto"/>
                <w:kern w:val="0"/>
                <w:sz w:val="24"/>
                <w:szCs w:val="21"/>
                <w:lang w:val="en-US" w:eastAsia="zh-CN" w:bidi="ar-SA"/>
              </w:rPr>
              <w:t>河道岸堤修复工程不涉及</w:t>
            </w:r>
            <w:r>
              <w:rPr>
                <w:rFonts w:hint="eastAsia"/>
                <w:color w:val="auto"/>
              </w:rPr>
              <w:t>陕西太兴山省级森林自然公园</w:t>
            </w:r>
            <w:r>
              <w:rPr>
                <w:rFonts w:hint="eastAsia" w:ascii="Times New Roman" w:hAnsi="Times New Roman" w:eastAsia="宋体" w:cs="宋体"/>
                <w:b w:val="0"/>
                <w:color w:val="auto"/>
                <w:kern w:val="0"/>
                <w:sz w:val="24"/>
                <w:szCs w:val="21"/>
                <w:lang w:val="en-US" w:eastAsia="zh-CN" w:bidi="ar-SA"/>
              </w:rPr>
              <w:t>，水土流失治理工程</w:t>
            </w:r>
            <w:r>
              <w:rPr>
                <w:rFonts w:hint="eastAsia"/>
                <w:color w:val="auto"/>
                <w:lang w:eastAsia="zh-CN"/>
              </w:rPr>
              <w:t>大峪河段</w:t>
            </w:r>
            <w:r>
              <w:rPr>
                <w:rFonts w:hint="eastAsia"/>
                <w:color w:val="auto"/>
              </w:rPr>
              <w:t>涉及陕西太兴山省级森林自然公园</w:t>
            </w:r>
            <w:r>
              <w:rPr>
                <w:rFonts w:hint="eastAsia"/>
                <w:color w:val="auto"/>
                <w:lang w:eastAsia="zh-CN"/>
              </w:rPr>
              <w:t>，</w:t>
            </w:r>
            <w:r>
              <w:rPr>
                <w:rFonts w:hint="eastAsia"/>
                <w:color w:val="auto"/>
              </w:rPr>
              <w:t>保护内容为各类森林风景资源</w:t>
            </w:r>
            <w:r>
              <w:rPr>
                <w:rFonts w:hint="eastAsia"/>
                <w:color w:val="auto"/>
                <w:lang w:eastAsia="zh-CN"/>
              </w:rPr>
              <w:t>。</w:t>
            </w:r>
          </w:p>
          <w:p>
            <w:pPr>
              <w:pStyle w:val="22"/>
              <w:ind w:firstLine="480"/>
              <w:jc w:val="left"/>
              <w:rPr>
                <w:rFonts w:hint="eastAsia" w:eastAsia="宋体"/>
                <w:color w:val="auto"/>
                <w:lang w:eastAsia="zh-CN"/>
              </w:rPr>
            </w:pPr>
            <w:r>
              <w:rPr>
                <w:rFonts w:hint="eastAsia"/>
                <w:color w:val="auto"/>
                <w:lang w:eastAsia="zh-CN"/>
              </w:rPr>
              <w:t>本项目</w:t>
            </w:r>
            <w:r>
              <w:rPr>
                <w:rFonts w:hint="eastAsia" w:ascii="Times New Roman" w:hAnsi="Times New Roman" w:eastAsia="宋体" w:cs="宋体"/>
                <w:b w:val="0"/>
                <w:color w:val="auto"/>
                <w:kern w:val="0"/>
                <w:sz w:val="24"/>
                <w:szCs w:val="21"/>
                <w:lang w:val="en-US" w:eastAsia="zh-CN" w:bidi="ar-SA"/>
              </w:rPr>
              <w:t>河道岸堤修复工程</w:t>
            </w:r>
            <w:r>
              <w:rPr>
                <w:rFonts w:hint="eastAsia"/>
                <w:color w:val="auto"/>
                <w:lang w:eastAsia="zh-CN"/>
              </w:rPr>
              <w:t>施工期严格控制施工作业带，避免超挖破坏周围植被，严格保护临时用地内植被，减少植被损坏，保护区域生态环境功能。水土流失治理工程为种植水保林，是对森林风景资源的补充，项目建设对陕西太兴山省级森林自然公园的影响较小。</w:t>
            </w:r>
          </w:p>
          <w:p>
            <w:pPr>
              <w:pStyle w:val="22"/>
              <w:ind w:firstLine="482"/>
              <w:rPr>
                <w:b/>
                <w:bCs/>
                <w:color w:val="auto"/>
              </w:rPr>
            </w:pPr>
            <w:r>
              <w:rPr>
                <w:rFonts w:hint="eastAsia"/>
                <w:b/>
                <w:bCs/>
                <w:color w:val="auto"/>
                <w:lang w:val="en-US" w:eastAsia="zh-CN"/>
              </w:rPr>
              <w:t>（5）</w:t>
            </w:r>
            <w:r>
              <w:rPr>
                <w:rFonts w:hint="eastAsia"/>
                <w:b/>
                <w:bCs/>
                <w:color w:val="auto"/>
              </w:rPr>
              <w:t>对秦岭重点保护区</w:t>
            </w:r>
            <w:r>
              <w:rPr>
                <w:rFonts w:hint="eastAsia"/>
                <w:b/>
                <w:bCs/>
                <w:color w:val="auto"/>
                <w:lang w:eastAsia="zh-CN"/>
              </w:rPr>
              <w:t>的</w:t>
            </w:r>
            <w:r>
              <w:rPr>
                <w:rFonts w:hint="eastAsia"/>
                <w:b/>
                <w:bCs/>
                <w:color w:val="auto"/>
              </w:rPr>
              <w:t>影响分析</w:t>
            </w:r>
          </w:p>
          <w:p>
            <w:pPr>
              <w:pStyle w:val="22"/>
              <w:ind w:firstLine="480"/>
              <w:jc w:val="left"/>
              <w:rPr>
                <w:rFonts w:hint="eastAsia" w:ascii="Times New Roman" w:hAnsi="Times New Roman" w:eastAsia="宋体" w:cs="宋体"/>
                <w:b w:val="0"/>
                <w:color w:val="auto"/>
                <w:kern w:val="0"/>
                <w:sz w:val="24"/>
                <w:szCs w:val="21"/>
                <w:lang w:val="en-US" w:eastAsia="zh-CN" w:bidi="ar-SA"/>
              </w:rPr>
            </w:pPr>
            <w:r>
              <w:rPr>
                <w:rFonts w:hint="eastAsia"/>
                <w:color w:val="auto"/>
                <w:lang w:eastAsia="zh-CN"/>
              </w:rPr>
              <w:t>本项目建设内容为</w:t>
            </w:r>
            <w:r>
              <w:rPr>
                <w:rFonts w:hint="eastAsia" w:ascii="Times New Roman" w:hAnsi="Times New Roman" w:eastAsia="宋体" w:cs="宋体"/>
                <w:b w:val="0"/>
                <w:color w:val="auto"/>
                <w:kern w:val="0"/>
                <w:sz w:val="24"/>
                <w:szCs w:val="21"/>
                <w:lang w:val="en-US" w:eastAsia="zh-CN" w:bidi="ar-SA"/>
              </w:rPr>
              <w:t>河道岸堤修复工程和水土流失治理工程，项目不涉及《陕西省秦岭生态环境保护条例》、《西安市秦岭生态环境保护条例》中的禁止类活动，主要进行增强区域保护功能的修复和保护工程。</w:t>
            </w:r>
          </w:p>
          <w:p>
            <w:pPr>
              <w:pStyle w:val="22"/>
              <w:ind w:firstLine="480"/>
              <w:jc w:val="left"/>
              <w:rPr>
                <w:rFonts w:hint="eastAsia"/>
                <w:color w:val="auto"/>
                <w:lang w:eastAsia="zh-CN"/>
              </w:rPr>
            </w:pPr>
            <w:r>
              <w:rPr>
                <w:rFonts w:hint="eastAsia" w:ascii="Times New Roman" w:hAnsi="Times New Roman" w:eastAsia="宋体" w:cs="宋体"/>
                <w:b w:val="0"/>
                <w:color w:val="auto"/>
                <w:kern w:val="0"/>
                <w:sz w:val="24"/>
                <w:szCs w:val="21"/>
                <w:lang w:val="en-US" w:eastAsia="zh-CN" w:bidi="ar-SA"/>
              </w:rPr>
              <w:t>项目涉及河道长度短，工程占地少，</w:t>
            </w:r>
            <w:r>
              <w:rPr>
                <w:rFonts w:hint="eastAsia"/>
                <w:color w:val="auto"/>
              </w:rPr>
              <w:t>施工期严格控制施工作业带，避免超挖破坏周围植被，严格保护临时用地内植被，减少植被损坏，保护区域生态环境功能。施工过程中保护好表层土壤，施工结束后及时清理清除施工遗留不利于作物生长的杂物，恢复土层，对临时占地、裸地进行平整绿化</w:t>
            </w:r>
            <w:r>
              <w:rPr>
                <w:rFonts w:hint="eastAsia"/>
                <w:color w:val="auto"/>
                <w:lang w:eastAsia="zh-CN"/>
              </w:rPr>
              <w:t>。</w:t>
            </w:r>
            <w:r>
              <w:rPr>
                <w:rFonts w:hint="eastAsia"/>
                <w:color w:val="auto"/>
              </w:rPr>
              <w:t>施工期做好施工导流，以减轻施工活动对河流水体的扰动</w:t>
            </w:r>
            <w:r>
              <w:rPr>
                <w:rFonts w:hint="eastAsia"/>
                <w:color w:val="auto"/>
                <w:lang w:eastAsia="zh-CN"/>
              </w:rPr>
              <w:t>，施工期间施工废水处理后全部回用不外排，施工期员工生活均依托周边村民现有的污水处理设施。禁止在河道内存放油料和进行施工机械维修，以免油料堆放场地和维修废水等污染物质进入地表水体，影响潏河水质。加强对施工队伍的宣传教育，合理组织施工生产，合理安排高噪声机械施工时间，</w:t>
            </w:r>
            <w:r>
              <w:rPr>
                <w:rFonts w:hint="eastAsia"/>
                <w:color w:val="auto"/>
              </w:rPr>
              <w:t>施工过程中应对野生动物采取保护措施，特别是保护动物</w:t>
            </w:r>
            <w:r>
              <w:rPr>
                <w:rFonts w:hint="eastAsia"/>
                <w:color w:val="auto"/>
                <w:lang w:eastAsia="zh-CN"/>
              </w:rPr>
              <w:t>。</w:t>
            </w:r>
          </w:p>
          <w:p>
            <w:pPr>
              <w:pStyle w:val="22"/>
              <w:ind w:firstLine="480"/>
              <w:jc w:val="left"/>
              <w:rPr>
                <w:rFonts w:hint="eastAsia"/>
                <w:color w:val="auto"/>
                <w:lang w:eastAsia="zh-CN"/>
              </w:rPr>
            </w:pPr>
            <w:r>
              <w:rPr>
                <w:rFonts w:hint="eastAsia"/>
                <w:color w:val="auto"/>
                <w:lang w:eastAsia="zh-CN"/>
              </w:rPr>
              <w:t>采取以上措施后，项目施工期对秦岭重点保护区的环境影响较小，施工结束后区域的生态环境得到补强。</w:t>
            </w:r>
          </w:p>
          <w:p>
            <w:pPr>
              <w:pStyle w:val="22"/>
              <w:ind w:firstLine="482"/>
              <w:rPr>
                <w:rFonts w:hint="eastAsia" w:ascii="Times New Roman" w:hAnsi="Times New Roman" w:eastAsia="宋体" w:cs="宋体"/>
                <w:b w:val="0"/>
                <w:color w:val="auto"/>
                <w:kern w:val="0"/>
                <w:sz w:val="24"/>
                <w:szCs w:val="21"/>
                <w:lang w:val="en-US" w:eastAsia="zh-CN" w:bidi="ar-SA"/>
              </w:rPr>
            </w:pPr>
            <w:r>
              <w:rPr>
                <w:rFonts w:hint="eastAsia"/>
                <w:b/>
                <w:bCs/>
                <w:color w:val="auto"/>
                <w:lang w:val="en-US" w:eastAsia="zh-CN"/>
              </w:rPr>
              <w:t>（6）</w:t>
            </w:r>
            <w:r>
              <w:rPr>
                <w:rFonts w:hint="eastAsia"/>
                <w:b/>
                <w:bCs/>
                <w:color w:val="auto"/>
              </w:rPr>
              <w:t>对国家一级公益林的影响分析</w:t>
            </w:r>
          </w:p>
          <w:p>
            <w:pPr>
              <w:adjustRightInd w:val="0"/>
              <w:snapToGrid w:val="0"/>
              <w:spacing w:line="360" w:lineRule="auto"/>
              <w:ind w:firstLine="480" w:firstLineChars="200"/>
              <w:rPr>
                <w:rFonts w:hint="eastAsia" w:ascii="Times New Roman" w:hAnsi="Times New Roman" w:eastAsia="宋体" w:cs="宋体"/>
                <w:b w:val="0"/>
                <w:color w:val="auto"/>
                <w:kern w:val="0"/>
                <w:sz w:val="24"/>
                <w:szCs w:val="21"/>
                <w:lang w:val="en-US" w:eastAsia="zh-CN" w:bidi="ar-SA"/>
              </w:rPr>
            </w:pPr>
            <w:r>
              <w:rPr>
                <w:rFonts w:hint="eastAsia" w:ascii="Times New Roman" w:hAnsi="Times New Roman" w:eastAsia="宋体" w:cs="宋体"/>
                <w:b w:val="0"/>
                <w:color w:val="auto"/>
                <w:kern w:val="0"/>
                <w:sz w:val="24"/>
                <w:szCs w:val="21"/>
                <w:lang w:val="en-US" w:eastAsia="zh-CN" w:bidi="ar-SA"/>
              </w:rPr>
              <w:t>项目河道岸堤修复工程不涉及国家公益林，仅水土流失治理工程大峪河段影响范围最南端涉及极少部分国家一级公益林。</w:t>
            </w:r>
          </w:p>
          <w:p>
            <w:pPr>
              <w:adjustRightInd w:val="0"/>
              <w:snapToGrid w:val="0"/>
              <w:spacing w:line="360" w:lineRule="auto"/>
              <w:ind w:firstLine="480" w:firstLineChars="200"/>
              <w:rPr>
                <w:rFonts w:hint="eastAsia" w:ascii="Times New Roman" w:hAnsi="Times New Roman" w:eastAsia="宋体" w:cs="宋体"/>
                <w:b w:val="0"/>
                <w:color w:val="auto"/>
                <w:kern w:val="0"/>
                <w:sz w:val="24"/>
                <w:szCs w:val="21"/>
                <w:lang w:val="en-US" w:eastAsia="zh-CN" w:bidi="ar-SA"/>
              </w:rPr>
            </w:pPr>
            <w:r>
              <w:rPr>
                <w:rFonts w:hint="eastAsia" w:ascii="Times New Roman" w:hAnsi="Times New Roman" w:eastAsia="宋体" w:cs="宋体"/>
                <w:b w:val="0"/>
                <w:color w:val="auto"/>
                <w:kern w:val="0"/>
                <w:sz w:val="24"/>
                <w:szCs w:val="21"/>
                <w:lang w:val="en-US" w:eastAsia="zh-CN" w:bidi="ar-SA"/>
              </w:rPr>
              <w:t>国家一级公益林的保护要求为：①一级国家级公益林原则上不得开展生产经营活动，严禁打枝、采脂、割漆、剥树皮、掘根等行为。②因教学科研等确需采伐林木，或者发生较为严重森林火灾、病虫害及其他自然灾害等特殊情况确需对受害林木进行清理的，应当组织森林经理学、森林保护学、生态学等领域林业专家进行生态影响评价，经县级以上林业主管部门依法审批后实施。③对国家级公益林实行“总量控制、区域稳定、动态管理、增减平衡”的管理机制。④国家级公益林的调出，以不影响整体生态功能、保持集中连片为原则，一经调出，不得再次申请补进。本项目水土流失治理工程不属于公益林内禁止行为。</w:t>
            </w:r>
          </w:p>
          <w:p>
            <w:pPr>
              <w:adjustRightInd w:val="0"/>
              <w:snapToGrid w:val="0"/>
              <w:spacing w:line="360" w:lineRule="auto"/>
              <w:ind w:firstLine="480" w:firstLineChars="200"/>
              <w:rPr>
                <w:rFonts w:hint="eastAsia" w:ascii="Times New Roman" w:hAnsi="Times New Roman" w:eastAsia="宋体" w:cs="宋体"/>
                <w:b w:val="0"/>
                <w:color w:val="auto"/>
                <w:kern w:val="0"/>
                <w:sz w:val="24"/>
                <w:szCs w:val="21"/>
                <w:lang w:val="en-US" w:eastAsia="zh-CN" w:bidi="ar-SA"/>
              </w:rPr>
            </w:pPr>
            <w:r>
              <w:rPr>
                <w:rFonts w:hint="eastAsia" w:ascii="Times New Roman" w:hAnsi="Times New Roman" w:eastAsia="宋体" w:cs="宋体"/>
                <w:b w:val="0"/>
                <w:color w:val="auto"/>
                <w:kern w:val="0"/>
                <w:sz w:val="24"/>
                <w:szCs w:val="21"/>
                <w:lang w:val="en-US" w:eastAsia="zh-CN" w:bidi="ar-SA"/>
              </w:rPr>
              <w:t>建设单位在使用林地前应严格按照《中华人民共和国森林法》、《占用征用林地审核审批管理办法》、《国家级公益林管理办法》、《内蒙古自治区公益林管理办法》（修订）等法律、法规的规定，必须依法办理征占林地手续，否则将按照相关法律追究相关负责人的法律责任。</w:t>
            </w:r>
          </w:p>
          <w:p>
            <w:pPr>
              <w:pStyle w:val="22"/>
              <w:ind w:firstLine="480"/>
              <w:jc w:val="left"/>
              <w:rPr>
                <w:rFonts w:hint="eastAsia" w:eastAsia="宋体"/>
                <w:color w:val="FF0000"/>
                <w:lang w:eastAsia="zh-CN"/>
              </w:rPr>
            </w:pPr>
            <w:r>
              <w:rPr>
                <w:rFonts w:hint="eastAsia" w:ascii="Times New Roman" w:hAnsi="Times New Roman" w:eastAsia="宋体" w:cs="宋体"/>
                <w:b w:val="0"/>
                <w:color w:val="auto"/>
                <w:kern w:val="0"/>
                <w:sz w:val="24"/>
                <w:szCs w:val="21"/>
                <w:lang w:val="en-US" w:eastAsia="zh-CN" w:bidi="ar-SA"/>
              </w:rPr>
              <w:t>用地单位在使用林地前，依法办理征占林地手续，且本项目水土流失治理工程不属于公益林内禁止行为。因此，本项目实施对公益林影响较小。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1" w:hRule="atLeast"/>
          <w:jc w:val="center"/>
        </w:trPr>
        <w:tc>
          <w:tcPr>
            <w:tcW w:w="879" w:type="dxa"/>
            <w:tcMar>
              <w:left w:w="28" w:type="dxa"/>
              <w:right w:w="28" w:type="dxa"/>
            </w:tcMar>
            <w:vAlign w:val="center"/>
          </w:tcPr>
          <w:p>
            <w:pPr>
              <w:pStyle w:val="24"/>
              <w:adjustRightInd w:val="0"/>
              <w:snapToGrid w:val="0"/>
              <w:spacing w:before="0" w:beforeAutospacing="0" w:after="0" w:afterAutospacing="0"/>
              <w:jc w:val="center"/>
              <w:rPr>
                <w:rFonts w:cs="宋体"/>
                <w:bCs/>
                <w:color w:val="FF0000"/>
                <w:kern w:val="2"/>
                <w:sz w:val="21"/>
                <w:szCs w:val="21"/>
              </w:rPr>
            </w:pPr>
            <w:r>
              <w:rPr>
                <w:rFonts w:hint="eastAsia" w:cs="宋体"/>
                <w:bCs/>
                <w:color w:val="auto"/>
                <w:spacing w:val="10"/>
                <w:kern w:val="2"/>
                <w:sz w:val="21"/>
                <w:szCs w:val="21"/>
              </w:rPr>
              <w:t>运营期生态环境影响分析</w:t>
            </w:r>
          </w:p>
        </w:tc>
        <w:tc>
          <w:tcPr>
            <w:tcW w:w="8363" w:type="dxa"/>
          </w:tcPr>
          <w:p>
            <w:pPr>
              <w:keepNext w:val="0"/>
              <w:keepLines w:val="0"/>
              <w:pageBreakBefore w:val="0"/>
              <w:widowControl w:val="0"/>
              <w:kinsoku/>
              <w:overflowPunct/>
              <w:topLinePunct w:val="0"/>
              <w:autoSpaceDE/>
              <w:autoSpaceDN/>
              <w:bidi w:val="0"/>
              <w:adjustRightInd w:val="0"/>
              <w:snapToGrid w:val="0"/>
              <w:spacing w:before="120" w:beforeLines="50" w:line="360" w:lineRule="auto"/>
              <w:ind w:firstLine="480" w:firstLineChars="200"/>
              <w:textAlignment w:val="auto"/>
              <w:rPr>
                <w:rFonts w:hint="eastAsia" w:ascii="Times New Roman" w:hAnsi="Times New Roman" w:eastAsia="宋体" w:cs="宋体"/>
                <w:b w:val="0"/>
                <w:color w:val="auto"/>
                <w:kern w:val="0"/>
                <w:sz w:val="24"/>
                <w:szCs w:val="21"/>
                <w:lang w:val="en-US" w:eastAsia="zh-CN" w:bidi="ar-SA"/>
              </w:rPr>
            </w:pPr>
            <w:r>
              <w:rPr>
                <w:rFonts w:hint="eastAsia" w:ascii="Times New Roman" w:hAnsi="Times New Roman" w:eastAsia="宋体" w:cs="宋体"/>
                <w:b w:val="0"/>
                <w:color w:val="auto"/>
                <w:kern w:val="0"/>
                <w:sz w:val="24"/>
                <w:szCs w:val="21"/>
                <w:lang w:val="en-US" w:eastAsia="zh-CN" w:bidi="ar-SA"/>
              </w:rPr>
              <w:t>运行期间不产生废气、废水、固废及噪声影响。</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color w:val="FF0000"/>
              </w:rPr>
            </w:pPr>
            <w:r>
              <w:rPr>
                <w:rFonts w:hint="eastAsia" w:ascii="Times New Roman" w:hAnsi="Times New Roman" w:eastAsia="宋体" w:cs="宋体"/>
                <w:b w:val="0"/>
                <w:color w:val="auto"/>
                <w:kern w:val="0"/>
                <w:sz w:val="24"/>
                <w:szCs w:val="21"/>
                <w:lang w:val="en-US" w:eastAsia="zh-CN" w:bidi="ar-SA"/>
              </w:rPr>
              <w:t>工程实施后，通过各项水土保持治理措施的合理布设，形成了立体的水土保持综合防治体系，使水土流失得到有效控制，水土资源得到合理利用，蓄水、能力增强，保护土地不遭受破坏。潏河生态环境趋向良性转化，在河道冲毁、滑坡发生沟道，建设生态护岸，实现河道稳定，满足生态需水，提升河道面源污染的处理能力和水质净化，进一步改善生态环境。各项措施完成并充分发挥效益后，将进一步改善生态环境，减轻洪涝、崩塌等自然灾害，对保护农田、交通、村镇，为群众构建安居乐业的生产生活环境，维护社会安定有重要的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6" w:hRule="atLeast"/>
          <w:jc w:val="center"/>
        </w:trPr>
        <w:tc>
          <w:tcPr>
            <w:tcW w:w="879" w:type="dxa"/>
            <w:vAlign w:val="center"/>
          </w:tcPr>
          <w:p>
            <w:pPr>
              <w:pStyle w:val="24"/>
              <w:adjustRightInd w:val="0"/>
              <w:snapToGrid w:val="0"/>
              <w:spacing w:before="0" w:beforeAutospacing="0" w:after="0" w:afterAutospacing="0"/>
              <w:jc w:val="center"/>
              <w:rPr>
                <w:rFonts w:cs="宋体"/>
                <w:bCs/>
                <w:color w:val="auto"/>
                <w:kern w:val="2"/>
                <w:sz w:val="21"/>
                <w:szCs w:val="21"/>
              </w:rPr>
            </w:pPr>
            <w:r>
              <w:rPr>
                <w:rFonts w:hint="eastAsia" w:cs="宋体"/>
                <w:bCs/>
                <w:color w:val="auto"/>
                <w:kern w:val="2"/>
                <w:sz w:val="21"/>
                <w:szCs w:val="21"/>
              </w:rPr>
              <w:t>选址选线环境合理性分析</w:t>
            </w:r>
          </w:p>
        </w:tc>
        <w:tc>
          <w:tcPr>
            <w:tcW w:w="8363" w:type="dxa"/>
          </w:tcPr>
          <w:p>
            <w:pPr>
              <w:pStyle w:val="22"/>
              <w:ind w:firstLine="480"/>
              <w:rPr>
                <w:rFonts w:hint="eastAsia"/>
                <w:color w:val="auto"/>
              </w:rPr>
            </w:pPr>
            <w:r>
              <w:rPr>
                <w:rFonts w:hint="eastAsia"/>
                <w:color w:val="auto"/>
              </w:rPr>
              <w:t>项目的建设符合国家及地方产业政策，项目位于</w:t>
            </w:r>
            <w:r>
              <w:rPr>
                <w:rFonts w:hint="eastAsia"/>
                <w:color w:val="auto"/>
                <w:lang w:eastAsia="zh-CN"/>
              </w:rPr>
              <w:t>西安市长安区潏河上游河段</w:t>
            </w:r>
            <w:r>
              <w:rPr>
                <w:rFonts w:hint="eastAsia"/>
                <w:color w:val="auto"/>
              </w:rPr>
              <w:t>，施工期供水、供电都有保障，周边交通便利，原料来源方便，符合相关法律法规的要求。通过本项目河道堤防护岸工程，不仅可以促进河道生机和活力恢复，还通过河道堤防护岸工程，提高了河道防洪、行洪能力，改善区域水域及陆域生态环境。本工程永久占地及临时占地类型均为未利用地，不涉及移民拆迁。</w:t>
            </w:r>
          </w:p>
          <w:p>
            <w:pPr>
              <w:pStyle w:val="22"/>
              <w:ind w:firstLine="480"/>
              <w:rPr>
                <w:rFonts w:hint="eastAsia"/>
                <w:color w:val="auto"/>
              </w:rPr>
            </w:pPr>
            <w:r>
              <w:rPr>
                <w:rFonts w:hint="eastAsia"/>
                <w:color w:val="auto"/>
              </w:rPr>
              <w:t>综上所述，项目从占地合理性角度分析，选址选线均符合相关要求。</w:t>
            </w:r>
          </w:p>
        </w:tc>
      </w:tr>
    </w:tbl>
    <w:p>
      <w:pPr>
        <w:pStyle w:val="24"/>
        <w:jc w:val="center"/>
        <w:rPr>
          <w:rFonts w:ascii="黑体" w:hAnsi="黑体" w:eastAsia="黑体"/>
          <w:snapToGrid w:val="0"/>
          <w:color w:val="FF0000"/>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五、主要生态环境保护措施</w:t>
      </w:r>
    </w:p>
    <w:tbl>
      <w:tblPr>
        <w:tblStyle w:val="27"/>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53" w:type="dxa"/>
            <w:tcMar>
              <w:left w:w="28" w:type="dxa"/>
              <w:right w:w="28" w:type="dxa"/>
            </w:tcMar>
            <w:vAlign w:val="center"/>
          </w:tcPr>
          <w:p>
            <w:pPr>
              <w:adjustRightInd w:val="0"/>
              <w:snapToGrid w:val="0"/>
              <w:jc w:val="center"/>
              <w:rPr>
                <w:rFonts w:ascii="宋体" w:hAnsi="宋体"/>
                <w:bCs/>
                <w:color w:val="FF0000"/>
                <w:szCs w:val="21"/>
              </w:rPr>
            </w:pPr>
            <w:r>
              <w:rPr>
                <w:rFonts w:hint="eastAsia" w:ascii="宋体" w:hAnsi="宋体" w:cs="宋体"/>
                <w:bCs/>
                <w:color w:val="auto"/>
                <w:spacing w:val="10"/>
                <w:szCs w:val="21"/>
              </w:rPr>
              <w:t>施工期生态环境保护措施</w:t>
            </w:r>
          </w:p>
        </w:tc>
        <w:tc>
          <w:tcPr>
            <w:tcW w:w="8457" w:type="dxa"/>
          </w:tcPr>
          <w:p>
            <w:pPr>
              <w:pStyle w:val="22"/>
              <w:ind w:firstLine="482"/>
              <w:rPr>
                <w:b/>
                <w:bCs/>
                <w:color w:val="auto"/>
              </w:rPr>
            </w:pPr>
            <w:r>
              <w:rPr>
                <w:rFonts w:hint="eastAsia"/>
                <w:b/>
                <w:bCs/>
                <w:color w:val="auto"/>
              </w:rPr>
              <w:t>1、施工期环境空气保护措施</w:t>
            </w:r>
          </w:p>
          <w:p>
            <w:pPr>
              <w:pStyle w:val="22"/>
              <w:ind w:firstLine="480"/>
              <w:rPr>
                <w:color w:val="auto"/>
              </w:rPr>
            </w:pPr>
            <w:r>
              <w:rPr>
                <w:rFonts w:hint="eastAsia"/>
                <w:color w:val="auto"/>
              </w:rPr>
              <w:t>（1）扬尘防治措施</w:t>
            </w:r>
          </w:p>
          <w:p>
            <w:pPr>
              <w:pStyle w:val="22"/>
              <w:ind w:firstLine="480"/>
              <w:rPr>
                <w:color w:val="auto"/>
              </w:rPr>
            </w:pPr>
            <w:r>
              <w:rPr>
                <w:rFonts w:hint="eastAsia"/>
                <w:color w:val="auto"/>
              </w:rPr>
              <w:t>为了防治施工期扬尘对周围敏感点的影响，根据《陕西省大气污染防治条例》《陕西省人民政府关于印发&lt;陕西省全面改善城市空气质量工作方案&gt;的通知》《陕西省城市空气重污染日应急方案（暂行）》《陕西省扬尘污染专项整治行动方案》《陕西省建筑施工扬尘治理行动方案》《陕西省建筑施工扬尘治理措施16条》等的相关要求，建立扬尘污染防治工作机制，进一步明确治理扬尘污染的责任，加强对建设施工工地扬尘污染的管理与控制，遇有4级以上（含4级）风力时，施工单位必须停止施工。因此，为减轻本项目建筑施工场地扬尘污染，必须严格执行以下措施：</w:t>
            </w:r>
          </w:p>
          <w:p>
            <w:pPr>
              <w:pStyle w:val="22"/>
              <w:ind w:firstLine="480"/>
              <w:rPr>
                <w:rFonts w:cs="Times New Roman"/>
                <w:color w:val="auto"/>
              </w:rPr>
            </w:pPr>
            <w:r>
              <w:rPr>
                <w:rFonts w:hint="eastAsia" w:ascii="宋体" w:hAnsi="宋体"/>
                <w:color w:val="auto"/>
              </w:rPr>
              <w:t>①</w:t>
            </w:r>
            <w:r>
              <w:rPr>
                <w:rFonts w:cs="Times New Roman"/>
                <w:color w:val="auto"/>
              </w:rPr>
              <w:t>施工组织设计中，必须制定施工现场扬尘预防治理专项方案，并指定专人负责落实，无专项方案严禁开工。所有工地全面施行湿法作业、清洗覆盖等措施。</w:t>
            </w:r>
          </w:p>
          <w:p>
            <w:pPr>
              <w:pStyle w:val="22"/>
              <w:ind w:firstLine="480"/>
              <w:rPr>
                <w:rFonts w:cs="Times New Roman"/>
                <w:color w:val="auto"/>
              </w:rPr>
            </w:pPr>
            <w:r>
              <w:rPr>
                <w:rFonts w:hint="eastAsia" w:ascii="宋体" w:hAnsi="宋体"/>
                <w:color w:val="auto"/>
              </w:rPr>
              <w:t>②</w:t>
            </w:r>
            <w:r>
              <w:rPr>
                <w:rFonts w:cs="Times New Roman"/>
                <w:color w:val="auto"/>
              </w:rPr>
              <w:t>施工工地达到施工现场100%围挡、设1.8m以上围挡</w:t>
            </w:r>
            <w:r>
              <w:rPr>
                <w:rFonts w:hint="eastAsia" w:cs="Times New Roman"/>
                <w:color w:val="auto"/>
              </w:rPr>
              <w:t>，并在围挡上方安装喷淋设施</w:t>
            </w:r>
            <w:r>
              <w:rPr>
                <w:rFonts w:cs="Times New Roman"/>
                <w:color w:val="auto"/>
              </w:rPr>
              <w:t>。工地渣土100%覆盖（简易绿化或喷洒扬尘抑制剂）、工地内施工道路和出入口100%硬化并保持整洁、驶出工地车辆100%冲洗干净后方可上路。裸露场地要增加洒水降尘频次（至少2次/日）。</w:t>
            </w:r>
          </w:p>
          <w:p>
            <w:pPr>
              <w:pStyle w:val="21"/>
              <w:ind w:firstLine="480"/>
              <w:rPr>
                <w:rFonts w:hint="eastAsia"/>
                <w:color w:val="auto"/>
              </w:rPr>
            </w:pPr>
            <w:r>
              <w:rPr>
                <w:rFonts w:hint="eastAsia" w:ascii="宋体" w:hAnsi="宋体"/>
                <w:color w:val="auto"/>
              </w:rPr>
              <w:t>③</w:t>
            </w:r>
            <w:r>
              <w:rPr>
                <w:rFonts w:hint="eastAsia"/>
                <w:color w:val="auto"/>
                <w:lang w:val="en-US" w:eastAsia="zh-CN"/>
              </w:rPr>
              <w:t xml:space="preserve">开工前，在施工现场施工段必须连续设置硬质围挡并进行维护；暂未开工的建设用地，对裸露地面进行覆盖；超过三个月未开工的，应当采取临时绿化等防尘措施。在施工现场出入口公示施工现场负责人、环保监督员、扬尘污染控制措施、举报电话等信息。 </w:t>
            </w:r>
          </w:p>
          <w:p>
            <w:pPr>
              <w:pStyle w:val="21"/>
              <w:ind w:firstLine="480"/>
              <w:rPr>
                <w:rFonts w:hint="eastAsia"/>
                <w:color w:val="auto"/>
              </w:rPr>
            </w:pPr>
            <w:r>
              <w:rPr>
                <w:rFonts w:hint="eastAsia"/>
                <w:color w:val="auto"/>
                <w:lang w:val="en-US" w:eastAsia="zh-CN"/>
              </w:rPr>
              <w:t xml:space="preserve">在施工现场出口处设置车辆冲洗设施并配套设置排水、泥浆沉淀设施，施工车辆不得带泥上路行驶，施工现场道路以及出口周边的道路不得存留建筑垃圾和泥土。 </w:t>
            </w:r>
          </w:p>
          <w:p>
            <w:pPr>
              <w:pStyle w:val="22"/>
              <w:ind w:firstLine="480"/>
              <w:rPr>
                <w:rFonts w:cs="Times New Roman"/>
                <w:color w:val="auto"/>
              </w:rPr>
            </w:pPr>
            <w:r>
              <w:rPr>
                <w:rFonts w:hint="eastAsia"/>
                <w:color w:val="auto"/>
                <w:lang w:val="en-US" w:eastAsia="zh-CN"/>
              </w:rPr>
              <w:t>施工现场出入口和场内施工道路、材料加工堆放区、办公区、生活区必须采用混凝土硬化或用硬质砌块铺设，硬化后的地面应清扫整洁无浮土、积土。</w:t>
            </w:r>
          </w:p>
          <w:p>
            <w:pPr>
              <w:pStyle w:val="21"/>
              <w:ind w:firstLine="480"/>
              <w:rPr>
                <w:rFonts w:hint="eastAsia"/>
                <w:color w:val="auto"/>
              </w:rPr>
            </w:pPr>
            <w:r>
              <w:rPr>
                <w:rFonts w:hint="eastAsia" w:ascii="宋体" w:hAnsi="宋体" w:cs="宋体"/>
                <w:color w:val="auto"/>
              </w:rPr>
              <w:t>④</w:t>
            </w:r>
            <w:r>
              <w:rPr>
                <w:rFonts w:hint="eastAsia"/>
                <w:color w:val="auto"/>
              </w:rPr>
              <w:t>施工工地内的车行道路采取硬化或者铺设礁渣、砾石或其他功能相当的材料，并辅以洒水、喷洒抑尘剂等措施；保持施工工地出入口通道及其周边100m以内道路的清洁；</w:t>
            </w:r>
          </w:p>
          <w:p>
            <w:pPr>
              <w:pStyle w:val="21"/>
              <w:ind w:firstLine="480"/>
              <w:rPr>
                <w:rFonts w:hint="eastAsia"/>
                <w:color w:val="auto"/>
              </w:rPr>
            </w:pPr>
            <w:r>
              <w:rPr>
                <w:rFonts w:hint="eastAsia"/>
                <w:color w:val="auto"/>
              </w:rPr>
              <w:t>⑤施工现场采取临时绿化或者采取覆盖防尘布或者防尘网等措施，保持施工场所和周围环境的清洁。施工现场必须建立洒水清扫抑尘制度，配备洒水设备。现场施工道路洒水须实现全覆盖，每2小时1次，并有专人负责，重污染天气时相应增加洒水频次。安装在线监测和视频监控。</w:t>
            </w:r>
          </w:p>
          <w:p>
            <w:pPr>
              <w:pStyle w:val="21"/>
              <w:ind w:firstLine="480"/>
              <w:rPr>
                <w:rFonts w:hint="eastAsia"/>
                <w:color w:val="auto"/>
              </w:rPr>
            </w:pPr>
            <w:r>
              <w:rPr>
                <w:rFonts w:hint="eastAsia"/>
                <w:color w:val="auto"/>
              </w:rPr>
              <w:t>⑥土方工程（基坑开挖、道路刨掘）作业时，须采取湿法作业，配备固定式、移动式洒水降尘设备，落实洒水、喷雾降尘等措施。</w:t>
            </w:r>
          </w:p>
          <w:p>
            <w:pPr>
              <w:pStyle w:val="21"/>
              <w:ind w:firstLine="480"/>
              <w:rPr>
                <w:rFonts w:ascii="宋体" w:hAnsi="宋体" w:cs="宋体"/>
                <w:color w:val="auto"/>
              </w:rPr>
            </w:pPr>
            <w:r>
              <w:rPr>
                <w:rFonts w:hint="eastAsia"/>
                <w:color w:val="auto"/>
              </w:rPr>
              <w:t>⑦</w:t>
            </w:r>
            <w:r>
              <w:rPr>
                <w:rFonts w:cs="Times New Roman"/>
                <w:color w:val="auto"/>
              </w:rPr>
              <w:t>施工工地出入口必须设立环境保护监督牌。必须注明项目名称、建设单位、施工单位、防治扬尘</w:t>
            </w:r>
            <w:r>
              <w:rPr>
                <w:rFonts w:hint="eastAsia" w:cs="Times New Roman"/>
                <w:color w:val="auto"/>
              </w:rPr>
              <w:t>污染</w:t>
            </w:r>
            <w:r>
              <w:rPr>
                <w:rFonts w:cs="Times New Roman"/>
                <w:color w:val="auto"/>
              </w:rPr>
              <w:t>现场监督员姓名和联系电话、项目工期、环保措施、辖区环保部门举报电话等内容。</w:t>
            </w:r>
          </w:p>
          <w:p>
            <w:pPr>
              <w:pStyle w:val="22"/>
              <w:ind w:firstLine="480"/>
              <w:rPr>
                <w:rFonts w:cs="Times New Roman"/>
                <w:color w:val="auto"/>
              </w:rPr>
            </w:pPr>
            <w:r>
              <w:rPr>
                <w:rFonts w:hint="eastAsia" w:ascii="宋体" w:hAnsi="宋体"/>
                <w:color w:val="auto"/>
                <w:lang w:val="en-US" w:eastAsia="zh-CN"/>
              </w:rPr>
              <w:t>⑧</w:t>
            </w:r>
            <w:r>
              <w:rPr>
                <w:rFonts w:cs="Times New Roman"/>
                <w:color w:val="auto"/>
              </w:rPr>
              <w:t>项目竣工施工单位应当平整施工工地，并清除积土、堆物。</w:t>
            </w:r>
          </w:p>
          <w:p>
            <w:pPr>
              <w:pStyle w:val="22"/>
              <w:ind w:firstLine="480"/>
              <w:rPr>
                <w:rFonts w:cs="Times New Roman"/>
                <w:color w:val="auto"/>
              </w:rPr>
            </w:pPr>
            <w:r>
              <w:rPr>
                <w:rFonts w:hint="eastAsia" w:ascii="宋体" w:hAnsi="宋体"/>
                <w:color w:val="auto"/>
              </w:rPr>
              <w:t>⑨</w:t>
            </w:r>
            <w:r>
              <w:rPr>
                <w:rFonts w:cs="Times New Roman"/>
                <w:color w:val="auto"/>
              </w:rPr>
              <w:t>建设单位应当在施工前向工程主管部门、环境保护行政主管部门提交工地扬尘污染防治方案，将扬尘污染防治纳入工程监理范围，所需费用列入工程预算，并在工程承包合同中明确施工单位防治扬尘污染的责任。</w:t>
            </w:r>
          </w:p>
          <w:p>
            <w:pPr>
              <w:pStyle w:val="22"/>
              <w:ind w:firstLine="480"/>
              <w:rPr>
                <w:rFonts w:cs="Times New Roman"/>
                <w:color w:val="auto"/>
              </w:rPr>
            </w:pPr>
            <w:r>
              <w:rPr>
                <w:rFonts w:hint="eastAsia" w:ascii="宋体" w:hAnsi="宋体"/>
                <w:color w:val="auto"/>
              </w:rPr>
              <w:t>⑩</w:t>
            </w:r>
            <w:r>
              <w:rPr>
                <w:rFonts w:cs="Times New Roman"/>
                <w:color w:val="auto"/>
              </w:rPr>
              <w:t>施工单位应当按照工地扬尘污染防治方案的要求施工，在施工现场出入口公示扬尘污染控制措施、负责人、环保监督员、扬尘监管行政主管部门等有关信息，接受社会监督。</w:t>
            </w:r>
          </w:p>
          <w:p>
            <w:pPr>
              <w:pStyle w:val="22"/>
              <w:ind w:firstLine="480"/>
              <w:rPr>
                <w:rFonts w:cs="Times New Roman"/>
                <w:color w:val="auto"/>
              </w:rPr>
            </w:pPr>
            <w:r>
              <w:rPr>
                <w:rFonts w:hint="eastAsia" w:ascii="宋体" w:hAnsi="宋体"/>
                <w:color w:val="auto"/>
              </w:rPr>
              <w:t>⑪</w:t>
            </w:r>
            <w:r>
              <w:rPr>
                <w:rFonts w:cs="Times New Roman"/>
                <w:color w:val="auto"/>
              </w:rPr>
              <w:t>工程项目部必须制定空气重污染应急预案，政府发布重污染预警时，立即启动应急响应；</w:t>
            </w:r>
          </w:p>
          <w:p>
            <w:pPr>
              <w:pStyle w:val="22"/>
              <w:ind w:firstLine="480"/>
              <w:rPr>
                <w:rFonts w:cs="Times New Roman"/>
                <w:color w:val="auto"/>
              </w:rPr>
            </w:pPr>
            <w:r>
              <w:rPr>
                <w:rFonts w:hint="eastAsia" w:ascii="宋体" w:hAnsi="宋体"/>
                <w:color w:val="auto"/>
              </w:rPr>
              <w:t>⑫</w:t>
            </w:r>
            <w:r>
              <w:rPr>
                <w:rFonts w:cs="Times New Roman"/>
                <w:color w:val="auto"/>
              </w:rPr>
              <w:t>拆除工程必须采用围挡隔离，并采取洒水降尘或雾化降尘措施，废弃物应及时覆盖或清运，严禁敞开式拆除。</w:t>
            </w:r>
          </w:p>
          <w:p>
            <w:pPr>
              <w:spacing w:line="360" w:lineRule="auto"/>
              <w:ind w:firstLine="480" w:firstLineChars="200"/>
              <w:rPr>
                <w:color w:val="auto"/>
                <w:sz w:val="24"/>
              </w:rPr>
            </w:pPr>
            <w:r>
              <w:rPr>
                <w:color w:val="auto"/>
                <w:sz w:val="24"/>
              </w:rPr>
              <w:t>⑬项目施工期间，在施工现场安装扬尘在线监测系统，实时监测施工现场扬尘等污染物。</w:t>
            </w:r>
          </w:p>
          <w:p>
            <w:pPr>
              <w:spacing w:line="360" w:lineRule="auto"/>
              <w:ind w:firstLine="480" w:firstLineChars="200"/>
              <w:rPr>
                <w:color w:val="auto"/>
                <w:sz w:val="24"/>
              </w:rPr>
            </w:pPr>
            <w:r>
              <w:rPr>
                <w:color w:val="auto"/>
                <w:sz w:val="24"/>
              </w:rPr>
              <w:t>⑭建设单位应加强扬尘控制措施，注意运输道路的清扫，洗车要规范，洒水要到位，并建立健全的施工扬尘管理制度。</w:t>
            </w:r>
          </w:p>
          <w:p>
            <w:pPr>
              <w:pStyle w:val="22"/>
              <w:ind w:firstLine="480"/>
              <w:rPr>
                <w:color w:val="auto"/>
              </w:rPr>
            </w:pPr>
            <w:r>
              <w:rPr>
                <w:rFonts w:hint="eastAsia"/>
                <w:color w:val="auto"/>
              </w:rPr>
              <w:t>根据《陕西省施工场界扬尘排放限值》（DB61/1078-2017）中的扬尘排放控制要求，城市建成区、规划区施工场界内施工扬尘浓度在周界外浓度最高点拆除、土方及地基处理工程小时平均浓度限值控制在不大于0.8mg/m</w:t>
            </w:r>
            <w:r>
              <w:rPr>
                <w:rFonts w:hint="eastAsia"/>
                <w:color w:val="auto"/>
                <w:vertAlign w:val="superscript"/>
              </w:rPr>
              <w:t>3</w:t>
            </w:r>
            <w:r>
              <w:rPr>
                <w:rFonts w:hint="eastAsia"/>
                <w:color w:val="auto"/>
              </w:rPr>
              <w:t>，在周界外浓度最高点基础、主体结构及装饰工程小时平均浓度限值控制在不大于0.7mg/m</w:t>
            </w:r>
            <w:r>
              <w:rPr>
                <w:rFonts w:hint="eastAsia"/>
                <w:color w:val="auto"/>
                <w:vertAlign w:val="superscript"/>
              </w:rPr>
              <w:t>3</w:t>
            </w:r>
            <w:r>
              <w:rPr>
                <w:rFonts w:hint="eastAsia"/>
                <w:color w:val="auto"/>
              </w:rPr>
              <w:t>。为落实以上要求，建设单位施工过程中应严格落实―洒水、覆盖、硬化、冲洗、绿化、围挡“六个100%”措施，尽量减缓施工扬尘对周围环境的影响。采取如上措施后施工期扬尘对周围环境影响不大，且施工期对大气环境的污染是短期的，施工完成后就会消失。</w:t>
            </w:r>
          </w:p>
          <w:p>
            <w:pPr>
              <w:pStyle w:val="22"/>
              <w:ind w:firstLine="480"/>
              <w:rPr>
                <w:color w:val="auto"/>
              </w:rPr>
            </w:pPr>
            <w:r>
              <w:rPr>
                <w:rFonts w:hint="eastAsia"/>
                <w:color w:val="auto"/>
              </w:rPr>
              <w:t>（2）施工机械、车辆尾气</w:t>
            </w:r>
          </w:p>
          <w:p>
            <w:pPr>
              <w:pStyle w:val="22"/>
              <w:ind w:firstLine="480"/>
              <w:rPr>
                <w:color w:val="auto"/>
              </w:rPr>
            </w:pPr>
            <w:r>
              <w:rPr>
                <w:rFonts w:hint="eastAsia"/>
                <w:color w:val="auto"/>
              </w:rPr>
              <w:t>本项目为减小施工期施工机械、材料运输车辆尾气对周围环境的影响，本环评要求拟采取如下控制措施：</w:t>
            </w:r>
          </w:p>
          <w:p>
            <w:pPr>
              <w:pStyle w:val="22"/>
              <w:ind w:firstLine="480"/>
              <w:rPr>
                <w:color w:val="auto"/>
              </w:rPr>
            </w:pPr>
            <w:r>
              <w:rPr>
                <w:rFonts w:hint="eastAsia"/>
                <w:color w:val="auto"/>
              </w:rPr>
              <w:t>①选用符合国家标准的施工机械设备和运输车辆；</w:t>
            </w:r>
          </w:p>
          <w:p>
            <w:pPr>
              <w:pStyle w:val="22"/>
              <w:ind w:firstLine="480"/>
              <w:rPr>
                <w:color w:val="auto"/>
              </w:rPr>
            </w:pPr>
            <w:r>
              <w:rPr>
                <w:rFonts w:hint="eastAsia"/>
                <w:color w:val="auto"/>
              </w:rPr>
              <w:t>②加强对施工机械及施工车辆的检修和维护，严禁使用超期服役和尾气超标的施工机械及车辆；</w:t>
            </w:r>
          </w:p>
          <w:p>
            <w:pPr>
              <w:pStyle w:val="22"/>
              <w:ind w:firstLine="480"/>
              <w:rPr>
                <w:color w:val="auto"/>
              </w:rPr>
            </w:pPr>
            <w:r>
              <w:rPr>
                <w:rFonts w:hint="eastAsia"/>
                <w:color w:val="auto"/>
              </w:rPr>
              <w:t>③尽可能使用气动和电动设备及机械，或使用优质燃油，以减少机械和车辆有害气体的排放。采取以上措施后，可有效减少施工机械、车辆尾气对周围环境的影响，排放废气可满 足非道路移动机械相关标准要求。</w:t>
            </w:r>
          </w:p>
          <w:p>
            <w:pPr>
              <w:pStyle w:val="22"/>
              <w:ind w:firstLine="482"/>
              <w:rPr>
                <w:b/>
                <w:bCs/>
                <w:color w:val="auto"/>
              </w:rPr>
            </w:pPr>
            <w:r>
              <w:rPr>
                <w:rFonts w:hint="eastAsia"/>
                <w:b/>
                <w:bCs/>
                <w:color w:val="auto"/>
              </w:rPr>
              <w:t>2、施工期水污染防治措施</w:t>
            </w:r>
          </w:p>
          <w:p>
            <w:pPr>
              <w:pStyle w:val="22"/>
              <w:ind w:firstLine="480"/>
              <w:rPr>
                <w:rFonts w:hint="eastAsia"/>
                <w:color w:val="FF0000"/>
                <w:sz w:val="24"/>
                <w:szCs w:val="24"/>
                <w:highlight w:val="none"/>
              </w:rPr>
            </w:pPr>
            <w:r>
              <w:rPr>
                <w:rFonts w:hint="eastAsia"/>
                <w:color w:val="auto"/>
              </w:rPr>
              <w:t>（1）施工废水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sz w:val="24"/>
                <w:szCs w:val="24"/>
                <w:highlight w:val="none"/>
                <w:lang w:eastAsia="zh-CN"/>
              </w:rPr>
            </w:pPr>
            <w:r>
              <w:rPr>
                <w:rFonts w:hint="default" w:ascii="Times New Roman" w:hAnsi="Times New Roman" w:eastAsia="宋体" w:cs="Times New Roman"/>
                <w:bCs/>
                <w:color w:val="auto"/>
                <w:spacing w:val="0"/>
                <w:sz w:val="24"/>
                <w:szCs w:val="24"/>
                <w:highlight w:val="none"/>
                <w:lang w:eastAsia="zh-CN"/>
              </w:rPr>
              <w:t>施工生产废水主要为施工车辆冲洗水和混凝土养护水，废水中主要的污染物为SS和少量的石油类，SS的浓度约1000-2000mg/m</w:t>
            </w:r>
            <w:r>
              <w:rPr>
                <w:rFonts w:hint="default" w:ascii="Times New Roman" w:hAnsi="Times New Roman" w:eastAsia="宋体" w:cs="Times New Roman"/>
                <w:bCs/>
                <w:color w:val="auto"/>
                <w:spacing w:val="0"/>
                <w:sz w:val="24"/>
                <w:szCs w:val="24"/>
                <w:highlight w:val="none"/>
                <w:vertAlign w:val="superscript"/>
                <w:lang w:eastAsia="zh-CN"/>
              </w:rPr>
              <w:t>3</w:t>
            </w:r>
            <w:r>
              <w:rPr>
                <w:rFonts w:hint="default" w:ascii="Times New Roman" w:hAnsi="Times New Roman" w:eastAsia="宋体" w:cs="Times New Roman"/>
                <w:bCs/>
                <w:color w:val="auto"/>
                <w:spacing w:val="0"/>
                <w:sz w:val="24"/>
                <w:szCs w:val="24"/>
                <w:highlight w:val="none"/>
                <w:lang w:eastAsia="zh-CN"/>
              </w:rPr>
              <w:t>。由于工程施工期生产废水产生点较为分散，难以集中处理，应在各施工场地依据地势走向在地势低洼处修建沉淀池，将废水汇集到沉淀池沉淀处后来，回用于车辆冲洗</w:t>
            </w:r>
            <w:r>
              <w:rPr>
                <w:rFonts w:hint="eastAsia" w:cs="Times New Roman"/>
                <w:bCs/>
                <w:color w:val="auto"/>
                <w:spacing w:val="0"/>
                <w:sz w:val="24"/>
                <w:szCs w:val="24"/>
                <w:highlight w:val="none"/>
                <w:lang w:eastAsia="zh-CN"/>
              </w:rPr>
              <w:t>，</w:t>
            </w:r>
            <w:r>
              <w:rPr>
                <w:color w:val="auto"/>
                <w:kern w:val="0"/>
                <w:sz w:val="24"/>
                <w:lang w:bidi="ar"/>
              </w:rPr>
              <w:t>亦可作为洒水抑尘用水。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highlight w:val="none"/>
                <w:lang w:eastAsia="zh-CN"/>
              </w:rPr>
            </w:pPr>
            <w:r>
              <w:rPr>
                <w:rFonts w:hint="eastAsia" w:cs="Times New Roman"/>
                <w:bCs/>
                <w:color w:val="auto"/>
                <w:spacing w:val="0"/>
                <w:sz w:val="24"/>
                <w:szCs w:val="24"/>
                <w:highlight w:val="none"/>
                <w:lang w:eastAsia="zh-CN"/>
              </w:rPr>
              <w:t>（</w:t>
            </w:r>
            <w:r>
              <w:rPr>
                <w:rFonts w:hint="eastAsia" w:cs="Times New Roman"/>
                <w:bCs/>
                <w:color w:val="auto"/>
                <w:spacing w:val="0"/>
                <w:sz w:val="24"/>
                <w:szCs w:val="24"/>
                <w:highlight w:val="none"/>
                <w:lang w:val="en-US" w:eastAsia="zh-CN"/>
              </w:rPr>
              <w:t>2</w:t>
            </w:r>
            <w:r>
              <w:rPr>
                <w:rFonts w:hint="eastAsia" w:cs="Times New Roman"/>
                <w:bCs/>
                <w:color w:val="auto"/>
                <w:spacing w:val="0"/>
                <w:sz w:val="24"/>
                <w:szCs w:val="24"/>
                <w:highlight w:val="none"/>
                <w:lang w:eastAsia="zh-CN"/>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highlight w:val="none"/>
                <w:lang w:eastAsia="zh-CN"/>
              </w:rPr>
            </w:pPr>
            <w:r>
              <w:rPr>
                <w:rFonts w:hint="eastAsia" w:cs="Times New Roman"/>
                <w:bCs/>
                <w:color w:val="auto"/>
                <w:spacing w:val="0"/>
                <w:sz w:val="24"/>
                <w:szCs w:val="24"/>
                <w:highlight w:val="none"/>
                <w:lang w:eastAsia="zh-CN"/>
              </w:rPr>
              <w:t>本项目设置1个项目指挥部和</w:t>
            </w:r>
            <w:r>
              <w:rPr>
                <w:rFonts w:hint="eastAsia" w:cs="Times New Roman"/>
                <w:bCs/>
                <w:color w:val="auto"/>
                <w:spacing w:val="0"/>
                <w:sz w:val="24"/>
                <w:szCs w:val="24"/>
                <w:highlight w:val="none"/>
                <w:lang w:val="en-US" w:eastAsia="zh-CN"/>
              </w:rPr>
              <w:t>4</w:t>
            </w:r>
            <w:r>
              <w:rPr>
                <w:rFonts w:hint="eastAsia" w:cs="Times New Roman"/>
                <w:bCs/>
                <w:color w:val="auto"/>
                <w:spacing w:val="0"/>
                <w:sz w:val="24"/>
                <w:szCs w:val="24"/>
                <w:highlight w:val="none"/>
                <w:lang w:eastAsia="zh-CN"/>
              </w:rPr>
              <w:t>个主要的工区营地，项目指挥部及营地皆租用民房建筑，不自行建设。施工人员生活污水依托周边村民现有的污水设施。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highlight w:val="none"/>
                <w:lang w:eastAsia="zh-CN"/>
              </w:rPr>
            </w:pPr>
            <w:r>
              <w:rPr>
                <w:rFonts w:hint="eastAsia" w:cs="Times New Roman"/>
                <w:bCs/>
                <w:color w:val="auto"/>
                <w:spacing w:val="0"/>
                <w:sz w:val="24"/>
                <w:szCs w:val="24"/>
                <w:highlight w:val="none"/>
                <w:lang w:eastAsia="zh-CN"/>
              </w:rPr>
              <w:t>（</w:t>
            </w:r>
            <w:r>
              <w:rPr>
                <w:rFonts w:hint="eastAsia" w:cs="Times New Roman"/>
                <w:bCs/>
                <w:color w:val="auto"/>
                <w:spacing w:val="0"/>
                <w:sz w:val="24"/>
                <w:szCs w:val="24"/>
                <w:highlight w:val="none"/>
                <w:lang w:val="en-US" w:eastAsia="zh-CN"/>
              </w:rPr>
              <w:t>3</w:t>
            </w:r>
            <w:r>
              <w:rPr>
                <w:rFonts w:hint="eastAsia" w:cs="Times New Roman"/>
                <w:bCs/>
                <w:color w:val="auto"/>
                <w:spacing w:val="0"/>
                <w:sz w:val="24"/>
                <w:szCs w:val="24"/>
                <w:highlight w:val="none"/>
                <w:lang w:eastAsia="zh-CN"/>
              </w:rPr>
              <w:t>）施工过程对河流水质的环境保护措施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highlight w:val="none"/>
                <w:lang w:eastAsia="zh-CN"/>
              </w:rPr>
            </w:pPr>
            <w:r>
              <w:rPr>
                <w:rFonts w:hint="eastAsia" w:cs="Times New Roman"/>
                <w:bCs/>
                <w:color w:val="auto"/>
                <w:spacing w:val="0"/>
                <w:sz w:val="24"/>
                <w:szCs w:val="24"/>
                <w:highlight w:val="none"/>
                <w:lang w:eastAsia="zh-CN"/>
              </w:rPr>
              <w:t>施工过程对河流水质拟采取的治理措施如下：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highlight w:val="none"/>
                <w:lang w:eastAsia="zh-CN"/>
              </w:rPr>
            </w:pPr>
            <w:r>
              <w:rPr>
                <w:rFonts w:hint="eastAsia" w:cs="Times New Roman"/>
                <w:bCs/>
                <w:color w:val="auto"/>
                <w:spacing w:val="0"/>
                <w:sz w:val="24"/>
                <w:szCs w:val="24"/>
                <w:highlight w:val="none"/>
                <w:lang w:eastAsia="zh-CN"/>
              </w:rPr>
              <w:t>①河道施工主要安排在枯水期进行。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highlight w:val="none"/>
                <w:lang w:eastAsia="zh-CN"/>
              </w:rPr>
            </w:pPr>
            <w:r>
              <w:rPr>
                <w:rFonts w:hint="eastAsia" w:cs="Times New Roman"/>
                <w:bCs/>
                <w:color w:val="auto"/>
                <w:spacing w:val="0"/>
                <w:sz w:val="24"/>
                <w:szCs w:val="24"/>
                <w:highlight w:val="none"/>
                <w:lang w:eastAsia="zh-CN"/>
              </w:rPr>
              <w:t>②河道施工设临时围堰。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highlight w:val="none"/>
                <w:lang w:eastAsia="zh-CN"/>
              </w:rPr>
            </w:pPr>
            <w:r>
              <w:rPr>
                <w:rFonts w:hint="eastAsia" w:cs="Times New Roman"/>
                <w:bCs/>
                <w:color w:val="auto"/>
                <w:spacing w:val="0"/>
                <w:sz w:val="24"/>
                <w:szCs w:val="24"/>
                <w:highlight w:val="none"/>
                <w:lang w:eastAsia="zh-CN"/>
              </w:rPr>
              <w:t>③加强施工管理，各工程严格按照设计的范围进行，不得随意扩大施工范围。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highlight w:val="none"/>
                <w:lang w:eastAsia="zh-CN"/>
              </w:rPr>
            </w:pPr>
            <w:r>
              <w:rPr>
                <w:rFonts w:hint="eastAsia" w:cs="Times New Roman"/>
                <w:bCs/>
                <w:color w:val="auto"/>
                <w:spacing w:val="0"/>
                <w:sz w:val="24"/>
                <w:szCs w:val="24"/>
                <w:highlight w:val="none"/>
                <w:lang w:eastAsia="zh-CN"/>
              </w:rPr>
              <w:t>④施工过程产生的废水经沉淀后回用，禁止排入河流。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sz w:val="24"/>
                <w:szCs w:val="24"/>
                <w:highlight w:val="none"/>
                <w:lang w:eastAsia="zh-CN"/>
              </w:rPr>
            </w:pPr>
            <w:r>
              <w:rPr>
                <w:rFonts w:hint="eastAsia" w:cs="Times New Roman"/>
                <w:bCs/>
                <w:color w:val="auto"/>
                <w:spacing w:val="0"/>
                <w:sz w:val="24"/>
                <w:szCs w:val="24"/>
                <w:highlight w:val="none"/>
                <w:lang w:eastAsia="zh-CN"/>
              </w:rPr>
              <w:t>在采取上述措施后，本项目施工期产生的废水均可得到妥善的处理，施工期产生的废水对周围环境影响较小，治理措施可行。</w:t>
            </w:r>
          </w:p>
          <w:p>
            <w:pPr>
              <w:pStyle w:val="22"/>
              <w:ind w:firstLine="482"/>
              <w:rPr>
                <w:b/>
                <w:bCs/>
                <w:color w:val="auto"/>
              </w:rPr>
            </w:pPr>
            <w:r>
              <w:rPr>
                <w:rFonts w:hint="eastAsia"/>
                <w:b/>
                <w:bCs/>
                <w:color w:val="auto"/>
              </w:rPr>
              <w:t>3、施工期噪声污染防控措施</w:t>
            </w:r>
          </w:p>
          <w:p>
            <w:pPr>
              <w:pStyle w:val="22"/>
              <w:ind w:firstLine="480"/>
              <w:rPr>
                <w:rFonts w:hint="eastAsia"/>
                <w:color w:val="auto"/>
              </w:rPr>
            </w:pPr>
            <w:r>
              <w:rPr>
                <w:rFonts w:hint="eastAsia"/>
                <w:color w:val="auto"/>
              </w:rPr>
              <w:t>施工场地内机械设备大多属于移动声源，要准确预测施工场地各场界噪声值较为困难，且根据施工阶段不同各个机械作业时间无法确定，基本不存在集中作业，因此，无法对施工机械进行叠加预测。单台施工机械约在50m以外噪声值才基本能达到施工阶段场界昼间噪声限值，夜间单台机械约在200m以外噪声值才基本能达到施工阶段场界夜间噪声限值。</w:t>
            </w:r>
          </w:p>
          <w:p>
            <w:pPr>
              <w:pStyle w:val="22"/>
              <w:ind w:firstLine="480"/>
              <w:rPr>
                <w:rFonts w:hint="eastAsia"/>
                <w:color w:val="auto"/>
              </w:rPr>
            </w:pPr>
            <w:r>
              <w:rPr>
                <w:rFonts w:hint="eastAsia"/>
                <w:color w:val="auto"/>
              </w:rPr>
              <w:t>为最大限度地减少施工期噪声对环境和敏感点的影响，要求建设单位在工程施工期采取以下噪声控制措施：</w:t>
            </w:r>
          </w:p>
          <w:p>
            <w:pPr>
              <w:pStyle w:val="22"/>
              <w:ind w:firstLine="48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从源头上降低噪声源强。必须选用符合国家噪声标准的设备，尽可能选用低噪声施工机械和工艺。</w:t>
            </w:r>
          </w:p>
          <w:p>
            <w:pPr>
              <w:pStyle w:val="22"/>
              <w:ind w:firstLine="48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加强设备的维护和保养，保持设备良好运转状态，降低设备运行噪声。</w:t>
            </w:r>
          </w:p>
          <w:p>
            <w:pPr>
              <w:pStyle w:val="22"/>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在距离施工作业点较近居民区段，应设置移动式围挡，隔离施工作业场地，对高噪声设备应增加阻尼金属减振器或橡胶减振垫以减少施工噪声对上述敏感点的影响。</w:t>
            </w:r>
          </w:p>
          <w:p>
            <w:pPr>
              <w:pStyle w:val="22"/>
              <w:ind w:firstLine="48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合理安排施工时间，禁止夜间进行产生环境噪声污染的建筑施工作业（22：00～06：00）。</w:t>
            </w:r>
          </w:p>
          <w:p>
            <w:pPr>
              <w:pStyle w:val="22"/>
              <w:ind w:firstLine="480"/>
              <w:rPr>
                <w:color w:val="auto"/>
              </w:rPr>
            </w:pPr>
            <w:r>
              <w:rPr>
                <w:rFonts w:hint="eastAsia"/>
                <w:color w:val="auto"/>
              </w:rPr>
              <w:t>为了有效地控制施工噪声影响，除落实有关的控制措施外，还必须加强施工环境管理，由环保部门实施统一的监督管理，建设单位与施工单位在工程承包时，应将环境保护内容列入承包合同，落实各项施工噪声的控制措施和有关主管部门的要求。据现场调查，运输道路200m范围内有居民集中居住区，但由于项目夜间不施工，因此，在加强施工噪声管理之后施工噪声对周围环境影响可以接受。</w:t>
            </w:r>
          </w:p>
          <w:p>
            <w:pPr>
              <w:pStyle w:val="22"/>
              <w:ind w:firstLine="482"/>
              <w:rPr>
                <w:b/>
                <w:bCs/>
                <w:color w:val="auto"/>
              </w:rPr>
            </w:pPr>
            <w:r>
              <w:rPr>
                <w:rFonts w:hint="eastAsia"/>
                <w:b/>
                <w:bCs/>
                <w:color w:val="auto"/>
              </w:rPr>
              <w:t>4、固体废物环境保护措施</w:t>
            </w:r>
          </w:p>
          <w:p>
            <w:pPr>
              <w:pStyle w:val="22"/>
              <w:ind w:firstLine="480"/>
              <w:rPr>
                <w:rFonts w:hint="eastAsia"/>
                <w:color w:val="auto"/>
              </w:rPr>
            </w:pPr>
            <w:r>
              <w:rPr>
                <w:rFonts w:hint="eastAsia"/>
                <w:color w:val="auto"/>
              </w:rPr>
              <w:t>根据项目施工方案，</w:t>
            </w:r>
            <w:r>
              <w:rPr>
                <w:rFonts w:hint="eastAsia" w:cs="Times New Roman"/>
                <w:color w:val="auto"/>
                <w:kern w:val="0"/>
                <w:sz w:val="24"/>
                <w:szCs w:val="24"/>
                <w:highlight w:val="none"/>
                <w:lang w:val="en-US" w:eastAsia="zh-CN"/>
              </w:rPr>
              <w:t>本工程土石方填挖方基本持衡，其中挖方总量为34722.25m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，工程利用石料方量9133.90m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，总回填方量为25588.35m</w:t>
            </w:r>
            <w:r>
              <w:rPr>
                <w:rFonts w:hint="eastAsia" w:cs="Times New Roman"/>
                <w:color w:val="auto"/>
                <w:kern w:val="0"/>
                <w:sz w:val="24"/>
                <w:szCs w:val="24"/>
                <w:highlight w:val="none"/>
                <w:vertAlign w:val="superscript"/>
                <w:lang w:val="en-US" w:eastAsia="zh-CN"/>
              </w:rPr>
              <w:t>3</w:t>
            </w:r>
            <w:r>
              <w:rPr>
                <w:rFonts w:hint="eastAsia"/>
                <w:b w:val="0"/>
                <w:bCs w:val="0"/>
                <w:color w:val="auto"/>
                <w:lang w:val="en-US" w:eastAsia="zh-CN"/>
              </w:rPr>
              <w:t>，实施过程土石方平衡，不产生弃渣</w:t>
            </w:r>
            <w:r>
              <w:rPr>
                <w:rFonts w:hint="eastAsia"/>
                <w:color w:val="auto"/>
              </w:rPr>
              <w:t>。</w:t>
            </w:r>
          </w:p>
          <w:p>
            <w:pPr>
              <w:pStyle w:val="22"/>
              <w:ind w:firstLine="480"/>
              <w:rPr>
                <w:rFonts w:hint="eastAsia"/>
                <w:color w:val="auto"/>
              </w:rPr>
            </w:pPr>
            <w:r>
              <w:rPr>
                <w:rFonts w:hint="eastAsia"/>
                <w:color w:val="auto"/>
              </w:rPr>
              <w:t>生活垃圾依托周边村民现有的生活垃圾设施。</w:t>
            </w:r>
          </w:p>
          <w:p>
            <w:pPr>
              <w:pStyle w:val="22"/>
              <w:ind w:firstLine="480"/>
              <w:rPr>
                <w:rFonts w:hint="eastAsia"/>
                <w:color w:val="auto"/>
              </w:rPr>
            </w:pPr>
            <w:r>
              <w:rPr>
                <w:rFonts w:hint="eastAsia"/>
                <w:color w:val="auto"/>
              </w:rPr>
              <w:t>本工程应当采取的固体废物处置措施包括：</w:t>
            </w:r>
          </w:p>
          <w:p>
            <w:pPr>
              <w:pStyle w:val="22"/>
              <w:ind w:firstLine="48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施工现场临时堆土场做好覆盖措施；</w:t>
            </w:r>
          </w:p>
          <w:p>
            <w:pPr>
              <w:pStyle w:val="22"/>
              <w:ind w:firstLine="48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物料运输车辆采取覆盖，防止遗撒；</w:t>
            </w:r>
          </w:p>
          <w:p>
            <w:pPr>
              <w:pStyle w:val="22"/>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在施工区内布置垃圾桶，并委托当地环卫部门定期清运生活垃圾；</w:t>
            </w:r>
          </w:p>
          <w:p>
            <w:pPr>
              <w:pStyle w:val="22"/>
              <w:ind w:firstLine="48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加强管理，禁止固体废物进入河道和水体。</w:t>
            </w:r>
          </w:p>
          <w:p>
            <w:pPr>
              <w:pStyle w:val="22"/>
              <w:ind w:firstLine="482"/>
              <w:rPr>
                <w:b/>
                <w:bCs/>
                <w:color w:val="auto"/>
              </w:rPr>
            </w:pPr>
            <w:r>
              <w:rPr>
                <w:rFonts w:hint="eastAsia"/>
                <w:b/>
                <w:bCs/>
                <w:color w:val="auto"/>
              </w:rPr>
              <w:t>5、生态环境保护措施</w:t>
            </w:r>
          </w:p>
          <w:p>
            <w:pPr>
              <w:pStyle w:val="22"/>
              <w:ind w:firstLine="480"/>
              <w:rPr>
                <w:color w:val="auto"/>
              </w:rPr>
            </w:pPr>
            <w:r>
              <w:rPr>
                <w:rFonts w:hint="eastAsia"/>
                <w:color w:val="auto"/>
              </w:rPr>
              <w:t>建设单位拟采取以下生态环境保护措施：</w:t>
            </w:r>
          </w:p>
          <w:p>
            <w:pPr>
              <w:pStyle w:val="22"/>
              <w:ind w:firstLine="480"/>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）施工占地保护措施</w:t>
            </w:r>
          </w:p>
          <w:p>
            <w:pPr>
              <w:pStyle w:val="22"/>
              <w:ind w:firstLine="480"/>
              <w:rPr>
                <w:rFonts w:hint="eastAsia"/>
                <w:color w:val="auto"/>
                <w:lang w:val="en-US" w:eastAsia="zh-CN"/>
              </w:rPr>
            </w:pPr>
            <w:r>
              <w:rPr>
                <w:rFonts w:hint="eastAsia"/>
                <w:color w:val="auto"/>
                <w:lang w:val="en-US" w:eastAsia="zh-CN"/>
              </w:rPr>
              <w:t>由于涉及河道长度短，工程占地少，施工对占地范围内植被影响小。施工临时道路应充分利用现有道路或工程范围内用地，工程范围外尽量不开设或少开设施工道路。临时施工道路的开挖应按照不同的地质条件，设置不同的开挖边坡，以保证边坡的安全稳定，路基坡底已设排水沟，以利于排水。在施工完毕后对所有临时施工道路区域进行清理，拆除地上建筑物。</w:t>
            </w:r>
          </w:p>
          <w:p>
            <w:pPr>
              <w:pStyle w:val="22"/>
              <w:ind w:firstLine="480"/>
              <w:rPr>
                <w:rFonts w:hint="eastAsia"/>
                <w:color w:val="auto"/>
              </w:rPr>
            </w:pPr>
            <w:r>
              <w:rPr>
                <w:rFonts w:hint="eastAsia"/>
                <w:color w:val="auto"/>
                <w:lang w:val="en-US" w:eastAsia="zh-CN"/>
              </w:rPr>
              <w:t>施工临时占地对该区土地只是建设期的临时影响，施工结束后可基本恢复</w:t>
            </w:r>
            <w:r>
              <w:rPr>
                <w:rFonts w:hint="eastAsia"/>
                <w:color w:val="auto"/>
              </w:rPr>
              <w:t>。</w:t>
            </w:r>
          </w:p>
          <w:p>
            <w:pPr>
              <w:pStyle w:val="22"/>
              <w:ind w:firstLine="48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）植被破坏保护措施</w:t>
            </w:r>
          </w:p>
          <w:p>
            <w:pPr>
              <w:pStyle w:val="22"/>
              <w:ind w:firstLine="480"/>
              <w:rPr>
                <w:rFonts w:hint="eastAsia"/>
                <w:color w:val="auto"/>
              </w:rPr>
            </w:pPr>
            <w:r>
              <w:rPr>
                <w:rFonts w:hint="eastAsia"/>
                <w:color w:val="auto"/>
              </w:rPr>
              <w:t>为减轻施工期对植被的影响，评价要求施工期建设单位采取以下污染防治措施：</w:t>
            </w:r>
          </w:p>
          <w:p>
            <w:pPr>
              <w:pStyle w:val="22"/>
              <w:ind w:firstLine="480"/>
              <w:rPr>
                <w:rFonts w:hint="eastAsia"/>
                <w:color w:val="auto"/>
              </w:rPr>
            </w:pPr>
            <w:r>
              <w:rPr>
                <w:rFonts w:hint="eastAsia"/>
                <w:color w:val="auto"/>
              </w:rPr>
              <w:t>①施工期严格控制施工作业带，避免超挖破坏周围植被，严格保护临时用地内植被，减少植被损坏，保护区域生态环境功能。施工过程中保护好表层土壤，施工结束后及时清理清除施工遗留不利于作物生长的杂物，恢复土层，对临时占地、裸地进行平整绿化；采用乡土物种或者占用地原有物种对临时占地进行绿化，乡土物种或者占用地原有物种不但容易存活，而且可防止外来物种入侵，减少生态风险。</w:t>
            </w:r>
          </w:p>
          <w:p>
            <w:pPr>
              <w:pStyle w:val="22"/>
              <w:ind w:firstLine="480"/>
              <w:rPr>
                <w:rFonts w:hint="eastAsia"/>
                <w:color w:val="auto"/>
              </w:rPr>
            </w:pPr>
            <w:r>
              <w:rPr>
                <w:rFonts w:hint="eastAsia"/>
                <w:color w:val="auto"/>
              </w:rPr>
              <w:t>②加强绿化植物的管理维护，建立专门的绿化管理机构，采取浇灌抚育管护等措施，确保绿化物种的成活以及绿化效果。</w:t>
            </w:r>
          </w:p>
          <w:p>
            <w:pPr>
              <w:pStyle w:val="22"/>
              <w:ind w:firstLine="480"/>
              <w:rPr>
                <w:rFonts w:hint="eastAsia"/>
                <w:color w:val="auto"/>
              </w:rPr>
            </w:pPr>
            <w:r>
              <w:rPr>
                <w:rFonts w:hint="eastAsia"/>
                <w:color w:val="auto"/>
              </w:rPr>
              <w:t>整体来看，本项目施工期占地面积较小，对该区土地资源不会造成太大影响，不会危及到某一类型生态体系的完整性和稳定性，不会造成当地土地利用功能和性质改变。施工结束后通过对施工期临时占地进行功能恢复，可进一步降低占地影响。</w:t>
            </w:r>
          </w:p>
          <w:p>
            <w:pPr>
              <w:pStyle w:val="22"/>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）对水生生物的影响保护措施</w:t>
            </w:r>
          </w:p>
          <w:p>
            <w:pPr>
              <w:pStyle w:val="22"/>
              <w:ind w:firstLine="480"/>
              <w:rPr>
                <w:rFonts w:hint="eastAsia"/>
                <w:color w:val="auto"/>
              </w:rPr>
            </w:pPr>
            <w:r>
              <w:rPr>
                <w:rFonts w:hint="eastAsia"/>
                <w:color w:val="auto"/>
              </w:rPr>
              <w:t>本工程施工期基坑开挖、施工导流产生的废水和泥沙如不采取措施直接排放，会导致施工河段水体透明度及溶解氧降低，导致区域内浮游生物种类发生变化。施工期间产生的固体废物、施工废水及施工人员生活污水处理不当可能会对工程区域水环境产生污染，导致施工河段原有底栖生物及鱼类栖息条件环境发生改变，使施工区域短期内底栖生物及鱼类密度降低。</w:t>
            </w:r>
          </w:p>
          <w:p>
            <w:pPr>
              <w:pStyle w:val="22"/>
              <w:ind w:firstLine="480"/>
              <w:rPr>
                <w:rFonts w:hint="eastAsia"/>
                <w:color w:val="auto"/>
              </w:rPr>
            </w:pPr>
            <w:r>
              <w:rPr>
                <w:rFonts w:hint="eastAsia"/>
                <w:color w:val="auto"/>
              </w:rPr>
              <w:t>为降低项目施工期对水生生物产生影响，评价要求施工期采取以下防治措施：</w:t>
            </w:r>
          </w:p>
          <w:p>
            <w:pPr>
              <w:pStyle w:val="22"/>
              <w:ind w:firstLine="480"/>
              <w:rPr>
                <w:rFonts w:hint="eastAsia"/>
                <w:color w:val="auto"/>
              </w:rPr>
            </w:pPr>
            <w:r>
              <w:rPr>
                <w:rFonts w:hint="eastAsia"/>
                <w:color w:val="auto"/>
              </w:rPr>
              <w:t>①施工期做好施工导流，以减轻施工活动对河流水体的扰动。施工期间施工废水处理后全部回用不外排，施工期员工生活均依托</w:t>
            </w:r>
            <w:r>
              <w:rPr>
                <w:rFonts w:hint="eastAsia"/>
                <w:color w:val="auto"/>
                <w:lang w:eastAsia="zh-CN"/>
              </w:rPr>
              <w:t>周边村民现有的污水处理设施</w:t>
            </w:r>
            <w:r>
              <w:rPr>
                <w:rFonts w:hint="eastAsia"/>
                <w:color w:val="auto"/>
              </w:rPr>
              <w:t>。禁止在河道内存放油料和进行施工机械维修，以免油料堆放场地和维修废水等污染物质进入地表水体，影响</w:t>
            </w:r>
            <w:r>
              <w:rPr>
                <w:rFonts w:hint="eastAsia"/>
                <w:color w:val="auto"/>
                <w:lang w:eastAsia="zh-CN"/>
              </w:rPr>
              <w:t>潏</w:t>
            </w:r>
            <w:r>
              <w:rPr>
                <w:rFonts w:hint="eastAsia"/>
                <w:color w:val="auto"/>
              </w:rPr>
              <w:t>河水质。</w:t>
            </w:r>
          </w:p>
          <w:p>
            <w:pPr>
              <w:pStyle w:val="22"/>
              <w:ind w:firstLine="480"/>
              <w:rPr>
                <w:rFonts w:hint="eastAsia"/>
                <w:color w:val="auto"/>
              </w:rPr>
            </w:pPr>
            <w:r>
              <w:rPr>
                <w:rFonts w:hint="eastAsia"/>
                <w:color w:val="auto"/>
              </w:rPr>
              <w:t>②施工中产生的建筑垃圾等应尽量做到回收，不能回收的拉运至建筑垃圾填埋场处理，严禁随意堆放、丢弃；生活垃圾应进行分类收集，及时清运处理，严禁向河道河流水体倾倒，防止污染水体。</w:t>
            </w:r>
          </w:p>
          <w:p>
            <w:pPr>
              <w:pStyle w:val="22"/>
              <w:ind w:firstLine="480"/>
              <w:rPr>
                <w:rFonts w:hint="eastAsia"/>
                <w:color w:val="auto"/>
              </w:rPr>
            </w:pPr>
            <w:r>
              <w:rPr>
                <w:rFonts w:hint="eastAsia"/>
                <w:color w:val="auto"/>
              </w:rPr>
              <w:t>③施工期禁止引进外来鱼类；严禁施工人员毁坏、捕杀水生动植物。</w:t>
            </w:r>
          </w:p>
          <w:p>
            <w:pPr>
              <w:pStyle w:val="22"/>
              <w:ind w:firstLine="480"/>
              <w:rPr>
                <w:rFonts w:hint="eastAsia"/>
                <w:color w:val="auto"/>
              </w:rPr>
            </w:pPr>
            <w:r>
              <w:rPr>
                <w:rFonts w:hint="eastAsia"/>
                <w:color w:val="auto"/>
              </w:rPr>
              <w:t>总体来看，由于本项目施工期较短、施工期所有废水及固体废物得到合理处置，杜绝向水体排污，项目区的生态环境在施工期会受到一定的影响，但影响较小，施工结束后将会快速得到恢复。</w:t>
            </w:r>
          </w:p>
          <w:p>
            <w:pPr>
              <w:pStyle w:val="22"/>
              <w:ind w:firstLine="48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）水生生态系统保护措施</w:t>
            </w:r>
          </w:p>
          <w:p>
            <w:pPr>
              <w:pStyle w:val="22"/>
              <w:ind w:firstLine="480"/>
              <w:rPr>
                <w:rFonts w:hint="eastAsia"/>
                <w:color w:val="auto"/>
              </w:rPr>
            </w:pPr>
            <w:r>
              <w:rPr>
                <w:rFonts w:hint="eastAsia"/>
                <w:color w:val="auto"/>
              </w:rPr>
              <w:t>通过挡墙修复和堤岸修复工程的建设，改善河道上下游连通性，河道内现有水生生物将更容易进入上游或下游水体，改善使现有水生生物的环境。随着工程完工，区域环境改善，区域内过水能力大大增加，将有利于河道对污染物的降解能力，水质明显改善，水生态环境大为改观，适宜本地生长的鱼类及浮游植物等水生生物数量、种类将大大增加，新的水生生态系统和生态平衡将会重新形成。</w:t>
            </w:r>
          </w:p>
          <w:p>
            <w:pPr>
              <w:pStyle w:val="22"/>
              <w:ind w:firstLine="480"/>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）陆生动物的保护措施</w:t>
            </w:r>
          </w:p>
          <w:p>
            <w:pPr>
              <w:pStyle w:val="22"/>
              <w:ind w:firstLine="480"/>
              <w:rPr>
                <w:rFonts w:hint="eastAsia"/>
                <w:color w:val="auto"/>
              </w:rPr>
            </w:pPr>
            <w:r>
              <w:rPr>
                <w:rFonts w:hint="eastAsia"/>
                <w:color w:val="auto"/>
              </w:rPr>
              <w:t>施工期施工队伍进驻造成人类活动频繁，以及各类施工活动产生的噪声、扬尘、废气等，会对施工区及其附近的野生动物生存、繁殖产生干扰，使该区域野生动物栖息适宜度降低。野生动物可能由于栖息地受到干扰而外迁，种类、数量减少。为减轻施工对野生动物的影响，施工期应采取以下措施：</w:t>
            </w:r>
          </w:p>
          <w:p>
            <w:pPr>
              <w:pStyle w:val="22"/>
              <w:ind w:firstLine="480"/>
              <w:rPr>
                <w:rFonts w:hint="eastAsia"/>
                <w:color w:val="auto"/>
              </w:rPr>
            </w:pPr>
            <w:r>
              <w:rPr>
                <w:rFonts w:hint="eastAsia"/>
                <w:color w:val="auto"/>
              </w:rPr>
              <w:t>①加大宣教力度，在施工期大力宣传野生动物保护法。通过图片教育、公告、宣传册发放等形式，增强施工人员环保意识，并设保护动物宣传牌。</w:t>
            </w:r>
          </w:p>
          <w:p>
            <w:pPr>
              <w:pStyle w:val="22"/>
              <w:ind w:firstLine="480"/>
              <w:rPr>
                <w:rFonts w:hint="eastAsia"/>
                <w:color w:val="auto"/>
              </w:rPr>
            </w:pPr>
            <w:r>
              <w:rPr>
                <w:rFonts w:hint="eastAsia"/>
                <w:color w:val="auto"/>
              </w:rPr>
              <w:t>②施工单位必须禁止施工人员随意捕猎和惊吓各类野生动物；施工过程中应对野生动物采取保护措施，特别是保护动物。</w:t>
            </w:r>
          </w:p>
          <w:p>
            <w:pPr>
              <w:pStyle w:val="22"/>
              <w:ind w:firstLine="480"/>
              <w:rPr>
                <w:rFonts w:hint="eastAsia"/>
                <w:color w:val="auto"/>
              </w:rPr>
            </w:pPr>
            <w:r>
              <w:rPr>
                <w:rFonts w:hint="eastAsia"/>
                <w:color w:val="auto"/>
              </w:rPr>
              <w:t>③合理组织施工生产，合理安排高噪声机械施工时间。禁止安排在夜间作业，以免惊扰动物栖息、觅食等活动。</w:t>
            </w:r>
          </w:p>
          <w:p>
            <w:pPr>
              <w:pStyle w:val="22"/>
              <w:ind w:firstLine="480"/>
              <w:rPr>
                <w:color w:val="FF0000"/>
                <w:highlight w:val="red"/>
              </w:rPr>
            </w:pPr>
            <w:r>
              <w:rPr>
                <w:rFonts w:hint="eastAsia"/>
                <w:color w:val="auto"/>
              </w:rPr>
              <w:t>本项目施工期短暂，施工结束随着施工区域植被逐渐恢复，生态环境将得到逐步改善，部分迁走动物将返回，与建设前相比，施工结束后所在区域陆生动物量将基本不变。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753" w:type="dxa"/>
            <w:tcMar>
              <w:left w:w="28" w:type="dxa"/>
              <w:right w:w="28" w:type="dxa"/>
            </w:tcMar>
            <w:vAlign w:val="center"/>
          </w:tcPr>
          <w:p>
            <w:pPr>
              <w:adjustRightInd w:val="0"/>
              <w:snapToGrid w:val="0"/>
              <w:jc w:val="center"/>
              <w:rPr>
                <w:rFonts w:ascii="宋体" w:hAnsi="宋体" w:cs="宋体"/>
                <w:bCs/>
                <w:color w:val="auto"/>
                <w:spacing w:val="10"/>
                <w:szCs w:val="21"/>
              </w:rPr>
            </w:pPr>
            <w:r>
              <w:rPr>
                <w:rFonts w:hint="eastAsia" w:ascii="宋体" w:hAnsi="宋体" w:cs="宋体"/>
                <w:bCs/>
                <w:color w:val="auto"/>
                <w:spacing w:val="10"/>
                <w:szCs w:val="21"/>
              </w:rPr>
              <w:t>运营期生态环境保护措施</w:t>
            </w:r>
          </w:p>
        </w:tc>
        <w:tc>
          <w:tcPr>
            <w:tcW w:w="8457" w:type="dxa"/>
            <w:vAlign w:val="center"/>
          </w:tcPr>
          <w:p>
            <w:pPr>
              <w:wordWrap w:val="0"/>
              <w:spacing w:line="360" w:lineRule="auto"/>
              <w:ind w:firstLine="480" w:firstLineChars="200"/>
              <w:jc w:val="center"/>
              <w:rPr>
                <w:color w:val="auto"/>
              </w:rPr>
            </w:pPr>
            <w:r>
              <w:rPr>
                <w:rFonts w:hint="eastAsia"/>
                <w:b w:val="0"/>
                <w:bCs w:val="0"/>
                <w:color w:val="auto"/>
                <w:sz w:val="24"/>
              </w:rPr>
              <w:t>本项目运行期间不产生废气、废水、固废及噪声影响，因此不进行评价。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2" w:hRule="atLeast"/>
          <w:jc w:val="center"/>
        </w:trPr>
        <w:tc>
          <w:tcPr>
            <w:tcW w:w="753" w:type="dxa"/>
            <w:vAlign w:val="center"/>
          </w:tcPr>
          <w:p>
            <w:pPr>
              <w:adjustRightInd w:val="0"/>
              <w:snapToGrid w:val="0"/>
              <w:jc w:val="center"/>
              <w:rPr>
                <w:rFonts w:ascii="宋体" w:hAnsi="宋体" w:cs="宋体"/>
                <w:bCs/>
                <w:color w:val="FF0000"/>
                <w:spacing w:val="10"/>
                <w:szCs w:val="21"/>
              </w:rPr>
            </w:pPr>
            <w:r>
              <w:rPr>
                <w:rFonts w:hint="eastAsia" w:ascii="宋体" w:hAnsi="宋体"/>
                <w:bCs/>
                <w:color w:val="auto"/>
                <w:szCs w:val="21"/>
              </w:rPr>
              <w:t>其他</w:t>
            </w:r>
          </w:p>
        </w:tc>
        <w:tc>
          <w:tcPr>
            <w:tcW w:w="8457" w:type="dxa"/>
          </w:tcPr>
          <w:p>
            <w:pPr>
              <w:spacing w:line="360" w:lineRule="auto"/>
              <w:ind w:firstLine="482" w:firstLineChars="200"/>
              <w:rPr>
                <w:b/>
                <w:bCs/>
                <w:color w:val="auto"/>
                <w:sz w:val="24"/>
              </w:rPr>
            </w:pPr>
            <w:r>
              <w:rPr>
                <w:rFonts w:hint="eastAsia"/>
                <w:b/>
                <w:bCs/>
                <w:color w:val="auto"/>
                <w:sz w:val="24"/>
              </w:rPr>
              <w:t>1、环境管理计划</w:t>
            </w:r>
          </w:p>
          <w:p>
            <w:pPr>
              <w:spacing w:line="360" w:lineRule="auto"/>
              <w:ind w:firstLine="480" w:firstLineChars="200"/>
              <w:rPr>
                <w:color w:val="auto"/>
                <w:sz w:val="24"/>
              </w:rPr>
            </w:pPr>
            <w:r>
              <w:rPr>
                <w:rFonts w:hint="eastAsia"/>
                <w:color w:val="auto"/>
                <w:sz w:val="24"/>
                <w:lang w:eastAsia="zh-CN"/>
              </w:rPr>
              <w:t>按照《建设项目环境保护管理设计规定》等有关要求，建设单位应建立健全环境管理机构与职责，加强对项目环保设施的运行管理和污染预防，应设环保专职管理人员1～2人，</w:t>
            </w:r>
            <w:r>
              <w:rPr>
                <w:rFonts w:hint="eastAsia"/>
                <w:color w:val="auto"/>
                <w:sz w:val="24"/>
              </w:rPr>
              <w:t>施工期环境管理计划见表5-1。</w:t>
            </w:r>
          </w:p>
          <w:p>
            <w:pPr>
              <w:pStyle w:val="54"/>
              <w:rPr>
                <w:color w:val="auto"/>
              </w:rPr>
            </w:pPr>
            <w:r>
              <w:rPr>
                <w:rFonts w:hint="eastAsia"/>
                <w:color w:val="auto"/>
                <w:sz w:val="24"/>
                <w:szCs w:val="24"/>
              </w:rPr>
              <w:t>表5-1   施工期环境管理计划表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00"/>
              <w:gridCol w:w="3186"/>
              <w:gridCol w:w="3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b/>
                      <w:bCs/>
                      <w:color w:val="auto"/>
                    </w:rPr>
                  </w:pPr>
                  <w:r>
                    <w:rPr>
                      <w:rFonts w:hint="eastAsia" w:ascii="Times New Roman" w:hAnsi="Times New Roman" w:eastAsia="宋体" w:cs="宋体"/>
                      <w:b/>
                      <w:bCs/>
                      <w:color w:val="auto"/>
                    </w:rPr>
                    <w:t>序号</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b/>
                      <w:bCs/>
                      <w:color w:val="auto"/>
                    </w:rPr>
                  </w:pPr>
                  <w:r>
                    <w:rPr>
                      <w:rFonts w:hint="eastAsia" w:ascii="Times New Roman" w:hAnsi="Times New Roman" w:eastAsia="宋体" w:cs="宋体"/>
                      <w:b/>
                      <w:bCs/>
                      <w:color w:val="auto"/>
                    </w:rPr>
                    <w:t>管理</w:t>
                  </w:r>
                </w:p>
                <w:p>
                  <w:pPr>
                    <w:pStyle w:val="56"/>
                    <w:spacing w:line="320" w:lineRule="atLeast"/>
                    <w:rPr>
                      <w:rFonts w:hint="eastAsia" w:ascii="Times New Roman" w:hAnsi="Times New Roman" w:eastAsia="宋体" w:cs="宋体"/>
                      <w:b/>
                      <w:bCs/>
                      <w:color w:val="auto"/>
                    </w:rPr>
                  </w:pPr>
                  <w:r>
                    <w:rPr>
                      <w:rFonts w:hint="eastAsia" w:ascii="Times New Roman" w:hAnsi="Times New Roman" w:eastAsia="宋体" w:cs="宋体"/>
                      <w:b/>
                      <w:bCs/>
                      <w:color w:val="auto"/>
                    </w:rPr>
                    <w:t>项目</w:t>
                  </w:r>
                </w:p>
              </w:tc>
              <w:tc>
                <w:tcPr>
                  <w:tcW w:w="1934" w:type="pct"/>
                  <w:tcBorders>
                    <w:tl2br w:val="nil"/>
                    <w:tr2bl w:val="nil"/>
                  </w:tcBorders>
                  <w:noWrap w:val="0"/>
                  <w:vAlign w:val="center"/>
                </w:tcPr>
                <w:p>
                  <w:pPr>
                    <w:pStyle w:val="56"/>
                    <w:spacing w:line="320" w:lineRule="atLeast"/>
                    <w:rPr>
                      <w:rFonts w:hint="eastAsia" w:ascii="Times New Roman" w:hAnsi="Times New Roman" w:eastAsia="宋体" w:cs="宋体"/>
                      <w:b/>
                      <w:bCs/>
                      <w:color w:val="auto"/>
                    </w:rPr>
                  </w:pPr>
                  <w:r>
                    <w:rPr>
                      <w:rFonts w:hint="eastAsia" w:ascii="Times New Roman" w:hAnsi="Times New Roman" w:eastAsia="宋体" w:cs="宋体"/>
                      <w:b/>
                      <w:bCs/>
                      <w:color w:val="auto"/>
                    </w:rPr>
                    <w:t>管理内容</w:t>
                  </w:r>
                </w:p>
              </w:tc>
              <w:tc>
                <w:tcPr>
                  <w:tcW w:w="1976" w:type="pct"/>
                  <w:tcBorders>
                    <w:tl2br w:val="nil"/>
                    <w:tr2bl w:val="nil"/>
                  </w:tcBorders>
                  <w:noWrap w:val="0"/>
                  <w:vAlign w:val="center"/>
                </w:tcPr>
                <w:p>
                  <w:pPr>
                    <w:pStyle w:val="56"/>
                    <w:spacing w:line="320" w:lineRule="atLeast"/>
                    <w:rPr>
                      <w:rFonts w:hint="eastAsia" w:ascii="Times New Roman" w:hAnsi="Times New Roman" w:eastAsia="宋体" w:cs="宋体"/>
                      <w:b/>
                      <w:bCs/>
                      <w:color w:val="auto"/>
                    </w:rPr>
                  </w:pPr>
                  <w:r>
                    <w:rPr>
                      <w:rFonts w:hint="eastAsia" w:ascii="Times New Roman" w:hAnsi="Times New Roman" w:eastAsia="宋体" w:cs="宋体"/>
                      <w:b/>
                      <w:bCs/>
                      <w:color w:val="auto"/>
                    </w:rPr>
                    <w:t>管理要求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1</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基础开挖</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①开挖产生砂土应用于场区填方</w:t>
                  </w:r>
                </w:p>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②干燥天气施工要定时洒水降尘</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①砂土在场区内合理处置</w:t>
                  </w:r>
                </w:p>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②强化环境管理，减少施工扬尘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2</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施工扬尘点</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建筑材料石灰、水泥、砂石堆场（库）及现场作业点等</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应选在常住人群下风向，远离环境敏感点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3</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建筑砂石材料运输</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①水泥、石灰等运输、装卸</w:t>
                  </w:r>
                </w:p>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②运输建筑砂石料车辆加盖篷布</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①使用商品混凝土，罐装运输</w:t>
                  </w:r>
                </w:p>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②无篷布车辆不得运输砂石料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4</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建筑物料、堆放</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沙、渣土、灰土等易产生扬尘的物料，必须采取覆盖等防尘措施</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①扬尘物料不得露天堆放</w:t>
                  </w:r>
                </w:p>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②扬尘控制不利追究领导责任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5</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施工噪声</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定期对临近场界周边敏感点监测施工噪声</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①昼间≤60dB(A)，夜间≤50dB（A）</w:t>
                  </w:r>
                </w:p>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②夜间22时～凌晨6时严禁施工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6</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场地临时道路</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硬化临时道路地面，防止扬尘</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定时洒水灭尘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7</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施工废水</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施工生产废水</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生产废水沉淀池处理后回用不外排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8</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施工固废</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合理处置剩余土方、建筑垃圾</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①工程剩余土方用于道路或低洼处的填平。</w:t>
                  </w:r>
                </w:p>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②建筑垃圾分类收集，综合利用，不可利用的运往建筑垃圾场填埋处理。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9</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auto"/>
                    </w:rPr>
                  </w:pPr>
                  <w:r>
                    <w:rPr>
                      <w:rFonts w:hint="eastAsia" w:ascii="Times New Roman" w:hAnsi="Times New Roman" w:eastAsia="宋体" w:cs="宋体"/>
                      <w:color w:val="auto"/>
                    </w:rPr>
                    <w:t>生态环境</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①及时平整迹地，恢复植被</w:t>
                  </w:r>
                </w:p>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②易引起水土流失的土石方堆放点采取土工布围栏等措施。</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①临时占地及时恢复</w:t>
                  </w:r>
                </w:p>
                <w:p>
                  <w:pPr>
                    <w:pStyle w:val="56"/>
                    <w:spacing w:line="320" w:lineRule="atLeast"/>
                    <w:jc w:val="left"/>
                    <w:rPr>
                      <w:rFonts w:hint="eastAsia" w:ascii="Times New Roman" w:hAnsi="Times New Roman" w:eastAsia="宋体" w:cs="宋体"/>
                      <w:color w:val="auto"/>
                    </w:rPr>
                  </w:pPr>
                  <w:r>
                    <w:rPr>
                      <w:rFonts w:hint="eastAsia" w:ascii="Times New Roman" w:hAnsi="Times New Roman" w:eastAsia="宋体" w:cs="宋体"/>
                      <w:color w:val="auto"/>
                    </w:rPr>
                    <w:t>②严格控制水土流失发生</w:t>
                  </w:r>
                </w:p>
              </w:tc>
            </w:tr>
          </w:tbl>
          <w:p>
            <w:pPr>
              <w:spacing w:before="120" w:beforeLines="50" w:line="360" w:lineRule="auto"/>
              <w:ind w:firstLine="482" w:firstLineChars="200"/>
              <w:rPr>
                <w:rFonts w:hint="eastAsia" w:eastAsia="宋体"/>
                <w:b/>
                <w:bCs/>
                <w:color w:val="auto"/>
                <w:sz w:val="24"/>
                <w:lang w:eastAsia="zh-CN"/>
              </w:rPr>
            </w:pPr>
            <w:r>
              <w:rPr>
                <w:rFonts w:hint="eastAsia"/>
                <w:b/>
                <w:bCs/>
                <w:color w:val="auto"/>
                <w:sz w:val="24"/>
              </w:rPr>
              <w:t>2、</w:t>
            </w:r>
            <w:r>
              <w:rPr>
                <w:rFonts w:hint="eastAsia"/>
                <w:b/>
                <w:bCs/>
                <w:color w:val="auto"/>
                <w:sz w:val="24"/>
                <w:lang w:eastAsia="zh-CN"/>
              </w:rPr>
              <w:t>信息公开</w:t>
            </w:r>
          </w:p>
          <w:p>
            <w:pPr>
              <w:spacing w:line="360" w:lineRule="auto"/>
              <w:ind w:firstLine="480" w:firstLineChars="200"/>
              <w:rPr>
                <w:rFonts w:hint="eastAsia"/>
                <w:color w:val="auto"/>
                <w:sz w:val="24"/>
              </w:rPr>
            </w:pPr>
            <w:r>
              <w:rPr>
                <w:rFonts w:hint="eastAsia"/>
                <w:color w:val="auto"/>
                <w:sz w:val="24"/>
              </w:rPr>
              <w:t>根据《企业事业单位环境信息公开办法》（环保部令第31号）的相关要求，企业事业单位应当建立健全本单位环境信息公开制度，指定机构负责环境信息公开日常工作。</w:t>
            </w:r>
          </w:p>
          <w:p>
            <w:pPr>
              <w:spacing w:line="360" w:lineRule="auto"/>
              <w:ind w:firstLine="480" w:firstLineChars="200"/>
              <w:rPr>
                <w:rFonts w:hint="eastAsia"/>
                <w:color w:val="auto"/>
                <w:sz w:val="24"/>
              </w:rPr>
            </w:pPr>
            <w:r>
              <w:rPr>
                <w:rFonts w:hint="eastAsia"/>
                <w:color w:val="auto"/>
                <w:sz w:val="24"/>
              </w:rPr>
              <w:t>（1）环境信息公开方式</w:t>
            </w:r>
          </w:p>
          <w:p>
            <w:pPr>
              <w:spacing w:line="360" w:lineRule="auto"/>
              <w:ind w:firstLine="480" w:firstLineChars="200"/>
              <w:rPr>
                <w:rFonts w:hint="eastAsia"/>
                <w:color w:val="auto"/>
                <w:sz w:val="24"/>
              </w:rPr>
            </w:pPr>
            <w:r>
              <w:rPr>
                <w:rFonts w:hint="eastAsia"/>
                <w:color w:val="auto"/>
                <w:sz w:val="24"/>
              </w:rPr>
              <w:t>建设单位可通过采取以下一种或者几种方式予以公开：</w:t>
            </w:r>
          </w:p>
          <w:p>
            <w:pPr>
              <w:spacing w:line="360" w:lineRule="auto"/>
              <w:ind w:firstLine="480" w:firstLineChars="200"/>
              <w:rPr>
                <w:rFonts w:hint="eastAsia"/>
                <w:color w:val="auto"/>
                <w:sz w:val="24"/>
              </w:rPr>
            </w:pPr>
            <w:r>
              <w:rPr>
                <w:rFonts w:hint="eastAsia"/>
                <w:color w:val="auto"/>
                <w:sz w:val="24"/>
              </w:rPr>
              <w:t>①公告或者公开发行的信息专刊；</w:t>
            </w:r>
          </w:p>
          <w:p>
            <w:pPr>
              <w:spacing w:line="360" w:lineRule="auto"/>
              <w:ind w:firstLine="480" w:firstLineChars="200"/>
              <w:rPr>
                <w:rFonts w:hint="eastAsia"/>
                <w:color w:val="auto"/>
                <w:sz w:val="24"/>
              </w:rPr>
            </w:pPr>
            <w:r>
              <w:rPr>
                <w:rFonts w:hint="eastAsia"/>
                <w:color w:val="auto"/>
                <w:sz w:val="24"/>
              </w:rPr>
              <w:t>②广播、电视、网站等新闻媒体；</w:t>
            </w:r>
          </w:p>
          <w:p>
            <w:pPr>
              <w:spacing w:line="360" w:lineRule="auto"/>
              <w:ind w:firstLine="480" w:firstLineChars="200"/>
              <w:rPr>
                <w:rFonts w:hint="eastAsia"/>
                <w:color w:val="auto"/>
                <w:sz w:val="24"/>
              </w:rPr>
            </w:pPr>
            <w:r>
              <w:rPr>
                <w:rFonts w:hint="eastAsia"/>
                <w:color w:val="auto"/>
                <w:sz w:val="24"/>
              </w:rPr>
              <w:t>③信息公开服务、监督热线电话；</w:t>
            </w:r>
          </w:p>
          <w:p>
            <w:pPr>
              <w:spacing w:line="360" w:lineRule="auto"/>
              <w:ind w:firstLine="480" w:firstLineChars="200"/>
              <w:rPr>
                <w:rFonts w:hint="eastAsia"/>
                <w:color w:val="auto"/>
                <w:sz w:val="24"/>
              </w:rPr>
            </w:pPr>
            <w:r>
              <w:rPr>
                <w:rFonts w:hint="eastAsia"/>
                <w:color w:val="auto"/>
                <w:sz w:val="24"/>
              </w:rPr>
              <w:t>④单位的资料索取点、信息公开栏、信息亭、电子屏幕、电子触摸屏等场所或者设施；</w:t>
            </w:r>
          </w:p>
          <w:p>
            <w:pPr>
              <w:spacing w:line="360" w:lineRule="auto"/>
              <w:ind w:firstLine="480" w:firstLineChars="200"/>
              <w:rPr>
                <w:rFonts w:hint="eastAsia"/>
                <w:color w:val="auto"/>
                <w:sz w:val="24"/>
              </w:rPr>
            </w:pPr>
            <w:r>
              <w:rPr>
                <w:rFonts w:hint="eastAsia"/>
                <w:color w:val="auto"/>
                <w:sz w:val="24"/>
              </w:rPr>
              <w:t>⑤其他便于公众及时、准确获得信息的方式。</w:t>
            </w:r>
          </w:p>
          <w:p>
            <w:pPr>
              <w:spacing w:line="360" w:lineRule="auto"/>
              <w:ind w:firstLine="480" w:firstLineChars="200"/>
              <w:rPr>
                <w:rFonts w:hint="eastAsia"/>
                <w:color w:val="auto"/>
                <w:sz w:val="24"/>
              </w:rPr>
            </w:pPr>
            <w:r>
              <w:rPr>
                <w:rFonts w:hint="eastAsia"/>
                <w:color w:val="auto"/>
                <w:sz w:val="24"/>
              </w:rPr>
              <w:t>（2）环境信息公开内容</w:t>
            </w:r>
          </w:p>
          <w:p>
            <w:pPr>
              <w:spacing w:line="360" w:lineRule="auto"/>
              <w:ind w:firstLine="480" w:firstLineChars="200"/>
              <w:rPr>
                <w:rFonts w:hint="eastAsia"/>
                <w:color w:val="auto"/>
                <w:sz w:val="24"/>
              </w:rPr>
            </w:pPr>
            <w:r>
              <w:rPr>
                <w:rFonts w:hint="eastAsia"/>
                <w:color w:val="auto"/>
                <w:sz w:val="24"/>
              </w:rPr>
              <w:t>①基础信息，包括单位名称、组织机构代码、法定代表人、生产地址、联系方式；</w:t>
            </w:r>
          </w:p>
          <w:p>
            <w:pPr>
              <w:spacing w:line="360" w:lineRule="auto"/>
              <w:ind w:firstLine="480" w:firstLineChars="200"/>
              <w:rPr>
                <w:rFonts w:hint="eastAsia"/>
                <w:color w:val="auto"/>
                <w:sz w:val="24"/>
              </w:rPr>
            </w:pPr>
            <w:r>
              <w:rPr>
                <w:rFonts w:hint="eastAsia"/>
                <w:color w:val="auto"/>
                <w:sz w:val="24"/>
              </w:rPr>
              <w:t>②排污信息，包括主要污染物及特征污染物的名称、排放方式、排放口数量和分布情况、排放浓度和总量、超标情况，以及执行的污染物排放标准、核定的排放总量；</w:t>
            </w:r>
          </w:p>
          <w:p>
            <w:pPr>
              <w:spacing w:line="360" w:lineRule="auto"/>
              <w:ind w:firstLine="480" w:firstLineChars="200"/>
              <w:rPr>
                <w:rFonts w:hint="eastAsia"/>
                <w:color w:val="auto"/>
                <w:sz w:val="24"/>
              </w:rPr>
            </w:pPr>
            <w:r>
              <w:rPr>
                <w:rFonts w:hint="eastAsia"/>
                <w:color w:val="auto"/>
                <w:sz w:val="24"/>
              </w:rPr>
              <w:t>③防治污染设施的建设和运行情况；</w:t>
            </w:r>
          </w:p>
          <w:p>
            <w:pPr>
              <w:spacing w:line="360" w:lineRule="auto"/>
              <w:ind w:firstLine="480" w:firstLineChars="200"/>
              <w:rPr>
                <w:rFonts w:hint="eastAsia"/>
                <w:color w:val="auto"/>
                <w:sz w:val="24"/>
              </w:rPr>
            </w:pPr>
            <w:r>
              <w:rPr>
                <w:rFonts w:hint="eastAsia"/>
                <w:color w:val="auto"/>
                <w:sz w:val="24"/>
              </w:rPr>
              <w:t>④建设项目环境影响评价及其他环境保护行政许可情况；</w:t>
            </w:r>
          </w:p>
          <w:p>
            <w:pPr>
              <w:spacing w:line="360" w:lineRule="auto"/>
              <w:ind w:firstLine="480" w:firstLineChars="200"/>
              <w:rPr>
                <w:rFonts w:ascii="宋体" w:hAnsi="宋体" w:cs="宋体"/>
                <w:bCs/>
                <w:color w:val="FF0000"/>
                <w:spacing w:val="10"/>
                <w:szCs w:val="21"/>
              </w:rPr>
            </w:pPr>
            <w:r>
              <w:rPr>
                <w:rFonts w:hint="eastAsia"/>
                <w:color w:val="auto"/>
                <w:sz w:val="24"/>
              </w:rPr>
              <w:t>⑤其他应当公开的环境信息。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753" w:type="dxa"/>
            <w:vAlign w:val="center"/>
          </w:tcPr>
          <w:p>
            <w:pPr>
              <w:adjustRightInd w:val="0"/>
              <w:snapToGrid w:val="0"/>
              <w:jc w:val="center"/>
              <w:rPr>
                <w:rFonts w:ascii="宋体" w:hAnsi="宋体" w:cs="宋体"/>
                <w:bCs/>
                <w:color w:val="auto"/>
                <w:spacing w:val="10"/>
                <w:szCs w:val="21"/>
              </w:rPr>
            </w:pPr>
            <w:r>
              <w:rPr>
                <w:rFonts w:hint="eastAsia" w:ascii="宋体" w:hAnsi="宋体"/>
                <w:bCs/>
                <w:color w:val="auto"/>
                <w:szCs w:val="21"/>
              </w:rPr>
              <w:t>环保投资</w:t>
            </w:r>
          </w:p>
        </w:tc>
        <w:tc>
          <w:tcPr>
            <w:tcW w:w="8457" w:type="dxa"/>
          </w:tcPr>
          <w:p>
            <w:pPr>
              <w:adjustRightInd w:val="0"/>
              <w:snapToGrid w:val="0"/>
              <w:spacing w:before="120" w:beforeLines="50" w:line="360" w:lineRule="auto"/>
              <w:ind w:firstLine="480" w:firstLineChars="200"/>
              <w:rPr>
                <w:rFonts w:ascii="宋体" w:hAnsi="宋体" w:cs="宋体"/>
                <w:bCs/>
                <w:color w:val="auto"/>
                <w:spacing w:val="10"/>
                <w:szCs w:val="21"/>
              </w:rPr>
            </w:pPr>
            <w:r>
              <w:rPr>
                <w:rFonts w:hint="eastAsia"/>
                <w:color w:val="auto"/>
                <w:sz w:val="24"/>
              </w:rPr>
              <w:t>本项目总投资为1174.12万元，由于本项目主要建设内容为</w:t>
            </w:r>
            <w:r>
              <w:rPr>
                <w:rFonts w:hint="eastAsia"/>
                <w:color w:val="auto"/>
                <w:sz w:val="24"/>
                <w:lang w:eastAsia="zh-CN"/>
              </w:rPr>
              <w:t>河道岸堤修复工程</w:t>
            </w:r>
            <w:r>
              <w:rPr>
                <w:rFonts w:hint="eastAsia"/>
                <w:color w:val="auto"/>
                <w:sz w:val="24"/>
              </w:rPr>
              <w:t>和水土流失治理工程，隶属于生态恢复治理。因此，总投资全部为环保投资，占总投资100%。</w:t>
            </w:r>
          </w:p>
        </w:tc>
      </w:tr>
    </w:tbl>
    <w:p>
      <w:pPr>
        <w:rPr>
          <w:color w:val="FF0000"/>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ascii="黑体" w:hAnsi="黑体" w:eastAsia="黑体"/>
          <w:snapToGrid w:val="0"/>
          <w:color w:val="FF0000"/>
          <w:sz w:val="30"/>
          <w:szCs w:val="30"/>
        </w:rPr>
      </w:pPr>
      <w:r>
        <w:rPr>
          <w:rFonts w:hint="eastAsia" w:ascii="黑体" w:hAnsi="黑体" w:eastAsia="黑体"/>
          <w:snapToGrid w:val="0"/>
          <w:color w:val="auto"/>
          <w:sz w:val="30"/>
          <w:szCs w:val="30"/>
        </w:rPr>
        <w:t>六、生态环境保护措施监督检查清单</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250"/>
        <w:gridCol w:w="1916"/>
        <w:gridCol w:w="1785"/>
        <w:gridCol w:w="16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3" w:type="pct"/>
            <w:vMerge w:val="restart"/>
            <w:tcBorders>
              <w:tl2br w:val="single" w:color="auto" w:sz="4" w:space="0"/>
            </w:tcBorders>
          </w:tcPr>
          <w:p>
            <w:pPr>
              <w:pStyle w:val="24"/>
              <w:adjustRightInd w:val="0"/>
              <w:snapToGrid w:val="0"/>
              <w:spacing w:before="72" w:beforeLines="3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内容</w:t>
            </w:r>
          </w:p>
          <w:p>
            <w:pPr>
              <w:pStyle w:val="24"/>
              <w:adjustRightInd w:val="0"/>
              <w:snapToGrid w:val="0"/>
              <w:spacing w:before="72" w:beforeLines="30" w:beforeAutospacing="0" w:after="0" w:afterAutospacing="0"/>
              <w:jc w:val="center"/>
              <w:outlineLvl w:val="0"/>
              <w:rPr>
                <w:rFonts w:ascii="黑体" w:hAnsi="黑体" w:eastAsia="黑体" w:cs="宋体"/>
                <w:color w:val="auto"/>
                <w:kern w:val="2"/>
                <w:sz w:val="21"/>
                <w:szCs w:val="21"/>
              </w:rPr>
            </w:pPr>
          </w:p>
          <w:p>
            <w:pPr>
              <w:pStyle w:val="24"/>
              <w:adjustRightInd w:val="0"/>
              <w:snapToGrid w:val="0"/>
              <w:spacing w:before="0" w:beforeAutospacing="0" w:after="0" w:afterAutospacing="0" w:line="14" w:lineRule="auto"/>
              <w:outlineLvl w:val="0"/>
              <w:rPr>
                <w:rFonts w:ascii="黑体" w:hAnsi="黑体" w:eastAsia="黑体" w:cs="宋体"/>
                <w:color w:val="auto"/>
                <w:kern w:val="2"/>
                <w:sz w:val="135"/>
                <w:szCs w:val="21"/>
              </w:rPr>
            </w:pPr>
            <w:r>
              <w:rPr>
                <w:rFonts w:hint="eastAsia" w:ascii="黑体" w:hAnsi="黑体" w:eastAsia="黑体" w:cs="宋体"/>
                <w:color w:val="auto"/>
                <w:kern w:val="2"/>
                <w:sz w:val="21"/>
                <w:szCs w:val="21"/>
              </w:rPr>
              <w:t xml:space="preserve"> </w:t>
            </w:r>
            <w:r>
              <w:rPr>
                <w:rFonts w:hint="eastAsia" w:ascii="黑体" w:hAnsi="黑体" w:eastAsia="黑体" w:cs="宋体"/>
                <w:color w:val="auto"/>
                <w:kern w:val="2"/>
                <w:sz w:val="135"/>
                <w:szCs w:val="21"/>
              </w:rPr>
              <w:t xml:space="preserve"> </w:t>
            </w:r>
          </w:p>
          <w:p>
            <w:pPr>
              <w:pStyle w:val="24"/>
              <w:adjustRightInd w:val="0"/>
              <w:snapToGrid w:val="0"/>
              <w:spacing w:before="0" w:beforeAutospacing="0" w:after="0" w:afterAutospacing="0"/>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要素</w:t>
            </w:r>
          </w:p>
        </w:tc>
        <w:tc>
          <w:tcPr>
            <w:tcW w:w="2369" w:type="pct"/>
            <w:gridSpan w:val="2"/>
            <w:vAlign w:val="center"/>
          </w:tcPr>
          <w:p>
            <w:pPr>
              <w:adjustRightInd w:val="0"/>
              <w:snapToGrid w:val="0"/>
              <w:jc w:val="center"/>
              <w:rPr>
                <w:rFonts w:hint="eastAsia"/>
                <w:color w:val="auto"/>
                <w:szCs w:val="21"/>
              </w:rPr>
            </w:pPr>
            <w:r>
              <w:rPr>
                <w:rFonts w:hint="eastAsia"/>
                <w:color w:val="auto"/>
                <w:szCs w:val="21"/>
              </w:rPr>
              <w:t>施工期</w:t>
            </w:r>
          </w:p>
        </w:tc>
        <w:tc>
          <w:tcPr>
            <w:tcW w:w="1977" w:type="pct"/>
            <w:gridSpan w:val="2"/>
            <w:vAlign w:val="center"/>
          </w:tcPr>
          <w:p>
            <w:pPr>
              <w:adjustRightInd w:val="0"/>
              <w:snapToGrid w:val="0"/>
              <w:jc w:val="center"/>
              <w:rPr>
                <w:rFonts w:hint="eastAsia"/>
                <w:color w:val="auto"/>
                <w:szCs w:val="21"/>
              </w:rPr>
            </w:pPr>
            <w:r>
              <w:rPr>
                <w:rFonts w:hint="eastAsia"/>
                <w:color w:val="auto"/>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3" w:type="pct"/>
            <w:vMerge w:val="continue"/>
          </w:tcPr>
          <w:p>
            <w:pPr>
              <w:pStyle w:val="24"/>
              <w:adjustRightInd w:val="0"/>
              <w:snapToGrid w:val="0"/>
              <w:spacing w:before="0" w:beforeAutospacing="0" w:after="0" w:afterAutospacing="0"/>
              <w:ind w:firstLine="840"/>
              <w:jc w:val="center"/>
              <w:outlineLvl w:val="0"/>
              <w:rPr>
                <w:rFonts w:ascii="黑体" w:hAnsi="黑体" w:eastAsia="黑体" w:cs="宋体"/>
                <w:color w:val="auto"/>
                <w:kern w:val="2"/>
                <w:sz w:val="21"/>
                <w:szCs w:val="21"/>
              </w:rPr>
            </w:pPr>
          </w:p>
        </w:tc>
        <w:tc>
          <w:tcPr>
            <w:tcW w:w="1279" w:type="pct"/>
            <w:vAlign w:val="center"/>
          </w:tcPr>
          <w:p>
            <w:pPr>
              <w:adjustRightInd w:val="0"/>
              <w:snapToGrid w:val="0"/>
              <w:jc w:val="center"/>
              <w:rPr>
                <w:rFonts w:hint="eastAsia"/>
                <w:color w:val="auto"/>
                <w:szCs w:val="21"/>
              </w:rPr>
            </w:pPr>
            <w:r>
              <w:rPr>
                <w:rFonts w:hint="eastAsia"/>
                <w:color w:val="auto"/>
                <w:szCs w:val="21"/>
              </w:rPr>
              <w:t>环境保护措施</w:t>
            </w:r>
          </w:p>
        </w:tc>
        <w:tc>
          <w:tcPr>
            <w:tcW w:w="1089" w:type="pct"/>
            <w:vAlign w:val="center"/>
          </w:tcPr>
          <w:p>
            <w:pPr>
              <w:adjustRightInd w:val="0"/>
              <w:snapToGrid w:val="0"/>
              <w:jc w:val="center"/>
              <w:rPr>
                <w:rFonts w:hint="eastAsia"/>
                <w:color w:val="auto"/>
                <w:szCs w:val="21"/>
              </w:rPr>
            </w:pPr>
            <w:r>
              <w:rPr>
                <w:rFonts w:hint="eastAsia"/>
                <w:color w:val="auto"/>
                <w:szCs w:val="21"/>
              </w:rPr>
              <w:t>验收要求</w:t>
            </w:r>
          </w:p>
        </w:tc>
        <w:tc>
          <w:tcPr>
            <w:tcW w:w="1015" w:type="pct"/>
            <w:vAlign w:val="center"/>
          </w:tcPr>
          <w:p>
            <w:pPr>
              <w:adjustRightInd w:val="0"/>
              <w:snapToGrid w:val="0"/>
              <w:jc w:val="center"/>
              <w:rPr>
                <w:rFonts w:hint="eastAsia"/>
                <w:color w:val="auto"/>
                <w:szCs w:val="21"/>
              </w:rPr>
            </w:pPr>
            <w:r>
              <w:rPr>
                <w:rFonts w:hint="eastAsia"/>
                <w:color w:val="auto"/>
                <w:szCs w:val="21"/>
              </w:rPr>
              <w:t>环境保护措施</w:t>
            </w:r>
          </w:p>
        </w:tc>
        <w:tc>
          <w:tcPr>
            <w:tcW w:w="962" w:type="pct"/>
            <w:vAlign w:val="center"/>
          </w:tcPr>
          <w:p>
            <w:pPr>
              <w:adjustRightInd w:val="0"/>
              <w:snapToGrid w:val="0"/>
              <w:jc w:val="center"/>
              <w:rPr>
                <w:rFonts w:hint="eastAsia"/>
                <w:color w:val="auto"/>
                <w:szCs w:val="21"/>
              </w:rPr>
            </w:pPr>
            <w:r>
              <w:rPr>
                <w:rFonts w:hint="eastAsia"/>
                <w:color w:val="auto"/>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3" w:type="pct"/>
            <w:vAlign w:val="center"/>
          </w:tcPr>
          <w:p>
            <w:pPr>
              <w:adjustRightInd w:val="0"/>
              <w:snapToGrid w:val="0"/>
              <w:jc w:val="center"/>
              <w:rPr>
                <w:color w:val="auto"/>
                <w:szCs w:val="21"/>
              </w:rPr>
            </w:pPr>
            <w:r>
              <w:rPr>
                <w:color w:val="auto"/>
                <w:szCs w:val="21"/>
              </w:rPr>
              <w:t>陆生生态</w:t>
            </w:r>
          </w:p>
        </w:tc>
        <w:tc>
          <w:tcPr>
            <w:tcW w:w="127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①加强施工期环境管理，将工程引起的难以避免的植被破坏减少到最低限度。</w:t>
            </w:r>
          </w:p>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②加强生态环境保护意识的教育，严禁施工人员随意砍伐树木。</w:t>
            </w:r>
          </w:p>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③植被恢复所用树种选择区域内的乡土物种，尽量不栽植外来树种，防止引入生态入侵种，破坏和影响生态系统的生物多样性。</w:t>
            </w:r>
          </w:p>
        </w:tc>
        <w:tc>
          <w:tcPr>
            <w:tcW w:w="108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减轻对陆生生态系统的影响</w:t>
            </w:r>
          </w:p>
        </w:tc>
        <w:tc>
          <w:tcPr>
            <w:tcW w:w="1015"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本工程建成后，对主体工程段及临时占地均进行栽植草种，恢复植被，主要种植当地物种</w:t>
            </w:r>
          </w:p>
        </w:tc>
        <w:tc>
          <w:tcPr>
            <w:tcW w:w="962"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工程影响区内的陆生生态系统影响较小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3" w:type="pct"/>
            <w:vAlign w:val="center"/>
          </w:tcPr>
          <w:p>
            <w:pPr>
              <w:adjustRightInd w:val="0"/>
              <w:snapToGrid w:val="0"/>
              <w:jc w:val="center"/>
              <w:rPr>
                <w:color w:val="auto"/>
                <w:szCs w:val="21"/>
              </w:rPr>
            </w:pPr>
            <w:r>
              <w:rPr>
                <w:color w:val="auto"/>
                <w:szCs w:val="21"/>
              </w:rPr>
              <w:t>水生生态</w:t>
            </w:r>
          </w:p>
        </w:tc>
        <w:tc>
          <w:tcPr>
            <w:tcW w:w="127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禁止向河流排放施工废水、施工垃圾、生活垃圾等。</w:t>
            </w:r>
          </w:p>
        </w:tc>
        <w:tc>
          <w:tcPr>
            <w:tcW w:w="108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对施工区水生生态环境影响较小</w:t>
            </w:r>
          </w:p>
        </w:tc>
        <w:tc>
          <w:tcPr>
            <w:tcW w:w="1015"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962"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3" w:type="pct"/>
            <w:vAlign w:val="center"/>
          </w:tcPr>
          <w:p>
            <w:pPr>
              <w:adjustRightInd w:val="0"/>
              <w:snapToGrid w:val="0"/>
              <w:jc w:val="center"/>
              <w:rPr>
                <w:color w:val="auto"/>
                <w:szCs w:val="21"/>
              </w:rPr>
            </w:pPr>
            <w:r>
              <w:rPr>
                <w:color w:val="auto"/>
                <w:szCs w:val="21"/>
              </w:rPr>
              <w:t>地表水环境</w:t>
            </w:r>
          </w:p>
        </w:tc>
        <w:tc>
          <w:tcPr>
            <w:tcW w:w="127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施工废水、车辆冲洗废水经沉淀处理后回用。</w:t>
            </w:r>
          </w:p>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施工人员生活依托周边村民现有的污水设施。</w:t>
            </w:r>
          </w:p>
        </w:tc>
        <w:tc>
          <w:tcPr>
            <w:tcW w:w="108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废水不外排</w:t>
            </w:r>
          </w:p>
        </w:tc>
        <w:tc>
          <w:tcPr>
            <w:tcW w:w="1015"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962"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3" w:type="pct"/>
            <w:vAlign w:val="center"/>
          </w:tcPr>
          <w:p>
            <w:pPr>
              <w:adjustRightInd w:val="0"/>
              <w:snapToGrid w:val="0"/>
              <w:jc w:val="center"/>
              <w:rPr>
                <w:color w:val="auto"/>
                <w:szCs w:val="21"/>
              </w:rPr>
            </w:pPr>
            <w:r>
              <w:rPr>
                <w:color w:val="auto"/>
                <w:szCs w:val="21"/>
              </w:rPr>
              <w:t>地下水及土壤环境</w:t>
            </w:r>
          </w:p>
        </w:tc>
        <w:tc>
          <w:tcPr>
            <w:tcW w:w="127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8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15"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962"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3" w:type="pct"/>
            <w:vAlign w:val="center"/>
          </w:tcPr>
          <w:p>
            <w:pPr>
              <w:adjustRightInd w:val="0"/>
              <w:snapToGrid w:val="0"/>
              <w:jc w:val="center"/>
              <w:rPr>
                <w:color w:val="auto"/>
                <w:szCs w:val="21"/>
              </w:rPr>
            </w:pPr>
            <w:r>
              <w:rPr>
                <w:color w:val="auto"/>
                <w:szCs w:val="21"/>
              </w:rPr>
              <w:t>声环境</w:t>
            </w:r>
          </w:p>
        </w:tc>
        <w:tc>
          <w:tcPr>
            <w:tcW w:w="127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①合理安排施工作业时间，尽量避免高噪声设备同时施工，并且严禁在夜间和午休时间进行高噪声设备施工，以免造成扰民现象</w:t>
            </w:r>
          </w:p>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②选用低噪声机械设备，同时做好施工机械的维护和保养，有效降低机械设备运转的噪声源强</w:t>
            </w:r>
          </w:p>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③合理安排车辆运输时间，沿线涉及居民段禁止鸣笛</w:t>
            </w:r>
          </w:p>
        </w:tc>
        <w:tc>
          <w:tcPr>
            <w:tcW w:w="1089" w:type="pct"/>
            <w:vAlign w:val="center"/>
          </w:tcPr>
          <w:p>
            <w:pPr>
              <w:adjustRightInd w:val="0"/>
              <w:snapToGrid w:val="0"/>
              <w:jc w:val="center"/>
              <w:rPr>
                <w:rFonts w:hint="eastAsia" w:ascii="Times New Roman" w:hAnsi="Times New Roman" w:eastAsia="宋体" w:cs="Times New Roman"/>
                <w:color w:val="auto"/>
                <w:szCs w:val="21"/>
                <w:lang w:val="en-US"/>
              </w:rPr>
            </w:pPr>
            <w:r>
              <w:rPr>
                <w:rFonts w:hint="eastAsia" w:ascii="Times New Roman" w:hAnsi="Times New Roman" w:eastAsia="宋体" w:cs="Times New Roman"/>
                <w:color w:val="auto"/>
                <w:szCs w:val="21"/>
              </w:rPr>
              <w:t>厂界噪声达到《建筑施工场界环境噪声排放标准》（GB12523-2011）</w:t>
            </w:r>
          </w:p>
        </w:tc>
        <w:tc>
          <w:tcPr>
            <w:tcW w:w="1015"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962"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3" w:type="pct"/>
            <w:vAlign w:val="center"/>
          </w:tcPr>
          <w:p>
            <w:pPr>
              <w:adjustRightInd w:val="0"/>
              <w:snapToGrid w:val="0"/>
              <w:jc w:val="center"/>
              <w:rPr>
                <w:color w:val="auto"/>
                <w:szCs w:val="21"/>
              </w:rPr>
            </w:pPr>
            <w:r>
              <w:rPr>
                <w:color w:val="auto"/>
                <w:szCs w:val="21"/>
              </w:rPr>
              <w:t>振动</w:t>
            </w:r>
          </w:p>
        </w:tc>
        <w:tc>
          <w:tcPr>
            <w:tcW w:w="127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8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15"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962"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3" w:type="pct"/>
            <w:vAlign w:val="center"/>
          </w:tcPr>
          <w:p>
            <w:pPr>
              <w:adjustRightInd w:val="0"/>
              <w:snapToGrid w:val="0"/>
              <w:jc w:val="center"/>
              <w:rPr>
                <w:color w:val="auto"/>
                <w:szCs w:val="21"/>
              </w:rPr>
            </w:pPr>
            <w:r>
              <w:rPr>
                <w:color w:val="auto"/>
                <w:szCs w:val="21"/>
              </w:rPr>
              <w:t>大气环境</w:t>
            </w:r>
          </w:p>
        </w:tc>
        <w:tc>
          <w:tcPr>
            <w:tcW w:w="127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施工物料苫盖，加强运输车辆管理，如限载、限速，对道路进行洒水降尘。</w:t>
            </w:r>
          </w:p>
        </w:tc>
        <w:tc>
          <w:tcPr>
            <w:tcW w:w="108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《施工场界扬尘排放限值》DB61/1078-2017标准</w:t>
            </w:r>
          </w:p>
        </w:tc>
        <w:tc>
          <w:tcPr>
            <w:tcW w:w="1015"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962"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3" w:type="pct"/>
            <w:vAlign w:val="center"/>
          </w:tcPr>
          <w:p>
            <w:pPr>
              <w:adjustRightInd w:val="0"/>
              <w:snapToGrid w:val="0"/>
              <w:jc w:val="center"/>
              <w:rPr>
                <w:color w:val="auto"/>
                <w:szCs w:val="21"/>
              </w:rPr>
            </w:pPr>
            <w:r>
              <w:rPr>
                <w:color w:val="auto"/>
                <w:szCs w:val="21"/>
              </w:rPr>
              <w:t>固体废物</w:t>
            </w:r>
          </w:p>
        </w:tc>
        <w:tc>
          <w:tcPr>
            <w:tcW w:w="127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①项目实施过程土石方平衡，不产生弃渣，不设弃渣场；</w:t>
            </w:r>
          </w:p>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②施工人员生活垃圾依托周边村民现有的生活垃圾设施。</w:t>
            </w:r>
          </w:p>
        </w:tc>
        <w:tc>
          <w:tcPr>
            <w:tcW w:w="1089"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妥善处理，对周围环境影响较小</w:t>
            </w:r>
          </w:p>
        </w:tc>
        <w:tc>
          <w:tcPr>
            <w:tcW w:w="1015"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962" w:type="pct"/>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3" w:type="pct"/>
            <w:vAlign w:val="center"/>
          </w:tcPr>
          <w:p>
            <w:pPr>
              <w:adjustRightInd w:val="0"/>
              <w:snapToGrid w:val="0"/>
              <w:jc w:val="center"/>
              <w:rPr>
                <w:color w:val="auto"/>
                <w:szCs w:val="21"/>
              </w:rPr>
            </w:pPr>
            <w:r>
              <w:rPr>
                <w:color w:val="auto"/>
                <w:szCs w:val="21"/>
              </w:rPr>
              <w:t>电磁环境</w:t>
            </w:r>
          </w:p>
        </w:tc>
        <w:tc>
          <w:tcPr>
            <w:tcW w:w="1279" w:type="pct"/>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c>
          <w:tcPr>
            <w:tcW w:w="1089" w:type="pct"/>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c>
          <w:tcPr>
            <w:tcW w:w="1785" w:type="dxa"/>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c>
          <w:tcPr>
            <w:tcW w:w="1692" w:type="dxa"/>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53" w:type="pct"/>
            <w:vAlign w:val="center"/>
          </w:tcPr>
          <w:p>
            <w:pPr>
              <w:adjustRightInd w:val="0"/>
              <w:snapToGrid w:val="0"/>
              <w:jc w:val="center"/>
              <w:rPr>
                <w:color w:val="auto"/>
                <w:szCs w:val="21"/>
              </w:rPr>
            </w:pPr>
            <w:r>
              <w:rPr>
                <w:color w:val="auto"/>
                <w:szCs w:val="21"/>
              </w:rPr>
              <w:t>环境风险</w:t>
            </w:r>
          </w:p>
        </w:tc>
        <w:tc>
          <w:tcPr>
            <w:tcW w:w="1279" w:type="pct"/>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c>
          <w:tcPr>
            <w:tcW w:w="1089" w:type="pct"/>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c>
          <w:tcPr>
            <w:tcW w:w="1785" w:type="dxa"/>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c>
          <w:tcPr>
            <w:tcW w:w="1692" w:type="dxa"/>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53" w:type="pct"/>
            <w:vAlign w:val="center"/>
          </w:tcPr>
          <w:p>
            <w:pPr>
              <w:adjustRightInd w:val="0"/>
              <w:snapToGrid w:val="0"/>
              <w:jc w:val="center"/>
              <w:rPr>
                <w:rFonts w:hint="eastAsia" w:eastAsia="宋体"/>
                <w:color w:val="auto"/>
                <w:szCs w:val="21"/>
                <w:lang w:eastAsia="zh-CN"/>
              </w:rPr>
            </w:pPr>
            <w:r>
              <w:rPr>
                <w:rFonts w:hint="eastAsia"/>
                <w:color w:val="auto"/>
                <w:szCs w:val="21"/>
                <w:lang w:eastAsia="zh-CN"/>
              </w:rPr>
              <w:t>环境监测</w:t>
            </w:r>
          </w:p>
        </w:tc>
        <w:tc>
          <w:tcPr>
            <w:tcW w:w="2250" w:type="dxa"/>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916" w:type="dxa"/>
            <w:vAlign w:val="center"/>
          </w:tcPr>
          <w:p>
            <w:pPr>
              <w:adjustRightInd w:val="0"/>
              <w:snapToGrid w:val="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015" w:type="pct"/>
            <w:vAlign w:val="center"/>
          </w:tcPr>
          <w:p>
            <w:pPr>
              <w:adjustRightInd w:val="0"/>
              <w:snapToGrid w:val="0"/>
              <w:jc w:val="center"/>
              <w:rPr>
                <w:rFonts w:hint="eastAsia"/>
                <w:color w:val="auto"/>
                <w:szCs w:val="21"/>
              </w:rPr>
            </w:pPr>
            <w:r>
              <w:rPr>
                <w:rFonts w:hint="eastAsia" w:ascii="Times New Roman" w:hAnsi="Times New Roman" w:eastAsia="宋体" w:cs="Times New Roman"/>
                <w:color w:val="auto"/>
                <w:szCs w:val="21"/>
              </w:rPr>
              <w:t>--</w:t>
            </w:r>
          </w:p>
        </w:tc>
        <w:tc>
          <w:tcPr>
            <w:tcW w:w="962" w:type="pct"/>
            <w:vAlign w:val="center"/>
          </w:tcPr>
          <w:p>
            <w:pPr>
              <w:adjustRightInd w:val="0"/>
              <w:snapToGrid w:val="0"/>
              <w:jc w:val="center"/>
              <w:rPr>
                <w:rFonts w:hint="eastAsia"/>
                <w:color w:val="auto"/>
                <w:szCs w:val="21"/>
              </w:rPr>
            </w:pPr>
            <w:r>
              <w:rPr>
                <w:rFonts w:hint="eastAsia" w:ascii="Times New Roman" w:hAnsi="Times New Roman" w:eastAsia="宋体"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53" w:type="pct"/>
            <w:vAlign w:val="center"/>
          </w:tcPr>
          <w:p>
            <w:pPr>
              <w:adjustRightInd w:val="0"/>
              <w:snapToGrid w:val="0"/>
              <w:jc w:val="center"/>
              <w:rPr>
                <w:color w:val="auto"/>
                <w:szCs w:val="21"/>
              </w:rPr>
            </w:pPr>
            <w:r>
              <w:rPr>
                <w:color w:val="auto"/>
                <w:szCs w:val="21"/>
              </w:rPr>
              <w:t>其他</w:t>
            </w:r>
          </w:p>
        </w:tc>
        <w:tc>
          <w:tcPr>
            <w:tcW w:w="1279" w:type="pct"/>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c>
          <w:tcPr>
            <w:tcW w:w="1089" w:type="pct"/>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c>
          <w:tcPr>
            <w:tcW w:w="1015" w:type="pct"/>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c>
          <w:tcPr>
            <w:tcW w:w="962" w:type="pct"/>
            <w:vAlign w:val="center"/>
          </w:tcPr>
          <w:p>
            <w:pPr>
              <w:adjustRightInd w:val="0"/>
              <w:snapToGrid w:val="0"/>
              <w:jc w:val="center"/>
              <w:rPr>
                <w:color w:val="auto"/>
                <w:szCs w:val="21"/>
              </w:rPr>
            </w:pPr>
            <w:r>
              <w:rPr>
                <w:rFonts w:hint="eastAsia" w:ascii="Times New Roman" w:hAnsi="Times New Roman" w:eastAsia="宋体" w:cs="Times New Roman"/>
                <w:color w:val="auto"/>
                <w:szCs w:val="21"/>
              </w:rPr>
              <w:t>--</w:t>
            </w:r>
          </w:p>
        </w:tc>
      </w:tr>
    </w:tbl>
    <w:p>
      <w:pPr>
        <w:pStyle w:val="24"/>
        <w:spacing w:before="0" w:beforeAutospacing="0" w:line="14" w:lineRule="auto"/>
        <w:jc w:val="center"/>
        <w:outlineLvl w:val="0"/>
        <w:rPr>
          <w:rFonts w:ascii="黑体" w:hAnsi="黑体" w:eastAsia="黑体"/>
          <w:snapToGrid w:val="0"/>
          <w:color w:val="FF0000"/>
          <w:sz w:val="30"/>
          <w:szCs w:val="30"/>
        </w:rPr>
      </w:pPr>
      <w:r>
        <w:rPr>
          <w:rFonts w:ascii="黑体" w:hAnsi="黑体" w:eastAsia="黑体"/>
          <w:snapToGrid w:val="0"/>
          <w:color w:val="FF0000"/>
          <w:sz w:val="30"/>
          <w:szCs w:val="30"/>
        </w:rPr>
        <w:br w:type="page"/>
      </w:r>
    </w:p>
    <w:p>
      <w:pPr>
        <w:pStyle w:val="24"/>
        <w:spacing w:before="192" w:beforeLines="80" w:beforeAutospacing="0"/>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七、结论</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6" w:hRule="atLeast"/>
          <w:jc w:val="center"/>
        </w:trPr>
        <w:tc>
          <w:tcPr>
            <w:tcW w:w="5000" w:type="pct"/>
          </w:tcPr>
          <w:p>
            <w:pPr>
              <w:wordWrap w:val="0"/>
              <w:spacing w:line="360" w:lineRule="auto"/>
              <w:ind w:firstLine="480" w:firstLineChars="200"/>
              <w:rPr>
                <w:color w:val="auto"/>
              </w:rPr>
            </w:pPr>
            <w:r>
              <w:rPr>
                <w:rFonts w:hint="eastAsia"/>
                <w:color w:val="auto"/>
                <w:sz w:val="24"/>
                <w:lang w:eastAsia="zh-CN"/>
              </w:rPr>
              <w:t>潏河流域上游水土保持及河道水生态保护修复工程</w:t>
            </w:r>
            <w:r>
              <w:rPr>
                <w:rFonts w:hint="eastAsia"/>
                <w:color w:val="auto"/>
                <w:sz w:val="24"/>
              </w:rPr>
              <w:t>符合国家产业政策，符合环境管理政策要求，项目在落实项目可研及环评报告提出的污染防治及生态恢复保护措施后，从环境保护角度分析，项目建设环境影响可行。</w:t>
            </w:r>
          </w:p>
        </w:tc>
      </w:tr>
    </w:tbl>
    <w:p>
      <w:pPr>
        <w:pStyle w:val="22"/>
        <w:ind w:firstLine="0" w:firstLineChars="0"/>
        <w:rPr>
          <w:color w:val="FF0000"/>
        </w:rPr>
      </w:pPr>
    </w:p>
    <w:sectPr>
      <w:pgSz w:w="11906" w:h="16838"/>
      <w:pgMar w:top="1701" w:right="1800"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C253D5-6B1E-49FE-A487-DF034DDE7B4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9FDFB42C-FF52-45F3-B0E8-D7E70264E1D0}"/>
  </w:font>
  <w:font w:name="楷体_GB2312">
    <w:panose1 w:val="02010609030101010101"/>
    <w:charset w:val="86"/>
    <w:family w:val="auto"/>
    <w:pitch w:val="default"/>
    <w:sig w:usb0="00000001" w:usb1="080E0000" w:usb2="00000000" w:usb3="00000000" w:csb0="00040000" w:csb1="00000000"/>
    <w:embedRegular r:id="rId3" w:fontKey="{E0C9DA9F-0AFF-4C5D-BFAE-C93B84801DBF}"/>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2024D86F-2705-4626-BD62-C2A233A3ECA5}"/>
  </w:font>
  <w:font w:name="方正小标宋_GBK">
    <w:panose1 w:val="02000000000000000000"/>
    <w:charset w:val="86"/>
    <w:family w:val="script"/>
    <w:pitch w:val="default"/>
    <w:sig w:usb0="A00002BF" w:usb1="38CF7CFA" w:usb2="00082016" w:usb3="00000000" w:csb0="00040001" w:csb1="00000000"/>
    <w:embedRegular r:id="rId5" w:fontKey="{6EDEB9C2-7342-491D-B67C-B5B1DC1F240E}"/>
  </w:font>
  <w:font w:name="华文仿宋">
    <w:panose1 w:val="02010600040101010101"/>
    <w:charset w:val="86"/>
    <w:family w:val="auto"/>
    <w:pitch w:val="default"/>
    <w:sig w:usb0="00000287" w:usb1="080F0000" w:usb2="00000000" w:usb3="00000000" w:csb0="0004009F" w:csb1="DFD70000"/>
    <w:embedRegular r:id="rId6" w:fontKey="{C2A7B921-C3BC-4FBB-8AA6-AE22B1F6D20B}"/>
  </w:font>
  <w:font w:name="仿宋">
    <w:panose1 w:val="02010609060101010101"/>
    <w:charset w:val="86"/>
    <w:family w:val="modern"/>
    <w:pitch w:val="default"/>
    <w:sig w:usb0="800002BF" w:usb1="38CF7CFA" w:usb2="00000016" w:usb3="00000000" w:csb0="00040001" w:csb1="00000000"/>
    <w:embedRegular r:id="rId7" w:fontKey="{FD282256-6FD4-463A-BF24-92C72CEAB076}"/>
  </w:font>
  <w:font w:name="Wingdings 2">
    <w:panose1 w:val="05020102010507070707"/>
    <w:charset w:val="02"/>
    <w:family w:val="roman"/>
    <w:pitch w:val="default"/>
    <w:sig w:usb0="00000000" w:usb1="00000000" w:usb2="00000000" w:usb3="00000000" w:csb0="80000000" w:csb1="00000000"/>
    <w:embedRegular r:id="rId8" w:fontKey="{85D8F2DE-E796-4BF1-B07F-577C10A9CFBB}"/>
  </w:font>
  <w:font w:name="微软雅黑">
    <w:panose1 w:val="020B0503020204020204"/>
    <w:charset w:val="86"/>
    <w:family w:val="auto"/>
    <w:pitch w:val="default"/>
    <w:sig w:usb0="80000287" w:usb1="280F3C52" w:usb2="00000016" w:usb3="00000000" w:csb0="0004001F" w:csb1="00000000"/>
    <w:embedRegular r:id="rId9" w:fontKey="{EB4B9E96-FB6B-4751-A22A-2B62C55CC2BC}"/>
  </w:font>
  <w:font w:name="等线">
    <w:panose1 w:val="02010600030101010101"/>
    <w:charset w:val="86"/>
    <w:family w:val="auto"/>
    <w:pitch w:val="default"/>
    <w:sig w:usb0="A00002BF" w:usb1="38CF7CFA" w:usb2="00000016" w:usb3="00000000" w:csb0="0004000F" w:csb1="00000000"/>
    <w:embedRegular r:id="rId10" w:fontKey="{C3DDFFC5-F5F7-44C5-B3FF-92CB37302257}"/>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30"/>
      </w:rPr>
    </w:pPr>
    <w:r>
      <w:rPr>
        <w:rStyle w:val="30"/>
      </w:rPr>
      <w:fldChar w:fldCharType="begin"/>
    </w:r>
    <w:r>
      <w:rPr>
        <w:rStyle w:val="30"/>
      </w:rPr>
      <w:instrText xml:space="preserve">PAGE  </w:instrText>
    </w:r>
    <w:r>
      <w:rPr>
        <w:rStyle w:val="30"/>
      </w:rP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9"/>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9"/>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F2454D"/>
    <w:multiLevelType w:val="singleLevel"/>
    <w:tmpl w:val="41F2454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xMDM0ZDA0NDdjNjdiZWI4NTRkZDEwYzRhNThiZjIifQ=="/>
  </w:docVars>
  <w:rsids>
    <w:rsidRoot w:val="00172A27"/>
    <w:rsid w:val="00001CED"/>
    <w:rsid w:val="00001E67"/>
    <w:rsid w:val="00003CD8"/>
    <w:rsid w:val="00007374"/>
    <w:rsid w:val="000117D9"/>
    <w:rsid w:val="00014965"/>
    <w:rsid w:val="0001523A"/>
    <w:rsid w:val="00016ECB"/>
    <w:rsid w:val="0002197B"/>
    <w:rsid w:val="00021E10"/>
    <w:rsid w:val="0002260F"/>
    <w:rsid w:val="00022E92"/>
    <w:rsid w:val="00025AA1"/>
    <w:rsid w:val="000269F6"/>
    <w:rsid w:val="00031939"/>
    <w:rsid w:val="00031BA3"/>
    <w:rsid w:val="00032D25"/>
    <w:rsid w:val="0003712D"/>
    <w:rsid w:val="00042CB4"/>
    <w:rsid w:val="000475FB"/>
    <w:rsid w:val="00051547"/>
    <w:rsid w:val="0005219D"/>
    <w:rsid w:val="0005568F"/>
    <w:rsid w:val="00057B06"/>
    <w:rsid w:val="0006153D"/>
    <w:rsid w:val="00061B1F"/>
    <w:rsid w:val="0006354C"/>
    <w:rsid w:val="000641DB"/>
    <w:rsid w:val="000664DB"/>
    <w:rsid w:val="000702B2"/>
    <w:rsid w:val="0007127D"/>
    <w:rsid w:val="00071AE5"/>
    <w:rsid w:val="00073F5F"/>
    <w:rsid w:val="00074783"/>
    <w:rsid w:val="00075C78"/>
    <w:rsid w:val="0007730F"/>
    <w:rsid w:val="000801E0"/>
    <w:rsid w:val="000806D1"/>
    <w:rsid w:val="00082A29"/>
    <w:rsid w:val="0008331D"/>
    <w:rsid w:val="00083C18"/>
    <w:rsid w:val="000847F8"/>
    <w:rsid w:val="00086AA3"/>
    <w:rsid w:val="00086C88"/>
    <w:rsid w:val="00092899"/>
    <w:rsid w:val="00093A79"/>
    <w:rsid w:val="0009526F"/>
    <w:rsid w:val="000A0CB6"/>
    <w:rsid w:val="000A178E"/>
    <w:rsid w:val="000A3455"/>
    <w:rsid w:val="000A389F"/>
    <w:rsid w:val="000A557E"/>
    <w:rsid w:val="000A687D"/>
    <w:rsid w:val="000B058F"/>
    <w:rsid w:val="000B3B67"/>
    <w:rsid w:val="000B693F"/>
    <w:rsid w:val="000B7602"/>
    <w:rsid w:val="000C07F2"/>
    <w:rsid w:val="000C09AC"/>
    <w:rsid w:val="000C0A63"/>
    <w:rsid w:val="000C3BC6"/>
    <w:rsid w:val="000C437E"/>
    <w:rsid w:val="000C568E"/>
    <w:rsid w:val="000C74A0"/>
    <w:rsid w:val="000D0CCE"/>
    <w:rsid w:val="000D3FCA"/>
    <w:rsid w:val="000D419D"/>
    <w:rsid w:val="000D53A1"/>
    <w:rsid w:val="000E2DD0"/>
    <w:rsid w:val="000E30D1"/>
    <w:rsid w:val="000E3B4E"/>
    <w:rsid w:val="000E3E57"/>
    <w:rsid w:val="000E5F16"/>
    <w:rsid w:val="000E7155"/>
    <w:rsid w:val="000E7242"/>
    <w:rsid w:val="000F4452"/>
    <w:rsid w:val="000F4512"/>
    <w:rsid w:val="000F57E4"/>
    <w:rsid w:val="000F6DA1"/>
    <w:rsid w:val="000F701B"/>
    <w:rsid w:val="0010213C"/>
    <w:rsid w:val="00104D2C"/>
    <w:rsid w:val="001056A0"/>
    <w:rsid w:val="001056CC"/>
    <w:rsid w:val="001062AA"/>
    <w:rsid w:val="001070AD"/>
    <w:rsid w:val="00107B0F"/>
    <w:rsid w:val="001146A5"/>
    <w:rsid w:val="001149A8"/>
    <w:rsid w:val="00115279"/>
    <w:rsid w:val="00117459"/>
    <w:rsid w:val="0011749A"/>
    <w:rsid w:val="0012349D"/>
    <w:rsid w:val="001252B5"/>
    <w:rsid w:val="00126800"/>
    <w:rsid w:val="00127A68"/>
    <w:rsid w:val="0013046B"/>
    <w:rsid w:val="00131A77"/>
    <w:rsid w:val="001324BB"/>
    <w:rsid w:val="001372C4"/>
    <w:rsid w:val="00140B13"/>
    <w:rsid w:val="00141B68"/>
    <w:rsid w:val="00143B83"/>
    <w:rsid w:val="001448B9"/>
    <w:rsid w:val="001466DA"/>
    <w:rsid w:val="001540F2"/>
    <w:rsid w:val="00154DE1"/>
    <w:rsid w:val="00155B40"/>
    <w:rsid w:val="00157435"/>
    <w:rsid w:val="00160AAF"/>
    <w:rsid w:val="00163EEA"/>
    <w:rsid w:val="00167A07"/>
    <w:rsid w:val="0017046A"/>
    <w:rsid w:val="001704A3"/>
    <w:rsid w:val="0017504D"/>
    <w:rsid w:val="001768B3"/>
    <w:rsid w:val="00177422"/>
    <w:rsid w:val="00182B7F"/>
    <w:rsid w:val="0018493C"/>
    <w:rsid w:val="00184F10"/>
    <w:rsid w:val="00185546"/>
    <w:rsid w:val="00187892"/>
    <w:rsid w:val="0019015C"/>
    <w:rsid w:val="001908D7"/>
    <w:rsid w:val="0019146B"/>
    <w:rsid w:val="00193375"/>
    <w:rsid w:val="00194398"/>
    <w:rsid w:val="00196B9B"/>
    <w:rsid w:val="0019771B"/>
    <w:rsid w:val="00197BFD"/>
    <w:rsid w:val="001A5595"/>
    <w:rsid w:val="001A7D2A"/>
    <w:rsid w:val="001B13BD"/>
    <w:rsid w:val="001B13D4"/>
    <w:rsid w:val="001B574C"/>
    <w:rsid w:val="001C0AF9"/>
    <w:rsid w:val="001C155A"/>
    <w:rsid w:val="001C2502"/>
    <w:rsid w:val="001C2B8E"/>
    <w:rsid w:val="001C48C0"/>
    <w:rsid w:val="001D0A4B"/>
    <w:rsid w:val="001D2B28"/>
    <w:rsid w:val="001D6275"/>
    <w:rsid w:val="001D6726"/>
    <w:rsid w:val="001F3347"/>
    <w:rsid w:val="001F4440"/>
    <w:rsid w:val="001F69E4"/>
    <w:rsid w:val="001F799D"/>
    <w:rsid w:val="002019BA"/>
    <w:rsid w:val="0020221C"/>
    <w:rsid w:val="00203499"/>
    <w:rsid w:val="0020699C"/>
    <w:rsid w:val="00206A65"/>
    <w:rsid w:val="00207372"/>
    <w:rsid w:val="00207D1A"/>
    <w:rsid w:val="00210547"/>
    <w:rsid w:val="00211D03"/>
    <w:rsid w:val="00212D31"/>
    <w:rsid w:val="002130C7"/>
    <w:rsid w:val="00221498"/>
    <w:rsid w:val="002218A8"/>
    <w:rsid w:val="00222EA1"/>
    <w:rsid w:val="0022306D"/>
    <w:rsid w:val="00224FC3"/>
    <w:rsid w:val="002257F2"/>
    <w:rsid w:val="00226574"/>
    <w:rsid w:val="00226D11"/>
    <w:rsid w:val="00227283"/>
    <w:rsid w:val="002278EC"/>
    <w:rsid w:val="00233307"/>
    <w:rsid w:val="00234E29"/>
    <w:rsid w:val="00235420"/>
    <w:rsid w:val="002357C7"/>
    <w:rsid w:val="002367C4"/>
    <w:rsid w:val="00237E17"/>
    <w:rsid w:val="0024182A"/>
    <w:rsid w:val="00241FD3"/>
    <w:rsid w:val="002420C6"/>
    <w:rsid w:val="00246491"/>
    <w:rsid w:val="00247687"/>
    <w:rsid w:val="002501D9"/>
    <w:rsid w:val="00250CC3"/>
    <w:rsid w:val="0025149A"/>
    <w:rsid w:val="0025640B"/>
    <w:rsid w:val="0025679E"/>
    <w:rsid w:val="0025719E"/>
    <w:rsid w:val="00260C68"/>
    <w:rsid w:val="002648B0"/>
    <w:rsid w:val="00273D3B"/>
    <w:rsid w:val="00275271"/>
    <w:rsid w:val="0027535E"/>
    <w:rsid w:val="002754A6"/>
    <w:rsid w:val="00275AA6"/>
    <w:rsid w:val="0027677E"/>
    <w:rsid w:val="00277ED2"/>
    <w:rsid w:val="00280478"/>
    <w:rsid w:val="002807D5"/>
    <w:rsid w:val="00282CCD"/>
    <w:rsid w:val="00293B74"/>
    <w:rsid w:val="0029757D"/>
    <w:rsid w:val="002A168C"/>
    <w:rsid w:val="002A2C48"/>
    <w:rsid w:val="002A32A2"/>
    <w:rsid w:val="002A3EED"/>
    <w:rsid w:val="002A4A39"/>
    <w:rsid w:val="002A5A17"/>
    <w:rsid w:val="002A6425"/>
    <w:rsid w:val="002A7088"/>
    <w:rsid w:val="002A7D9C"/>
    <w:rsid w:val="002B0001"/>
    <w:rsid w:val="002B099D"/>
    <w:rsid w:val="002B1C51"/>
    <w:rsid w:val="002B21F2"/>
    <w:rsid w:val="002B49E2"/>
    <w:rsid w:val="002B6B8D"/>
    <w:rsid w:val="002B7B00"/>
    <w:rsid w:val="002B7C44"/>
    <w:rsid w:val="002C1388"/>
    <w:rsid w:val="002C2C38"/>
    <w:rsid w:val="002C3927"/>
    <w:rsid w:val="002C3C6A"/>
    <w:rsid w:val="002C423F"/>
    <w:rsid w:val="002C5203"/>
    <w:rsid w:val="002C746F"/>
    <w:rsid w:val="002D0EC6"/>
    <w:rsid w:val="002D42DB"/>
    <w:rsid w:val="002D4945"/>
    <w:rsid w:val="002E00FD"/>
    <w:rsid w:val="002E142E"/>
    <w:rsid w:val="002E1508"/>
    <w:rsid w:val="002E1F3A"/>
    <w:rsid w:val="002E298A"/>
    <w:rsid w:val="002E3691"/>
    <w:rsid w:val="002E4022"/>
    <w:rsid w:val="002E5282"/>
    <w:rsid w:val="002E5BE8"/>
    <w:rsid w:val="002F01B2"/>
    <w:rsid w:val="002F02A4"/>
    <w:rsid w:val="002F04C9"/>
    <w:rsid w:val="002F272B"/>
    <w:rsid w:val="002F55B1"/>
    <w:rsid w:val="002F7C6D"/>
    <w:rsid w:val="003024AA"/>
    <w:rsid w:val="003027E4"/>
    <w:rsid w:val="0030332C"/>
    <w:rsid w:val="003109CC"/>
    <w:rsid w:val="00312296"/>
    <w:rsid w:val="0031340E"/>
    <w:rsid w:val="00316319"/>
    <w:rsid w:val="00316464"/>
    <w:rsid w:val="00320294"/>
    <w:rsid w:val="0032073A"/>
    <w:rsid w:val="00321D8E"/>
    <w:rsid w:val="00322A45"/>
    <w:rsid w:val="003231B6"/>
    <w:rsid w:val="0032504E"/>
    <w:rsid w:val="00332838"/>
    <w:rsid w:val="00334996"/>
    <w:rsid w:val="00335D2E"/>
    <w:rsid w:val="00336969"/>
    <w:rsid w:val="00336C52"/>
    <w:rsid w:val="0034131F"/>
    <w:rsid w:val="00341B3E"/>
    <w:rsid w:val="00341B42"/>
    <w:rsid w:val="003427E3"/>
    <w:rsid w:val="00345154"/>
    <w:rsid w:val="0034560E"/>
    <w:rsid w:val="00347013"/>
    <w:rsid w:val="00347FB6"/>
    <w:rsid w:val="00350523"/>
    <w:rsid w:val="0035224E"/>
    <w:rsid w:val="00352975"/>
    <w:rsid w:val="00354070"/>
    <w:rsid w:val="00354EB0"/>
    <w:rsid w:val="00356868"/>
    <w:rsid w:val="00360A7D"/>
    <w:rsid w:val="0036155F"/>
    <w:rsid w:val="0036230D"/>
    <w:rsid w:val="003639C7"/>
    <w:rsid w:val="0036485B"/>
    <w:rsid w:val="00364F86"/>
    <w:rsid w:val="003656A4"/>
    <w:rsid w:val="00366324"/>
    <w:rsid w:val="00366904"/>
    <w:rsid w:val="00370C5E"/>
    <w:rsid w:val="00373B0D"/>
    <w:rsid w:val="00374B44"/>
    <w:rsid w:val="00376988"/>
    <w:rsid w:val="00376B76"/>
    <w:rsid w:val="00381A72"/>
    <w:rsid w:val="00382036"/>
    <w:rsid w:val="00383FFF"/>
    <w:rsid w:val="00392342"/>
    <w:rsid w:val="003926E5"/>
    <w:rsid w:val="003A0802"/>
    <w:rsid w:val="003A11F9"/>
    <w:rsid w:val="003A1948"/>
    <w:rsid w:val="003A232E"/>
    <w:rsid w:val="003A7BB9"/>
    <w:rsid w:val="003B152A"/>
    <w:rsid w:val="003B37A9"/>
    <w:rsid w:val="003B545B"/>
    <w:rsid w:val="003B5AD8"/>
    <w:rsid w:val="003C7127"/>
    <w:rsid w:val="003C7362"/>
    <w:rsid w:val="003C7A3D"/>
    <w:rsid w:val="003D06F7"/>
    <w:rsid w:val="003D1C25"/>
    <w:rsid w:val="003D3EE9"/>
    <w:rsid w:val="003D70A5"/>
    <w:rsid w:val="003D7EE4"/>
    <w:rsid w:val="003E343E"/>
    <w:rsid w:val="003E4E78"/>
    <w:rsid w:val="003E57B5"/>
    <w:rsid w:val="003E7644"/>
    <w:rsid w:val="003E7681"/>
    <w:rsid w:val="003F0809"/>
    <w:rsid w:val="003F0E16"/>
    <w:rsid w:val="003F1ADC"/>
    <w:rsid w:val="003F4656"/>
    <w:rsid w:val="003F611C"/>
    <w:rsid w:val="003F755C"/>
    <w:rsid w:val="004010C7"/>
    <w:rsid w:val="0040198B"/>
    <w:rsid w:val="00401A70"/>
    <w:rsid w:val="00403860"/>
    <w:rsid w:val="00404433"/>
    <w:rsid w:val="00404A8E"/>
    <w:rsid w:val="00406E31"/>
    <w:rsid w:val="00406F01"/>
    <w:rsid w:val="00410F6F"/>
    <w:rsid w:val="00411B36"/>
    <w:rsid w:val="004121D7"/>
    <w:rsid w:val="00412433"/>
    <w:rsid w:val="00416D50"/>
    <w:rsid w:val="00416D57"/>
    <w:rsid w:val="00417772"/>
    <w:rsid w:val="004204BF"/>
    <w:rsid w:val="00420E6A"/>
    <w:rsid w:val="0042233C"/>
    <w:rsid w:val="00422C09"/>
    <w:rsid w:val="00423DE0"/>
    <w:rsid w:val="0042742C"/>
    <w:rsid w:val="00432217"/>
    <w:rsid w:val="004328A9"/>
    <w:rsid w:val="00432D08"/>
    <w:rsid w:val="00433110"/>
    <w:rsid w:val="00433CA9"/>
    <w:rsid w:val="0043521D"/>
    <w:rsid w:val="00435F50"/>
    <w:rsid w:val="00440AD1"/>
    <w:rsid w:val="004411FD"/>
    <w:rsid w:val="00441AE1"/>
    <w:rsid w:val="00442024"/>
    <w:rsid w:val="00442361"/>
    <w:rsid w:val="0044254C"/>
    <w:rsid w:val="00443F6A"/>
    <w:rsid w:val="00450015"/>
    <w:rsid w:val="00450A17"/>
    <w:rsid w:val="0045524C"/>
    <w:rsid w:val="00466321"/>
    <w:rsid w:val="004672AF"/>
    <w:rsid w:val="00467D82"/>
    <w:rsid w:val="004727B0"/>
    <w:rsid w:val="004753FE"/>
    <w:rsid w:val="00475597"/>
    <w:rsid w:val="00480247"/>
    <w:rsid w:val="0048081D"/>
    <w:rsid w:val="0048117E"/>
    <w:rsid w:val="00483428"/>
    <w:rsid w:val="00484A2D"/>
    <w:rsid w:val="00484A90"/>
    <w:rsid w:val="004855F6"/>
    <w:rsid w:val="00485922"/>
    <w:rsid w:val="00486F0C"/>
    <w:rsid w:val="00494670"/>
    <w:rsid w:val="00495919"/>
    <w:rsid w:val="00496A09"/>
    <w:rsid w:val="00497AFA"/>
    <w:rsid w:val="004A0EB4"/>
    <w:rsid w:val="004A1783"/>
    <w:rsid w:val="004A24A3"/>
    <w:rsid w:val="004A3823"/>
    <w:rsid w:val="004A59BB"/>
    <w:rsid w:val="004A72CD"/>
    <w:rsid w:val="004A7ECC"/>
    <w:rsid w:val="004B0372"/>
    <w:rsid w:val="004B43A3"/>
    <w:rsid w:val="004B4C49"/>
    <w:rsid w:val="004B58A5"/>
    <w:rsid w:val="004B5B08"/>
    <w:rsid w:val="004B60AF"/>
    <w:rsid w:val="004B63D9"/>
    <w:rsid w:val="004B6ECB"/>
    <w:rsid w:val="004B7A49"/>
    <w:rsid w:val="004B7DD1"/>
    <w:rsid w:val="004C0882"/>
    <w:rsid w:val="004C3B55"/>
    <w:rsid w:val="004C4D9B"/>
    <w:rsid w:val="004C55BE"/>
    <w:rsid w:val="004D03E6"/>
    <w:rsid w:val="004D051B"/>
    <w:rsid w:val="004D4D33"/>
    <w:rsid w:val="004D61BE"/>
    <w:rsid w:val="004D7029"/>
    <w:rsid w:val="004D7DC4"/>
    <w:rsid w:val="004D7E1E"/>
    <w:rsid w:val="004E0BCE"/>
    <w:rsid w:val="004E3966"/>
    <w:rsid w:val="004E5B30"/>
    <w:rsid w:val="004E61C4"/>
    <w:rsid w:val="004E623F"/>
    <w:rsid w:val="004F0779"/>
    <w:rsid w:val="004F1230"/>
    <w:rsid w:val="004F1341"/>
    <w:rsid w:val="004F173F"/>
    <w:rsid w:val="004F177C"/>
    <w:rsid w:val="004F1C37"/>
    <w:rsid w:val="004F2DCE"/>
    <w:rsid w:val="004F524C"/>
    <w:rsid w:val="004F72DF"/>
    <w:rsid w:val="004F73C9"/>
    <w:rsid w:val="005003A4"/>
    <w:rsid w:val="00501979"/>
    <w:rsid w:val="005039CB"/>
    <w:rsid w:val="0050558F"/>
    <w:rsid w:val="005057E0"/>
    <w:rsid w:val="00506286"/>
    <w:rsid w:val="005077E1"/>
    <w:rsid w:val="00507F15"/>
    <w:rsid w:val="00510813"/>
    <w:rsid w:val="00510C85"/>
    <w:rsid w:val="0051143A"/>
    <w:rsid w:val="00511DE0"/>
    <w:rsid w:val="00517F02"/>
    <w:rsid w:val="00520DD6"/>
    <w:rsid w:val="00523F5D"/>
    <w:rsid w:val="0052438D"/>
    <w:rsid w:val="00524547"/>
    <w:rsid w:val="005258A2"/>
    <w:rsid w:val="005260D6"/>
    <w:rsid w:val="0053013C"/>
    <w:rsid w:val="005303E3"/>
    <w:rsid w:val="00530F7C"/>
    <w:rsid w:val="005342E9"/>
    <w:rsid w:val="00534567"/>
    <w:rsid w:val="00534F43"/>
    <w:rsid w:val="00535335"/>
    <w:rsid w:val="00535A84"/>
    <w:rsid w:val="00536889"/>
    <w:rsid w:val="005376AF"/>
    <w:rsid w:val="00542E07"/>
    <w:rsid w:val="00553B52"/>
    <w:rsid w:val="00554A7B"/>
    <w:rsid w:val="00555482"/>
    <w:rsid w:val="0055572C"/>
    <w:rsid w:val="00555CB6"/>
    <w:rsid w:val="0056064F"/>
    <w:rsid w:val="00561B84"/>
    <w:rsid w:val="00564D31"/>
    <w:rsid w:val="00564DE5"/>
    <w:rsid w:val="00565216"/>
    <w:rsid w:val="00566B24"/>
    <w:rsid w:val="00571D98"/>
    <w:rsid w:val="005720AE"/>
    <w:rsid w:val="00574A5C"/>
    <w:rsid w:val="0057687D"/>
    <w:rsid w:val="0058010A"/>
    <w:rsid w:val="0058030D"/>
    <w:rsid w:val="00582045"/>
    <w:rsid w:val="00585AB2"/>
    <w:rsid w:val="00585C42"/>
    <w:rsid w:val="00590AE3"/>
    <w:rsid w:val="005918F1"/>
    <w:rsid w:val="005932A2"/>
    <w:rsid w:val="00597B42"/>
    <w:rsid w:val="005A03BB"/>
    <w:rsid w:val="005A06B7"/>
    <w:rsid w:val="005A1759"/>
    <w:rsid w:val="005B280A"/>
    <w:rsid w:val="005B3F09"/>
    <w:rsid w:val="005B49F4"/>
    <w:rsid w:val="005B4D8E"/>
    <w:rsid w:val="005B73FF"/>
    <w:rsid w:val="005C1082"/>
    <w:rsid w:val="005C7971"/>
    <w:rsid w:val="005D0369"/>
    <w:rsid w:val="005D0A72"/>
    <w:rsid w:val="005D2498"/>
    <w:rsid w:val="005D2A59"/>
    <w:rsid w:val="005D3965"/>
    <w:rsid w:val="005D53FE"/>
    <w:rsid w:val="005D5C03"/>
    <w:rsid w:val="005D6C47"/>
    <w:rsid w:val="005D7A0F"/>
    <w:rsid w:val="005E0438"/>
    <w:rsid w:val="005E1791"/>
    <w:rsid w:val="005E2CE6"/>
    <w:rsid w:val="005E378A"/>
    <w:rsid w:val="005E53E8"/>
    <w:rsid w:val="005E6324"/>
    <w:rsid w:val="005E7468"/>
    <w:rsid w:val="005F228B"/>
    <w:rsid w:val="005F23C9"/>
    <w:rsid w:val="005F29CD"/>
    <w:rsid w:val="005F3534"/>
    <w:rsid w:val="005F4DFB"/>
    <w:rsid w:val="005F5B1B"/>
    <w:rsid w:val="005F6538"/>
    <w:rsid w:val="005F65F0"/>
    <w:rsid w:val="005F6CC0"/>
    <w:rsid w:val="00601D6F"/>
    <w:rsid w:val="00603E5B"/>
    <w:rsid w:val="00604506"/>
    <w:rsid w:val="00604BC8"/>
    <w:rsid w:val="00604F63"/>
    <w:rsid w:val="00605B84"/>
    <w:rsid w:val="00611C14"/>
    <w:rsid w:val="00613B2C"/>
    <w:rsid w:val="00615B4C"/>
    <w:rsid w:val="00615B5D"/>
    <w:rsid w:val="0061689D"/>
    <w:rsid w:val="0061734B"/>
    <w:rsid w:val="0062146F"/>
    <w:rsid w:val="00624BC6"/>
    <w:rsid w:val="00624E70"/>
    <w:rsid w:val="006260BB"/>
    <w:rsid w:val="0063338A"/>
    <w:rsid w:val="006343AF"/>
    <w:rsid w:val="00635B3D"/>
    <w:rsid w:val="0063634A"/>
    <w:rsid w:val="00636E2D"/>
    <w:rsid w:val="0064250D"/>
    <w:rsid w:val="00646D65"/>
    <w:rsid w:val="0064797F"/>
    <w:rsid w:val="00650C5C"/>
    <w:rsid w:val="00651CCF"/>
    <w:rsid w:val="0065237A"/>
    <w:rsid w:val="006535EB"/>
    <w:rsid w:val="00653C25"/>
    <w:rsid w:val="006542C7"/>
    <w:rsid w:val="006618F6"/>
    <w:rsid w:val="00663016"/>
    <w:rsid w:val="006641D6"/>
    <w:rsid w:val="006654FF"/>
    <w:rsid w:val="0066556C"/>
    <w:rsid w:val="00673247"/>
    <w:rsid w:val="00674605"/>
    <w:rsid w:val="006746CE"/>
    <w:rsid w:val="006748B8"/>
    <w:rsid w:val="00676746"/>
    <w:rsid w:val="00676B51"/>
    <w:rsid w:val="00681962"/>
    <w:rsid w:val="00684D22"/>
    <w:rsid w:val="0068535B"/>
    <w:rsid w:val="00685B29"/>
    <w:rsid w:val="0068619A"/>
    <w:rsid w:val="00687267"/>
    <w:rsid w:val="0068736E"/>
    <w:rsid w:val="0069290A"/>
    <w:rsid w:val="006938F8"/>
    <w:rsid w:val="00695D98"/>
    <w:rsid w:val="00696A4C"/>
    <w:rsid w:val="00697032"/>
    <w:rsid w:val="006975AC"/>
    <w:rsid w:val="006A15FB"/>
    <w:rsid w:val="006A1E1E"/>
    <w:rsid w:val="006A5856"/>
    <w:rsid w:val="006A72BF"/>
    <w:rsid w:val="006B332A"/>
    <w:rsid w:val="006B33BD"/>
    <w:rsid w:val="006B557F"/>
    <w:rsid w:val="006B59C2"/>
    <w:rsid w:val="006B5C0A"/>
    <w:rsid w:val="006C15A4"/>
    <w:rsid w:val="006C23D5"/>
    <w:rsid w:val="006C3F75"/>
    <w:rsid w:val="006D170E"/>
    <w:rsid w:val="006D1F6F"/>
    <w:rsid w:val="006E06AF"/>
    <w:rsid w:val="006E0CFF"/>
    <w:rsid w:val="006E2E4D"/>
    <w:rsid w:val="006E388F"/>
    <w:rsid w:val="006E7A42"/>
    <w:rsid w:val="006F00FA"/>
    <w:rsid w:val="006F03C8"/>
    <w:rsid w:val="006F1789"/>
    <w:rsid w:val="006F2AD9"/>
    <w:rsid w:val="006F5DC0"/>
    <w:rsid w:val="00702B65"/>
    <w:rsid w:val="00703EF1"/>
    <w:rsid w:val="00704E3C"/>
    <w:rsid w:val="00706C5D"/>
    <w:rsid w:val="00707AAB"/>
    <w:rsid w:val="00710BE1"/>
    <w:rsid w:val="007118E6"/>
    <w:rsid w:val="00712DA1"/>
    <w:rsid w:val="00713A24"/>
    <w:rsid w:val="00715037"/>
    <w:rsid w:val="007168A3"/>
    <w:rsid w:val="007225C9"/>
    <w:rsid w:val="0072272B"/>
    <w:rsid w:val="0072443E"/>
    <w:rsid w:val="007249C9"/>
    <w:rsid w:val="0072539D"/>
    <w:rsid w:val="007266FB"/>
    <w:rsid w:val="0073081E"/>
    <w:rsid w:val="00731425"/>
    <w:rsid w:val="00734CDB"/>
    <w:rsid w:val="007355CE"/>
    <w:rsid w:val="00735CD7"/>
    <w:rsid w:val="00743D3E"/>
    <w:rsid w:val="007441E4"/>
    <w:rsid w:val="007470D0"/>
    <w:rsid w:val="00750FD1"/>
    <w:rsid w:val="00753F28"/>
    <w:rsid w:val="00754034"/>
    <w:rsid w:val="00754BF1"/>
    <w:rsid w:val="00755A30"/>
    <w:rsid w:val="00755C60"/>
    <w:rsid w:val="00755E1C"/>
    <w:rsid w:val="00756556"/>
    <w:rsid w:val="0076132B"/>
    <w:rsid w:val="007623AE"/>
    <w:rsid w:val="00762A0B"/>
    <w:rsid w:val="00763413"/>
    <w:rsid w:val="00763D46"/>
    <w:rsid w:val="00765E22"/>
    <w:rsid w:val="0076682A"/>
    <w:rsid w:val="00766B58"/>
    <w:rsid w:val="00770712"/>
    <w:rsid w:val="00770853"/>
    <w:rsid w:val="00770B19"/>
    <w:rsid w:val="00771BB6"/>
    <w:rsid w:val="00774FA0"/>
    <w:rsid w:val="00776620"/>
    <w:rsid w:val="00777924"/>
    <w:rsid w:val="00777B6D"/>
    <w:rsid w:val="007829F5"/>
    <w:rsid w:val="00784855"/>
    <w:rsid w:val="00784F39"/>
    <w:rsid w:val="0078545C"/>
    <w:rsid w:val="007869F9"/>
    <w:rsid w:val="00786ECF"/>
    <w:rsid w:val="007906C4"/>
    <w:rsid w:val="007932A4"/>
    <w:rsid w:val="007940EA"/>
    <w:rsid w:val="007967E8"/>
    <w:rsid w:val="007A1C90"/>
    <w:rsid w:val="007A2062"/>
    <w:rsid w:val="007A2C50"/>
    <w:rsid w:val="007A47A6"/>
    <w:rsid w:val="007A63F2"/>
    <w:rsid w:val="007A666B"/>
    <w:rsid w:val="007B68DE"/>
    <w:rsid w:val="007B7546"/>
    <w:rsid w:val="007B7916"/>
    <w:rsid w:val="007C1857"/>
    <w:rsid w:val="007C2989"/>
    <w:rsid w:val="007C514F"/>
    <w:rsid w:val="007D0F95"/>
    <w:rsid w:val="007D483C"/>
    <w:rsid w:val="007D48C5"/>
    <w:rsid w:val="007D5A63"/>
    <w:rsid w:val="007D782D"/>
    <w:rsid w:val="007D7ECB"/>
    <w:rsid w:val="007E12DE"/>
    <w:rsid w:val="007E1555"/>
    <w:rsid w:val="007E25A1"/>
    <w:rsid w:val="007E277F"/>
    <w:rsid w:val="007E3F09"/>
    <w:rsid w:val="007E4BD2"/>
    <w:rsid w:val="007E57B0"/>
    <w:rsid w:val="007E7145"/>
    <w:rsid w:val="007F3413"/>
    <w:rsid w:val="007F3916"/>
    <w:rsid w:val="007F3D3C"/>
    <w:rsid w:val="007F74D3"/>
    <w:rsid w:val="00801179"/>
    <w:rsid w:val="00802479"/>
    <w:rsid w:val="00803081"/>
    <w:rsid w:val="00805372"/>
    <w:rsid w:val="00805B7B"/>
    <w:rsid w:val="0081293E"/>
    <w:rsid w:val="00814FFB"/>
    <w:rsid w:val="00816DC0"/>
    <w:rsid w:val="00820568"/>
    <w:rsid w:val="00827EF7"/>
    <w:rsid w:val="00827FB4"/>
    <w:rsid w:val="008307CD"/>
    <w:rsid w:val="00831A80"/>
    <w:rsid w:val="00831B27"/>
    <w:rsid w:val="00832BEB"/>
    <w:rsid w:val="008332C8"/>
    <w:rsid w:val="00833743"/>
    <w:rsid w:val="008340A4"/>
    <w:rsid w:val="00836799"/>
    <w:rsid w:val="00836828"/>
    <w:rsid w:val="00837028"/>
    <w:rsid w:val="00837131"/>
    <w:rsid w:val="008413DC"/>
    <w:rsid w:val="0084281F"/>
    <w:rsid w:val="00843509"/>
    <w:rsid w:val="00844B7D"/>
    <w:rsid w:val="00845F57"/>
    <w:rsid w:val="008521E0"/>
    <w:rsid w:val="008525B0"/>
    <w:rsid w:val="0085320D"/>
    <w:rsid w:val="00854222"/>
    <w:rsid w:val="00863D4F"/>
    <w:rsid w:val="00867CBC"/>
    <w:rsid w:val="00873EC6"/>
    <w:rsid w:val="008741A4"/>
    <w:rsid w:val="00876C30"/>
    <w:rsid w:val="00877017"/>
    <w:rsid w:val="008773C0"/>
    <w:rsid w:val="008778E4"/>
    <w:rsid w:val="00877BAC"/>
    <w:rsid w:val="00880364"/>
    <w:rsid w:val="0088467D"/>
    <w:rsid w:val="00886C4C"/>
    <w:rsid w:val="0088711C"/>
    <w:rsid w:val="00892ECF"/>
    <w:rsid w:val="00892F06"/>
    <w:rsid w:val="008941DD"/>
    <w:rsid w:val="00894285"/>
    <w:rsid w:val="0089473D"/>
    <w:rsid w:val="00895BB5"/>
    <w:rsid w:val="008A2F23"/>
    <w:rsid w:val="008A40AE"/>
    <w:rsid w:val="008A4C7F"/>
    <w:rsid w:val="008A4E19"/>
    <w:rsid w:val="008A61F9"/>
    <w:rsid w:val="008A67C5"/>
    <w:rsid w:val="008B02FA"/>
    <w:rsid w:val="008B22E1"/>
    <w:rsid w:val="008B3C78"/>
    <w:rsid w:val="008B4AE9"/>
    <w:rsid w:val="008B5AB6"/>
    <w:rsid w:val="008B5DB4"/>
    <w:rsid w:val="008C0541"/>
    <w:rsid w:val="008C2A11"/>
    <w:rsid w:val="008C30AD"/>
    <w:rsid w:val="008C5A94"/>
    <w:rsid w:val="008D068E"/>
    <w:rsid w:val="008D0F7A"/>
    <w:rsid w:val="008D3AD8"/>
    <w:rsid w:val="008D4F2F"/>
    <w:rsid w:val="008D625D"/>
    <w:rsid w:val="008D63BE"/>
    <w:rsid w:val="008E0361"/>
    <w:rsid w:val="008E039F"/>
    <w:rsid w:val="008E0CFF"/>
    <w:rsid w:val="008E2EB1"/>
    <w:rsid w:val="008E35EE"/>
    <w:rsid w:val="008E5D6B"/>
    <w:rsid w:val="008E689B"/>
    <w:rsid w:val="008E7267"/>
    <w:rsid w:val="008E76F0"/>
    <w:rsid w:val="008E7A48"/>
    <w:rsid w:val="008F08CC"/>
    <w:rsid w:val="008F15FE"/>
    <w:rsid w:val="008F2A94"/>
    <w:rsid w:val="008F5187"/>
    <w:rsid w:val="008F709C"/>
    <w:rsid w:val="00901595"/>
    <w:rsid w:val="0090312B"/>
    <w:rsid w:val="00904961"/>
    <w:rsid w:val="00912B86"/>
    <w:rsid w:val="00912C92"/>
    <w:rsid w:val="00915BE8"/>
    <w:rsid w:val="0091736D"/>
    <w:rsid w:val="00920BF8"/>
    <w:rsid w:val="00931001"/>
    <w:rsid w:val="009315E5"/>
    <w:rsid w:val="00931863"/>
    <w:rsid w:val="009328C2"/>
    <w:rsid w:val="00933524"/>
    <w:rsid w:val="00933E4F"/>
    <w:rsid w:val="00935BEC"/>
    <w:rsid w:val="00940E44"/>
    <w:rsid w:val="0094278D"/>
    <w:rsid w:val="00944F67"/>
    <w:rsid w:val="0095308A"/>
    <w:rsid w:val="0095391A"/>
    <w:rsid w:val="00955AEE"/>
    <w:rsid w:val="00956F14"/>
    <w:rsid w:val="00961F30"/>
    <w:rsid w:val="009620FD"/>
    <w:rsid w:val="0096247A"/>
    <w:rsid w:val="00964E45"/>
    <w:rsid w:val="00965F4B"/>
    <w:rsid w:val="00967632"/>
    <w:rsid w:val="00967F6E"/>
    <w:rsid w:val="00970F8A"/>
    <w:rsid w:val="00971B54"/>
    <w:rsid w:val="00971FB5"/>
    <w:rsid w:val="00972D2A"/>
    <w:rsid w:val="00972FA3"/>
    <w:rsid w:val="009733EA"/>
    <w:rsid w:val="00975CC5"/>
    <w:rsid w:val="00976328"/>
    <w:rsid w:val="00976B4E"/>
    <w:rsid w:val="00980FEC"/>
    <w:rsid w:val="00984458"/>
    <w:rsid w:val="00985283"/>
    <w:rsid w:val="00987322"/>
    <w:rsid w:val="00990812"/>
    <w:rsid w:val="009943AA"/>
    <w:rsid w:val="009A0F3B"/>
    <w:rsid w:val="009A5121"/>
    <w:rsid w:val="009A72C7"/>
    <w:rsid w:val="009A75ED"/>
    <w:rsid w:val="009B0897"/>
    <w:rsid w:val="009B1F33"/>
    <w:rsid w:val="009B398C"/>
    <w:rsid w:val="009B3C3B"/>
    <w:rsid w:val="009B61AA"/>
    <w:rsid w:val="009B7CC5"/>
    <w:rsid w:val="009C07A3"/>
    <w:rsid w:val="009C29D2"/>
    <w:rsid w:val="009C353B"/>
    <w:rsid w:val="009C7CD1"/>
    <w:rsid w:val="009C7EAC"/>
    <w:rsid w:val="009D06FE"/>
    <w:rsid w:val="009D0852"/>
    <w:rsid w:val="009D1FBF"/>
    <w:rsid w:val="009D2401"/>
    <w:rsid w:val="009D2E0C"/>
    <w:rsid w:val="009D59FF"/>
    <w:rsid w:val="009D72E7"/>
    <w:rsid w:val="009D766F"/>
    <w:rsid w:val="009E2CE4"/>
    <w:rsid w:val="009E399C"/>
    <w:rsid w:val="009E43C1"/>
    <w:rsid w:val="009E594C"/>
    <w:rsid w:val="009E7E95"/>
    <w:rsid w:val="009F0330"/>
    <w:rsid w:val="009F116F"/>
    <w:rsid w:val="009F2868"/>
    <w:rsid w:val="009F329E"/>
    <w:rsid w:val="009F4FE2"/>
    <w:rsid w:val="009F5614"/>
    <w:rsid w:val="009F7182"/>
    <w:rsid w:val="009F7ED3"/>
    <w:rsid w:val="00A01AF5"/>
    <w:rsid w:val="00A03607"/>
    <w:rsid w:val="00A03E82"/>
    <w:rsid w:val="00A047FF"/>
    <w:rsid w:val="00A04FEF"/>
    <w:rsid w:val="00A056F7"/>
    <w:rsid w:val="00A06741"/>
    <w:rsid w:val="00A10132"/>
    <w:rsid w:val="00A10F40"/>
    <w:rsid w:val="00A12247"/>
    <w:rsid w:val="00A122CD"/>
    <w:rsid w:val="00A129F4"/>
    <w:rsid w:val="00A12A32"/>
    <w:rsid w:val="00A14248"/>
    <w:rsid w:val="00A14947"/>
    <w:rsid w:val="00A14EC4"/>
    <w:rsid w:val="00A22F8B"/>
    <w:rsid w:val="00A23DC5"/>
    <w:rsid w:val="00A2430C"/>
    <w:rsid w:val="00A27847"/>
    <w:rsid w:val="00A32082"/>
    <w:rsid w:val="00A34028"/>
    <w:rsid w:val="00A35568"/>
    <w:rsid w:val="00A35939"/>
    <w:rsid w:val="00A37056"/>
    <w:rsid w:val="00A407A9"/>
    <w:rsid w:val="00A4358F"/>
    <w:rsid w:val="00A441C1"/>
    <w:rsid w:val="00A44AB7"/>
    <w:rsid w:val="00A456E9"/>
    <w:rsid w:val="00A4651C"/>
    <w:rsid w:val="00A46F67"/>
    <w:rsid w:val="00A50AD4"/>
    <w:rsid w:val="00A520A9"/>
    <w:rsid w:val="00A52B2B"/>
    <w:rsid w:val="00A54AA1"/>
    <w:rsid w:val="00A55F65"/>
    <w:rsid w:val="00A568FF"/>
    <w:rsid w:val="00A6103D"/>
    <w:rsid w:val="00A6122D"/>
    <w:rsid w:val="00A61496"/>
    <w:rsid w:val="00A61833"/>
    <w:rsid w:val="00A6243E"/>
    <w:rsid w:val="00A624C6"/>
    <w:rsid w:val="00A62DEA"/>
    <w:rsid w:val="00A63CEC"/>
    <w:rsid w:val="00A641CD"/>
    <w:rsid w:val="00A7031E"/>
    <w:rsid w:val="00A728B1"/>
    <w:rsid w:val="00A763DE"/>
    <w:rsid w:val="00A776C0"/>
    <w:rsid w:val="00A803D6"/>
    <w:rsid w:val="00A80605"/>
    <w:rsid w:val="00A81282"/>
    <w:rsid w:val="00A8313B"/>
    <w:rsid w:val="00A8527B"/>
    <w:rsid w:val="00A86D07"/>
    <w:rsid w:val="00A8713F"/>
    <w:rsid w:val="00A90757"/>
    <w:rsid w:val="00A90DCA"/>
    <w:rsid w:val="00A91167"/>
    <w:rsid w:val="00A9171C"/>
    <w:rsid w:val="00A92A9C"/>
    <w:rsid w:val="00A92FFD"/>
    <w:rsid w:val="00A933DB"/>
    <w:rsid w:val="00A94591"/>
    <w:rsid w:val="00A95975"/>
    <w:rsid w:val="00A962C9"/>
    <w:rsid w:val="00A9708D"/>
    <w:rsid w:val="00AA2C17"/>
    <w:rsid w:val="00AA4172"/>
    <w:rsid w:val="00AA4692"/>
    <w:rsid w:val="00AA4EAD"/>
    <w:rsid w:val="00AA50E8"/>
    <w:rsid w:val="00AA776A"/>
    <w:rsid w:val="00AA7FAE"/>
    <w:rsid w:val="00AB1914"/>
    <w:rsid w:val="00AB2892"/>
    <w:rsid w:val="00AB5330"/>
    <w:rsid w:val="00AB7571"/>
    <w:rsid w:val="00AB7747"/>
    <w:rsid w:val="00AC215C"/>
    <w:rsid w:val="00AC2532"/>
    <w:rsid w:val="00AC395F"/>
    <w:rsid w:val="00AC39CB"/>
    <w:rsid w:val="00AC6899"/>
    <w:rsid w:val="00AD06E0"/>
    <w:rsid w:val="00AD1507"/>
    <w:rsid w:val="00AD5620"/>
    <w:rsid w:val="00AD5A70"/>
    <w:rsid w:val="00AD738B"/>
    <w:rsid w:val="00AE1647"/>
    <w:rsid w:val="00AE1763"/>
    <w:rsid w:val="00AE1BF4"/>
    <w:rsid w:val="00AE3101"/>
    <w:rsid w:val="00AE325B"/>
    <w:rsid w:val="00AE5D97"/>
    <w:rsid w:val="00AE6041"/>
    <w:rsid w:val="00AE667D"/>
    <w:rsid w:val="00AE6794"/>
    <w:rsid w:val="00AF0EE9"/>
    <w:rsid w:val="00B01110"/>
    <w:rsid w:val="00B02262"/>
    <w:rsid w:val="00B02C2F"/>
    <w:rsid w:val="00B03AD7"/>
    <w:rsid w:val="00B03CEC"/>
    <w:rsid w:val="00B03E03"/>
    <w:rsid w:val="00B03E59"/>
    <w:rsid w:val="00B10A6F"/>
    <w:rsid w:val="00B11D53"/>
    <w:rsid w:val="00B11E3A"/>
    <w:rsid w:val="00B1209F"/>
    <w:rsid w:val="00B12AD0"/>
    <w:rsid w:val="00B12AE6"/>
    <w:rsid w:val="00B13C8C"/>
    <w:rsid w:val="00B1417C"/>
    <w:rsid w:val="00B17D25"/>
    <w:rsid w:val="00B22E41"/>
    <w:rsid w:val="00B24F30"/>
    <w:rsid w:val="00B25C23"/>
    <w:rsid w:val="00B31A38"/>
    <w:rsid w:val="00B31ABF"/>
    <w:rsid w:val="00B31E50"/>
    <w:rsid w:val="00B335AE"/>
    <w:rsid w:val="00B34D4D"/>
    <w:rsid w:val="00B37CE1"/>
    <w:rsid w:val="00B37E33"/>
    <w:rsid w:val="00B40570"/>
    <w:rsid w:val="00B40ACF"/>
    <w:rsid w:val="00B437CC"/>
    <w:rsid w:val="00B43971"/>
    <w:rsid w:val="00B448B2"/>
    <w:rsid w:val="00B46BAA"/>
    <w:rsid w:val="00B47DE1"/>
    <w:rsid w:val="00B50B5F"/>
    <w:rsid w:val="00B54128"/>
    <w:rsid w:val="00B55826"/>
    <w:rsid w:val="00B55938"/>
    <w:rsid w:val="00B56D8A"/>
    <w:rsid w:val="00B60426"/>
    <w:rsid w:val="00B61232"/>
    <w:rsid w:val="00B622DD"/>
    <w:rsid w:val="00B63522"/>
    <w:rsid w:val="00B63887"/>
    <w:rsid w:val="00B67076"/>
    <w:rsid w:val="00B71415"/>
    <w:rsid w:val="00B71AB7"/>
    <w:rsid w:val="00B726D4"/>
    <w:rsid w:val="00B7385B"/>
    <w:rsid w:val="00B742C4"/>
    <w:rsid w:val="00B74F9D"/>
    <w:rsid w:val="00B76F1D"/>
    <w:rsid w:val="00B80C34"/>
    <w:rsid w:val="00B819BB"/>
    <w:rsid w:val="00B82F66"/>
    <w:rsid w:val="00B85045"/>
    <w:rsid w:val="00B92A19"/>
    <w:rsid w:val="00B9544C"/>
    <w:rsid w:val="00BA16A9"/>
    <w:rsid w:val="00BA29E9"/>
    <w:rsid w:val="00BA3CEF"/>
    <w:rsid w:val="00BA5102"/>
    <w:rsid w:val="00BA7B7F"/>
    <w:rsid w:val="00BB05EF"/>
    <w:rsid w:val="00BB2A81"/>
    <w:rsid w:val="00BB3618"/>
    <w:rsid w:val="00BB3F3E"/>
    <w:rsid w:val="00BB56E4"/>
    <w:rsid w:val="00BB6BFB"/>
    <w:rsid w:val="00BB7045"/>
    <w:rsid w:val="00BB749B"/>
    <w:rsid w:val="00BC0C9E"/>
    <w:rsid w:val="00BC2D3B"/>
    <w:rsid w:val="00BC2E8A"/>
    <w:rsid w:val="00BC32DC"/>
    <w:rsid w:val="00BC3D1E"/>
    <w:rsid w:val="00BD1B51"/>
    <w:rsid w:val="00BD47F6"/>
    <w:rsid w:val="00BD6E90"/>
    <w:rsid w:val="00BD6FA1"/>
    <w:rsid w:val="00BD7F67"/>
    <w:rsid w:val="00BE1F78"/>
    <w:rsid w:val="00BE312D"/>
    <w:rsid w:val="00BE3FCA"/>
    <w:rsid w:val="00BE5B2A"/>
    <w:rsid w:val="00BE63AF"/>
    <w:rsid w:val="00BE7ED6"/>
    <w:rsid w:val="00BF0CC9"/>
    <w:rsid w:val="00BF0F97"/>
    <w:rsid w:val="00BF116C"/>
    <w:rsid w:val="00BF2F04"/>
    <w:rsid w:val="00BF3039"/>
    <w:rsid w:val="00BF51A7"/>
    <w:rsid w:val="00BF540C"/>
    <w:rsid w:val="00BF572A"/>
    <w:rsid w:val="00C05719"/>
    <w:rsid w:val="00C07A22"/>
    <w:rsid w:val="00C10578"/>
    <w:rsid w:val="00C17D62"/>
    <w:rsid w:val="00C21FDC"/>
    <w:rsid w:val="00C24EE7"/>
    <w:rsid w:val="00C2596A"/>
    <w:rsid w:val="00C26554"/>
    <w:rsid w:val="00C271BE"/>
    <w:rsid w:val="00C27425"/>
    <w:rsid w:val="00C328FE"/>
    <w:rsid w:val="00C33607"/>
    <w:rsid w:val="00C33A05"/>
    <w:rsid w:val="00C34234"/>
    <w:rsid w:val="00C351EC"/>
    <w:rsid w:val="00C42500"/>
    <w:rsid w:val="00C42FDC"/>
    <w:rsid w:val="00C4409D"/>
    <w:rsid w:val="00C455BE"/>
    <w:rsid w:val="00C45BB2"/>
    <w:rsid w:val="00C460A3"/>
    <w:rsid w:val="00C51E5F"/>
    <w:rsid w:val="00C605B0"/>
    <w:rsid w:val="00C61E4B"/>
    <w:rsid w:val="00C62E3A"/>
    <w:rsid w:val="00C64503"/>
    <w:rsid w:val="00C64A1F"/>
    <w:rsid w:val="00C64BFF"/>
    <w:rsid w:val="00C66761"/>
    <w:rsid w:val="00C66FF3"/>
    <w:rsid w:val="00C677E0"/>
    <w:rsid w:val="00C7523E"/>
    <w:rsid w:val="00C763C9"/>
    <w:rsid w:val="00C77685"/>
    <w:rsid w:val="00C7777D"/>
    <w:rsid w:val="00C80057"/>
    <w:rsid w:val="00C807AC"/>
    <w:rsid w:val="00C82C79"/>
    <w:rsid w:val="00C84753"/>
    <w:rsid w:val="00C85B89"/>
    <w:rsid w:val="00C914B7"/>
    <w:rsid w:val="00C91611"/>
    <w:rsid w:val="00C91C34"/>
    <w:rsid w:val="00C934DF"/>
    <w:rsid w:val="00C937CB"/>
    <w:rsid w:val="00C94090"/>
    <w:rsid w:val="00CA067A"/>
    <w:rsid w:val="00CA2050"/>
    <w:rsid w:val="00CA3585"/>
    <w:rsid w:val="00CA3D5A"/>
    <w:rsid w:val="00CA475E"/>
    <w:rsid w:val="00CA4C7C"/>
    <w:rsid w:val="00CB0183"/>
    <w:rsid w:val="00CB02D7"/>
    <w:rsid w:val="00CB1EA3"/>
    <w:rsid w:val="00CB552C"/>
    <w:rsid w:val="00CB5E28"/>
    <w:rsid w:val="00CB6A9E"/>
    <w:rsid w:val="00CC11BC"/>
    <w:rsid w:val="00CC3B9E"/>
    <w:rsid w:val="00CC3E1A"/>
    <w:rsid w:val="00CC434C"/>
    <w:rsid w:val="00CC4CD6"/>
    <w:rsid w:val="00CC6181"/>
    <w:rsid w:val="00CD2BCD"/>
    <w:rsid w:val="00CD2EFE"/>
    <w:rsid w:val="00CD36AA"/>
    <w:rsid w:val="00CD3791"/>
    <w:rsid w:val="00CD37A8"/>
    <w:rsid w:val="00CD41D9"/>
    <w:rsid w:val="00CD6420"/>
    <w:rsid w:val="00CD65B0"/>
    <w:rsid w:val="00CE02CD"/>
    <w:rsid w:val="00CE10E9"/>
    <w:rsid w:val="00CE34A3"/>
    <w:rsid w:val="00CE406C"/>
    <w:rsid w:val="00CF18F8"/>
    <w:rsid w:val="00CF2044"/>
    <w:rsid w:val="00CF234B"/>
    <w:rsid w:val="00CF61F2"/>
    <w:rsid w:val="00CF7A34"/>
    <w:rsid w:val="00D0072E"/>
    <w:rsid w:val="00D00D74"/>
    <w:rsid w:val="00D036A5"/>
    <w:rsid w:val="00D07187"/>
    <w:rsid w:val="00D10090"/>
    <w:rsid w:val="00D103CF"/>
    <w:rsid w:val="00D11FD4"/>
    <w:rsid w:val="00D1219F"/>
    <w:rsid w:val="00D128EC"/>
    <w:rsid w:val="00D12EFB"/>
    <w:rsid w:val="00D15727"/>
    <w:rsid w:val="00D16332"/>
    <w:rsid w:val="00D243A8"/>
    <w:rsid w:val="00D24972"/>
    <w:rsid w:val="00D2515E"/>
    <w:rsid w:val="00D26D9B"/>
    <w:rsid w:val="00D27879"/>
    <w:rsid w:val="00D308ED"/>
    <w:rsid w:val="00D32310"/>
    <w:rsid w:val="00D3561B"/>
    <w:rsid w:val="00D35BDC"/>
    <w:rsid w:val="00D368F8"/>
    <w:rsid w:val="00D52ADF"/>
    <w:rsid w:val="00D56178"/>
    <w:rsid w:val="00D5651A"/>
    <w:rsid w:val="00D56CF0"/>
    <w:rsid w:val="00D56F5C"/>
    <w:rsid w:val="00D60F9E"/>
    <w:rsid w:val="00D614CB"/>
    <w:rsid w:val="00D64B83"/>
    <w:rsid w:val="00D661B9"/>
    <w:rsid w:val="00D67D60"/>
    <w:rsid w:val="00D67F7A"/>
    <w:rsid w:val="00D67F7D"/>
    <w:rsid w:val="00D704B1"/>
    <w:rsid w:val="00D709FA"/>
    <w:rsid w:val="00D70B63"/>
    <w:rsid w:val="00D71AEC"/>
    <w:rsid w:val="00D71DC2"/>
    <w:rsid w:val="00D72B92"/>
    <w:rsid w:val="00D72ED4"/>
    <w:rsid w:val="00D73F61"/>
    <w:rsid w:val="00D754C0"/>
    <w:rsid w:val="00D772C7"/>
    <w:rsid w:val="00D776A2"/>
    <w:rsid w:val="00D801C4"/>
    <w:rsid w:val="00D842EB"/>
    <w:rsid w:val="00D84AC6"/>
    <w:rsid w:val="00D85978"/>
    <w:rsid w:val="00D85E35"/>
    <w:rsid w:val="00D86DAF"/>
    <w:rsid w:val="00D90836"/>
    <w:rsid w:val="00D95896"/>
    <w:rsid w:val="00D95CC6"/>
    <w:rsid w:val="00D9692D"/>
    <w:rsid w:val="00DA2DA3"/>
    <w:rsid w:val="00DA376A"/>
    <w:rsid w:val="00DA5B5F"/>
    <w:rsid w:val="00DA5EB6"/>
    <w:rsid w:val="00DA6615"/>
    <w:rsid w:val="00DA6C65"/>
    <w:rsid w:val="00DA76AE"/>
    <w:rsid w:val="00DB181E"/>
    <w:rsid w:val="00DB1C7A"/>
    <w:rsid w:val="00DB2983"/>
    <w:rsid w:val="00DB343D"/>
    <w:rsid w:val="00DB3815"/>
    <w:rsid w:val="00DB41C2"/>
    <w:rsid w:val="00DB5579"/>
    <w:rsid w:val="00DB5CFE"/>
    <w:rsid w:val="00DB6EB9"/>
    <w:rsid w:val="00DC2F7F"/>
    <w:rsid w:val="00DC635A"/>
    <w:rsid w:val="00DC72A6"/>
    <w:rsid w:val="00DC72F6"/>
    <w:rsid w:val="00DD0E7B"/>
    <w:rsid w:val="00DD2113"/>
    <w:rsid w:val="00DD265E"/>
    <w:rsid w:val="00DE004C"/>
    <w:rsid w:val="00DE004E"/>
    <w:rsid w:val="00DE089C"/>
    <w:rsid w:val="00DE1641"/>
    <w:rsid w:val="00DE2F19"/>
    <w:rsid w:val="00DE3B5F"/>
    <w:rsid w:val="00DE64E4"/>
    <w:rsid w:val="00DE7A99"/>
    <w:rsid w:val="00DF168C"/>
    <w:rsid w:val="00DF1930"/>
    <w:rsid w:val="00DF514A"/>
    <w:rsid w:val="00DF5B0A"/>
    <w:rsid w:val="00DF7231"/>
    <w:rsid w:val="00E02D7A"/>
    <w:rsid w:val="00E0358D"/>
    <w:rsid w:val="00E06327"/>
    <w:rsid w:val="00E06A34"/>
    <w:rsid w:val="00E07D9C"/>
    <w:rsid w:val="00E10396"/>
    <w:rsid w:val="00E10CCD"/>
    <w:rsid w:val="00E1131B"/>
    <w:rsid w:val="00E14383"/>
    <w:rsid w:val="00E2064B"/>
    <w:rsid w:val="00E22C16"/>
    <w:rsid w:val="00E25239"/>
    <w:rsid w:val="00E265B1"/>
    <w:rsid w:val="00E275B0"/>
    <w:rsid w:val="00E324C2"/>
    <w:rsid w:val="00E333D2"/>
    <w:rsid w:val="00E37536"/>
    <w:rsid w:val="00E4018D"/>
    <w:rsid w:val="00E412D0"/>
    <w:rsid w:val="00E47CDB"/>
    <w:rsid w:val="00E50192"/>
    <w:rsid w:val="00E510D3"/>
    <w:rsid w:val="00E55389"/>
    <w:rsid w:val="00E566BC"/>
    <w:rsid w:val="00E60982"/>
    <w:rsid w:val="00E60B0D"/>
    <w:rsid w:val="00E60C8D"/>
    <w:rsid w:val="00E6143E"/>
    <w:rsid w:val="00E6162F"/>
    <w:rsid w:val="00E6311B"/>
    <w:rsid w:val="00E65B4C"/>
    <w:rsid w:val="00E65D97"/>
    <w:rsid w:val="00E67EFD"/>
    <w:rsid w:val="00E700F2"/>
    <w:rsid w:val="00E702DC"/>
    <w:rsid w:val="00E71FFB"/>
    <w:rsid w:val="00E73C42"/>
    <w:rsid w:val="00E76D1D"/>
    <w:rsid w:val="00E77D11"/>
    <w:rsid w:val="00E802B0"/>
    <w:rsid w:val="00E806F8"/>
    <w:rsid w:val="00E8170D"/>
    <w:rsid w:val="00E824BE"/>
    <w:rsid w:val="00E84CA4"/>
    <w:rsid w:val="00E856B2"/>
    <w:rsid w:val="00E87752"/>
    <w:rsid w:val="00E8793B"/>
    <w:rsid w:val="00E87B9D"/>
    <w:rsid w:val="00E90F81"/>
    <w:rsid w:val="00E91A6D"/>
    <w:rsid w:val="00E9242D"/>
    <w:rsid w:val="00E94CE9"/>
    <w:rsid w:val="00E94E0C"/>
    <w:rsid w:val="00E95520"/>
    <w:rsid w:val="00EA4A8B"/>
    <w:rsid w:val="00EA5C29"/>
    <w:rsid w:val="00EA5C93"/>
    <w:rsid w:val="00EA604A"/>
    <w:rsid w:val="00EA7CCA"/>
    <w:rsid w:val="00EB041C"/>
    <w:rsid w:val="00EB33A2"/>
    <w:rsid w:val="00EB4C7A"/>
    <w:rsid w:val="00EC217E"/>
    <w:rsid w:val="00EC3D99"/>
    <w:rsid w:val="00EC5175"/>
    <w:rsid w:val="00EC5874"/>
    <w:rsid w:val="00EC65DB"/>
    <w:rsid w:val="00EC6E02"/>
    <w:rsid w:val="00ED0B2B"/>
    <w:rsid w:val="00ED192D"/>
    <w:rsid w:val="00ED2A57"/>
    <w:rsid w:val="00ED30B4"/>
    <w:rsid w:val="00ED318E"/>
    <w:rsid w:val="00ED31F5"/>
    <w:rsid w:val="00ED3D8B"/>
    <w:rsid w:val="00ED4950"/>
    <w:rsid w:val="00ED7ACB"/>
    <w:rsid w:val="00EE2531"/>
    <w:rsid w:val="00EE40B8"/>
    <w:rsid w:val="00EE42C7"/>
    <w:rsid w:val="00EE52CA"/>
    <w:rsid w:val="00EE5520"/>
    <w:rsid w:val="00EF2759"/>
    <w:rsid w:val="00EF3E5A"/>
    <w:rsid w:val="00EF45EB"/>
    <w:rsid w:val="00EF5099"/>
    <w:rsid w:val="00EF532C"/>
    <w:rsid w:val="00EF5E33"/>
    <w:rsid w:val="00F00075"/>
    <w:rsid w:val="00F06C15"/>
    <w:rsid w:val="00F07822"/>
    <w:rsid w:val="00F105B9"/>
    <w:rsid w:val="00F133BD"/>
    <w:rsid w:val="00F14968"/>
    <w:rsid w:val="00F15C95"/>
    <w:rsid w:val="00F20441"/>
    <w:rsid w:val="00F22273"/>
    <w:rsid w:val="00F22985"/>
    <w:rsid w:val="00F241AB"/>
    <w:rsid w:val="00F30D76"/>
    <w:rsid w:val="00F31382"/>
    <w:rsid w:val="00F35829"/>
    <w:rsid w:val="00F42868"/>
    <w:rsid w:val="00F465A7"/>
    <w:rsid w:val="00F504D2"/>
    <w:rsid w:val="00F50B7C"/>
    <w:rsid w:val="00F51E28"/>
    <w:rsid w:val="00F5202D"/>
    <w:rsid w:val="00F52CF6"/>
    <w:rsid w:val="00F54496"/>
    <w:rsid w:val="00F6059D"/>
    <w:rsid w:val="00F61097"/>
    <w:rsid w:val="00F65D5F"/>
    <w:rsid w:val="00F67C45"/>
    <w:rsid w:val="00F722FB"/>
    <w:rsid w:val="00F74345"/>
    <w:rsid w:val="00F74441"/>
    <w:rsid w:val="00F744B3"/>
    <w:rsid w:val="00F7451F"/>
    <w:rsid w:val="00F74B0F"/>
    <w:rsid w:val="00F75430"/>
    <w:rsid w:val="00F77E55"/>
    <w:rsid w:val="00F77F30"/>
    <w:rsid w:val="00F81480"/>
    <w:rsid w:val="00F82589"/>
    <w:rsid w:val="00F82B19"/>
    <w:rsid w:val="00F90AA7"/>
    <w:rsid w:val="00F917A1"/>
    <w:rsid w:val="00F9212D"/>
    <w:rsid w:val="00F924DC"/>
    <w:rsid w:val="00F936F5"/>
    <w:rsid w:val="00F944E0"/>
    <w:rsid w:val="00FA275B"/>
    <w:rsid w:val="00FA301A"/>
    <w:rsid w:val="00FA406A"/>
    <w:rsid w:val="00FA473C"/>
    <w:rsid w:val="00FA593E"/>
    <w:rsid w:val="00FA5CB6"/>
    <w:rsid w:val="00FB14EC"/>
    <w:rsid w:val="00FB2074"/>
    <w:rsid w:val="00FB251C"/>
    <w:rsid w:val="00FB7F3C"/>
    <w:rsid w:val="00FC1BC0"/>
    <w:rsid w:val="00FC21D9"/>
    <w:rsid w:val="00FC66AC"/>
    <w:rsid w:val="00FD18F4"/>
    <w:rsid w:val="00FD2FE6"/>
    <w:rsid w:val="00FD3EE2"/>
    <w:rsid w:val="00FD74B4"/>
    <w:rsid w:val="00FE21A7"/>
    <w:rsid w:val="00FE4785"/>
    <w:rsid w:val="00FE7FD1"/>
    <w:rsid w:val="00FF228E"/>
    <w:rsid w:val="00FF65CD"/>
    <w:rsid w:val="00FF6AB1"/>
    <w:rsid w:val="00FF6FCE"/>
    <w:rsid w:val="00FF7518"/>
    <w:rsid w:val="00FF7FD8"/>
    <w:rsid w:val="01577B87"/>
    <w:rsid w:val="0170525C"/>
    <w:rsid w:val="01DC6F3A"/>
    <w:rsid w:val="020C4B3B"/>
    <w:rsid w:val="0214302F"/>
    <w:rsid w:val="021440A4"/>
    <w:rsid w:val="03F248A9"/>
    <w:rsid w:val="0458135D"/>
    <w:rsid w:val="04CB7FB7"/>
    <w:rsid w:val="05452DFC"/>
    <w:rsid w:val="05742AC8"/>
    <w:rsid w:val="05763297"/>
    <w:rsid w:val="05863EE7"/>
    <w:rsid w:val="05CD4EA0"/>
    <w:rsid w:val="05CF5FA2"/>
    <w:rsid w:val="06352F05"/>
    <w:rsid w:val="063E7D85"/>
    <w:rsid w:val="06B83774"/>
    <w:rsid w:val="070875E0"/>
    <w:rsid w:val="072403EC"/>
    <w:rsid w:val="07293586"/>
    <w:rsid w:val="07295285"/>
    <w:rsid w:val="074E3E00"/>
    <w:rsid w:val="07770C56"/>
    <w:rsid w:val="07F33F03"/>
    <w:rsid w:val="08341E78"/>
    <w:rsid w:val="08C61754"/>
    <w:rsid w:val="08C81E3A"/>
    <w:rsid w:val="092217DD"/>
    <w:rsid w:val="093A7294"/>
    <w:rsid w:val="09590B5D"/>
    <w:rsid w:val="09934DB0"/>
    <w:rsid w:val="09D063F9"/>
    <w:rsid w:val="0A5C08C2"/>
    <w:rsid w:val="0A6A360A"/>
    <w:rsid w:val="0ADA5575"/>
    <w:rsid w:val="0B767BA0"/>
    <w:rsid w:val="0B7827DF"/>
    <w:rsid w:val="0BD27BF6"/>
    <w:rsid w:val="0C3703FE"/>
    <w:rsid w:val="0C720778"/>
    <w:rsid w:val="0DA6728B"/>
    <w:rsid w:val="0DF03ABC"/>
    <w:rsid w:val="0E05424B"/>
    <w:rsid w:val="0E0B2751"/>
    <w:rsid w:val="0E110D06"/>
    <w:rsid w:val="0E2F54FD"/>
    <w:rsid w:val="0E3A65AE"/>
    <w:rsid w:val="0E4822B4"/>
    <w:rsid w:val="0EDB722B"/>
    <w:rsid w:val="0EFD37D6"/>
    <w:rsid w:val="0F13775A"/>
    <w:rsid w:val="0F26343A"/>
    <w:rsid w:val="0F9A112B"/>
    <w:rsid w:val="0FB73AE0"/>
    <w:rsid w:val="102F34BF"/>
    <w:rsid w:val="106D2F64"/>
    <w:rsid w:val="10B63710"/>
    <w:rsid w:val="10CC7FC6"/>
    <w:rsid w:val="10CF3D3B"/>
    <w:rsid w:val="111C2F7A"/>
    <w:rsid w:val="113013DE"/>
    <w:rsid w:val="12006059"/>
    <w:rsid w:val="120A764C"/>
    <w:rsid w:val="122B06C2"/>
    <w:rsid w:val="12BE4B95"/>
    <w:rsid w:val="13594AF0"/>
    <w:rsid w:val="13951726"/>
    <w:rsid w:val="14021808"/>
    <w:rsid w:val="14396509"/>
    <w:rsid w:val="1447165C"/>
    <w:rsid w:val="15417343"/>
    <w:rsid w:val="15A554A7"/>
    <w:rsid w:val="15D36B59"/>
    <w:rsid w:val="15D47FF3"/>
    <w:rsid w:val="15DD2016"/>
    <w:rsid w:val="15F53C70"/>
    <w:rsid w:val="15F96981"/>
    <w:rsid w:val="16BC6B4A"/>
    <w:rsid w:val="16CA4EFD"/>
    <w:rsid w:val="17075B7B"/>
    <w:rsid w:val="17172B57"/>
    <w:rsid w:val="171D0565"/>
    <w:rsid w:val="172023F4"/>
    <w:rsid w:val="17735226"/>
    <w:rsid w:val="177C6A85"/>
    <w:rsid w:val="182B04E1"/>
    <w:rsid w:val="18663532"/>
    <w:rsid w:val="187257FB"/>
    <w:rsid w:val="18FD711F"/>
    <w:rsid w:val="194D1626"/>
    <w:rsid w:val="197355A4"/>
    <w:rsid w:val="19E67858"/>
    <w:rsid w:val="19F43859"/>
    <w:rsid w:val="1A1C66C0"/>
    <w:rsid w:val="1A1F14F7"/>
    <w:rsid w:val="1A42393B"/>
    <w:rsid w:val="1B046F80"/>
    <w:rsid w:val="1B1A1457"/>
    <w:rsid w:val="1B3267B5"/>
    <w:rsid w:val="1B7F71D4"/>
    <w:rsid w:val="1B922BFA"/>
    <w:rsid w:val="1BC25DC8"/>
    <w:rsid w:val="1BCB2980"/>
    <w:rsid w:val="1BEE259A"/>
    <w:rsid w:val="1C5E7925"/>
    <w:rsid w:val="1C7D5A8A"/>
    <w:rsid w:val="1C887FC8"/>
    <w:rsid w:val="1D5F6196"/>
    <w:rsid w:val="1D6132A5"/>
    <w:rsid w:val="1D8E56D5"/>
    <w:rsid w:val="1E7A43DA"/>
    <w:rsid w:val="1E921B03"/>
    <w:rsid w:val="1EA829C3"/>
    <w:rsid w:val="1EB277FE"/>
    <w:rsid w:val="1F423B9A"/>
    <w:rsid w:val="1FAB7D03"/>
    <w:rsid w:val="1FE7539E"/>
    <w:rsid w:val="20963CB8"/>
    <w:rsid w:val="20B07FB6"/>
    <w:rsid w:val="213B74B1"/>
    <w:rsid w:val="215A2310"/>
    <w:rsid w:val="21DE318A"/>
    <w:rsid w:val="21E223CA"/>
    <w:rsid w:val="21EF5B80"/>
    <w:rsid w:val="22576990"/>
    <w:rsid w:val="22680B04"/>
    <w:rsid w:val="229C4EAB"/>
    <w:rsid w:val="234D2CBD"/>
    <w:rsid w:val="23C6578D"/>
    <w:rsid w:val="240D0D30"/>
    <w:rsid w:val="24AB2C7C"/>
    <w:rsid w:val="24D126D2"/>
    <w:rsid w:val="252D53FE"/>
    <w:rsid w:val="25416FAA"/>
    <w:rsid w:val="25A35452"/>
    <w:rsid w:val="25EC2D81"/>
    <w:rsid w:val="25F50CB6"/>
    <w:rsid w:val="264528BD"/>
    <w:rsid w:val="26C62652"/>
    <w:rsid w:val="26DB0C4F"/>
    <w:rsid w:val="270A4FDD"/>
    <w:rsid w:val="27CA5E9E"/>
    <w:rsid w:val="27D15DD1"/>
    <w:rsid w:val="28A76295"/>
    <w:rsid w:val="28A85165"/>
    <w:rsid w:val="29153E8A"/>
    <w:rsid w:val="29206EB8"/>
    <w:rsid w:val="29376FF2"/>
    <w:rsid w:val="293D417C"/>
    <w:rsid w:val="29444BD3"/>
    <w:rsid w:val="29E325E0"/>
    <w:rsid w:val="2A377810"/>
    <w:rsid w:val="2A452503"/>
    <w:rsid w:val="2A846959"/>
    <w:rsid w:val="2ABC1379"/>
    <w:rsid w:val="2BA936A8"/>
    <w:rsid w:val="2BAF7B59"/>
    <w:rsid w:val="2C315A5A"/>
    <w:rsid w:val="2CCE21BC"/>
    <w:rsid w:val="2D0B3DCF"/>
    <w:rsid w:val="2D9E56F5"/>
    <w:rsid w:val="2DC3366E"/>
    <w:rsid w:val="2DD30DE8"/>
    <w:rsid w:val="2DD4780A"/>
    <w:rsid w:val="2E667F96"/>
    <w:rsid w:val="2E8226AB"/>
    <w:rsid w:val="2ECA3572"/>
    <w:rsid w:val="2EF71E90"/>
    <w:rsid w:val="2EFD7542"/>
    <w:rsid w:val="2F234AE5"/>
    <w:rsid w:val="2F832C79"/>
    <w:rsid w:val="2FAC587E"/>
    <w:rsid w:val="2FEF2D58"/>
    <w:rsid w:val="30580BC9"/>
    <w:rsid w:val="311E2ED7"/>
    <w:rsid w:val="315C449C"/>
    <w:rsid w:val="31B82709"/>
    <w:rsid w:val="31CA1FD1"/>
    <w:rsid w:val="31D32E02"/>
    <w:rsid w:val="32400B34"/>
    <w:rsid w:val="326014D8"/>
    <w:rsid w:val="329C4E3E"/>
    <w:rsid w:val="329E6876"/>
    <w:rsid w:val="32CD4644"/>
    <w:rsid w:val="32F244F5"/>
    <w:rsid w:val="335F713B"/>
    <w:rsid w:val="33AC2A52"/>
    <w:rsid w:val="33D934D4"/>
    <w:rsid w:val="33FE2F6A"/>
    <w:rsid w:val="35621980"/>
    <w:rsid w:val="35754554"/>
    <w:rsid w:val="3579773D"/>
    <w:rsid w:val="35EE274A"/>
    <w:rsid w:val="36074A7F"/>
    <w:rsid w:val="363F16CB"/>
    <w:rsid w:val="365371DC"/>
    <w:rsid w:val="36853330"/>
    <w:rsid w:val="36923549"/>
    <w:rsid w:val="36B07B82"/>
    <w:rsid w:val="36B75FBF"/>
    <w:rsid w:val="36FB4891"/>
    <w:rsid w:val="37F963E3"/>
    <w:rsid w:val="38577F93"/>
    <w:rsid w:val="38A32329"/>
    <w:rsid w:val="38DC4DE4"/>
    <w:rsid w:val="38F12CD3"/>
    <w:rsid w:val="38F94775"/>
    <w:rsid w:val="392971ED"/>
    <w:rsid w:val="394E50DF"/>
    <w:rsid w:val="39D97884"/>
    <w:rsid w:val="39F7761C"/>
    <w:rsid w:val="3AC550FF"/>
    <w:rsid w:val="3B170BF4"/>
    <w:rsid w:val="3B3763D1"/>
    <w:rsid w:val="3BBC428E"/>
    <w:rsid w:val="3CDA245A"/>
    <w:rsid w:val="3CEE0A37"/>
    <w:rsid w:val="3D340D13"/>
    <w:rsid w:val="3DC049D3"/>
    <w:rsid w:val="3EC40A14"/>
    <w:rsid w:val="3F660E74"/>
    <w:rsid w:val="3F7D43BB"/>
    <w:rsid w:val="3FDA34DD"/>
    <w:rsid w:val="407A6407"/>
    <w:rsid w:val="409804ED"/>
    <w:rsid w:val="412D581E"/>
    <w:rsid w:val="41560390"/>
    <w:rsid w:val="41C04416"/>
    <w:rsid w:val="41DB5741"/>
    <w:rsid w:val="41E37B0C"/>
    <w:rsid w:val="423A3BCC"/>
    <w:rsid w:val="42901845"/>
    <w:rsid w:val="42A258CA"/>
    <w:rsid w:val="433A6FE6"/>
    <w:rsid w:val="434F6F53"/>
    <w:rsid w:val="4350713C"/>
    <w:rsid w:val="436653E0"/>
    <w:rsid w:val="43897E8C"/>
    <w:rsid w:val="443A453E"/>
    <w:rsid w:val="449C0BFE"/>
    <w:rsid w:val="44CD14E0"/>
    <w:rsid w:val="44CD1DEC"/>
    <w:rsid w:val="456652D4"/>
    <w:rsid w:val="4569581E"/>
    <w:rsid w:val="458946E9"/>
    <w:rsid w:val="46D955A7"/>
    <w:rsid w:val="47133957"/>
    <w:rsid w:val="473213D6"/>
    <w:rsid w:val="4779329E"/>
    <w:rsid w:val="479569BC"/>
    <w:rsid w:val="479832B5"/>
    <w:rsid w:val="47A07E0C"/>
    <w:rsid w:val="47B75F51"/>
    <w:rsid w:val="47F90E79"/>
    <w:rsid w:val="4844182E"/>
    <w:rsid w:val="4870272E"/>
    <w:rsid w:val="48B03B41"/>
    <w:rsid w:val="48B45213"/>
    <w:rsid w:val="493712C9"/>
    <w:rsid w:val="499F7A2F"/>
    <w:rsid w:val="49DC7715"/>
    <w:rsid w:val="4A023139"/>
    <w:rsid w:val="4A431740"/>
    <w:rsid w:val="4A5060FA"/>
    <w:rsid w:val="4A5F1C07"/>
    <w:rsid w:val="4A7B576F"/>
    <w:rsid w:val="4BA30F2C"/>
    <w:rsid w:val="4BA851FA"/>
    <w:rsid w:val="4C1710D6"/>
    <w:rsid w:val="4C4A0649"/>
    <w:rsid w:val="4CD15511"/>
    <w:rsid w:val="4CE470D3"/>
    <w:rsid w:val="4DEC4FB0"/>
    <w:rsid w:val="4E075D8A"/>
    <w:rsid w:val="4E3430C1"/>
    <w:rsid w:val="4E3B3B16"/>
    <w:rsid w:val="4EA82290"/>
    <w:rsid w:val="4F753DB9"/>
    <w:rsid w:val="4FC62A8C"/>
    <w:rsid w:val="4FE20F0D"/>
    <w:rsid w:val="50101B5D"/>
    <w:rsid w:val="5031093B"/>
    <w:rsid w:val="504C3032"/>
    <w:rsid w:val="50504C4B"/>
    <w:rsid w:val="508A3E96"/>
    <w:rsid w:val="509C6E7C"/>
    <w:rsid w:val="50EB1B76"/>
    <w:rsid w:val="510D7AE9"/>
    <w:rsid w:val="511D3E6C"/>
    <w:rsid w:val="5138463D"/>
    <w:rsid w:val="5156127D"/>
    <w:rsid w:val="5162104E"/>
    <w:rsid w:val="51740593"/>
    <w:rsid w:val="52183D3E"/>
    <w:rsid w:val="525459CB"/>
    <w:rsid w:val="526F7AC8"/>
    <w:rsid w:val="52E93185"/>
    <w:rsid w:val="53A039CC"/>
    <w:rsid w:val="53A1505A"/>
    <w:rsid w:val="54063E08"/>
    <w:rsid w:val="543437E8"/>
    <w:rsid w:val="54A21453"/>
    <w:rsid w:val="54FE29D2"/>
    <w:rsid w:val="553041D0"/>
    <w:rsid w:val="559B174B"/>
    <w:rsid w:val="55CE0CF4"/>
    <w:rsid w:val="56B22A9C"/>
    <w:rsid w:val="56B31DD0"/>
    <w:rsid w:val="56FA7D4D"/>
    <w:rsid w:val="57976E8C"/>
    <w:rsid w:val="57B72A76"/>
    <w:rsid w:val="57D50354"/>
    <w:rsid w:val="57DC2E04"/>
    <w:rsid w:val="584667E1"/>
    <w:rsid w:val="595250FE"/>
    <w:rsid w:val="59BE3FA7"/>
    <w:rsid w:val="59D15ED4"/>
    <w:rsid w:val="5A3C747D"/>
    <w:rsid w:val="5A762D88"/>
    <w:rsid w:val="5ABE2233"/>
    <w:rsid w:val="5AC116C5"/>
    <w:rsid w:val="5B1F5766"/>
    <w:rsid w:val="5B276D18"/>
    <w:rsid w:val="5B990DA7"/>
    <w:rsid w:val="5BDF5D95"/>
    <w:rsid w:val="5C0A2FB7"/>
    <w:rsid w:val="5C44620A"/>
    <w:rsid w:val="5C4C30D9"/>
    <w:rsid w:val="5D134A58"/>
    <w:rsid w:val="5D65456C"/>
    <w:rsid w:val="5D6C76CB"/>
    <w:rsid w:val="5D9C38EB"/>
    <w:rsid w:val="5DF87A0F"/>
    <w:rsid w:val="5E0C4B77"/>
    <w:rsid w:val="5E962BDC"/>
    <w:rsid w:val="5EBE69A7"/>
    <w:rsid w:val="5F1A2B43"/>
    <w:rsid w:val="5F5C2F3B"/>
    <w:rsid w:val="5F9A2CC8"/>
    <w:rsid w:val="5FB837BB"/>
    <w:rsid w:val="5FBE533C"/>
    <w:rsid w:val="60186D3C"/>
    <w:rsid w:val="6029703A"/>
    <w:rsid w:val="60634EA3"/>
    <w:rsid w:val="613E517C"/>
    <w:rsid w:val="61B86958"/>
    <w:rsid w:val="61ED04B8"/>
    <w:rsid w:val="62160761"/>
    <w:rsid w:val="62364782"/>
    <w:rsid w:val="623716E9"/>
    <w:rsid w:val="626F1BA8"/>
    <w:rsid w:val="62FA4FB1"/>
    <w:rsid w:val="63093D4D"/>
    <w:rsid w:val="631858CA"/>
    <w:rsid w:val="63D40BE9"/>
    <w:rsid w:val="63E0211F"/>
    <w:rsid w:val="63E37F00"/>
    <w:rsid w:val="63F919AB"/>
    <w:rsid w:val="64E7059A"/>
    <w:rsid w:val="650855F5"/>
    <w:rsid w:val="65373578"/>
    <w:rsid w:val="65852DAA"/>
    <w:rsid w:val="65953A54"/>
    <w:rsid w:val="659F1450"/>
    <w:rsid w:val="65AF3EB4"/>
    <w:rsid w:val="6652331C"/>
    <w:rsid w:val="66712C11"/>
    <w:rsid w:val="66B32C4D"/>
    <w:rsid w:val="66DB44CF"/>
    <w:rsid w:val="66FA2330"/>
    <w:rsid w:val="6732370A"/>
    <w:rsid w:val="673F2C7A"/>
    <w:rsid w:val="677A5FF1"/>
    <w:rsid w:val="67AE3532"/>
    <w:rsid w:val="67E507B8"/>
    <w:rsid w:val="681F6961"/>
    <w:rsid w:val="68610A2F"/>
    <w:rsid w:val="68805514"/>
    <w:rsid w:val="6897633B"/>
    <w:rsid w:val="694E2071"/>
    <w:rsid w:val="697A3B33"/>
    <w:rsid w:val="699E2456"/>
    <w:rsid w:val="69C66042"/>
    <w:rsid w:val="69FA63E6"/>
    <w:rsid w:val="6A226A83"/>
    <w:rsid w:val="6A227655"/>
    <w:rsid w:val="6A2E1617"/>
    <w:rsid w:val="6B322639"/>
    <w:rsid w:val="6BC10FDC"/>
    <w:rsid w:val="6BC44BD6"/>
    <w:rsid w:val="6BFB196D"/>
    <w:rsid w:val="6C2A4B84"/>
    <w:rsid w:val="6C636C38"/>
    <w:rsid w:val="6C847828"/>
    <w:rsid w:val="6CC16CF3"/>
    <w:rsid w:val="6CF4696F"/>
    <w:rsid w:val="6DB34098"/>
    <w:rsid w:val="6DB545B6"/>
    <w:rsid w:val="6E4375A0"/>
    <w:rsid w:val="6E514CED"/>
    <w:rsid w:val="6E643688"/>
    <w:rsid w:val="6E79491A"/>
    <w:rsid w:val="6EB563D5"/>
    <w:rsid w:val="6EDD3662"/>
    <w:rsid w:val="6F225983"/>
    <w:rsid w:val="6F47485A"/>
    <w:rsid w:val="6F6C2DFF"/>
    <w:rsid w:val="6F774B3A"/>
    <w:rsid w:val="6FFC5590"/>
    <w:rsid w:val="701516CE"/>
    <w:rsid w:val="70301DA3"/>
    <w:rsid w:val="706D1DD0"/>
    <w:rsid w:val="70856B87"/>
    <w:rsid w:val="70D527EE"/>
    <w:rsid w:val="715B5300"/>
    <w:rsid w:val="715F4BD7"/>
    <w:rsid w:val="716B1A1F"/>
    <w:rsid w:val="71D27F8A"/>
    <w:rsid w:val="71F744C6"/>
    <w:rsid w:val="71F960CF"/>
    <w:rsid w:val="722448CD"/>
    <w:rsid w:val="726B29AB"/>
    <w:rsid w:val="73093A6A"/>
    <w:rsid w:val="731F5D5E"/>
    <w:rsid w:val="73481DDD"/>
    <w:rsid w:val="73A86934"/>
    <w:rsid w:val="73AD43B3"/>
    <w:rsid w:val="73C80274"/>
    <w:rsid w:val="73DB3E0D"/>
    <w:rsid w:val="741E793C"/>
    <w:rsid w:val="74212B2A"/>
    <w:rsid w:val="7470419A"/>
    <w:rsid w:val="758D75E2"/>
    <w:rsid w:val="764D5099"/>
    <w:rsid w:val="76D621C1"/>
    <w:rsid w:val="76E62E8B"/>
    <w:rsid w:val="77762421"/>
    <w:rsid w:val="780F09F4"/>
    <w:rsid w:val="783969F8"/>
    <w:rsid w:val="789C4F47"/>
    <w:rsid w:val="78A90480"/>
    <w:rsid w:val="78F91F95"/>
    <w:rsid w:val="79811327"/>
    <w:rsid w:val="799F010F"/>
    <w:rsid w:val="79B86CE8"/>
    <w:rsid w:val="79C6591B"/>
    <w:rsid w:val="7A3421DD"/>
    <w:rsid w:val="7A364017"/>
    <w:rsid w:val="7A8265E1"/>
    <w:rsid w:val="7B686D42"/>
    <w:rsid w:val="7B841746"/>
    <w:rsid w:val="7D0239FF"/>
    <w:rsid w:val="7D436E98"/>
    <w:rsid w:val="7D5E40CD"/>
    <w:rsid w:val="7D693BED"/>
    <w:rsid w:val="7DC12511"/>
    <w:rsid w:val="7DF605EB"/>
    <w:rsid w:val="7E4554C4"/>
    <w:rsid w:val="7E6048EB"/>
    <w:rsid w:val="7EA33DA7"/>
    <w:rsid w:val="7F78421F"/>
    <w:rsid w:val="7FE47E50"/>
    <w:rsid w:val="7FF25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unhideWhenUsed/>
    <w:qFormat/>
    <w:locked/>
    <w:uiPriority w:val="0"/>
    <w:pPr>
      <w:keepNext/>
      <w:keepLines/>
      <w:spacing w:line="360" w:lineRule="auto"/>
      <w:outlineLvl w:val="1"/>
    </w:pPr>
    <w:rPr>
      <w:rFonts w:ascii="Arial" w:hAnsi="Arial" w:eastAsia="楷体_GB2312"/>
      <w:b/>
      <w:sz w:val="28"/>
    </w:rPr>
  </w:style>
  <w:style w:type="paragraph" w:styleId="4">
    <w:name w:val="heading 4"/>
    <w:basedOn w:val="1"/>
    <w:next w:val="1"/>
    <w:link w:val="62"/>
    <w:autoRedefine/>
    <w:semiHidden/>
    <w:unhideWhenUsed/>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5">
    <w:name w:val="heading 5"/>
    <w:basedOn w:val="1"/>
    <w:next w:val="1"/>
    <w:link w:val="60"/>
    <w:autoRedefine/>
    <w:semiHidden/>
    <w:unhideWhenUsed/>
    <w:qFormat/>
    <w:locked/>
    <w:uiPriority w:val="0"/>
    <w:pPr>
      <w:keepNext/>
      <w:keepLines/>
      <w:spacing w:before="280" w:after="290" w:line="376" w:lineRule="auto"/>
      <w:outlineLvl w:val="4"/>
    </w:pPr>
    <w:rPr>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annotation text"/>
    <w:basedOn w:val="1"/>
    <w:link w:val="35"/>
    <w:autoRedefine/>
    <w:semiHidden/>
    <w:qFormat/>
    <w:uiPriority w:val="0"/>
    <w:pPr>
      <w:jc w:val="left"/>
    </w:pPr>
    <w:rPr>
      <w:kern w:val="0"/>
      <w:sz w:val="20"/>
    </w:rPr>
  </w:style>
  <w:style w:type="paragraph" w:styleId="8">
    <w:name w:val="Body Text 3"/>
    <w:basedOn w:val="1"/>
    <w:autoRedefine/>
    <w:qFormat/>
    <w:uiPriority w:val="0"/>
    <w:pPr>
      <w:spacing w:after="120"/>
    </w:pPr>
    <w:rPr>
      <w:rFonts w:ascii="Calibri" w:hAnsi="Calibri"/>
      <w:sz w:val="16"/>
      <w:szCs w:val="16"/>
    </w:rPr>
  </w:style>
  <w:style w:type="paragraph" w:styleId="9">
    <w:name w:val="Body Text"/>
    <w:basedOn w:val="1"/>
    <w:next w:val="10"/>
    <w:link w:val="36"/>
    <w:autoRedefine/>
    <w:qFormat/>
    <w:uiPriority w:val="0"/>
    <w:pPr>
      <w:widowControl/>
      <w:snapToGrid w:val="0"/>
      <w:spacing w:before="60" w:after="160" w:line="259" w:lineRule="auto"/>
      <w:ind w:right="113"/>
    </w:pPr>
    <w:rPr>
      <w:kern w:val="0"/>
      <w:sz w:val="18"/>
      <w:szCs w:val="18"/>
    </w:rPr>
  </w:style>
  <w:style w:type="paragraph" w:customStyle="1" w:styleId="10">
    <w:name w:val="Normal (Web)1"/>
    <w:basedOn w:val="1"/>
    <w:next w:val="11"/>
    <w:autoRedefine/>
    <w:qFormat/>
    <w:uiPriority w:val="0"/>
    <w:pPr>
      <w:widowControl/>
    </w:pPr>
    <w:rPr>
      <w:rFonts w:ascii="宋体" w:eastAsia="宋体" w:cs="Times New Roman"/>
      <w:sz w:val="24"/>
      <w:szCs w:val="21"/>
    </w:rPr>
  </w:style>
  <w:style w:type="paragraph" w:customStyle="1" w:styleId="11">
    <w:name w:val="Date1"/>
    <w:basedOn w:val="1"/>
    <w:next w:val="1"/>
    <w:autoRedefine/>
    <w:qFormat/>
    <w:uiPriority w:val="0"/>
    <w:pPr>
      <w:ind w:left="2500" w:leftChars="2500"/>
    </w:pPr>
  </w:style>
  <w:style w:type="paragraph" w:styleId="12">
    <w:name w:val="Body Text Indent"/>
    <w:basedOn w:val="1"/>
    <w:next w:val="13"/>
    <w:link w:val="37"/>
    <w:autoRedefine/>
    <w:semiHidden/>
    <w:qFormat/>
    <w:uiPriority w:val="0"/>
    <w:pPr>
      <w:spacing w:after="120"/>
      <w:ind w:left="420" w:leftChars="200"/>
    </w:pPr>
  </w:style>
  <w:style w:type="paragraph" w:styleId="13">
    <w:name w:val="header"/>
    <w:basedOn w:val="1"/>
    <w:next w:val="14"/>
    <w:link w:val="41"/>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4">
    <w:name w:val="样式5"/>
    <w:basedOn w:val="6"/>
    <w:autoRedefine/>
    <w:qFormat/>
    <w:uiPriority w:val="0"/>
    <w:pPr>
      <w:pBdr>
        <w:top w:val="single" w:color="auto" w:sz="4" w:space="1"/>
      </w:pBdr>
      <w:tabs>
        <w:tab w:val="center" w:pos="4153"/>
        <w:tab w:val="right" w:pos="8306"/>
      </w:tabs>
      <w:spacing w:line="400" w:lineRule="exact"/>
      <w:ind w:firstLine="360"/>
    </w:pPr>
  </w:style>
  <w:style w:type="paragraph" w:styleId="15">
    <w:name w:val="Block Text"/>
    <w:basedOn w:val="1"/>
    <w:autoRedefine/>
    <w:qFormat/>
    <w:uiPriority w:val="0"/>
    <w:pPr>
      <w:tabs>
        <w:tab w:val="left" w:pos="5985"/>
      </w:tabs>
      <w:adjustRightInd w:val="0"/>
      <w:spacing w:line="360" w:lineRule="auto"/>
      <w:ind w:left="-105" w:leftChars="-50" w:right="168" w:rightChars="80" w:firstLine="630" w:firstLineChars="225"/>
    </w:pPr>
    <w:rPr>
      <w:rFonts w:ascii="宋体" w:hAnsi="宋体"/>
      <w:sz w:val="28"/>
      <w:szCs w:val="28"/>
    </w:rPr>
  </w:style>
  <w:style w:type="paragraph" w:styleId="16">
    <w:name w:val="Plain Text"/>
    <w:basedOn w:val="1"/>
    <w:autoRedefine/>
    <w:qFormat/>
    <w:uiPriority w:val="0"/>
    <w:rPr>
      <w:rFonts w:ascii="宋体" w:hAnsi="Courier New"/>
    </w:rPr>
  </w:style>
  <w:style w:type="paragraph" w:styleId="17">
    <w:name w:val="Date"/>
    <w:basedOn w:val="1"/>
    <w:next w:val="1"/>
    <w:link w:val="38"/>
    <w:autoRedefine/>
    <w:qFormat/>
    <w:uiPriority w:val="0"/>
    <w:pPr>
      <w:ind w:left="100" w:leftChars="2500"/>
    </w:pPr>
    <w:rPr>
      <w:kern w:val="0"/>
      <w:sz w:val="20"/>
    </w:rPr>
  </w:style>
  <w:style w:type="paragraph" w:styleId="18">
    <w:name w:val="Balloon Text"/>
    <w:basedOn w:val="1"/>
    <w:link w:val="39"/>
    <w:autoRedefine/>
    <w:semiHidden/>
    <w:qFormat/>
    <w:uiPriority w:val="0"/>
    <w:rPr>
      <w:sz w:val="18"/>
      <w:szCs w:val="18"/>
    </w:rPr>
  </w:style>
  <w:style w:type="paragraph" w:styleId="19">
    <w:name w:val="footer"/>
    <w:basedOn w:val="1"/>
    <w:link w:val="40"/>
    <w:autoRedefine/>
    <w:qFormat/>
    <w:uiPriority w:val="99"/>
    <w:pPr>
      <w:tabs>
        <w:tab w:val="center" w:pos="4153"/>
        <w:tab w:val="right" w:pos="8306"/>
      </w:tabs>
      <w:snapToGrid w:val="0"/>
      <w:jc w:val="left"/>
    </w:pPr>
    <w:rPr>
      <w:sz w:val="18"/>
      <w:szCs w:val="18"/>
    </w:rPr>
  </w:style>
  <w:style w:type="paragraph" w:styleId="20">
    <w:name w:val="toc 1"/>
    <w:basedOn w:val="1"/>
    <w:next w:val="1"/>
    <w:autoRedefine/>
    <w:unhideWhenUsed/>
    <w:qFormat/>
    <w:locked/>
    <w:uiPriority w:val="39"/>
  </w:style>
  <w:style w:type="paragraph" w:styleId="21">
    <w:name w:val="Subtitle"/>
    <w:basedOn w:val="1"/>
    <w:next w:val="22"/>
    <w:autoRedefine/>
    <w:qFormat/>
    <w:locked/>
    <w:uiPriority w:val="0"/>
    <w:pPr>
      <w:spacing w:line="360" w:lineRule="auto"/>
      <w:ind w:firstLine="200" w:firstLineChars="200"/>
    </w:pPr>
    <w:rPr>
      <w:bCs/>
      <w:kern w:val="28"/>
      <w:sz w:val="24"/>
      <w:szCs w:val="32"/>
    </w:rPr>
  </w:style>
  <w:style w:type="paragraph" w:customStyle="1" w:styleId="22">
    <w:name w:val="正文1"/>
    <w:basedOn w:val="23"/>
    <w:link w:val="55"/>
    <w:autoRedefine/>
    <w:qFormat/>
    <w:uiPriority w:val="0"/>
    <w:pPr>
      <w:ind w:firstLine="200" w:firstLineChars="200"/>
      <w:jc w:val="both"/>
    </w:pPr>
    <w:rPr>
      <w:b w:val="0"/>
    </w:rPr>
  </w:style>
  <w:style w:type="paragraph" w:customStyle="1" w:styleId="23">
    <w:name w:val="标题1"/>
    <w:basedOn w:val="1"/>
    <w:link w:val="53"/>
    <w:autoRedefine/>
    <w:qFormat/>
    <w:uiPriority w:val="0"/>
    <w:pPr>
      <w:adjustRightInd w:val="0"/>
      <w:snapToGrid w:val="0"/>
      <w:spacing w:line="360" w:lineRule="auto"/>
      <w:jc w:val="left"/>
    </w:pPr>
    <w:rPr>
      <w:rFonts w:cs="宋体"/>
      <w:b/>
      <w:kern w:val="0"/>
      <w:sz w:val="24"/>
      <w:szCs w:val="21"/>
    </w:rPr>
  </w:style>
  <w:style w:type="paragraph" w:styleId="24">
    <w:name w:val="Normal (Web)"/>
    <w:basedOn w:val="1"/>
    <w:link w:val="42"/>
    <w:autoRedefine/>
    <w:qFormat/>
    <w:uiPriority w:val="0"/>
    <w:pPr>
      <w:widowControl/>
      <w:spacing w:before="100" w:beforeAutospacing="1" w:after="100" w:afterAutospacing="1"/>
      <w:jc w:val="left"/>
    </w:pPr>
    <w:rPr>
      <w:rFonts w:ascii="宋体" w:hAnsi="宋体"/>
      <w:kern w:val="0"/>
      <w:sz w:val="24"/>
    </w:rPr>
  </w:style>
  <w:style w:type="paragraph" w:styleId="25">
    <w:name w:val="annotation subject"/>
    <w:basedOn w:val="7"/>
    <w:next w:val="7"/>
    <w:link w:val="43"/>
    <w:autoRedefine/>
    <w:semiHidden/>
    <w:qFormat/>
    <w:uiPriority w:val="0"/>
    <w:rPr>
      <w:b/>
      <w:bCs/>
    </w:rPr>
  </w:style>
  <w:style w:type="paragraph" w:styleId="26">
    <w:name w:val="Body Text First Indent 2"/>
    <w:basedOn w:val="1"/>
    <w:next w:val="1"/>
    <w:autoRedefine/>
    <w:qFormat/>
    <w:uiPriority w:val="0"/>
    <w:pPr>
      <w:ind w:firstLine="420" w:firstLineChars="200"/>
    </w:pPr>
    <w:rPr>
      <w:sz w:val="24"/>
    </w:rPr>
  </w:style>
  <w:style w:type="table" w:styleId="28">
    <w:name w:val="Table Grid"/>
    <w:basedOn w:val="2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autoRedefine/>
    <w:qFormat/>
    <w:uiPriority w:val="0"/>
  </w:style>
  <w:style w:type="character" w:styleId="31">
    <w:name w:val="annotation reference"/>
    <w:autoRedefine/>
    <w:semiHidden/>
    <w:qFormat/>
    <w:uiPriority w:val="0"/>
    <w:rPr>
      <w:sz w:val="21"/>
    </w:rPr>
  </w:style>
  <w:style w:type="paragraph" w:customStyle="1" w:styleId="32">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3">
    <w:name w:val="Table Paragraph"/>
    <w:basedOn w:val="1"/>
    <w:autoRedefine/>
    <w:qFormat/>
    <w:uiPriority w:val="1"/>
    <w:pPr>
      <w:autoSpaceDE w:val="0"/>
      <w:autoSpaceDN w:val="0"/>
      <w:jc w:val="center"/>
    </w:pPr>
    <w:rPr>
      <w:rFonts w:ascii="宋体" w:hAnsi="宋体" w:cs="宋体"/>
      <w:kern w:val="0"/>
      <w:sz w:val="22"/>
      <w:szCs w:val="22"/>
      <w:lang w:val="zh-CN" w:bidi="zh-CN"/>
    </w:rPr>
  </w:style>
  <w:style w:type="paragraph" w:customStyle="1" w:styleId="34">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5">
    <w:name w:val="批注文字 Char"/>
    <w:link w:val="7"/>
    <w:autoRedefine/>
    <w:qFormat/>
    <w:locked/>
    <w:uiPriority w:val="0"/>
    <w:rPr>
      <w:rFonts w:ascii="Times New Roman" w:hAnsi="Times New Roman" w:eastAsia="宋体"/>
      <w:sz w:val="24"/>
    </w:rPr>
  </w:style>
  <w:style w:type="character" w:customStyle="1" w:styleId="36">
    <w:name w:val="正文文本 Char"/>
    <w:link w:val="9"/>
    <w:autoRedefine/>
    <w:qFormat/>
    <w:locked/>
    <w:uiPriority w:val="0"/>
    <w:rPr>
      <w:sz w:val="18"/>
    </w:rPr>
  </w:style>
  <w:style w:type="character" w:customStyle="1" w:styleId="37">
    <w:name w:val="正文文本缩进 Char"/>
    <w:link w:val="12"/>
    <w:autoRedefine/>
    <w:semiHidden/>
    <w:qFormat/>
    <w:locked/>
    <w:uiPriority w:val="0"/>
    <w:rPr>
      <w:rFonts w:ascii="Times New Roman" w:hAnsi="Times New Roman" w:eastAsia="宋体" w:cs="Times New Roman"/>
      <w:sz w:val="24"/>
      <w:szCs w:val="24"/>
    </w:rPr>
  </w:style>
  <w:style w:type="character" w:customStyle="1" w:styleId="38">
    <w:name w:val="日期 Char"/>
    <w:link w:val="17"/>
    <w:autoRedefine/>
    <w:qFormat/>
    <w:locked/>
    <w:uiPriority w:val="0"/>
    <w:rPr>
      <w:rFonts w:ascii="Times New Roman" w:hAnsi="Times New Roman" w:eastAsia="宋体"/>
      <w:sz w:val="24"/>
    </w:rPr>
  </w:style>
  <w:style w:type="character" w:customStyle="1" w:styleId="39">
    <w:name w:val="批注框文本 Char"/>
    <w:link w:val="18"/>
    <w:autoRedefine/>
    <w:semiHidden/>
    <w:qFormat/>
    <w:locked/>
    <w:uiPriority w:val="0"/>
    <w:rPr>
      <w:rFonts w:ascii="Times New Roman" w:hAnsi="Times New Roman" w:eastAsia="宋体" w:cs="Times New Roman"/>
      <w:sz w:val="18"/>
      <w:szCs w:val="18"/>
    </w:rPr>
  </w:style>
  <w:style w:type="character" w:customStyle="1" w:styleId="40">
    <w:name w:val="页脚 Char"/>
    <w:link w:val="19"/>
    <w:autoRedefine/>
    <w:qFormat/>
    <w:locked/>
    <w:uiPriority w:val="99"/>
    <w:rPr>
      <w:rFonts w:cs="Times New Roman"/>
      <w:sz w:val="18"/>
      <w:szCs w:val="18"/>
    </w:rPr>
  </w:style>
  <w:style w:type="character" w:customStyle="1" w:styleId="41">
    <w:name w:val="页眉 Char"/>
    <w:link w:val="13"/>
    <w:autoRedefine/>
    <w:qFormat/>
    <w:locked/>
    <w:uiPriority w:val="0"/>
    <w:rPr>
      <w:rFonts w:cs="Times New Roman"/>
      <w:sz w:val="18"/>
      <w:szCs w:val="18"/>
    </w:rPr>
  </w:style>
  <w:style w:type="character" w:customStyle="1" w:styleId="42">
    <w:name w:val="普通(网站) Char1"/>
    <w:link w:val="24"/>
    <w:autoRedefine/>
    <w:qFormat/>
    <w:locked/>
    <w:uiPriority w:val="0"/>
    <w:rPr>
      <w:rFonts w:ascii="宋体" w:hAnsi="宋体" w:eastAsia="宋体"/>
      <w:sz w:val="24"/>
    </w:rPr>
  </w:style>
  <w:style w:type="character" w:customStyle="1" w:styleId="43">
    <w:name w:val="批注主题 Char"/>
    <w:link w:val="25"/>
    <w:autoRedefine/>
    <w:semiHidden/>
    <w:qFormat/>
    <w:locked/>
    <w:uiPriority w:val="0"/>
    <w:rPr>
      <w:rFonts w:cs="Times New Roman"/>
      <w:b/>
      <w:bCs/>
      <w:kern w:val="2"/>
      <w:szCs w:val="24"/>
    </w:rPr>
  </w:style>
  <w:style w:type="character" w:customStyle="1" w:styleId="44">
    <w:name w:val="表格 Char"/>
    <w:link w:val="45"/>
    <w:autoRedefine/>
    <w:qFormat/>
    <w:locked/>
    <w:uiPriority w:val="0"/>
    <w:rPr>
      <w:rFonts w:ascii="宋体"/>
      <w:sz w:val="21"/>
    </w:rPr>
  </w:style>
  <w:style w:type="paragraph" w:customStyle="1" w:styleId="45">
    <w:name w:val="表格"/>
    <w:basedOn w:val="1"/>
    <w:next w:val="1"/>
    <w:link w:val="44"/>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46">
    <w:name w:val="日期 字符"/>
    <w:autoRedefine/>
    <w:semiHidden/>
    <w:qFormat/>
    <w:uiPriority w:val="0"/>
    <w:rPr>
      <w:rFonts w:ascii="Times New Roman" w:hAnsi="Times New Roman" w:eastAsia="宋体" w:cs="Times New Roman"/>
      <w:sz w:val="24"/>
      <w:szCs w:val="24"/>
    </w:rPr>
  </w:style>
  <w:style w:type="character" w:customStyle="1" w:styleId="47">
    <w:name w:val="正文文本 字符1"/>
    <w:autoRedefine/>
    <w:semiHidden/>
    <w:qFormat/>
    <w:uiPriority w:val="0"/>
    <w:rPr>
      <w:rFonts w:ascii="Times New Roman" w:hAnsi="Times New Roman" w:eastAsia="宋体" w:cs="Times New Roman"/>
      <w:sz w:val="24"/>
      <w:szCs w:val="24"/>
    </w:rPr>
  </w:style>
  <w:style w:type="paragraph" w:customStyle="1" w:styleId="48">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49">
    <w:name w:val="批注文字 字符1"/>
    <w:autoRedefine/>
    <w:semiHidden/>
    <w:qFormat/>
    <w:uiPriority w:val="0"/>
    <w:rPr>
      <w:rFonts w:ascii="Times New Roman" w:hAnsi="Times New Roman" w:eastAsia="宋体" w:cs="Times New Roman"/>
      <w:sz w:val="24"/>
      <w:szCs w:val="24"/>
    </w:rPr>
  </w:style>
  <w:style w:type="character" w:customStyle="1" w:styleId="50">
    <w:name w:val="普通(网站) Char"/>
    <w:autoRedefine/>
    <w:qFormat/>
    <w:locked/>
    <w:uiPriority w:val="0"/>
    <w:rPr>
      <w:rFonts w:ascii="宋体" w:hAnsi="宋体" w:eastAsia="宋体"/>
      <w:sz w:val="24"/>
    </w:rPr>
  </w:style>
  <w:style w:type="paragraph" w:customStyle="1" w:styleId="51">
    <w:name w:val="大标题"/>
    <w:basedOn w:val="24"/>
    <w:link w:val="52"/>
    <w:autoRedefine/>
    <w:qFormat/>
    <w:uiPriority w:val="0"/>
    <w:pPr>
      <w:jc w:val="center"/>
      <w:outlineLvl w:val="0"/>
    </w:pPr>
    <w:rPr>
      <w:rFonts w:ascii="黑体" w:hAnsi="黑体" w:eastAsia="黑体"/>
      <w:snapToGrid w:val="0"/>
      <w:sz w:val="30"/>
      <w:szCs w:val="30"/>
    </w:rPr>
  </w:style>
  <w:style w:type="character" w:customStyle="1" w:styleId="52">
    <w:name w:val="大标题 字符"/>
    <w:link w:val="51"/>
    <w:autoRedefine/>
    <w:qFormat/>
    <w:uiPriority w:val="0"/>
    <w:rPr>
      <w:rFonts w:ascii="黑体" w:hAnsi="黑体" w:eastAsia="黑体"/>
      <w:snapToGrid w:val="0"/>
      <w:sz w:val="30"/>
      <w:szCs w:val="30"/>
    </w:rPr>
  </w:style>
  <w:style w:type="character" w:customStyle="1" w:styleId="53">
    <w:name w:val="标题1 字符"/>
    <w:link w:val="23"/>
    <w:autoRedefine/>
    <w:qFormat/>
    <w:uiPriority w:val="0"/>
    <w:rPr>
      <w:rFonts w:cs="宋体"/>
      <w:b/>
      <w:sz w:val="24"/>
      <w:szCs w:val="21"/>
    </w:rPr>
  </w:style>
  <w:style w:type="paragraph" w:customStyle="1" w:styleId="54">
    <w:name w:val="表头"/>
    <w:basedOn w:val="22"/>
    <w:link w:val="57"/>
    <w:autoRedefine/>
    <w:qFormat/>
    <w:uiPriority w:val="0"/>
    <w:pPr>
      <w:spacing w:line="240" w:lineRule="auto"/>
      <w:ind w:firstLine="0" w:firstLineChars="0"/>
      <w:jc w:val="center"/>
    </w:pPr>
    <w:rPr>
      <w:b/>
      <w:sz w:val="21"/>
    </w:rPr>
  </w:style>
  <w:style w:type="character" w:customStyle="1" w:styleId="55">
    <w:name w:val="正文1 字符"/>
    <w:link w:val="22"/>
    <w:autoRedefine/>
    <w:qFormat/>
    <w:uiPriority w:val="0"/>
    <w:rPr>
      <w:rFonts w:cs="宋体"/>
      <w:sz w:val="24"/>
      <w:szCs w:val="21"/>
    </w:rPr>
  </w:style>
  <w:style w:type="paragraph" w:customStyle="1" w:styleId="56">
    <w:name w:val="表格内容"/>
    <w:basedOn w:val="54"/>
    <w:link w:val="59"/>
    <w:autoRedefine/>
    <w:qFormat/>
    <w:uiPriority w:val="0"/>
    <w:rPr>
      <w:b w:val="0"/>
    </w:rPr>
  </w:style>
  <w:style w:type="character" w:customStyle="1" w:styleId="57">
    <w:name w:val="表头 字符"/>
    <w:link w:val="54"/>
    <w:autoRedefine/>
    <w:qFormat/>
    <w:uiPriority w:val="0"/>
    <w:rPr>
      <w:rFonts w:cs="宋体"/>
      <w:b/>
      <w:sz w:val="21"/>
      <w:szCs w:val="21"/>
    </w:rPr>
  </w:style>
  <w:style w:type="paragraph" w:styleId="58">
    <w:name w:val="List Paragraph"/>
    <w:basedOn w:val="1"/>
    <w:autoRedefine/>
    <w:qFormat/>
    <w:uiPriority w:val="99"/>
    <w:pPr>
      <w:ind w:firstLine="420" w:firstLineChars="200"/>
    </w:pPr>
  </w:style>
  <w:style w:type="character" w:customStyle="1" w:styleId="59">
    <w:name w:val="表格内容 字符"/>
    <w:link w:val="56"/>
    <w:autoRedefine/>
    <w:qFormat/>
    <w:uiPriority w:val="0"/>
    <w:rPr>
      <w:rFonts w:cs="宋体"/>
      <w:sz w:val="21"/>
      <w:szCs w:val="21"/>
    </w:rPr>
  </w:style>
  <w:style w:type="character" w:customStyle="1" w:styleId="60">
    <w:name w:val="标题 5 Char"/>
    <w:link w:val="5"/>
    <w:autoRedefine/>
    <w:semiHidden/>
    <w:qFormat/>
    <w:uiPriority w:val="0"/>
    <w:rPr>
      <w:b/>
      <w:bCs/>
      <w:kern w:val="2"/>
      <w:sz w:val="28"/>
      <w:szCs w:val="28"/>
    </w:rPr>
  </w:style>
  <w:style w:type="table" w:customStyle="1" w:styleId="61">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62">
    <w:name w:val="标题 4 Char"/>
    <w:link w:val="4"/>
    <w:autoRedefine/>
    <w:semiHidden/>
    <w:qFormat/>
    <w:uiPriority w:val="0"/>
    <w:rPr>
      <w:rFonts w:ascii="等线 Light" w:hAnsi="等线 Light" w:eastAsia="等线 Light" w:cs="Times New Roman"/>
      <w:b/>
      <w:bCs/>
      <w:kern w:val="2"/>
      <w:sz w:val="28"/>
      <w:szCs w:val="28"/>
    </w:rPr>
  </w:style>
  <w:style w:type="paragraph" w:customStyle="1" w:styleId="63">
    <w:name w:val="样式6"/>
    <w:basedOn w:val="56"/>
    <w:autoRedefine/>
    <w:qFormat/>
    <w:uiPriority w:val="0"/>
    <w:pPr>
      <w:tabs>
        <w:tab w:val="left" w:pos="2340"/>
      </w:tabs>
    </w:pPr>
    <w:rPr>
      <w:rFonts w:hAnsi="Calibri"/>
      <w:color w:val="0070C0"/>
      <w:sz w:val="20"/>
    </w:rPr>
  </w:style>
  <w:style w:type="paragraph" w:customStyle="1" w:styleId="64">
    <w:name w:val="惠泽正文"/>
    <w:basedOn w:val="1"/>
    <w:autoRedefine/>
    <w:qFormat/>
    <w:uiPriority w:val="0"/>
    <w:pPr>
      <w:spacing w:line="480" w:lineRule="exact"/>
      <w:ind w:firstLine="480" w:firstLineChars="200"/>
    </w:pPr>
    <w:rPr>
      <w:rFonts w:hAnsi="宋体" w:cs="宋体"/>
      <w:sz w:val="24"/>
      <w:szCs w:val="20"/>
    </w:rPr>
  </w:style>
  <w:style w:type="paragraph" w:customStyle="1" w:styleId="65">
    <w:name w:val="表格1"/>
    <w:basedOn w:val="1"/>
    <w:autoRedefine/>
    <w:qFormat/>
    <w:uiPriority w:val="0"/>
    <w:pPr>
      <w:widowControl/>
      <w:snapToGrid w:val="0"/>
      <w:spacing w:line="240" w:lineRule="auto"/>
      <w:ind w:firstLine="0" w:firstLineChars="0"/>
      <w:jc w:val="center"/>
    </w:pPr>
    <w:rPr>
      <w:kern w:val="0"/>
      <w:sz w:val="21"/>
      <w:szCs w:val="20"/>
    </w:rPr>
  </w:style>
  <w:style w:type="paragraph" w:customStyle="1" w:styleId="66">
    <w:name w:val="5E8A942B92774C978FFC2A16BCB09EA4"/>
    <w:autoRedefine/>
    <w:qFormat/>
    <w:uiPriority w:val="99"/>
    <w:pPr>
      <w:spacing w:after="200" w:line="276" w:lineRule="auto"/>
    </w:pPr>
    <w:rPr>
      <w:rFonts w:ascii="Calibri" w:hAnsi="Calibri" w:eastAsia="宋体" w:cs="Times New Roman"/>
      <w:sz w:val="22"/>
      <w:szCs w:val="22"/>
      <w:lang w:val="en-US" w:eastAsia="en-US" w:bidi="ar-SA"/>
    </w:rPr>
  </w:style>
  <w:style w:type="paragraph" w:customStyle="1" w:styleId="67">
    <w:name w:val="简单回函地址"/>
    <w:basedOn w:val="1"/>
    <w:autoRedefine/>
    <w:qFormat/>
    <w:uiPriority w:val="0"/>
  </w:style>
  <w:style w:type="paragraph" w:customStyle="1" w:styleId="68">
    <w:name w:val="正文 New"/>
    <w:autoRedefine/>
    <w:qFormat/>
    <w:uiPriority w:val="0"/>
    <w:pPr>
      <w:widowControl w:val="0"/>
      <w:spacing w:line="360" w:lineRule="auto"/>
      <w:ind w:firstLine="200" w:firstLineChars="200"/>
      <w:jc w:val="both"/>
    </w:pPr>
    <w:rPr>
      <w:rFonts w:ascii="Calibri" w:hAnsi="Calibri" w:eastAsia="宋体"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D82646-CC56-4E92-BF0D-B6B05C11328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68</Pages>
  <Words>38583</Words>
  <Characters>42971</Characters>
  <Lines>215</Lines>
  <Paragraphs>60</Paragraphs>
  <TotalTime>3</TotalTime>
  <ScaleCrop>false</ScaleCrop>
  <LinksUpToDate>false</LinksUpToDate>
  <CharactersWithSpaces>43412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2021-06-10T02:58:00Z</dcterms:created>
  <dc:creator>lhj</dc:creator>
  <cp:lastModifiedBy>漫步者</cp:lastModifiedBy>
  <cp:lastPrinted>2023-12-28T07:42:00Z</cp:lastPrinted>
  <dcterms:modified xsi:type="dcterms:W3CDTF">2024-03-13T07:44:26Z</dcterms:modified>
  <cp:revision>693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DD161483E6DB4CEB981B6FB9AF7A1798_13</vt:lpwstr>
  </property>
</Properties>
</file>